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DF8FE" w14:textId="5AAA2207" w:rsidR="00C77248" w:rsidRDefault="0027580C" w:rsidP="0027580C">
      <w:pPr>
        <w:pStyle w:val="Pagedecouverture"/>
      </w:pPr>
      <w:bookmarkStart w:id="0" w:name="LW_BM_COVERPAGE"/>
      <w:r>
        <w:pict w14:anchorId="10625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364341C8-A4ED-4E60-93C7-A6DE24B6306B" style="width:455.25pt;height:572.75pt">
            <v:imagedata r:id="rId11" o:title=""/>
          </v:shape>
        </w:pict>
      </w:r>
    </w:p>
    <w:bookmarkEnd w:id="0"/>
    <w:p w14:paraId="71CBF953" w14:textId="77777777" w:rsidR="00C77248" w:rsidRDefault="00C77248" w:rsidP="004570F2">
      <w:pPr>
        <w:sectPr w:rsidR="00C77248" w:rsidSect="0027580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1F8FF8F3" w14:textId="5FC0CCA4" w:rsidR="001566DE" w:rsidRDefault="001566DE" w:rsidP="00851023">
      <w:pPr>
        <w:pStyle w:val="Pagedecouverture"/>
      </w:pPr>
      <w:bookmarkStart w:id="1" w:name="_Toc217395538"/>
      <w:bookmarkStart w:id="2" w:name="_Toc217396445"/>
      <w:bookmarkStart w:id="3" w:name="_Toc224898299"/>
      <w:bookmarkEnd w:id="1"/>
      <w:bookmarkEnd w:id="2"/>
    </w:p>
    <w:p w14:paraId="0B0A576D" w14:textId="77777777" w:rsidR="00007AE7" w:rsidRPr="00F92EAE" w:rsidRDefault="00007AE7" w:rsidP="00007AE7">
      <w:pPr>
        <w:pStyle w:val="TOCHeading"/>
      </w:pPr>
      <w:r w:rsidRPr="00F92EAE">
        <w:t>Table of contents</w:t>
      </w:r>
    </w:p>
    <w:p w14:paraId="5A193F82" w14:textId="28C44341" w:rsidR="0084256E" w:rsidRDefault="00007AE7">
      <w:pPr>
        <w:pStyle w:val="TOC1"/>
        <w:rPr>
          <w:rFonts w:asciiTheme="minorHAnsi" w:eastAsiaTheme="minorEastAsia" w:hAnsiTheme="minorHAnsi" w:cstheme="minorBidi"/>
          <w:caps w:val="0"/>
          <w:noProof/>
          <w:kern w:val="2"/>
          <w:sz w:val="24"/>
          <w:szCs w:val="24"/>
          <w:lang w:val="en-IE" w:eastAsia="en-IE"/>
          <w14:ligatures w14:val="standardContextual"/>
        </w:rPr>
      </w:pPr>
      <w:r w:rsidRPr="00F92EAE">
        <w:fldChar w:fldCharType="begin"/>
      </w:r>
      <w:r w:rsidRPr="00F92EAE">
        <w:instrText xml:space="preserve"> TOC \o "1-1" \h \z \t "Heading 2;2;Heading 3;3;Annex Title;1" </w:instrText>
      </w:r>
      <w:r w:rsidRPr="00F92EAE">
        <w:fldChar w:fldCharType="separate"/>
      </w:r>
      <w:hyperlink w:anchor="_Toc225979060" w:history="1">
        <w:r w:rsidR="0084256E" w:rsidRPr="00526635">
          <w:rPr>
            <w:rStyle w:val="Hyperlink"/>
            <w:noProof/>
          </w:rPr>
          <w:t>Annex 1: Procedural information</w:t>
        </w:r>
        <w:r w:rsidR="0084256E">
          <w:rPr>
            <w:noProof/>
            <w:webHidden/>
          </w:rPr>
          <w:tab/>
        </w:r>
        <w:r w:rsidR="0084256E">
          <w:rPr>
            <w:noProof/>
            <w:webHidden/>
          </w:rPr>
          <w:fldChar w:fldCharType="begin"/>
        </w:r>
        <w:r w:rsidR="0084256E">
          <w:rPr>
            <w:noProof/>
            <w:webHidden/>
          </w:rPr>
          <w:instrText xml:space="preserve"> PAGEREF _Toc225979060 \h </w:instrText>
        </w:r>
        <w:r w:rsidR="0084256E">
          <w:rPr>
            <w:noProof/>
            <w:webHidden/>
          </w:rPr>
        </w:r>
        <w:r w:rsidR="0084256E">
          <w:rPr>
            <w:noProof/>
            <w:webHidden/>
          </w:rPr>
          <w:fldChar w:fldCharType="separate"/>
        </w:r>
        <w:r w:rsidR="00D0686F">
          <w:rPr>
            <w:noProof/>
            <w:webHidden/>
          </w:rPr>
          <w:t>2</w:t>
        </w:r>
        <w:r w:rsidR="0084256E">
          <w:rPr>
            <w:noProof/>
            <w:webHidden/>
          </w:rPr>
          <w:fldChar w:fldCharType="end"/>
        </w:r>
      </w:hyperlink>
    </w:p>
    <w:p w14:paraId="59ED52C2" w14:textId="1BE14F34" w:rsidR="0084256E" w:rsidRDefault="0084256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25979065" w:history="1">
        <w:r w:rsidRPr="00526635">
          <w:rPr>
            <w:rStyle w:val="Hyperlink"/>
            <w:noProof/>
          </w:rPr>
          <w:t>Annex 2: Stakeholder consultation</w:t>
        </w:r>
        <w:r>
          <w:rPr>
            <w:noProof/>
            <w:webHidden/>
          </w:rPr>
          <w:tab/>
        </w:r>
        <w:r>
          <w:rPr>
            <w:noProof/>
            <w:webHidden/>
          </w:rPr>
          <w:fldChar w:fldCharType="begin"/>
        </w:r>
        <w:r>
          <w:rPr>
            <w:noProof/>
            <w:webHidden/>
          </w:rPr>
          <w:instrText xml:space="preserve"> PAGEREF _Toc225979065 \h </w:instrText>
        </w:r>
        <w:r>
          <w:rPr>
            <w:noProof/>
            <w:webHidden/>
          </w:rPr>
        </w:r>
        <w:r>
          <w:rPr>
            <w:noProof/>
            <w:webHidden/>
          </w:rPr>
          <w:fldChar w:fldCharType="separate"/>
        </w:r>
        <w:r w:rsidR="00D0686F">
          <w:rPr>
            <w:noProof/>
            <w:webHidden/>
          </w:rPr>
          <w:t>4</w:t>
        </w:r>
        <w:r>
          <w:rPr>
            <w:noProof/>
            <w:webHidden/>
          </w:rPr>
          <w:fldChar w:fldCharType="end"/>
        </w:r>
      </w:hyperlink>
    </w:p>
    <w:p w14:paraId="6D967415" w14:textId="25614FE5" w:rsidR="0084256E" w:rsidRDefault="0084256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25979079" w:history="1">
        <w:r w:rsidRPr="00526635">
          <w:rPr>
            <w:rStyle w:val="Hyperlink"/>
            <w:noProof/>
          </w:rPr>
          <w:t>Annex 3: Who is affected and how?</w:t>
        </w:r>
        <w:r>
          <w:rPr>
            <w:noProof/>
            <w:webHidden/>
          </w:rPr>
          <w:tab/>
        </w:r>
        <w:r>
          <w:rPr>
            <w:noProof/>
            <w:webHidden/>
          </w:rPr>
          <w:fldChar w:fldCharType="begin"/>
        </w:r>
        <w:r>
          <w:rPr>
            <w:noProof/>
            <w:webHidden/>
          </w:rPr>
          <w:instrText xml:space="preserve"> PAGEREF _Toc225979079 \h </w:instrText>
        </w:r>
        <w:r>
          <w:rPr>
            <w:noProof/>
            <w:webHidden/>
          </w:rPr>
        </w:r>
        <w:r>
          <w:rPr>
            <w:noProof/>
            <w:webHidden/>
          </w:rPr>
          <w:fldChar w:fldCharType="separate"/>
        </w:r>
        <w:r w:rsidR="00D0686F">
          <w:rPr>
            <w:noProof/>
            <w:webHidden/>
          </w:rPr>
          <w:t>16</w:t>
        </w:r>
        <w:r>
          <w:rPr>
            <w:noProof/>
            <w:webHidden/>
          </w:rPr>
          <w:fldChar w:fldCharType="end"/>
        </w:r>
      </w:hyperlink>
    </w:p>
    <w:p w14:paraId="693D104D" w14:textId="3E5C44BE" w:rsidR="0084256E" w:rsidRDefault="0084256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25979083" w:history="1">
        <w:r w:rsidRPr="00526635">
          <w:rPr>
            <w:rStyle w:val="Hyperlink"/>
            <w:noProof/>
          </w:rPr>
          <w:t>Annex 4: Analytical methods</w:t>
        </w:r>
        <w:r>
          <w:rPr>
            <w:noProof/>
            <w:webHidden/>
          </w:rPr>
          <w:tab/>
        </w:r>
        <w:r>
          <w:rPr>
            <w:noProof/>
            <w:webHidden/>
          </w:rPr>
          <w:fldChar w:fldCharType="begin"/>
        </w:r>
        <w:r>
          <w:rPr>
            <w:noProof/>
            <w:webHidden/>
          </w:rPr>
          <w:instrText xml:space="preserve"> PAGEREF _Toc225979083 \h </w:instrText>
        </w:r>
        <w:r>
          <w:rPr>
            <w:noProof/>
            <w:webHidden/>
          </w:rPr>
        </w:r>
        <w:r>
          <w:rPr>
            <w:noProof/>
            <w:webHidden/>
          </w:rPr>
          <w:fldChar w:fldCharType="separate"/>
        </w:r>
        <w:r w:rsidR="00D0686F">
          <w:rPr>
            <w:noProof/>
            <w:webHidden/>
          </w:rPr>
          <w:t>47</w:t>
        </w:r>
        <w:r>
          <w:rPr>
            <w:noProof/>
            <w:webHidden/>
          </w:rPr>
          <w:fldChar w:fldCharType="end"/>
        </w:r>
      </w:hyperlink>
    </w:p>
    <w:p w14:paraId="43AA7949" w14:textId="20285238" w:rsidR="0084256E" w:rsidRDefault="0084256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25979109" w:history="1">
        <w:r w:rsidRPr="00526635">
          <w:rPr>
            <w:rStyle w:val="Hyperlink"/>
            <w:noProof/>
          </w:rPr>
          <w:t>Annex 5: Additional information on background on the sector and problem definition</w:t>
        </w:r>
        <w:r>
          <w:rPr>
            <w:noProof/>
            <w:webHidden/>
          </w:rPr>
          <w:tab/>
        </w:r>
        <w:r>
          <w:rPr>
            <w:noProof/>
            <w:webHidden/>
          </w:rPr>
          <w:fldChar w:fldCharType="begin"/>
        </w:r>
        <w:r>
          <w:rPr>
            <w:noProof/>
            <w:webHidden/>
          </w:rPr>
          <w:instrText xml:space="preserve"> PAGEREF _Toc225979109 \h </w:instrText>
        </w:r>
        <w:r>
          <w:rPr>
            <w:noProof/>
            <w:webHidden/>
          </w:rPr>
        </w:r>
        <w:r>
          <w:rPr>
            <w:noProof/>
            <w:webHidden/>
          </w:rPr>
          <w:fldChar w:fldCharType="separate"/>
        </w:r>
        <w:r w:rsidR="00D0686F">
          <w:rPr>
            <w:noProof/>
            <w:webHidden/>
          </w:rPr>
          <w:t>77</w:t>
        </w:r>
        <w:r>
          <w:rPr>
            <w:noProof/>
            <w:webHidden/>
          </w:rPr>
          <w:fldChar w:fldCharType="end"/>
        </w:r>
      </w:hyperlink>
    </w:p>
    <w:p w14:paraId="0D39A2A7" w14:textId="765BF318" w:rsidR="0084256E" w:rsidRDefault="0084256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25979122" w:history="1">
        <w:r w:rsidRPr="00526635">
          <w:rPr>
            <w:rStyle w:val="Hyperlink"/>
            <w:noProof/>
          </w:rPr>
          <w:t>Annex 6: Overview of the proposed measures and articles of the proposed regulation and directive</w:t>
        </w:r>
        <w:r>
          <w:rPr>
            <w:noProof/>
            <w:webHidden/>
          </w:rPr>
          <w:tab/>
        </w:r>
        <w:r>
          <w:rPr>
            <w:noProof/>
            <w:webHidden/>
          </w:rPr>
          <w:fldChar w:fldCharType="begin"/>
        </w:r>
        <w:r>
          <w:rPr>
            <w:noProof/>
            <w:webHidden/>
          </w:rPr>
          <w:instrText xml:space="preserve"> PAGEREF _Toc225979122 \h </w:instrText>
        </w:r>
        <w:r>
          <w:rPr>
            <w:noProof/>
            <w:webHidden/>
          </w:rPr>
        </w:r>
        <w:r>
          <w:rPr>
            <w:noProof/>
            <w:webHidden/>
          </w:rPr>
          <w:fldChar w:fldCharType="separate"/>
        </w:r>
        <w:r w:rsidR="00D0686F">
          <w:rPr>
            <w:noProof/>
            <w:webHidden/>
          </w:rPr>
          <w:t>101</w:t>
        </w:r>
        <w:r>
          <w:rPr>
            <w:noProof/>
            <w:webHidden/>
          </w:rPr>
          <w:fldChar w:fldCharType="end"/>
        </w:r>
      </w:hyperlink>
    </w:p>
    <w:p w14:paraId="7721A167" w14:textId="0E764AF5" w:rsidR="0084256E" w:rsidRDefault="0084256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25979123" w:history="1">
        <w:r w:rsidRPr="00526635">
          <w:rPr>
            <w:rStyle w:val="Hyperlink"/>
            <w:noProof/>
          </w:rPr>
          <w:t>Annex 7: Additional information on measures and expected impacts</w:t>
        </w:r>
        <w:r>
          <w:rPr>
            <w:noProof/>
            <w:webHidden/>
          </w:rPr>
          <w:tab/>
        </w:r>
        <w:r>
          <w:rPr>
            <w:noProof/>
            <w:webHidden/>
          </w:rPr>
          <w:fldChar w:fldCharType="begin"/>
        </w:r>
        <w:r>
          <w:rPr>
            <w:noProof/>
            <w:webHidden/>
          </w:rPr>
          <w:instrText xml:space="preserve"> PAGEREF _Toc225979123 \h </w:instrText>
        </w:r>
        <w:r>
          <w:rPr>
            <w:noProof/>
            <w:webHidden/>
          </w:rPr>
        </w:r>
        <w:r>
          <w:rPr>
            <w:noProof/>
            <w:webHidden/>
          </w:rPr>
          <w:fldChar w:fldCharType="separate"/>
        </w:r>
        <w:r w:rsidR="00D0686F">
          <w:rPr>
            <w:noProof/>
            <w:webHidden/>
          </w:rPr>
          <w:t>111</w:t>
        </w:r>
        <w:r>
          <w:rPr>
            <w:noProof/>
            <w:webHidden/>
          </w:rPr>
          <w:fldChar w:fldCharType="end"/>
        </w:r>
      </w:hyperlink>
    </w:p>
    <w:p w14:paraId="74B48E62" w14:textId="36229A69" w:rsidR="0084256E" w:rsidRDefault="0084256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25979172" w:history="1">
        <w:r w:rsidRPr="00526635">
          <w:rPr>
            <w:rStyle w:val="Hyperlink"/>
            <w:noProof/>
          </w:rPr>
          <w:t>Annex 8: Competitiveness check</w:t>
        </w:r>
        <w:r>
          <w:rPr>
            <w:noProof/>
            <w:webHidden/>
          </w:rPr>
          <w:tab/>
        </w:r>
        <w:r>
          <w:rPr>
            <w:noProof/>
            <w:webHidden/>
          </w:rPr>
          <w:fldChar w:fldCharType="begin"/>
        </w:r>
        <w:r>
          <w:rPr>
            <w:noProof/>
            <w:webHidden/>
          </w:rPr>
          <w:instrText xml:space="preserve"> PAGEREF _Toc225979172 \h </w:instrText>
        </w:r>
        <w:r>
          <w:rPr>
            <w:noProof/>
            <w:webHidden/>
          </w:rPr>
        </w:r>
        <w:r>
          <w:rPr>
            <w:noProof/>
            <w:webHidden/>
          </w:rPr>
          <w:fldChar w:fldCharType="separate"/>
        </w:r>
        <w:r w:rsidR="00D0686F">
          <w:rPr>
            <w:noProof/>
            <w:webHidden/>
          </w:rPr>
          <w:t>244</w:t>
        </w:r>
        <w:r>
          <w:rPr>
            <w:noProof/>
            <w:webHidden/>
          </w:rPr>
          <w:fldChar w:fldCharType="end"/>
        </w:r>
      </w:hyperlink>
    </w:p>
    <w:p w14:paraId="3B8F401D" w14:textId="28FD6719" w:rsidR="0084256E" w:rsidRDefault="0084256E">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25979176" w:history="1">
        <w:r w:rsidRPr="00526635">
          <w:rPr>
            <w:rStyle w:val="Hyperlink"/>
            <w:noProof/>
          </w:rPr>
          <w:t>Annex 9: SME check</w:t>
        </w:r>
        <w:r>
          <w:rPr>
            <w:noProof/>
            <w:webHidden/>
          </w:rPr>
          <w:tab/>
        </w:r>
        <w:r>
          <w:rPr>
            <w:noProof/>
            <w:webHidden/>
          </w:rPr>
          <w:fldChar w:fldCharType="begin"/>
        </w:r>
        <w:r>
          <w:rPr>
            <w:noProof/>
            <w:webHidden/>
          </w:rPr>
          <w:instrText xml:space="preserve"> PAGEREF _Toc225979176 \h </w:instrText>
        </w:r>
        <w:r>
          <w:rPr>
            <w:noProof/>
            <w:webHidden/>
          </w:rPr>
        </w:r>
        <w:r>
          <w:rPr>
            <w:noProof/>
            <w:webHidden/>
          </w:rPr>
          <w:fldChar w:fldCharType="separate"/>
        </w:r>
        <w:r w:rsidR="00D0686F">
          <w:rPr>
            <w:noProof/>
            <w:webHidden/>
          </w:rPr>
          <w:t>247</w:t>
        </w:r>
        <w:r>
          <w:rPr>
            <w:noProof/>
            <w:webHidden/>
          </w:rPr>
          <w:fldChar w:fldCharType="end"/>
        </w:r>
      </w:hyperlink>
    </w:p>
    <w:p w14:paraId="14E9B638" w14:textId="019B63EB" w:rsidR="001566DE" w:rsidRDefault="00007AE7" w:rsidP="00007AE7">
      <w:pPr>
        <w:spacing w:after="200" w:line="276" w:lineRule="auto"/>
        <w:jc w:val="left"/>
        <w:rPr>
          <w:rFonts w:eastAsia="Times New Roman"/>
          <w:b/>
          <w:smallCaps/>
          <w:sz w:val="32"/>
          <w:szCs w:val="20"/>
        </w:rPr>
      </w:pPr>
      <w:r w:rsidRPr="00F92EAE">
        <w:fldChar w:fldCharType="end"/>
      </w:r>
      <w:r w:rsidR="001566DE">
        <w:br w:type="page"/>
      </w:r>
    </w:p>
    <w:p w14:paraId="322C03E3" w14:textId="66779706" w:rsidR="006B087E" w:rsidRPr="00DD0CE5" w:rsidRDefault="006B087E" w:rsidP="00B35BA0">
      <w:pPr>
        <w:pStyle w:val="AnnexTitle"/>
      </w:pPr>
      <w:bookmarkStart w:id="4" w:name="_Toc225979060"/>
      <w:r w:rsidRPr="00DD0CE5">
        <w:lastRenderedPageBreak/>
        <w:t>Annex 1: Procedural information</w:t>
      </w:r>
      <w:bookmarkEnd w:id="3"/>
      <w:bookmarkEnd w:id="4"/>
    </w:p>
    <w:p w14:paraId="5D9DF228" w14:textId="302159C1" w:rsidR="006B087E" w:rsidRPr="00DD0CE5" w:rsidRDefault="006B087E" w:rsidP="004570F2">
      <w:pPr>
        <w:pStyle w:val="Heading2"/>
        <w:numPr>
          <w:ilvl w:val="0"/>
          <w:numId w:val="523"/>
        </w:numPr>
      </w:pPr>
      <w:bookmarkStart w:id="5" w:name="_Toc471997754"/>
      <w:bookmarkStart w:id="6" w:name="_Toc220593609"/>
      <w:bookmarkStart w:id="7" w:name="_Toc220924757"/>
      <w:bookmarkStart w:id="8" w:name="_Toc220952042"/>
      <w:bookmarkStart w:id="9" w:name="_Toc222740594"/>
      <w:bookmarkStart w:id="10" w:name="_Toc222831777"/>
      <w:bookmarkStart w:id="11" w:name="_Toc224747244"/>
      <w:bookmarkStart w:id="12" w:name="_Toc224749714"/>
      <w:bookmarkStart w:id="13" w:name="_Toc225783176"/>
      <w:bookmarkStart w:id="14" w:name="_Toc225969749"/>
      <w:bookmarkStart w:id="15" w:name="_Toc225979061"/>
      <w:r w:rsidRPr="00DD0CE5">
        <w:t>Lead DG, D</w:t>
      </w:r>
      <w:r w:rsidRPr="00106361">
        <w:rPr>
          <w:i/>
        </w:rPr>
        <w:t>e</w:t>
      </w:r>
      <w:r w:rsidRPr="00DD0CE5">
        <w:t>cide Planning/CWP references</w:t>
      </w:r>
      <w:bookmarkEnd w:id="5"/>
      <w:bookmarkEnd w:id="6"/>
      <w:bookmarkEnd w:id="7"/>
      <w:bookmarkEnd w:id="8"/>
      <w:bookmarkEnd w:id="9"/>
      <w:bookmarkEnd w:id="10"/>
      <w:bookmarkEnd w:id="11"/>
      <w:bookmarkEnd w:id="12"/>
      <w:bookmarkEnd w:id="13"/>
      <w:bookmarkEnd w:id="14"/>
      <w:bookmarkEnd w:id="15"/>
    </w:p>
    <w:p w14:paraId="0A7D0D05" w14:textId="4F19A4C7" w:rsidR="009E5120" w:rsidRPr="00DD0CE5" w:rsidRDefault="6C89EB5E" w:rsidP="00966A2E">
      <w:pPr>
        <w:pStyle w:val="Text1"/>
        <w:ind w:left="0"/>
      </w:pPr>
      <w:r w:rsidRPr="00DD0CE5">
        <w:t>Th</w:t>
      </w:r>
      <w:r w:rsidR="23315769" w:rsidRPr="00DD0CE5">
        <w:t>e legislative proposal for the European Biotech Act was prepared under the lead of the Directorate-General for Health and Food Safety</w:t>
      </w:r>
      <w:r w:rsidR="6DFE10BF" w:rsidRPr="00DD0CE5">
        <w:t xml:space="preserve"> (DG SANTE)</w:t>
      </w:r>
      <w:r w:rsidR="23315769" w:rsidRPr="00DD0CE5">
        <w:t xml:space="preserve">. In the </w:t>
      </w:r>
      <w:r w:rsidR="02C2C2F3" w:rsidRPr="00DD0CE5">
        <w:t xml:space="preserve">DECIDE Planning of the Commission, the process is referred to under item </w:t>
      </w:r>
      <w:r w:rsidR="006C7161" w:rsidRPr="00DD0CE5">
        <w:t>PLAN/2025/176</w:t>
      </w:r>
      <w:r w:rsidR="02C2C2F3" w:rsidRPr="00DD0CE5">
        <w:t>. The Act was announced in the political guideline</w:t>
      </w:r>
      <w:r w:rsidR="73767723" w:rsidRPr="00DD0CE5">
        <w:t>s for the European Commission 2024-2029.</w:t>
      </w:r>
    </w:p>
    <w:p w14:paraId="68995DB5" w14:textId="77777777" w:rsidR="006B087E" w:rsidRPr="00DD0CE5" w:rsidRDefault="006B087E" w:rsidP="004570F2">
      <w:pPr>
        <w:pStyle w:val="Heading2"/>
        <w:numPr>
          <w:ilvl w:val="0"/>
          <w:numId w:val="523"/>
        </w:numPr>
      </w:pPr>
      <w:bookmarkStart w:id="16" w:name="_Toc471997755"/>
      <w:bookmarkStart w:id="17" w:name="_Toc220593610"/>
      <w:bookmarkStart w:id="18" w:name="_Toc220924758"/>
      <w:bookmarkStart w:id="19" w:name="_Toc220952043"/>
      <w:bookmarkStart w:id="20" w:name="_Toc222740595"/>
      <w:bookmarkStart w:id="21" w:name="_Toc222831778"/>
      <w:bookmarkStart w:id="22" w:name="_Toc224747245"/>
      <w:bookmarkStart w:id="23" w:name="_Toc224749715"/>
      <w:bookmarkStart w:id="24" w:name="_Toc225783177"/>
      <w:bookmarkStart w:id="25" w:name="_Toc225969750"/>
      <w:bookmarkStart w:id="26" w:name="_Toc225979062"/>
      <w:r w:rsidRPr="00DD0CE5">
        <w:t>Organisation and timing</w:t>
      </w:r>
      <w:bookmarkEnd w:id="16"/>
      <w:bookmarkEnd w:id="17"/>
      <w:bookmarkEnd w:id="18"/>
      <w:bookmarkEnd w:id="19"/>
      <w:bookmarkEnd w:id="20"/>
      <w:bookmarkEnd w:id="21"/>
      <w:bookmarkEnd w:id="22"/>
      <w:bookmarkEnd w:id="23"/>
      <w:bookmarkEnd w:id="24"/>
      <w:bookmarkEnd w:id="25"/>
      <w:bookmarkEnd w:id="26"/>
    </w:p>
    <w:p w14:paraId="30FA5C25" w14:textId="703B2829" w:rsidR="006B087E" w:rsidRPr="00DD0CE5" w:rsidRDefault="09C56D25" w:rsidP="00966A2E">
      <w:r w:rsidRPr="00DD0CE5">
        <w:t xml:space="preserve">An Inter-Service </w:t>
      </w:r>
      <w:r w:rsidR="00D2252C">
        <w:t>Coordination</w:t>
      </w:r>
      <w:r w:rsidR="00D2252C" w:rsidRPr="00DD0CE5">
        <w:t xml:space="preserve"> </w:t>
      </w:r>
      <w:r w:rsidRPr="00DD0CE5">
        <w:t>Group (IS</w:t>
      </w:r>
      <w:r w:rsidR="00EC391D">
        <w:t>C</w:t>
      </w:r>
      <w:r w:rsidRPr="00DD0CE5">
        <w:t>G) assisted DG</w:t>
      </w:r>
      <w:r w:rsidR="25F69AA0" w:rsidRPr="00DD0CE5">
        <w:t xml:space="preserve"> SANTE in the preparation of leg</w:t>
      </w:r>
      <w:r w:rsidR="00430EC4">
        <w:t>islative</w:t>
      </w:r>
      <w:r w:rsidR="25F69AA0" w:rsidRPr="00DD0CE5">
        <w:t xml:space="preserve"> proposal. It included Commission services of Directorate-Generals </w:t>
      </w:r>
      <w:r w:rsidR="18724762" w:rsidRPr="00DD0CE5">
        <w:t>AGRI, BUDG,</w:t>
      </w:r>
      <w:r w:rsidR="276CF2F2" w:rsidRPr="00DD0CE5">
        <w:t xml:space="preserve"> CLIMA,</w:t>
      </w:r>
      <w:r w:rsidR="18724762" w:rsidRPr="00DD0CE5">
        <w:t xml:space="preserve"> CNECT,</w:t>
      </w:r>
      <w:r w:rsidR="40B7CBE7" w:rsidRPr="00DD0CE5">
        <w:t xml:space="preserve"> COMP, DEFIS,</w:t>
      </w:r>
      <w:r w:rsidR="18724762" w:rsidRPr="00DD0CE5">
        <w:t xml:space="preserve"> </w:t>
      </w:r>
      <w:r w:rsidR="10C09041" w:rsidRPr="00DD0CE5">
        <w:t xml:space="preserve">ENER, </w:t>
      </w:r>
      <w:r w:rsidR="52BEFE78" w:rsidRPr="00DD0CE5">
        <w:t xml:space="preserve">ENV, </w:t>
      </w:r>
      <w:r w:rsidR="18724762" w:rsidRPr="00DD0CE5">
        <w:t xml:space="preserve">GROW, </w:t>
      </w:r>
      <w:r w:rsidR="3E47176F" w:rsidRPr="00DD0CE5">
        <w:t xml:space="preserve">HERA, </w:t>
      </w:r>
      <w:r w:rsidR="18724762" w:rsidRPr="00DD0CE5">
        <w:t>JRC, REGIO, RTD, TAXUD</w:t>
      </w:r>
      <w:r w:rsidR="7687F9C8" w:rsidRPr="00DD0CE5">
        <w:t>, TRADE,</w:t>
      </w:r>
      <w:r w:rsidR="25F69AA0" w:rsidRPr="00DD0CE5">
        <w:t xml:space="preserve"> together with the Commission’s Legal Service and Secretariat General. </w:t>
      </w:r>
    </w:p>
    <w:p w14:paraId="006DB307" w14:textId="003E7E6D" w:rsidR="00ED6A32" w:rsidRPr="00DD0CE5" w:rsidRDefault="00142D76" w:rsidP="00966A2E">
      <w:r w:rsidRPr="00DD0CE5">
        <w:t xml:space="preserve">Three </w:t>
      </w:r>
      <w:r w:rsidR="0006765B" w:rsidRPr="00DD0CE5">
        <w:t xml:space="preserve">Interservice Coordination Groups have been organised between </w:t>
      </w:r>
      <w:r w:rsidR="00BF5BE2" w:rsidRPr="00DD0CE5">
        <w:t>February</w:t>
      </w:r>
      <w:r w:rsidR="0006765B" w:rsidRPr="00DD0CE5">
        <w:t xml:space="preserve"> and </w:t>
      </w:r>
      <w:r w:rsidR="00A036AB" w:rsidRPr="00DD0CE5">
        <w:t xml:space="preserve">November 2025, informing the preparation of the </w:t>
      </w:r>
      <w:r w:rsidR="00BF5BE2" w:rsidRPr="00DD0CE5">
        <w:t xml:space="preserve">proposed </w:t>
      </w:r>
      <w:r w:rsidR="00A036AB" w:rsidRPr="00DD0CE5">
        <w:t xml:space="preserve">Act. </w:t>
      </w:r>
    </w:p>
    <w:p w14:paraId="32FD1AFE" w14:textId="5EE562E9" w:rsidR="69845B96" w:rsidRDefault="14D2D2AC" w:rsidP="00966A2E">
      <w:r w:rsidRPr="00DD0CE5">
        <w:t>A Call for Evidence was open for feedback between 14 May and 1</w:t>
      </w:r>
      <w:r w:rsidR="26DD0B0D" w:rsidRPr="00DD0CE5">
        <w:t>1 June 2025</w:t>
      </w:r>
      <w:r w:rsidR="3DDAC1DE" w:rsidRPr="00DD0CE5">
        <w:t>. A</w:t>
      </w:r>
      <w:r w:rsidR="593B7630" w:rsidRPr="00DD0CE5">
        <w:t xml:space="preserve"> Public Consultation was published on 4</w:t>
      </w:r>
      <w:r w:rsidR="00F856DE">
        <w:rPr>
          <w:vertAlign w:val="superscript"/>
        </w:rPr>
        <w:t xml:space="preserve"> </w:t>
      </w:r>
      <w:r w:rsidR="593B7630" w:rsidRPr="00DD0CE5">
        <w:t>August 2025</w:t>
      </w:r>
      <w:r w:rsidR="09BF03DF" w:rsidRPr="00DD0CE5">
        <w:t xml:space="preserve"> and closed on </w:t>
      </w:r>
      <w:r w:rsidR="00ED6A32" w:rsidRPr="00DD0CE5">
        <w:t>10 November</w:t>
      </w:r>
      <w:r w:rsidR="09BF03DF" w:rsidRPr="00DD0CE5">
        <w:t xml:space="preserve"> 2025. </w:t>
      </w:r>
    </w:p>
    <w:p w14:paraId="577A6066" w14:textId="35253D8D" w:rsidR="00467A51" w:rsidRPr="00DD0CE5" w:rsidRDefault="002618AE" w:rsidP="00966A2E">
      <w:r>
        <w:t>An</w:t>
      </w:r>
      <w:r w:rsidRPr="00443144">
        <w:t xml:space="preserve"> </w:t>
      </w:r>
      <w:r w:rsidR="002A65FA" w:rsidRPr="00443144">
        <w:t>IS</w:t>
      </w:r>
      <w:r w:rsidR="005D364F" w:rsidRPr="00443144">
        <w:t>C</w:t>
      </w:r>
      <w:r w:rsidR="002A65FA" w:rsidRPr="00443144">
        <w:t xml:space="preserve">G </w:t>
      </w:r>
      <w:r>
        <w:t>meeting on the</w:t>
      </w:r>
      <w:r w:rsidR="00DF5FA4">
        <w:t xml:space="preserve"> </w:t>
      </w:r>
      <w:r w:rsidR="00467A51" w:rsidRPr="00443144">
        <w:t>a</w:t>
      </w:r>
      <w:r w:rsidR="00DF5FA4">
        <w:t>na</w:t>
      </w:r>
      <w:r w:rsidR="00467A51" w:rsidRPr="00443144">
        <w:t>l</w:t>
      </w:r>
      <w:r w:rsidR="003234EA">
        <w:t>ytic</w:t>
      </w:r>
      <w:r w:rsidR="001779EF">
        <w:t>al</w:t>
      </w:r>
      <w:r w:rsidR="00467A51" w:rsidRPr="00443144">
        <w:t xml:space="preserve"> Staff Working Document </w:t>
      </w:r>
      <w:r>
        <w:t xml:space="preserve">took place on 23 </w:t>
      </w:r>
      <w:r w:rsidR="00EC391D" w:rsidRPr="00443144">
        <w:t>March</w:t>
      </w:r>
      <w:r w:rsidR="005B5656" w:rsidRPr="00443144">
        <w:t xml:space="preserve"> 2026</w:t>
      </w:r>
      <w:r w:rsidR="00EC391D" w:rsidRPr="00443144">
        <w:t>.</w:t>
      </w:r>
    </w:p>
    <w:p w14:paraId="2CF91DFE" w14:textId="77777777" w:rsidR="000E2AA8" w:rsidRPr="00DD0CE5" w:rsidRDefault="000E2AA8" w:rsidP="004570F2">
      <w:pPr>
        <w:pStyle w:val="Heading2"/>
        <w:numPr>
          <w:ilvl w:val="0"/>
          <w:numId w:val="523"/>
        </w:numPr>
      </w:pPr>
      <w:bookmarkStart w:id="27" w:name="_Toc471997757"/>
      <w:bookmarkStart w:id="28" w:name="_Toc220593611"/>
      <w:bookmarkStart w:id="29" w:name="_Toc220924759"/>
      <w:bookmarkStart w:id="30" w:name="_Toc220952044"/>
      <w:bookmarkStart w:id="31" w:name="_Toc222740596"/>
      <w:bookmarkStart w:id="32" w:name="_Toc222831779"/>
      <w:bookmarkStart w:id="33" w:name="_Toc224747246"/>
      <w:bookmarkStart w:id="34" w:name="_Toc224749716"/>
      <w:bookmarkStart w:id="35" w:name="_Toc225783178"/>
      <w:bookmarkStart w:id="36" w:name="_Toc225969751"/>
      <w:bookmarkStart w:id="37" w:name="_Toc225979063"/>
      <w:bookmarkStart w:id="38" w:name="_Toc471997758"/>
      <w:r w:rsidRPr="00DD0CE5">
        <w:t>Consultation of the RSB</w:t>
      </w:r>
      <w:bookmarkEnd w:id="27"/>
      <w:bookmarkEnd w:id="28"/>
      <w:bookmarkEnd w:id="29"/>
      <w:bookmarkEnd w:id="30"/>
      <w:bookmarkEnd w:id="31"/>
      <w:bookmarkEnd w:id="32"/>
      <w:bookmarkEnd w:id="33"/>
      <w:bookmarkEnd w:id="34"/>
      <w:bookmarkEnd w:id="35"/>
      <w:bookmarkEnd w:id="36"/>
      <w:bookmarkEnd w:id="37"/>
    </w:p>
    <w:p w14:paraId="7B2292BD" w14:textId="398013A8" w:rsidR="00D52A8D" w:rsidRPr="00DD0CE5" w:rsidRDefault="00D70B52" w:rsidP="00966A2E">
      <w:pPr>
        <w:pBdr>
          <w:top w:val="nil"/>
          <w:left w:val="nil"/>
          <w:bottom w:val="nil"/>
          <w:right w:val="nil"/>
          <w:between w:val="nil"/>
          <w:bar w:val="nil"/>
        </w:pBdr>
        <w:rPr>
          <w:rFonts w:eastAsia="Times New Roman"/>
          <w:noProof/>
          <w:color w:val="000000" w:themeColor="text1"/>
          <w:bdr w:val="nil"/>
          <w:lang w:val="en-US" w:eastAsia="en-GB"/>
        </w:rPr>
      </w:pPr>
      <w:r w:rsidRPr="5E48BF3A">
        <w:rPr>
          <w:rFonts w:eastAsia="Times New Roman"/>
          <w:noProof/>
          <w:color w:val="000000" w:themeColor="text1"/>
          <w:lang w:val="en-US" w:eastAsia="en-GB"/>
        </w:rPr>
        <w:t>The RSB was not consulted on an impact assessment.</w:t>
      </w:r>
      <w:r w:rsidRPr="00DD0CE5">
        <w:rPr>
          <w:rFonts w:eastAsia="Times New Roman"/>
          <w:noProof/>
          <w:color w:val="000000" w:themeColor="text1"/>
          <w:bdr w:val="nil"/>
          <w:lang w:val="en-US" w:eastAsia="en-GB"/>
        </w:rPr>
        <w:t xml:space="preserve"> </w:t>
      </w:r>
      <w:r w:rsidR="00D52A8D" w:rsidRPr="00DD0CE5">
        <w:rPr>
          <w:rFonts w:eastAsia="Times New Roman"/>
          <w:noProof/>
          <w:color w:val="000000" w:themeColor="text1"/>
          <w:bdr w:val="nil"/>
          <w:lang w:val="en-US" w:eastAsia="en-GB"/>
        </w:rPr>
        <w:t xml:space="preserve">Considering the </w:t>
      </w:r>
      <w:r w:rsidR="00D52A8D" w:rsidRPr="00DD0CE5">
        <w:rPr>
          <w:rFonts w:eastAsia="Times New Roman"/>
          <w:noProof/>
          <w:color w:val="000000" w:themeColor="text1"/>
          <w:lang w:val="en-US" w:eastAsia="en-GB"/>
        </w:rPr>
        <w:t xml:space="preserve">politically </w:t>
      </w:r>
      <w:r w:rsidR="00D52A8D" w:rsidRPr="00DD0CE5">
        <w:rPr>
          <w:rFonts w:eastAsia="Times New Roman"/>
          <w:noProof/>
          <w:color w:val="000000" w:themeColor="text1"/>
          <w:bdr w:val="nil"/>
          <w:lang w:val="en-US" w:eastAsia="en-GB"/>
        </w:rPr>
        <w:t xml:space="preserve">urgent need to address the policy challenges identified, an impact assessment could not have been delivered in the timeframe available before the proposal. </w:t>
      </w:r>
      <w:r w:rsidR="00CF07D2" w:rsidRPr="00DD0CE5">
        <w:rPr>
          <w:rFonts w:eastAsia="Times New Roman"/>
          <w:noProof/>
          <w:color w:val="000000" w:themeColor="text1"/>
          <w:lang w:val="en-US" w:eastAsia="en-GB"/>
        </w:rPr>
        <w:t xml:space="preserve">A derogation </w:t>
      </w:r>
      <w:r w:rsidR="00835AC8" w:rsidRPr="00DD0CE5">
        <w:rPr>
          <w:rFonts w:eastAsia="Times New Roman"/>
          <w:noProof/>
          <w:color w:val="000000" w:themeColor="text1"/>
          <w:lang w:val="en-US" w:eastAsia="en-GB"/>
        </w:rPr>
        <w:t xml:space="preserve">from the accompanying impact assessment </w:t>
      </w:r>
      <w:r w:rsidR="00CF07D2" w:rsidRPr="00DD0CE5">
        <w:rPr>
          <w:rFonts w:eastAsia="Times New Roman"/>
          <w:noProof/>
          <w:color w:val="000000" w:themeColor="text1"/>
          <w:lang w:val="en-US" w:eastAsia="en-GB"/>
        </w:rPr>
        <w:t>was granted and this</w:t>
      </w:r>
      <w:r w:rsidR="00D52A8D" w:rsidRPr="00DD0CE5">
        <w:rPr>
          <w:rFonts w:eastAsia="Times New Roman"/>
          <w:noProof/>
          <w:color w:val="000000" w:themeColor="text1"/>
          <w:lang w:val="en-US" w:eastAsia="en-GB"/>
        </w:rPr>
        <w:t xml:space="preserve"> analytical S</w:t>
      </w:r>
      <w:r w:rsidR="00D53521">
        <w:rPr>
          <w:rFonts w:eastAsia="Times New Roman"/>
          <w:noProof/>
          <w:color w:val="000000" w:themeColor="text1"/>
          <w:lang w:val="en-US" w:eastAsia="en-GB"/>
        </w:rPr>
        <w:t xml:space="preserve">taff </w:t>
      </w:r>
      <w:r w:rsidR="00D52A8D" w:rsidRPr="00DD0CE5">
        <w:rPr>
          <w:rFonts w:eastAsia="Times New Roman"/>
          <w:noProof/>
          <w:color w:val="000000" w:themeColor="text1"/>
          <w:lang w:val="en-US" w:eastAsia="en-GB"/>
        </w:rPr>
        <w:t>W</w:t>
      </w:r>
      <w:r w:rsidR="00D53521">
        <w:rPr>
          <w:rFonts w:eastAsia="Times New Roman"/>
          <w:noProof/>
          <w:color w:val="000000" w:themeColor="text1"/>
          <w:lang w:val="en-US" w:eastAsia="en-GB"/>
        </w:rPr>
        <w:t xml:space="preserve">orking </w:t>
      </w:r>
      <w:r w:rsidR="00D52A8D" w:rsidRPr="00DD0CE5">
        <w:rPr>
          <w:rFonts w:eastAsia="Times New Roman"/>
          <w:noProof/>
          <w:color w:val="000000" w:themeColor="text1"/>
          <w:lang w:val="en-US" w:eastAsia="en-GB"/>
        </w:rPr>
        <w:t>D</w:t>
      </w:r>
      <w:r w:rsidR="00D53521">
        <w:rPr>
          <w:rFonts w:eastAsia="Times New Roman"/>
          <w:noProof/>
          <w:color w:val="000000" w:themeColor="text1"/>
          <w:lang w:val="en-US" w:eastAsia="en-GB"/>
        </w:rPr>
        <w:t>ocument (</w:t>
      </w:r>
      <w:r w:rsidR="00D52A8D" w:rsidRPr="00DD0CE5">
        <w:rPr>
          <w:rFonts w:eastAsia="Times New Roman"/>
          <w:noProof/>
          <w:color w:val="000000" w:themeColor="text1"/>
          <w:lang w:val="en-US" w:eastAsia="en-GB"/>
        </w:rPr>
        <w:t>SWD</w:t>
      </w:r>
      <w:r w:rsidR="00D53521">
        <w:rPr>
          <w:rFonts w:eastAsia="Times New Roman"/>
          <w:noProof/>
          <w:color w:val="000000" w:themeColor="text1"/>
          <w:lang w:val="en-US" w:eastAsia="en-GB"/>
        </w:rPr>
        <w:t>)</w:t>
      </w:r>
      <w:r w:rsidR="00D52A8D" w:rsidRPr="00DD0CE5">
        <w:rPr>
          <w:rFonts w:eastAsia="Times New Roman"/>
          <w:noProof/>
          <w:color w:val="000000" w:themeColor="text1"/>
          <w:lang w:val="en-US" w:eastAsia="en-GB"/>
        </w:rPr>
        <w:t xml:space="preserve"> </w:t>
      </w:r>
      <w:r w:rsidR="00CF07D2" w:rsidRPr="00DD0CE5">
        <w:rPr>
          <w:rFonts w:eastAsia="Times New Roman"/>
          <w:noProof/>
          <w:color w:val="000000" w:themeColor="text1"/>
          <w:lang w:val="en-US" w:eastAsia="en-GB"/>
        </w:rPr>
        <w:t>explain</w:t>
      </w:r>
      <w:r w:rsidR="5C1DD5D8" w:rsidRPr="00DD0CE5">
        <w:rPr>
          <w:rFonts w:eastAsia="Times New Roman"/>
          <w:noProof/>
          <w:color w:val="000000" w:themeColor="text1"/>
          <w:lang w:val="en-US" w:eastAsia="en-GB"/>
        </w:rPr>
        <w:t>s</w:t>
      </w:r>
      <w:r w:rsidR="00D52A8D" w:rsidRPr="00DD0CE5">
        <w:rPr>
          <w:rFonts w:eastAsia="Times New Roman"/>
          <w:noProof/>
          <w:color w:val="000000" w:themeColor="text1"/>
          <w:lang w:val="en-US" w:eastAsia="en-GB"/>
        </w:rPr>
        <w:t xml:space="preserve"> the proposal and presen</w:t>
      </w:r>
      <w:r w:rsidR="77465773" w:rsidRPr="00DD0CE5">
        <w:rPr>
          <w:rFonts w:eastAsia="Times New Roman"/>
          <w:noProof/>
          <w:color w:val="000000" w:themeColor="text1"/>
          <w:lang w:val="en-US" w:eastAsia="en-GB"/>
        </w:rPr>
        <w:t>ts</w:t>
      </w:r>
      <w:r w:rsidR="00C74569">
        <w:rPr>
          <w:rFonts w:eastAsia="Times New Roman"/>
          <w:noProof/>
          <w:color w:val="000000" w:themeColor="text1"/>
          <w:lang w:val="en-US" w:eastAsia="en-GB"/>
        </w:rPr>
        <w:t xml:space="preserve"> </w:t>
      </w:r>
      <w:r w:rsidR="00D52A8D" w:rsidRPr="00DD0CE5">
        <w:rPr>
          <w:rFonts w:eastAsia="Times New Roman"/>
          <w:noProof/>
          <w:color w:val="000000" w:themeColor="text1"/>
          <w:lang w:val="en-US" w:eastAsia="en-GB"/>
        </w:rPr>
        <w:t xml:space="preserve">the underlying evidence and impact analysis, including cost-benefit </w:t>
      </w:r>
      <w:r w:rsidR="00EA6016">
        <w:rPr>
          <w:rFonts w:eastAsia="Times New Roman"/>
          <w:noProof/>
          <w:color w:val="000000" w:themeColor="text1"/>
          <w:lang w:val="en-US" w:eastAsia="en-GB"/>
        </w:rPr>
        <w:t>assessment</w:t>
      </w:r>
      <w:r w:rsidR="00D52A8D" w:rsidRPr="00DD0CE5">
        <w:rPr>
          <w:rFonts w:eastAsia="Times New Roman"/>
          <w:noProof/>
          <w:color w:val="000000" w:themeColor="text1"/>
          <w:lang w:val="en-US" w:eastAsia="en-GB"/>
        </w:rPr>
        <w:t>.</w:t>
      </w:r>
      <w:r w:rsidR="00CF07D2" w:rsidRPr="00DD0CE5">
        <w:rPr>
          <w:rFonts w:eastAsia="Times New Roman"/>
          <w:noProof/>
          <w:color w:val="000000" w:themeColor="text1"/>
          <w:lang w:val="en-US" w:eastAsia="en-GB"/>
        </w:rPr>
        <w:t xml:space="preserve"> </w:t>
      </w:r>
    </w:p>
    <w:p w14:paraId="0FADD661" w14:textId="77777777" w:rsidR="006B087E" w:rsidRPr="00DD0CE5" w:rsidRDefault="006B087E" w:rsidP="004570F2">
      <w:pPr>
        <w:pStyle w:val="Heading2"/>
        <w:numPr>
          <w:ilvl w:val="0"/>
          <w:numId w:val="523"/>
        </w:numPr>
      </w:pPr>
      <w:bookmarkStart w:id="39" w:name="_Toc220593612"/>
      <w:bookmarkStart w:id="40" w:name="_Toc220924760"/>
      <w:bookmarkStart w:id="41" w:name="_Toc220952045"/>
      <w:bookmarkStart w:id="42" w:name="_Toc222740597"/>
      <w:bookmarkStart w:id="43" w:name="_Toc222831780"/>
      <w:bookmarkStart w:id="44" w:name="_Toc224747247"/>
      <w:bookmarkStart w:id="45" w:name="_Toc224749717"/>
      <w:bookmarkStart w:id="46" w:name="_Toc225783179"/>
      <w:bookmarkStart w:id="47" w:name="_Toc225969752"/>
      <w:bookmarkStart w:id="48" w:name="_Toc225979064"/>
      <w:r w:rsidRPr="00DD0CE5">
        <w:t>Evidence, sources and quality</w:t>
      </w:r>
      <w:bookmarkEnd w:id="38"/>
      <w:bookmarkEnd w:id="39"/>
      <w:bookmarkEnd w:id="40"/>
      <w:bookmarkEnd w:id="41"/>
      <w:bookmarkEnd w:id="42"/>
      <w:bookmarkEnd w:id="43"/>
      <w:bookmarkEnd w:id="44"/>
      <w:bookmarkEnd w:id="45"/>
      <w:bookmarkEnd w:id="46"/>
      <w:bookmarkEnd w:id="47"/>
      <w:bookmarkEnd w:id="48"/>
    </w:p>
    <w:p w14:paraId="1D814F23" w14:textId="64E6B13B" w:rsidR="009D6E68" w:rsidRPr="00DD0CE5" w:rsidRDefault="1853A83D" w:rsidP="009D6E68">
      <w:pPr>
        <w:pBdr>
          <w:top w:val="nil"/>
          <w:left w:val="nil"/>
          <w:bottom w:val="nil"/>
          <w:right w:val="nil"/>
          <w:between w:val="nil"/>
          <w:bar w:val="nil"/>
        </w:pBdr>
        <w:rPr>
          <w:rFonts w:eastAsia="Times New Roman"/>
          <w:noProof/>
          <w:color w:val="000000" w:themeColor="text1"/>
          <w:bdr w:val="nil"/>
          <w:lang w:eastAsia="en-GB"/>
        </w:rPr>
      </w:pPr>
      <w:r w:rsidRPr="00DD0CE5">
        <w:rPr>
          <w:rFonts w:eastAsia="Times New Roman"/>
          <w:noProof/>
          <w:color w:val="000000" w:themeColor="text1"/>
          <w:lang w:val="en-US" w:eastAsia="en-GB"/>
        </w:rPr>
        <w:t xml:space="preserve">The major competitiveness gap in biotechnology and the market and regulatory barriers faced by European companies were identified in the Commission Communication </w:t>
      </w:r>
      <w:r w:rsidR="00D513DA">
        <w:rPr>
          <w:rFonts w:eastAsia="Times New Roman"/>
          <w:noProof/>
          <w:color w:val="000000" w:themeColor="text1"/>
          <w:lang w:val="en-US" w:eastAsia="en-GB"/>
        </w:rPr>
        <w:t xml:space="preserve">‘Building the future with nature: Boosting </w:t>
      </w:r>
      <w:r w:rsidRPr="00DD0CE5">
        <w:rPr>
          <w:rFonts w:eastAsia="Times New Roman"/>
          <w:noProof/>
          <w:color w:val="000000" w:themeColor="text1"/>
          <w:lang w:val="en-US" w:eastAsia="en-GB"/>
        </w:rPr>
        <w:t>Biotechnology and Biomanufacturing in the EU’</w:t>
      </w:r>
      <w:r w:rsidR="009D6E68" w:rsidRPr="00DD0CE5">
        <w:rPr>
          <w:rStyle w:val="FootnoteReference"/>
          <w:rFonts w:eastAsia="Times New Roman"/>
          <w:noProof/>
          <w:color w:val="000000" w:themeColor="text1"/>
          <w:bdr w:val="nil"/>
          <w:lang w:val="en-US" w:eastAsia="en-GB"/>
        </w:rPr>
        <w:footnoteReference w:id="2"/>
      </w:r>
      <w:r w:rsidRPr="00DD0CE5">
        <w:rPr>
          <w:rFonts w:eastAsia="Times New Roman"/>
          <w:noProof/>
          <w:color w:val="000000" w:themeColor="text1"/>
          <w:lang w:val="en-US" w:eastAsia="en-GB"/>
        </w:rPr>
        <w:t xml:space="preserve"> and in the Draghi and Letta reports</w:t>
      </w:r>
      <w:r w:rsidR="00582782" w:rsidRPr="00DD0CE5">
        <w:rPr>
          <w:rStyle w:val="FootnoteReference"/>
          <w:rFonts w:eastAsia="Times New Roman"/>
          <w:noProof/>
          <w:color w:val="000000" w:themeColor="text1"/>
          <w:lang w:val="en-US" w:eastAsia="en-GB"/>
        </w:rPr>
        <w:footnoteReference w:id="3"/>
      </w:r>
      <w:r w:rsidRPr="00DD0CE5">
        <w:rPr>
          <w:rFonts w:eastAsia="Times New Roman"/>
          <w:noProof/>
          <w:color w:val="000000" w:themeColor="text1"/>
          <w:lang w:val="en-US" w:eastAsia="en-GB"/>
        </w:rPr>
        <w:t>.</w:t>
      </w:r>
    </w:p>
    <w:p w14:paraId="28D728AA" w14:textId="0E550667" w:rsidR="001A2A9A" w:rsidRPr="00DD0CE5" w:rsidRDefault="00BF5BE2" w:rsidP="009D6E68">
      <w:pPr>
        <w:pBdr>
          <w:top w:val="nil"/>
          <w:left w:val="nil"/>
          <w:bottom w:val="nil"/>
          <w:right w:val="nil"/>
          <w:between w:val="nil"/>
          <w:bar w:val="nil"/>
        </w:pBdr>
        <w:rPr>
          <w:rFonts w:eastAsia="Times New Roman"/>
          <w:noProof/>
          <w:color w:val="000000" w:themeColor="text1"/>
          <w:bdr w:val="nil"/>
          <w:lang w:val="en-US" w:eastAsia="en-GB"/>
        </w:rPr>
      </w:pPr>
      <w:r w:rsidRPr="00DD0CE5">
        <w:rPr>
          <w:rFonts w:eastAsia="Times New Roman"/>
          <w:noProof/>
          <w:color w:val="000000" w:themeColor="text1"/>
          <w:bdr w:val="nil"/>
          <w:lang w:val="en-US" w:eastAsia="en-GB"/>
        </w:rPr>
        <w:t>External</w:t>
      </w:r>
      <w:r w:rsidR="009D6E68" w:rsidRPr="00DD0CE5">
        <w:rPr>
          <w:rFonts w:eastAsia="Times New Roman"/>
          <w:noProof/>
          <w:color w:val="000000" w:themeColor="text1"/>
          <w:bdr w:val="nil"/>
          <w:lang w:val="en-US" w:eastAsia="en-GB"/>
        </w:rPr>
        <w:t xml:space="preserve"> stud</w:t>
      </w:r>
      <w:r w:rsidRPr="00DD0CE5">
        <w:rPr>
          <w:rFonts w:eastAsia="Times New Roman"/>
          <w:noProof/>
          <w:color w:val="000000" w:themeColor="text1"/>
          <w:bdr w:val="nil"/>
          <w:lang w:val="en-US" w:eastAsia="en-GB"/>
        </w:rPr>
        <w:t>ies</w:t>
      </w:r>
      <w:r w:rsidR="009D6E68" w:rsidRPr="00DD0CE5">
        <w:rPr>
          <w:rFonts w:eastAsia="Times New Roman"/>
          <w:noProof/>
          <w:color w:val="000000" w:themeColor="text1"/>
          <w:bdr w:val="nil"/>
          <w:lang w:val="en-US" w:eastAsia="en-GB"/>
        </w:rPr>
        <w:t xml:space="preserve"> have been commissioned by the Commission </w:t>
      </w:r>
      <w:r w:rsidRPr="00DD0CE5">
        <w:rPr>
          <w:rFonts w:eastAsia="Times New Roman"/>
          <w:noProof/>
          <w:color w:val="000000" w:themeColor="text1"/>
          <w:bdr w:val="nil"/>
          <w:lang w:val="en-US" w:eastAsia="en-GB"/>
        </w:rPr>
        <w:t>which have been used to prepare</w:t>
      </w:r>
      <w:r w:rsidR="001A2A9A" w:rsidRPr="00DD0CE5">
        <w:rPr>
          <w:rFonts w:eastAsia="Times New Roman"/>
          <w:noProof/>
          <w:color w:val="000000" w:themeColor="text1"/>
          <w:bdr w:val="nil"/>
          <w:lang w:val="en-US" w:eastAsia="en-GB"/>
        </w:rPr>
        <w:t xml:space="preserve"> the </w:t>
      </w:r>
      <w:r w:rsidR="00897DB8">
        <w:rPr>
          <w:rFonts w:eastAsia="Times New Roman"/>
          <w:noProof/>
          <w:color w:val="000000" w:themeColor="text1"/>
          <w:bdr w:val="nil"/>
          <w:lang w:val="en-US" w:eastAsia="en-GB"/>
        </w:rPr>
        <w:t>SWD</w:t>
      </w:r>
      <w:r w:rsidR="001A2A9A" w:rsidRPr="00DD0CE5">
        <w:rPr>
          <w:rFonts w:eastAsia="Times New Roman"/>
          <w:noProof/>
          <w:color w:val="000000" w:themeColor="text1"/>
          <w:bdr w:val="nil"/>
          <w:lang w:val="en-US" w:eastAsia="en-GB"/>
        </w:rPr>
        <w:t>:</w:t>
      </w:r>
    </w:p>
    <w:p w14:paraId="04C5A678" w14:textId="7E17C9A2" w:rsidR="009D6E68" w:rsidRPr="00DD0CE5" w:rsidRDefault="00380DCD" w:rsidP="009D6E68">
      <w:pPr>
        <w:pStyle w:val="ListParagraph"/>
        <w:numPr>
          <w:ilvl w:val="0"/>
          <w:numId w:val="102"/>
        </w:numPr>
        <w:pBdr>
          <w:top w:val="nil"/>
          <w:left w:val="nil"/>
          <w:bottom w:val="nil"/>
          <w:right w:val="nil"/>
          <w:between w:val="nil"/>
          <w:bar w:val="nil"/>
        </w:pBdr>
        <w:rPr>
          <w:rFonts w:eastAsia="Times New Roman"/>
          <w:color w:val="000000" w:themeColor="text1"/>
          <w:bdr w:val="nil"/>
          <w:lang w:val="en-US" w:eastAsia="en-GB"/>
        </w:rPr>
      </w:pPr>
      <w:r>
        <w:rPr>
          <w:rFonts w:eastAsia="Times New Roman"/>
          <w:b/>
          <w:bCs/>
          <w:color w:val="000000" w:themeColor="text1"/>
          <w:lang w:val="en-US" w:eastAsia="en-GB"/>
        </w:rPr>
        <w:lastRenderedPageBreak/>
        <w:t>‘</w:t>
      </w:r>
      <w:r w:rsidR="15A4A4C7" w:rsidRPr="018D401F">
        <w:rPr>
          <w:rFonts w:eastAsia="Times New Roman"/>
          <w:b/>
          <w:bCs/>
          <w:color w:val="000000" w:themeColor="text1"/>
          <w:lang w:val="en-US" w:eastAsia="en-GB"/>
        </w:rPr>
        <w:t>A</w:t>
      </w:r>
      <w:r w:rsidR="1853A83D" w:rsidRPr="018D401F">
        <w:rPr>
          <w:rFonts w:eastAsia="Times New Roman"/>
          <w:b/>
          <w:bCs/>
          <w:color w:val="000000" w:themeColor="text1"/>
          <w:lang w:val="en-US" w:eastAsia="en-GB"/>
        </w:rPr>
        <w:t>nalysis of the Regulatory Framework for Biotechnology and Biomanufacturing in the EU</w:t>
      </w:r>
      <w:r>
        <w:rPr>
          <w:rFonts w:eastAsia="Times New Roman"/>
          <w:b/>
          <w:bCs/>
          <w:color w:val="000000" w:themeColor="text1"/>
          <w:lang w:val="en-US" w:eastAsia="en-GB"/>
        </w:rPr>
        <w:t>’</w:t>
      </w:r>
      <w:r w:rsidR="00784084">
        <w:rPr>
          <w:rStyle w:val="FootnoteReference"/>
          <w:rFonts w:eastAsia="Times New Roman"/>
          <w:b/>
          <w:bCs/>
          <w:color w:val="000000" w:themeColor="text1"/>
          <w:lang w:val="en-US" w:eastAsia="en-GB"/>
        </w:rPr>
        <w:footnoteReference w:id="4"/>
      </w:r>
      <w:r w:rsidR="006D4D89">
        <w:rPr>
          <w:rFonts w:eastAsia="Times New Roman"/>
          <w:b/>
          <w:bCs/>
          <w:color w:val="000000" w:themeColor="text1"/>
          <w:lang w:val="en-US" w:eastAsia="en-GB"/>
        </w:rPr>
        <w:t xml:space="preserve"> </w:t>
      </w:r>
      <w:r w:rsidR="006D4D89">
        <w:rPr>
          <w:rFonts w:eastAsia="Times New Roman"/>
          <w:color w:val="000000" w:themeColor="text1"/>
          <w:lang w:val="en-US" w:eastAsia="en-GB"/>
        </w:rPr>
        <w:t>(</w:t>
      </w:r>
      <w:r w:rsidR="006852D3" w:rsidRPr="000134EC">
        <w:rPr>
          <w:rFonts w:eastAsia="Times New Roman"/>
          <w:i/>
          <w:iCs/>
          <w:color w:val="000000" w:themeColor="text1"/>
          <w:lang w:val="en-US" w:eastAsia="en-GB"/>
        </w:rPr>
        <w:t xml:space="preserve">Regulatory </w:t>
      </w:r>
      <w:r w:rsidR="000134EC" w:rsidRPr="000134EC">
        <w:rPr>
          <w:rFonts w:eastAsia="Times New Roman"/>
          <w:i/>
          <w:iCs/>
          <w:color w:val="000000" w:themeColor="text1"/>
          <w:lang w:val="en-US" w:eastAsia="en-GB"/>
        </w:rPr>
        <w:t xml:space="preserve">Framework Study, </w:t>
      </w:r>
      <w:r w:rsidR="006D4D89" w:rsidRPr="00BD69E0">
        <w:rPr>
          <w:rFonts w:eastAsia="Times New Roman"/>
          <w:i/>
          <w:color w:val="000000" w:themeColor="text1"/>
          <w:lang w:val="en-US" w:eastAsia="en-GB"/>
        </w:rPr>
        <w:t>forthcoming</w:t>
      </w:r>
      <w:r w:rsidR="006D4D89">
        <w:rPr>
          <w:rFonts w:eastAsia="Times New Roman"/>
          <w:color w:val="000000" w:themeColor="text1"/>
          <w:lang w:val="en-US" w:eastAsia="en-GB"/>
        </w:rPr>
        <w:t>)</w:t>
      </w:r>
      <w:r w:rsidR="3A07A9AD" w:rsidRPr="018D401F">
        <w:rPr>
          <w:rFonts w:eastAsia="Times New Roman"/>
          <w:b/>
          <w:bCs/>
          <w:color w:val="000000" w:themeColor="text1"/>
          <w:lang w:val="en-US" w:eastAsia="en-GB"/>
        </w:rPr>
        <w:t xml:space="preserve">. </w:t>
      </w:r>
      <w:r w:rsidR="3A07A9AD" w:rsidRPr="00DD0CE5">
        <w:rPr>
          <w:rFonts w:eastAsia="Times New Roman"/>
          <w:color w:val="000000" w:themeColor="text1"/>
          <w:lang w:val="en-US" w:eastAsia="en-GB"/>
        </w:rPr>
        <w:t>This study was announced in the Commission Communication ‘</w:t>
      </w:r>
      <w:r w:rsidR="3A07A9AD" w:rsidRPr="00DD0CE5">
        <w:rPr>
          <w:rFonts w:eastAsia="Times New Roman"/>
          <w:noProof/>
          <w:color w:val="000000" w:themeColor="text1"/>
          <w:lang w:val="en-US" w:eastAsia="en-GB"/>
        </w:rPr>
        <w:t>Building the future with nature: Boosting Biotechnology and Biomanufacturing in the EU’</w:t>
      </w:r>
      <w:r w:rsidR="003B5F16">
        <w:rPr>
          <w:rFonts w:eastAsia="Times New Roman"/>
          <w:noProof/>
          <w:color w:val="000000" w:themeColor="text1"/>
          <w:lang w:val="en-US" w:eastAsia="en-GB"/>
        </w:rPr>
        <w:t xml:space="preserve"> and was launched in December 2024</w:t>
      </w:r>
      <w:r w:rsidR="3A07A9AD" w:rsidRPr="00DD0CE5">
        <w:rPr>
          <w:rFonts w:eastAsia="Times New Roman"/>
          <w:noProof/>
          <w:color w:val="000000" w:themeColor="text1"/>
          <w:lang w:val="en-US" w:eastAsia="en-GB"/>
        </w:rPr>
        <w:t xml:space="preserve">. </w:t>
      </w:r>
      <w:r w:rsidR="003B5F16">
        <w:rPr>
          <w:rFonts w:eastAsia="Times New Roman"/>
          <w:noProof/>
          <w:color w:val="000000" w:themeColor="text1"/>
          <w:lang w:val="en-US" w:eastAsia="en-GB"/>
        </w:rPr>
        <w:t>It</w:t>
      </w:r>
      <w:r w:rsidR="1853A83D" w:rsidRPr="00DD0CE5">
        <w:rPr>
          <w:rFonts w:eastAsia="Times New Roman"/>
          <w:color w:val="000000" w:themeColor="text1"/>
          <w:lang w:val="en-US" w:eastAsia="en-GB"/>
        </w:rPr>
        <w:t xml:space="preserve"> provides </w:t>
      </w:r>
      <w:r w:rsidR="3A07A9AD" w:rsidRPr="00DD0CE5">
        <w:rPr>
          <w:rFonts w:eastAsia="Times New Roman"/>
          <w:noProof/>
          <w:color w:val="000000" w:themeColor="text1"/>
          <w:lang w:val="en-US" w:eastAsia="en-GB"/>
        </w:rPr>
        <w:t>a</w:t>
      </w:r>
      <w:r w:rsidR="1853A83D" w:rsidRPr="00DD0CE5">
        <w:rPr>
          <w:rFonts w:eastAsia="Times New Roman"/>
          <w:color w:val="000000" w:themeColor="text1"/>
          <w:lang w:val="en-US" w:eastAsia="en-GB"/>
        </w:rPr>
        <w:t xml:space="preserve"> </w:t>
      </w:r>
      <w:r w:rsidR="1853A83D" w:rsidRPr="00DD0CE5" w:rsidDel="00F56EC3">
        <w:rPr>
          <w:rFonts w:eastAsia="Times New Roman"/>
          <w:color w:val="000000" w:themeColor="text1"/>
          <w:lang w:val="en-US" w:eastAsia="en-GB"/>
        </w:rPr>
        <w:t xml:space="preserve">mapping </w:t>
      </w:r>
      <w:r w:rsidR="1853A83D" w:rsidRPr="00DD0CE5">
        <w:rPr>
          <w:rFonts w:eastAsia="Times New Roman"/>
          <w:color w:val="000000" w:themeColor="text1"/>
          <w:lang w:val="en-US" w:eastAsia="en-GB"/>
        </w:rPr>
        <w:t xml:space="preserve">of the main pieces of EU and national legislation that apply to biotechnology and biomanufacturing products and processes – whether they are horizontal or sector-specific – and identifies </w:t>
      </w:r>
      <w:r w:rsidR="33CEA440" w:rsidRPr="00DD0CE5">
        <w:rPr>
          <w:rFonts w:eastAsia="Times New Roman"/>
          <w:noProof/>
          <w:color w:val="000000" w:themeColor="text1"/>
          <w:lang w:val="en-US" w:eastAsia="en-GB"/>
        </w:rPr>
        <w:t>related</w:t>
      </w:r>
      <w:r w:rsidR="1853A83D" w:rsidRPr="00DD0CE5">
        <w:rPr>
          <w:rFonts w:eastAsia="Times New Roman"/>
          <w:color w:val="000000" w:themeColor="text1"/>
          <w:lang w:val="en-US" w:eastAsia="en-GB"/>
        </w:rPr>
        <w:t xml:space="preserve"> challenges, their causes and the consequences for stakeholders. The study also assesses the impacts of policy </w:t>
      </w:r>
      <w:r w:rsidR="00197C97">
        <w:rPr>
          <w:rFonts w:eastAsia="Times New Roman"/>
          <w:color w:val="000000" w:themeColor="text1"/>
          <w:lang w:val="en-US" w:eastAsia="en-GB"/>
        </w:rPr>
        <w:t>measures</w:t>
      </w:r>
      <w:r w:rsidR="00197C97" w:rsidRPr="00DD0CE5">
        <w:rPr>
          <w:rFonts w:eastAsia="Times New Roman"/>
          <w:color w:val="000000" w:themeColor="text1"/>
          <w:lang w:val="en-US" w:eastAsia="en-GB"/>
        </w:rPr>
        <w:t xml:space="preserve"> </w:t>
      </w:r>
      <w:r w:rsidR="1853A83D" w:rsidRPr="00DD0CE5">
        <w:rPr>
          <w:rFonts w:eastAsia="Times New Roman"/>
          <w:color w:val="000000" w:themeColor="text1"/>
          <w:lang w:val="en-US" w:eastAsia="en-GB"/>
        </w:rPr>
        <w:t xml:space="preserve">related to the EU </w:t>
      </w:r>
      <w:r w:rsidR="5B22E6DE" w:rsidRPr="00DD0CE5">
        <w:rPr>
          <w:rFonts w:eastAsia="Times New Roman"/>
          <w:noProof/>
          <w:color w:val="000000" w:themeColor="text1"/>
          <w:lang w:val="en-US" w:eastAsia="en-GB"/>
        </w:rPr>
        <w:t>rules applicable to clinical trials and gen</w:t>
      </w:r>
      <w:r w:rsidR="00DA6EFB">
        <w:rPr>
          <w:rFonts w:eastAsia="Times New Roman"/>
          <w:noProof/>
          <w:color w:val="000000" w:themeColor="text1"/>
          <w:lang w:val="en-US" w:eastAsia="en-GB"/>
        </w:rPr>
        <w:t>e</w:t>
      </w:r>
      <w:r w:rsidR="5B22E6DE" w:rsidRPr="00DD0CE5">
        <w:rPr>
          <w:rFonts w:eastAsia="Times New Roman"/>
          <w:noProof/>
          <w:color w:val="000000" w:themeColor="text1"/>
          <w:lang w:val="en-US" w:eastAsia="en-GB"/>
        </w:rPr>
        <w:t>tically modified micro</w:t>
      </w:r>
      <w:r w:rsidR="0F8C0DF0" w:rsidRPr="00DD0CE5">
        <w:rPr>
          <w:rFonts w:eastAsia="Times New Roman"/>
          <w:noProof/>
          <w:color w:val="000000" w:themeColor="text1"/>
          <w:lang w:val="en-US" w:eastAsia="en-GB"/>
        </w:rPr>
        <w:t>-</w:t>
      </w:r>
      <w:r w:rsidR="5B22E6DE" w:rsidRPr="00DD0CE5">
        <w:rPr>
          <w:rFonts w:eastAsia="Times New Roman"/>
          <w:noProof/>
          <w:color w:val="000000" w:themeColor="text1"/>
          <w:lang w:val="en-US" w:eastAsia="en-GB"/>
        </w:rPr>
        <w:t>organisms.</w:t>
      </w:r>
      <w:r w:rsidR="15A4A4C7" w:rsidRPr="00DD0CE5">
        <w:rPr>
          <w:rFonts w:eastAsia="Times New Roman"/>
          <w:noProof/>
          <w:color w:val="000000" w:themeColor="text1"/>
          <w:lang w:val="en-US" w:eastAsia="en-GB"/>
        </w:rPr>
        <w:t xml:space="preserve"> </w:t>
      </w:r>
    </w:p>
    <w:p w14:paraId="7F6C1AAE" w14:textId="0A72A617" w:rsidR="009134CB" w:rsidRPr="00DD0CE5" w:rsidRDefault="00380DCD" w:rsidP="009134CB">
      <w:pPr>
        <w:pStyle w:val="ListParagraph"/>
        <w:numPr>
          <w:ilvl w:val="0"/>
          <w:numId w:val="102"/>
        </w:numPr>
        <w:pBdr>
          <w:top w:val="nil"/>
          <w:left w:val="nil"/>
          <w:bottom w:val="nil"/>
          <w:right w:val="nil"/>
          <w:between w:val="nil"/>
          <w:bar w:val="nil"/>
        </w:pBdr>
        <w:rPr>
          <w:rFonts w:eastAsia="Times New Roman"/>
          <w:noProof/>
          <w:color w:val="000000" w:themeColor="text1"/>
          <w:bdr w:val="nil"/>
          <w:lang w:val="en-US" w:eastAsia="en-GB"/>
        </w:rPr>
      </w:pPr>
      <w:r>
        <w:rPr>
          <w:rFonts w:eastAsia="Times New Roman"/>
          <w:b/>
          <w:noProof/>
          <w:color w:val="000000" w:themeColor="text1"/>
          <w:bdr w:val="nil"/>
          <w:lang w:val="en-US" w:eastAsia="en-GB"/>
        </w:rPr>
        <w:t>‘</w:t>
      </w:r>
      <w:r w:rsidR="001A2A9A" w:rsidRPr="00DD0CE5">
        <w:rPr>
          <w:rFonts w:eastAsia="Times New Roman"/>
          <w:b/>
          <w:noProof/>
          <w:color w:val="000000" w:themeColor="text1"/>
          <w:bdr w:val="nil"/>
          <w:lang w:val="en-US" w:eastAsia="en-GB"/>
        </w:rPr>
        <w:t xml:space="preserve">Landscape </w:t>
      </w:r>
      <w:r w:rsidR="00FC5EF9" w:rsidRPr="00DD0CE5">
        <w:rPr>
          <w:rFonts w:eastAsia="Times New Roman"/>
          <w:b/>
          <w:noProof/>
          <w:color w:val="000000" w:themeColor="text1"/>
          <w:bdr w:val="nil"/>
          <w:lang w:val="en-US" w:eastAsia="en-GB"/>
        </w:rPr>
        <w:t xml:space="preserve">analysis </w:t>
      </w:r>
      <w:r w:rsidR="001A2A9A" w:rsidRPr="00DD0CE5">
        <w:rPr>
          <w:rFonts w:eastAsia="Times New Roman"/>
          <w:b/>
          <w:noProof/>
          <w:color w:val="000000" w:themeColor="text1"/>
          <w:bdr w:val="nil"/>
          <w:lang w:val="en-US" w:eastAsia="en-GB"/>
        </w:rPr>
        <w:t>study</w:t>
      </w:r>
      <w:r w:rsidR="00FC5EF9" w:rsidRPr="00DD0CE5">
        <w:rPr>
          <w:rFonts w:eastAsia="Times New Roman"/>
          <w:b/>
          <w:noProof/>
          <w:color w:val="000000" w:themeColor="text1"/>
          <w:bdr w:val="nil"/>
          <w:lang w:val="en-US" w:eastAsia="en-GB"/>
        </w:rPr>
        <w:t xml:space="preserve"> of the biotechnology sector in the Union with a view to foster its competitiveness and innovation</w:t>
      </w:r>
      <w:r>
        <w:rPr>
          <w:rFonts w:eastAsia="Times New Roman"/>
          <w:b/>
          <w:noProof/>
          <w:color w:val="000000" w:themeColor="text1"/>
          <w:bdr w:val="nil"/>
          <w:lang w:val="en-US" w:eastAsia="en-GB"/>
        </w:rPr>
        <w:t>’</w:t>
      </w:r>
      <w:r w:rsidR="00FA3FF9">
        <w:rPr>
          <w:rStyle w:val="FootnoteReference"/>
          <w:rFonts w:eastAsia="Times New Roman"/>
          <w:b/>
          <w:noProof/>
          <w:color w:val="000000" w:themeColor="text1"/>
          <w:bdr w:val="nil"/>
          <w:lang w:val="en-US" w:eastAsia="en-GB"/>
        </w:rPr>
        <w:footnoteReference w:id="5"/>
      </w:r>
      <w:r w:rsidR="0095513A">
        <w:rPr>
          <w:rFonts w:eastAsia="Times New Roman"/>
          <w:b/>
          <w:noProof/>
          <w:color w:val="000000" w:themeColor="text1"/>
          <w:bdr w:val="nil"/>
          <w:lang w:val="en-US" w:eastAsia="en-GB"/>
        </w:rPr>
        <w:t xml:space="preserve"> </w:t>
      </w:r>
      <w:r w:rsidR="0095513A" w:rsidRPr="00D658D7">
        <w:rPr>
          <w:i/>
          <w:iCs/>
        </w:rPr>
        <w:t>(Landscape analysis study</w:t>
      </w:r>
      <w:r w:rsidR="006D4D89">
        <w:rPr>
          <w:i/>
          <w:iCs/>
        </w:rPr>
        <w:t>, forthcoming</w:t>
      </w:r>
      <w:r w:rsidR="0095513A">
        <w:rPr>
          <w:i/>
          <w:iCs/>
        </w:rPr>
        <w:t>)</w:t>
      </w:r>
      <w:r w:rsidR="00FC5EF9" w:rsidRPr="00DD0CE5">
        <w:rPr>
          <w:rFonts w:eastAsia="Times New Roman"/>
          <w:b/>
          <w:noProof/>
          <w:color w:val="000000" w:themeColor="text1"/>
          <w:bdr w:val="nil"/>
          <w:lang w:val="en-US" w:eastAsia="en-GB"/>
        </w:rPr>
        <w:t>:</w:t>
      </w:r>
      <w:r w:rsidR="00FC5EF9" w:rsidRPr="00DD0CE5">
        <w:rPr>
          <w:rFonts w:eastAsia="Times New Roman"/>
          <w:bCs/>
          <w:noProof/>
          <w:color w:val="000000" w:themeColor="text1"/>
          <w:bdr w:val="nil"/>
          <w:lang w:val="en-US" w:eastAsia="en-GB"/>
        </w:rPr>
        <w:t xml:space="preserve"> </w:t>
      </w:r>
      <w:r w:rsidR="009134CB" w:rsidRPr="00DD0CE5">
        <w:rPr>
          <w:rFonts w:eastAsia="Times New Roman"/>
          <w:bCs/>
          <w:noProof/>
          <w:color w:val="000000" w:themeColor="text1"/>
          <w:bdr w:val="nil"/>
          <w:lang w:val="en-US" w:eastAsia="en-GB"/>
        </w:rPr>
        <w:t>This study</w:t>
      </w:r>
      <w:r w:rsidR="00C55CA0">
        <w:rPr>
          <w:rFonts w:eastAsia="Times New Roman"/>
          <w:bCs/>
          <w:noProof/>
          <w:color w:val="000000" w:themeColor="text1"/>
          <w:bdr w:val="nil"/>
          <w:lang w:val="en-US" w:eastAsia="en-GB"/>
        </w:rPr>
        <w:t>, launched in August 2025,</w:t>
      </w:r>
      <w:r w:rsidR="009134CB" w:rsidRPr="00DD0CE5">
        <w:rPr>
          <w:rFonts w:eastAsia="Times New Roman"/>
          <w:bCs/>
          <w:noProof/>
          <w:color w:val="000000" w:themeColor="text1"/>
          <w:bdr w:val="nil"/>
          <w:lang w:val="en-US" w:eastAsia="en-GB"/>
        </w:rPr>
        <w:t xml:space="preserve"> provides an analysis of the challenges faced by the </w:t>
      </w:r>
      <w:r w:rsidR="00F6719D">
        <w:rPr>
          <w:rFonts w:eastAsia="Times New Roman"/>
          <w:bCs/>
          <w:noProof/>
          <w:color w:val="000000" w:themeColor="text1"/>
          <w:bdr w:val="nil"/>
          <w:lang w:val="en-US" w:eastAsia="en-GB"/>
        </w:rPr>
        <w:t xml:space="preserve">various </w:t>
      </w:r>
      <w:r w:rsidR="009134CB" w:rsidRPr="00DD0CE5">
        <w:rPr>
          <w:rFonts w:eastAsia="Times New Roman"/>
          <w:bCs/>
          <w:noProof/>
          <w:color w:val="000000" w:themeColor="text1"/>
          <w:bdr w:val="nil"/>
          <w:lang w:val="en-US" w:eastAsia="en-GB"/>
        </w:rPr>
        <w:t xml:space="preserve">biotechnology sectors, an overview </w:t>
      </w:r>
      <w:r w:rsidR="009134CB" w:rsidRPr="00DD0CE5">
        <w:rPr>
          <w:rFonts w:eastAsia="Times New Roman"/>
          <w:noProof/>
          <w:color w:val="000000" w:themeColor="text1"/>
          <w:bdr w:val="nil"/>
          <w:lang w:eastAsia="en-GB"/>
        </w:rPr>
        <w:t>of the market as well as a landscape of EU and national measures supporting competitiveness and innovation of the sector and the resulting successes and gaps.</w:t>
      </w:r>
    </w:p>
    <w:p w14:paraId="1B060009" w14:textId="0A72C863" w:rsidR="006B087E" w:rsidRPr="0039094C" w:rsidRDefault="00380DCD" w:rsidP="0039094C">
      <w:pPr>
        <w:pStyle w:val="ListParagraph"/>
        <w:numPr>
          <w:ilvl w:val="0"/>
          <w:numId w:val="102"/>
        </w:numPr>
        <w:pBdr>
          <w:top w:val="nil"/>
          <w:left w:val="nil"/>
          <w:bottom w:val="nil"/>
          <w:right w:val="nil"/>
          <w:between w:val="nil"/>
          <w:bar w:val="nil"/>
        </w:pBdr>
        <w:rPr>
          <w:rFonts w:eastAsia="Times New Roman"/>
          <w:color w:val="000000" w:themeColor="text1"/>
          <w:bdr w:val="nil"/>
          <w:lang w:val="en-US" w:eastAsia="en-GB"/>
        </w:rPr>
      </w:pPr>
      <w:r>
        <w:rPr>
          <w:b/>
          <w:bCs/>
          <w:lang w:val="en-US"/>
        </w:rPr>
        <w:t>‘</w:t>
      </w:r>
      <w:r w:rsidR="0039094C" w:rsidRPr="005F5678">
        <w:rPr>
          <w:b/>
          <w:bCs/>
          <w:lang w:val="en-US"/>
        </w:rPr>
        <w:t>Study to support the rapid assessment of policy scenarios to strengthen innovation and competitiveness in the field of biotechnology in the EU</w:t>
      </w:r>
      <w:r>
        <w:rPr>
          <w:b/>
          <w:bCs/>
          <w:lang w:val="en-US"/>
        </w:rPr>
        <w:t>’</w:t>
      </w:r>
      <w:r w:rsidR="000730C0">
        <w:rPr>
          <w:rStyle w:val="FootnoteReference"/>
          <w:b/>
          <w:bCs/>
          <w:lang w:val="en-US"/>
        </w:rPr>
        <w:footnoteReference w:id="6"/>
      </w:r>
      <w:r w:rsidR="00D56CAC">
        <w:rPr>
          <w:b/>
          <w:bCs/>
          <w:lang w:val="en-US"/>
        </w:rPr>
        <w:t xml:space="preserve"> </w:t>
      </w:r>
      <w:r w:rsidR="00D56CAC">
        <w:rPr>
          <w:i/>
          <w:iCs/>
          <w:lang w:val="en-US"/>
        </w:rPr>
        <w:t>(</w:t>
      </w:r>
      <w:r w:rsidR="00D56CAC" w:rsidRPr="00BD69E0">
        <w:rPr>
          <w:i/>
          <w:lang w:val="en-US"/>
        </w:rPr>
        <w:t>Rapid Assessment Scenarios study</w:t>
      </w:r>
      <w:r w:rsidR="00540223">
        <w:rPr>
          <w:i/>
          <w:iCs/>
          <w:lang w:val="en-US"/>
        </w:rPr>
        <w:t>, forthcoming</w:t>
      </w:r>
      <w:r w:rsidR="00D56CAC">
        <w:rPr>
          <w:i/>
          <w:iCs/>
          <w:lang w:val="en-US"/>
        </w:rPr>
        <w:t>)</w:t>
      </w:r>
      <w:r w:rsidR="009134CB" w:rsidRPr="0039094C">
        <w:rPr>
          <w:rFonts w:eastAsia="Times New Roman"/>
          <w:b/>
          <w:noProof/>
          <w:color w:val="000000" w:themeColor="text1"/>
          <w:bdr w:val="nil"/>
          <w:lang w:val="en-US" w:eastAsia="en-GB"/>
        </w:rPr>
        <w:t xml:space="preserve">: </w:t>
      </w:r>
      <w:r w:rsidR="00134DCE" w:rsidRPr="0039094C">
        <w:rPr>
          <w:rFonts w:eastAsia="Times New Roman"/>
          <w:bCs/>
          <w:noProof/>
          <w:color w:val="000000" w:themeColor="text1"/>
          <w:bdr w:val="nil"/>
          <w:lang w:val="en-US" w:eastAsia="en-GB"/>
        </w:rPr>
        <w:t>The study</w:t>
      </w:r>
      <w:r w:rsidR="00540223">
        <w:rPr>
          <w:rFonts w:eastAsia="Times New Roman"/>
          <w:bCs/>
          <w:noProof/>
          <w:color w:val="000000" w:themeColor="text1"/>
          <w:bdr w:val="nil"/>
          <w:lang w:val="en-US" w:eastAsia="en-GB"/>
        </w:rPr>
        <w:t>, launched in December 2025</w:t>
      </w:r>
      <w:r w:rsidR="00A22BCB">
        <w:rPr>
          <w:rFonts w:eastAsia="Times New Roman"/>
          <w:bCs/>
          <w:noProof/>
          <w:color w:val="000000" w:themeColor="text1"/>
          <w:bdr w:val="nil"/>
          <w:lang w:val="en-US" w:eastAsia="en-GB"/>
        </w:rPr>
        <w:t>,</w:t>
      </w:r>
      <w:r w:rsidR="00134DCE" w:rsidRPr="0039094C">
        <w:rPr>
          <w:rFonts w:eastAsia="Times New Roman"/>
          <w:bCs/>
          <w:noProof/>
          <w:color w:val="000000" w:themeColor="text1"/>
          <w:bdr w:val="nil"/>
          <w:lang w:val="en-US" w:eastAsia="en-GB"/>
        </w:rPr>
        <w:t xml:space="preserve"> assesses </w:t>
      </w:r>
      <w:r w:rsidR="002E1EB6" w:rsidRPr="0039094C">
        <w:rPr>
          <w:rFonts w:eastAsia="Times New Roman"/>
          <w:bCs/>
          <w:noProof/>
          <w:color w:val="000000" w:themeColor="text1"/>
          <w:bdr w:val="nil"/>
          <w:lang w:val="en-US" w:eastAsia="en-GB"/>
        </w:rPr>
        <w:t>all significant</w:t>
      </w:r>
      <w:r w:rsidR="00134DCE" w:rsidRPr="0039094C">
        <w:rPr>
          <w:rFonts w:eastAsia="Times New Roman"/>
          <w:bCs/>
          <w:noProof/>
          <w:color w:val="000000" w:themeColor="text1"/>
          <w:bdr w:val="nil"/>
          <w:lang w:val="en-US" w:eastAsia="en-GB"/>
        </w:rPr>
        <w:t xml:space="preserve"> impacts of </w:t>
      </w:r>
      <w:r w:rsidR="00F6719D">
        <w:rPr>
          <w:rFonts w:eastAsia="Times New Roman"/>
          <w:bCs/>
          <w:noProof/>
          <w:color w:val="000000" w:themeColor="text1"/>
          <w:bdr w:val="nil"/>
          <w:lang w:val="en-US" w:eastAsia="en-GB"/>
        </w:rPr>
        <w:t>measures</w:t>
      </w:r>
      <w:r w:rsidR="00F6719D" w:rsidRPr="0039094C">
        <w:rPr>
          <w:rFonts w:eastAsia="Times New Roman"/>
          <w:bCs/>
          <w:noProof/>
          <w:color w:val="000000" w:themeColor="text1"/>
          <w:bdr w:val="nil"/>
          <w:lang w:val="en-US" w:eastAsia="en-GB"/>
        </w:rPr>
        <w:t xml:space="preserve"> </w:t>
      </w:r>
      <w:r w:rsidR="0013337D" w:rsidRPr="0039094C">
        <w:rPr>
          <w:rFonts w:eastAsia="Times New Roman"/>
          <w:bCs/>
          <w:noProof/>
          <w:color w:val="000000" w:themeColor="text1"/>
          <w:bdr w:val="nil"/>
          <w:lang w:val="en-US" w:eastAsia="en-GB"/>
        </w:rPr>
        <w:t xml:space="preserve">for </w:t>
      </w:r>
      <w:r w:rsidR="00E97AB1" w:rsidRPr="0039094C">
        <w:rPr>
          <w:rFonts w:eastAsia="Times New Roman"/>
          <w:bCs/>
          <w:noProof/>
          <w:color w:val="000000" w:themeColor="text1"/>
          <w:bdr w:val="nil"/>
          <w:lang w:val="en-US" w:eastAsia="en-GB"/>
        </w:rPr>
        <w:t xml:space="preserve">the </w:t>
      </w:r>
      <w:r w:rsidR="0013337D" w:rsidRPr="0039094C">
        <w:rPr>
          <w:rFonts w:eastAsia="Times New Roman"/>
          <w:bCs/>
          <w:noProof/>
          <w:color w:val="000000" w:themeColor="text1"/>
          <w:bdr w:val="nil"/>
          <w:lang w:val="en-US" w:eastAsia="en-GB"/>
        </w:rPr>
        <w:t xml:space="preserve">proposed </w:t>
      </w:r>
      <w:r w:rsidR="00A25C33">
        <w:rPr>
          <w:rFonts w:eastAsia="Times New Roman"/>
          <w:bCs/>
          <w:noProof/>
          <w:color w:val="000000" w:themeColor="text1"/>
          <w:bdr w:val="nil"/>
          <w:lang w:val="en-US" w:eastAsia="en-GB"/>
        </w:rPr>
        <w:t xml:space="preserve">European </w:t>
      </w:r>
      <w:r w:rsidR="0013337D" w:rsidRPr="0039094C">
        <w:rPr>
          <w:rFonts w:eastAsia="Times New Roman"/>
          <w:bCs/>
          <w:noProof/>
          <w:color w:val="000000" w:themeColor="text1"/>
          <w:bdr w:val="nil"/>
          <w:lang w:val="en-US" w:eastAsia="en-GB"/>
        </w:rPr>
        <w:t>Biotech Act.</w:t>
      </w:r>
    </w:p>
    <w:p w14:paraId="132EA32F" w14:textId="1724DF78" w:rsidR="0080600C" w:rsidRPr="00996710" w:rsidRDefault="00380DCD" w:rsidP="3F3B2AF5">
      <w:pPr>
        <w:pStyle w:val="ListParagraph"/>
        <w:numPr>
          <w:ilvl w:val="0"/>
          <w:numId w:val="102"/>
        </w:numPr>
        <w:pBdr>
          <w:top w:val="nil"/>
          <w:left w:val="nil"/>
          <w:bottom w:val="nil"/>
          <w:right w:val="nil"/>
          <w:between w:val="nil"/>
          <w:bar w:val="nil"/>
        </w:pBdr>
        <w:rPr>
          <w:rFonts w:eastAsia="Times New Roman"/>
          <w:noProof/>
          <w:color w:val="000000" w:themeColor="text1"/>
          <w:bdr w:val="nil"/>
          <w:lang w:val="en-US" w:eastAsia="en-GB"/>
        </w:rPr>
      </w:pPr>
      <w:r>
        <w:rPr>
          <w:rFonts w:eastAsia="Times New Roman"/>
          <w:b/>
          <w:noProof/>
          <w:color w:val="000000" w:themeColor="text1"/>
          <w:bdr w:val="nil"/>
          <w:lang w:val="en-US" w:eastAsia="en-GB"/>
        </w:rPr>
        <w:t>‘</w:t>
      </w:r>
      <w:r w:rsidR="00B40DCE" w:rsidRPr="005F5678">
        <w:rPr>
          <w:rFonts w:eastAsia="Times New Roman"/>
          <w:b/>
          <w:noProof/>
          <w:color w:val="000000" w:themeColor="text1"/>
          <w:bdr w:val="nil"/>
          <w:lang w:val="en-US" w:eastAsia="en-GB"/>
        </w:rPr>
        <w:t>Study supporting the Evaluation of the European Food Safety Authority 2017-2024</w:t>
      </w:r>
      <w:r>
        <w:rPr>
          <w:rFonts w:eastAsia="Times New Roman"/>
          <w:b/>
          <w:noProof/>
          <w:color w:val="000000" w:themeColor="text1"/>
          <w:bdr w:val="nil"/>
          <w:lang w:val="en-US" w:eastAsia="en-GB"/>
        </w:rPr>
        <w:t>’</w:t>
      </w:r>
      <w:r w:rsidR="00B40DCE" w:rsidRPr="00996710">
        <w:rPr>
          <w:rStyle w:val="FootnoteReference"/>
          <w:rFonts w:eastAsia="Times New Roman"/>
          <w:b/>
          <w:noProof/>
          <w:color w:val="000000" w:themeColor="text1"/>
          <w:bdr w:val="nil"/>
          <w:lang w:val="en-US" w:eastAsia="en-GB"/>
        </w:rPr>
        <w:footnoteReference w:id="7"/>
      </w:r>
      <w:r w:rsidR="00905B43" w:rsidRPr="00996710">
        <w:rPr>
          <w:rFonts w:eastAsia="Times New Roman"/>
          <w:b/>
          <w:noProof/>
          <w:color w:val="000000" w:themeColor="text1"/>
        </w:rPr>
        <w:t xml:space="preserve">: </w:t>
      </w:r>
      <w:r w:rsidR="00B40DCE" w:rsidRPr="005F5678">
        <w:rPr>
          <w:rFonts w:eastAsia="Times New Roman"/>
          <w:color w:val="000000" w:themeColor="text1"/>
        </w:rPr>
        <w:t>This study</w:t>
      </w:r>
      <w:r w:rsidR="00A05A6E" w:rsidRPr="005F5678">
        <w:rPr>
          <w:rFonts w:eastAsia="Times New Roman"/>
          <w:color w:val="000000" w:themeColor="text1"/>
        </w:rPr>
        <w:t xml:space="preserve"> </w:t>
      </w:r>
      <w:r w:rsidR="00996710" w:rsidRPr="005F5678">
        <w:rPr>
          <w:rFonts w:eastAsia="Times New Roman"/>
          <w:color w:val="000000" w:themeColor="text1"/>
        </w:rPr>
        <w:t>supports the Evaluation of EFSA, covering the evaluation criteria of effectiveness, coherence, EU added value and relevance</w:t>
      </w:r>
      <w:r w:rsidR="0080600C" w:rsidRPr="00996710">
        <w:rPr>
          <w:rFonts w:eastAsia="Times New Roman"/>
          <w:noProof/>
          <w:color w:val="000000" w:themeColor="text1"/>
        </w:rPr>
        <w:t>.</w:t>
      </w:r>
    </w:p>
    <w:p w14:paraId="5F250B7D" w14:textId="006D2CDC" w:rsidR="0412866E" w:rsidRPr="00BD69E0" w:rsidRDefault="00237112" w:rsidP="3F3B2AF5">
      <w:pPr>
        <w:pStyle w:val="ListParagraph"/>
        <w:numPr>
          <w:ilvl w:val="0"/>
          <w:numId w:val="102"/>
        </w:numPr>
        <w:pBdr>
          <w:bar w:val="nil"/>
        </w:pBdr>
        <w:rPr>
          <w:rFonts w:eastAsia="Times New Roman"/>
          <w:color w:val="000000" w:themeColor="text1"/>
          <w:lang w:val="en-US" w:eastAsia="en-GB"/>
        </w:rPr>
      </w:pPr>
      <w:r w:rsidRPr="004570F2">
        <w:rPr>
          <w:b/>
          <w:color w:val="000000" w:themeColor="text1"/>
        </w:rPr>
        <w:t>JRC case study</w:t>
      </w:r>
      <w:r w:rsidR="00DC5DC7" w:rsidRPr="00BD69E0">
        <w:rPr>
          <w:rStyle w:val="FootnoteReference"/>
          <w:rFonts w:eastAsia="Times New Roman"/>
          <w:b/>
          <w:color w:val="000000" w:themeColor="text1"/>
          <w:lang w:eastAsia="en-GB"/>
        </w:rPr>
        <w:footnoteReference w:id="8"/>
      </w:r>
      <w:r w:rsidRPr="004570F2">
        <w:rPr>
          <w:b/>
          <w:color w:val="000000" w:themeColor="text1"/>
        </w:rPr>
        <w:t xml:space="preserve"> and pipeline analysis</w:t>
      </w:r>
      <w:r w:rsidRPr="00BD69E0">
        <w:rPr>
          <w:rFonts w:eastAsia="Times New Roman"/>
          <w:b/>
          <w:color w:val="000000" w:themeColor="text1"/>
          <w:lang w:eastAsia="en-GB"/>
        </w:rPr>
        <w:t xml:space="preserve"> on GMMs</w:t>
      </w:r>
      <w:r w:rsidR="00936233" w:rsidRPr="00BD69E0">
        <w:rPr>
          <w:rStyle w:val="FootnoteReference"/>
          <w:rFonts w:eastAsia="Times New Roman"/>
          <w:b/>
          <w:color w:val="000000" w:themeColor="text1"/>
          <w:lang w:eastAsia="en-GB"/>
        </w:rPr>
        <w:footnoteReference w:id="9"/>
      </w:r>
      <w:r w:rsidR="0412866E" w:rsidRPr="009808B2">
        <w:rPr>
          <w:rFonts w:eastAsia="Times New Roman"/>
          <w:color w:val="000000" w:themeColor="text1"/>
          <w:lang w:val="en-US" w:eastAsia="en-GB"/>
        </w:rPr>
        <w:t>.</w:t>
      </w:r>
    </w:p>
    <w:p w14:paraId="503C26F8" w14:textId="709760BD" w:rsidR="006B087E" w:rsidRPr="00DD0CE5" w:rsidRDefault="0412866E" w:rsidP="005F5678">
      <w:pPr>
        <w:pStyle w:val="ListParagraph"/>
        <w:numPr>
          <w:ilvl w:val="0"/>
          <w:numId w:val="102"/>
        </w:numPr>
        <w:rPr>
          <w:lang w:val="en-US"/>
        </w:rPr>
      </w:pPr>
      <w:r w:rsidRPr="3F3B2AF5">
        <w:rPr>
          <w:rFonts w:eastAsia="Times New Roman"/>
          <w:noProof/>
          <w:color w:val="000000" w:themeColor="text1"/>
          <w:lang w:val="en-US" w:eastAsia="en-GB"/>
        </w:rPr>
        <w:t>Scientific opinions from EU agencies have been considered where relevant to specific areas of the Act (</w:t>
      </w:r>
      <w:r w:rsidRPr="001E6705">
        <w:rPr>
          <w:rFonts w:eastAsia="Times New Roman"/>
          <w:color w:val="000000" w:themeColor="text1"/>
          <w:lang w:val="en-US" w:eastAsia="en-GB"/>
        </w:rPr>
        <w:t xml:space="preserve">see e.g. Annex </w:t>
      </w:r>
      <w:r w:rsidR="006F5450" w:rsidRPr="005F5678">
        <w:rPr>
          <w:rFonts w:eastAsia="Times New Roman"/>
          <w:color w:val="000000" w:themeColor="text1"/>
          <w:lang w:val="en-US" w:eastAsia="en-GB"/>
        </w:rPr>
        <w:t>7, intervention n°7</w:t>
      </w:r>
      <w:r w:rsidRPr="001E6705">
        <w:rPr>
          <w:rFonts w:eastAsia="Times New Roman"/>
          <w:color w:val="000000" w:themeColor="text1"/>
          <w:lang w:val="en-US" w:eastAsia="en-GB"/>
        </w:rPr>
        <w:t xml:space="preserve"> on GMMs).</w:t>
      </w:r>
    </w:p>
    <w:p w14:paraId="0F50D754" w14:textId="51EE6107" w:rsidR="7DBBEA58" w:rsidRDefault="000730C0" w:rsidP="7DBBEA58">
      <w:pPr>
        <w:pStyle w:val="ListParagraph"/>
        <w:numPr>
          <w:ilvl w:val="0"/>
          <w:numId w:val="102"/>
        </w:numPr>
        <w:rPr>
          <w:lang w:val="en-US"/>
        </w:rPr>
      </w:pPr>
      <w:r>
        <w:rPr>
          <w:rFonts w:eastAsia="Times New Roman"/>
          <w:b/>
          <w:noProof/>
          <w:color w:val="000000" w:themeColor="text1"/>
          <w:bdr w:val="nil"/>
          <w:lang w:val="en-US" w:eastAsia="en-GB"/>
        </w:rPr>
        <w:t>‘</w:t>
      </w:r>
      <w:r w:rsidR="31168418" w:rsidRPr="00F32838">
        <w:rPr>
          <w:b/>
          <w:bCs/>
          <w:lang w:val="en-US"/>
        </w:rPr>
        <w:t>Fast-track</w:t>
      </w:r>
      <w:r w:rsidR="31168418" w:rsidRPr="24066C07">
        <w:rPr>
          <w:lang w:val="en-US"/>
        </w:rPr>
        <w:t xml:space="preserve"> </w:t>
      </w:r>
      <w:r w:rsidR="31168418" w:rsidRPr="00F32838">
        <w:rPr>
          <w:b/>
          <w:bCs/>
          <w:lang w:val="en-US"/>
        </w:rPr>
        <w:t>l</w:t>
      </w:r>
      <w:r w:rsidR="0ABC6068" w:rsidRPr="3B118748">
        <w:rPr>
          <w:b/>
          <w:bCs/>
          <w:lang w:val="en-US"/>
        </w:rPr>
        <w:t>andscape</w:t>
      </w:r>
      <w:r w:rsidR="0ABC6068" w:rsidRPr="00BD69E0">
        <w:rPr>
          <w:b/>
          <w:lang w:val="en-US"/>
        </w:rPr>
        <w:t xml:space="preserve"> analyses to assess the regulatory clinical trial eco-system in the EU/EEA and in other relevant regions</w:t>
      </w:r>
      <w:r>
        <w:rPr>
          <w:rFonts w:eastAsia="Times New Roman"/>
          <w:b/>
          <w:noProof/>
          <w:color w:val="000000" w:themeColor="text1"/>
          <w:bdr w:val="nil"/>
          <w:lang w:val="en-US" w:eastAsia="en-GB"/>
        </w:rPr>
        <w:t>’</w:t>
      </w:r>
      <w:r w:rsidR="0ABC6068" w:rsidRPr="69FC9144">
        <w:rPr>
          <w:b/>
          <w:vertAlign w:val="superscript"/>
          <w:lang w:val="en-US"/>
        </w:rPr>
        <w:footnoteReference w:id="10"/>
      </w:r>
      <w:r w:rsidR="1A0042CC" w:rsidRPr="0D88FF4B">
        <w:rPr>
          <w:b/>
          <w:bCs/>
          <w:lang w:val="en-US"/>
        </w:rPr>
        <w:t xml:space="preserve"> </w:t>
      </w:r>
      <w:r w:rsidR="1A0042CC" w:rsidRPr="00BD69E0">
        <w:rPr>
          <w:i/>
          <w:lang w:val="en-US"/>
        </w:rPr>
        <w:t>(forthcoming)</w:t>
      </w:r>
      <w:r w:rsidR="16F942F4" w:rsidRPr="00BD69E0">
        <w:rPr>
          <w:i/>
          <w:lang w:val="en-US"/>
        </w:rPr>
        <w:t>.</w:t>
      </w:r>
      <w:r w:rsidR="0ABC6068" w:rsidRPr="3586F6AE">
        <w:rPr>
          <w:b/>
          <w:lang w:val="en-US"/>
        </w:rPr>
        <w:t xml:space="preserve"> </w:t>
      </w:r>
      <w:r w:rsidR="16F942F4" w:rsidRPr="00BD69E0">
        <w:rPr>
          <w:lang w:val="en-US"/>
        </w:rPr>
        <w:t xml:space="preserve">This study </w:t>
      </w:r>
      <w:r w:rsidR="696A4B37" w:rsidRPr="0C3FAC48">
        <w:rPr>
          <w:lang w:val="en-US"/>
        </w:rPr>
        <w:t xml:space="preserve">supports the assessment of the </w:t>
      </w:r>
      <w:r w:rsidR="696A4B37" w:rsidRPr="7EE19799">
        <w:rPr>
          <w:lang w:val="en-US"/>
        </w:rPr>
        <w:t>clinical trial</w:t>
      </w:r>
      <w:r w:rsidR="696A4B37" w:rsidRPr="4B1F7ABF">
        <w:rPr>
          <w:lang w:val="en-US"/>
        </w:rPr>
        <w:t xml:space="preserve"> eco-</w:t>
      </w:r>
      <w:r w:rsidR="696A4B37" w:rsidRPr="4803EB4C">
        <w:rPr>
          <w:lang w:val="en-US"/>
        </w:rPr>
        <w:t>system</w:t>
      </w:r>
      <w:r w:rsidR="696A4B37" w:rsidRPr="4B1F7ABF">
        <w:rPr>
          <w:lang w:val="en-US"/>
        </w:rPr>
        <w:t xml:space="preserve"> in the </w:t>
      </w:r>
      <w:r w:rsidR="696A4B37" w:rsidRPr="4803EB4C">
        <w:rPr>
          <w:lang w:val="en-US"/>
        </w:rPr>
        <w:t>EU and other regions</w:t>
      </w:r>
      <w:r w:rsidR="050E8C97" w:rsidRPr="3C127D95">
        <w:rPr>
          <w:lang w:val="en-US"/>
        </w:rPr>
        <w:t xml:space="preserve"> </w:t>
      </w:r>
      <w:r w:rsidR="050E8C97" w:rsidRPr="3C6E8293">
        <w:rPr>
          <w:lang w:val="en-US"/>
        </w:rPr>
        <w:t xml:space="preserve">and its impact on </w:t>
      </w:r>
      <w:r w:rsidR="2C952F1B" w:rsidRPr="48DDF76B">
        <w:rPr>
          <w:lang w:val="en-US"/>
        </w:rPr>
        <w:t xml:space="preserve">the economy, </w:t>
      </w:r>
      <w:r w:rsidR="2C952F1B" w:rsidRPr="0D88FF4B">
        <w:rPr>
          <w:lang w:val="en-US"/>
        </w:rPr>
        <w:t>public health, and skill formation.</w:t>
      </w:r>
    </w:p>
    <w:p w14:paraId="2EAFDFCC" w14:textId="77777777" w:rsidR="006B087E" w:rsidRPr="00DD0CE5" w:rsidRDefault="006B087E" w:rsidP="000E3086">
      <w:pPr>
        <w:rPr>
          <w:rFonts w:eastAsia="Times New Roman"/>
          <w:szCs w:val="20"/>
        </w:rPr>
      </w:pPr>
      <w:r w:rsidRPr="00DD0CE5">
        <w:br w:type="page"/>
      </w:r>
    </w:p>
    <w:p w14:paraId="2C295793" w14:textId="61814351" w:rsidR="006B087E" w:rsidRDefault="006B087E" w:rsidP="00B35BA0">
      <w:pPr>
        <w:pStyle w:val="AnnexTitle"/>
      </w:pPr>
      <w:bookmarkStart w:id="49" w:name="_Toc224898300"/>
      <w:bookmarkStart w:id="50" w:name="_Toc225979065"/>
      <w:r w:rsidRPr="00DD0CE5">
        <w:lastRenderedPageBreak/>
        <w:t>Annex 2: Stakeholder consultation</w:t>
      </w:r>
      <w:bookmarkEnd w:id="49"/>
      <w:bookmarkEnd w:id="50"/>
    </w:p>
    <w:p w14:paraId="5269E256" w14:textId="098E7C83" w:rsidR="0062138B" w:rsidRDefault="1D0A1038" w:rsidP="004570F2">
      <w:pPr>
        <w:pStyle w:val="Heading2"/>
        <w:numPr>
          <w:ilvl w:val="0"/>
          <w:numId w:val="522"/>
        </w:numPr>
      </w:pPr>
      <w:bookmarkStart w:id="51" w:name="_Toc225783182"/>
      <w:bookmarkStart w:id="52" w:name="_Toc225969754"/>
      <w:bookmarkStart w:id="53" w:name="_Toc225979066"/>
      <w:r w:rsidRPr="337FA1CF">
        <w:t>Introduction</w:t>
      </w:r>
      <w:bookmarkEnd w:id="51"/>
      <w:bookmarkEnd w:id="52"/>
      <w:bookmarkEnd w:id="53"/>
    </w:p>
    <w:p w14:paraId="31042797" w14:textId="35DE54D5" w:rsidR="0062138B" w:rsidRDefault="1D0A1038" w:rsidP="00920DFE">
      <w:r>
        <w:t xml:space="preserve">The synopsis report covers all consultation activities that have been conducted to support the preparation of the </w:t>
      </w:r>
      <w:r w:rsidR="00D02017">
        <w:t xml:space="preserve">proposal for a </w:t>
      </w:r>
      <w:r>
        <w:t>European Biotech Act and th</w:t>
      </w:r>
      <w:r w:rsidR="00920DFE">
        <w:t>is</w:t>
      </w:r>
      <w:r>
        <w:t xml:space="preserve"> analytical SWD. Information was collected through consultations via a </w:t>
      </w:r>
      <w:r w:rsidRPr="1FC6A063">
        <w:rPr>
          <w:b/>
          <w:bCs/>
        </w:rPr>
        <w:t>Call for Evidence</w:t>
      </w:r>
      <w:r>
        <w:t xml:space="preserve"> (CfE), </w:t>
      </w:r>
      <w:r w:rsidRPr="1FC6A063">
        <w:rPr>
          <w:b/>
          <w:bCs/>
        </w:rPr>
        <w:t>Public Consultation</w:t>
      </w:r>
      <w:r>
        <w:t xml:space="preserve"> (PC), and </w:t>
      </w:r>
      <w:r w:rsidRPr="1FC6A063">
        <w:rPr>
          <w:b/>
          <w:bCs/>
        </w:rPr>
        <w:t>Targeted Consultation</w:t>
      </w:r>
      <w:r w:rsidR="00920DFE" w:rsidRPr="1FC6A063">
        <w:rPr>
          <w:b/>
          <w:bCs/>
        </w:rPr>
        <w:t>s</w:t>
      </w:r>
      <w:r>
        <w:t xml:space="preserve"> (TC</w:t>
      </w:r>
      <w:r w:rsidRPr="00B73B77">
        <w:t>).</w:t>
      </w:r>
    </w:p>
    <w:p w14:paraId="72CE7FBC" w14:textId="775E9B55" w:rsidR="0062138B" w:rsidRDefault="1D0A1038" w:rsidP="00920DFE">
      <w:r w:rsidRPr="337FA1CF">
        <w:t xml:space="preserve">The feedback period of the CfE </w:t>
      </w:r>
      <w:r w:rsidRPr="0068624A">
        <w:t>ran from May 2025 to June 2025</w:t>
      </w:r>
      <w:r w:rsidR="0068624A">
        <w:t xml:space="preserve"> and </w:t>
      </w:r>
      <w:r w:rsidRPr="0068624A">
        <w:t xml:space="preserve">the PC </w:t>
      </w:r>
      <w:r w:rsidR="00F57D29" w:rsidRPr="0068624A">
        <w:t>was opened for contributions</w:t>
      </w:r>
      <w:r w:rsidRPr="0068624A">
        <w:t xml:space="preserve"> from August 2025 to November 2025. These were complemented by </w:t>
      </w:r>
      <w:r w:rsidR="00EB5760" w:rsidRPr="0068624A">
        <w:t>targeted consultation</w:t>
      </w:r>
      <w:r w:rsidRPr="0068624A">
        <w:t xml:space="preserve"> activities </w:t>
      </w:r>
      <w:r w:rsidR="00F55E21">
        <w:t>between</w:t>
      </w:r>
      <w:r w:rsidR="00F55E21" w:rsidRPr="0068624A">
        <w:t xml:space="preserve"> </w:t>
      </w:r>
      <w:r w:rsidR="00193643" w:rsidRPr="0068624A">
        <w:t>December 2024 and March 202</w:t>
      </w:r>
      <w:r w:rsidR="0068624A">
        <w:t xml:space="preserve">6. </w:t>
      </w:r>
      <w:r w:rsidR="00DF2E2C" w:rsidRPr="0068624A">
        <w:t>The first two</w:t>
      </w:r>
      <w:r w:rsidRPr="0068624A">
        <w:t xml:space="preserve"> stakeholder consultations</w:t>
      </w:r>
      <w:r w:rsidR="00DF2E2C" w:rsidRPr="0068624A">
        <w:t xml:space="preserve"> were carried out by the Commission services but were analysed</w:t>
      </w:r>
      <w:r w:rsidR="00EB5760" w:rsidRPr="0068624A">
        <w:t xml:space="preserve"> by an external contractor (see Landscape </w:t>
      </w:r>
      <w:r w:rsidR="78E14E2A" w:rsidRPr="0068624A">
        <w:t>A</w:t>
      </w:r>
      <w:r w:rsidR="00EB5760" w:rsidRPr="0068624A">
        <w:t xml:space="preserve">nalysis </w:t>
      </w:r>
      <w:r w:rsidR="24638C23" w:rsidRPr="0068624A">
        <w:t>S</w:t>
      </w:r>
      <w:r w:rsidR="00EB5760" w:rsidRPr="0068624A">
        <w:t xml:space="preserve">tudy below and presented in Annex 1). </w:t>
      </w:r>
      <w:r w:rsidR="1330A1E5" w:rsidRPr="0068624A">
        <w:t xml:space="preserve">The </w:t>
      </w:r>
      <w:r w:rsidR="00661B8A" w:rsidRPr="0068624A">
        <w:t>targeted consultation activities</w:t>
      </w:r>
      <w:r w:rsidR="00EB5760" w:rsidRPr="0068624A">
        <w:t xml:space="preserve"> were carried out, among others,</w:t>
      </w:r>
      <w:r w:rsidRPr="0068624A">
        <w:t xml:space="preserve"> </w:t>
      </w:r>
      <w:r w:rsidR="00EB5760" w:rsidRPr="0068624A">
        <w:t>in the context of the</w:t>
      </w:r>
      <w:r w:rsidRPr="0068624A">
        <w:t xml:space="preserve"> following</w:t>
      </w:r>
      <w:r w:rsidRPr="337FA1CF">
        <w:t xml:space="preserve"> three studies</w:t>
      </w:r>
      <w:r w:rsidR="00EB5760">
        <w:t xml:space="preserve"> (see Annex 1</w:t>
      </w:r>
      <w:r w:rsidR="00E87EA6">
        <w:t xml:space="preserve"> for more details on the st</w:t>
      </w:r>
      <w:r w:rsidR="006852D3">
        <w:t>udies</w:t>
      </w:r>
      <w:r w:rsidR="00EB5760">
        <w:t>):</w:t>
      </w:r>
    </w:p>
    <w:p w14:paraId="34CFAF48" w14:textId="04FC4A1D" w:rsidR="0062138B" w:rsidRDefault="5B356180" w:rsidP="00920DFE">
      <w:pPr>
        <w:pStyle w:val="ListParagraph"/>
        <w:numPr>
          <w:ilvl w:val="0"/>
          <w:numId w:val="318"/>
        </w:numPr>
      </w:pPr>
      <w:r>
        <w:t>Analysis of the Regulatory Framework for Biotechnology and Biomanufacturing in the EU</w:t>
      </w:r>
    </w:p>
    <w:p w14:paraId="5107866C" w14:textId="0FE88DAB" w:rsidR="00EB5760" w:rsidRDefault="1D0A1038" w:rsidP="00920DFE">
      <w:pPr>
        <w:pStyle w:val="ListParagraph"/>
        <w:numPr>
          <w:ilvl w:val="0"/>
          <w:numId w:val="318"/>
        </w:numPr>
      </w:pPr>
      <w:r w:rsidRPr="337FA1CF">
        <w:t xml:space="preserve">Landscape </w:t>
      </w:r>
      <w:r w:rsidR="304A2F98">
        <w:t>A</w:t>
      </w:r>
      <w:r>
        <w:t xml:space="preserve">nalysis </w:t>
      </w:r>
      <w:r w:rsidR="18D8E6C1">
        <w:t>S</w:t>
      </w:r>
      <w:r>
        <w:t>tudy</w:t>
      </w:r>
      <w:r w:rsidR="00DB7212">
        <w:rPr>
          <w:rFonts w:ascii="Arial" w:eastAsia="Arial" w:hAnsi="Arial" w:cs="Arial"/>
        </w:rPr>
        <w:t xml:space="preserve"> </w:t>
      </w:r>
      <w:r w:rsidRPr="337FA1CF">
        <w:t>of the biotechnology sector in the Union</w:t>
      </w:r>
      <w:r w:rsidR="00661B8A">
        <w:rPr>
          <w:rFonts w:ascii="Arial" w:eastAsia="Arial" w:hAnsi="Arial" w:cs="Arial"/>
        </w:rPr>
        <w:t xml:space="preserve"> </w:t>
      </w:r>
      <w:r w:rsidRPr="337FA1CF">
        <w:t>with a view to foster its competitiveness and innovation</w:t>
      </w:r>
    </w:p>
    <w:p w14:paraId="4E7F8C0A" w14:textId="1C1F6EAD" w:rsidR="0062138B" w:rsidRPr="004570F2" w:rsidRDefault="5B356180" w:rsidP="08FDD09A">
      <w:pPr>
        <w:pStyle w:val="ListParagraph"/>
        <w:numPr>
          <w:ilvl w:val="0"/>
          <w:numId w:val="318"/>
        </w:numPr>
        <w:rPr>
          <w:lang w:val="en-US"/>
        </w:rPr>
      </w:pPr>
      <w:r w:rsidRPr="08FDD09A">
        <w:rPr>
          <w:lang w:val="en-US"/>
        </w:rPr>
        <w:t>Study to support the rapid assessment of policy scenarios to strengthen innovation and competitiveness in the field of biotechnology in the EU</w:t>
      </w:r>
    </w:p>
    <w:p w14:paraId="0262A9B8" w14:textId="0379FA8E" w:rsidR="00C402B3" w:rsidRPr="001713E4" w:rsidRDefault="00D22764" w:rsidP="15E2E287">
      <w:pPr>
        <w:pStyle w:val="Text2"/>
        <w:ind w:left="0"/>
      </w:pPr>
      <w:r w:rsidRPr="001713E4">
        <w:t>The consultation was addressed to citizens, innovators, entrepreneurs, industry, financial institutions, investors/venture capitalists, researchers/research organisations, civil society (including consumer, patient and environmental organisations), other users of biotechnologies (e.g. farmers and foresters), trade unions, national and regional authorities, and other stakeholders.</w:t>
      </w:r>
    </w:p>
    <w:p w14:paraId="6C924106" w14:textId="5BFB0448" w:rsidR="00C402B3" w:rsidRPr="001713E4" w:rsidRDefault="1D0A1038" w:rsidP="004570F2">
      <w:pPr>
        <w:pStyle w:val="Heading2"/>
        <w:numPr>
          <w:ilvl w:val="0"/>
          <w:numId w:val="522"/>
        </w:numPr>
      </w:pPr>
      <w:bookmarkStart w:id="54" w:name="_Toc225783183"/>
      <w:bookmarkStart w:id="55" w:name="_Toc225969755"/>
      <w:bookmarkStart w:id="56" w:name="_Toc225979067"/>
      <w:r w:rsidRPr="001713E4">
        <w:t>Methodology of the consultation activities</w:t>
      </w:r>
      <w:bookmarkEnd w:id="54"/>
      <w:bookmarkEnd w:id="55"/>
      <w:bookmarkEnd w:id="56"/>
    </w:p>
    <w:p w14:paraId="5AF5878D" w14:textId="4C7B09D8" w:rsidR="1D0A1038" w:rsidRPr="009649A3" w:rsidRDefault="1D0A1038" w:rsidP="004570F2">
      <w:pPr>
        <w:pStyle w:val="Heading3"/>
        <w:numPr>
          <w:ilvl w:val="0"/>
          <w:numId w:val="0"/>
        </w:numPr>
      </w:pPr>
      <w:bookmarkStart w:id="57" w:name="_Toc225783184"/>
      <w:bookmarkStart w:id="58" w:name="_Toc225969756"/>
      <w:bookmarkStart w:id="59" w:name="_Toc225979068"/>
      <w:r w:rsidRPr="009649A3">
        <w:t>Call for Evidence (CfE)</w:t>
      </w:r>
      <w:bookmarkEnd w:id="57"/>
      <w:bookmarkEnd w:id="58"/>
      <w:bookmarkEnd w:id="59"/>
    </w:p>
    <w:p w14:paraId="4E6F3AEB" w14:textId="041B5A39" w:rsidR="00C402B3" w:rsidRDefault="45FA570F" w:rsidP="00AE600E">
      <w:pPr>
        <w:rPr>
          <w:lang w:val="en-US"/>
        </w:rPr>
      </w:pPr>
      <w:r w:rsidRPr="001713E4">
        <w:rPr>
          <w:lang w:val="en-US"/>
        </w:rPr>
        <w:t xml:space="preserve">The </w:t>
      </w:r>
      <w:r w:rsidR="6D0F2B60" w:rsidRPr="001713E4">
        <w:rPr>
          <w:lang w:val="en-US"/>
        </w:rPr>
        <w:t>C</w:t>
      </w:r>
      <w:r w:rsidR="0CD1EC43" w:rsidRPr="001713E4">
        <w:rPr>
          <w:lang w:val="en-US"/>
        </w:rPr>
        <w:t>f</w:t>
      </w:r>
      <w:r w:rsidR="6D0F2B60" w:rsidRPr="001713E4">
        <w:rPr>
          <w:lang w:val="en-US"/>
        </w:rPr>
        <w:t>E</w:t>
      </w:r>
      <w:r w:rsidRPr="001713E4">
        <w:rPr>
          <w:lang w:val="en-US"/>
        </w:rPr>
        <w:t xml:space="preserve"> was launched on the</w:t>
      </w:r>
      <w:r w:rsidRPr="337FA1CF">
        <w:rPr>
          <w:lang w:val="en-US"/>
        </w:rPr>
        <w:t xml:space="preserve"> Commission’s </w:t>
      </w:r>
      <w:r w:rsidRPr="4E26AC25">
        <w:rPr>
          <w:i/>
          <w:iCs/>
          <w:lang w:val="en-US"/>
        </w:rPr>
        <w:t>Have Your Say</w:t>
      </w:r>
      <w:r w:rsidRPr="337FA1CF">
        <w:rPr>
          <w:lang w:val="en-US"/>
        </w:rPr>
        <w:t xml:space="preserve"> platform</w:t>
      </w:r>
      <w:r w:rsidR="1D0A1038" w:rsidRPr="002B3C24">
        <w:rPr>
          <w:vertAlign w:val="superscript"/>
          <w:lang w:val="en-US"/>
        </w:rPr>
        <w:footnoteReference w:id="11"/>
      </w:r>
      <w:r w:rsidRPr="337FA1CF">
        <w:rPr>
          <w:lang w:val="en-US"/>
        </w:rPr>
        <w:t xml:space="preserve">. </w:t>
      </w:r>
      <w:r w:rsidR="769BEBA7">
        <w:rPr>
          <w:lang w:val="en-US"/>
        </w:rPr>
        <w:t>It</w:t>
      </w:r>
      <w:r w:rsidRPr="337FA1CF">
        <w:rPr>
          <w:lang w:val="en-US"/>
        </w:rPr>
        <w:t xml:space="preserve"> received 222 valid responses</w:t>
      </w:r>
      <w:r w:rsidR="00BA5D64">
        <w:rPr>
          <w:rStyle w:val="FootnoteReference"/>
          <w:lang w:val="en-US"/>
        </w:rPr>
        <w:footnoteReference w:id="12"/>
      </w:r>
      <w:r w:rsidR="7DE1B4EF">
        <w:rPr>
          <w:lang w:val="en-US"/>
        </w:rPr>
        <w:t xml:space="preserve"> and</w:t>
      </w:r>
      <w:r w:rsidR="7DE1B4EF" w:rsidRPr="337FA1CF">
        <w:t xml:space="preserve"> 149 </w:t>
      </w:r>
      <w:r w:rsidR="7DE1B4EF">
        <w:t>attachments</w:t>
      </w:r>
      <w:r w:rsidR="7DE1B4EF" w:rsidRPr="337FA1CF">
        <w:t>.</w:t>
      </w:r>
      <w:r w:rsidR="520A57F5">
        <w:t xml:space="preserve"> </w:t>
      </w:r>
      <w:r w:rsidRPr="337FA1CF">
        <w:rPr>
          <w:lang w:val="en-US"/>
        </w:rPr>
        <w:t>Participants were primarily based in Belgium (33</w:t>
      </w:r>
      <w:r w:rsidR="006856C2">
        <w:rPr>
          <w:lang w:val="en-US"/>
        </w:rPr>
        <w:t>%</w:t>
      </w:r>
      <w:r w:rsidRPr="337FA1CF">
        <w:rPr>
          <w:lang w:val="en-US"/>
        </w:rPr>
        <w:t>, 74/222), Germany (12</w:t>
      </w:r>
      <w:r w:rsidR="006856C2">
        <w:rPr>
          <w:lang w:val="en-US"/>
        </w:rPr>
        <w:t>%</w:t>
      </w:r>
      <w:r w:rsidRPr="337FA1CF">
        <w:rPr>
          <w:lang w:val="en-US"/>
        </w:rPr>
        <w:t>, 29/222) and France (9</w:t>
      </w:r>
      <w:r w:rsidR="006856C2">
        <w:rPr>
          <w:lang w:val="en-US"/>
        </w:rPr>
        <w:t>%</w:t>
      </w:r>
      <w:r w:rsidRPr="337FA1CF">
        <w:rPr>
          <w:lang w:val="en-US"/>
        </w:rPr>
        <w:t xml:space="preserve">, 20/222). Responses from non-EU countries came mainly from the </w:t>
      </w:r>
      <w:r w:rsidR="769BEBA7">
        <w:rPr>
          <w:lang w:val="en-US"/>
        </w:rPr>
        <w:t>US</w:t>
      </w:r>
      <w:r w:rsidRPr="337FA1CF">
        <w:rPr>
          <w:lang w:val="en-US"/>
        </w:rPr>
        <w:t xml:space="preserve"> (5</w:t>
      </w:r>
      <w:r w:rsidR="006856C2">
        <w:rPr>
          <w:lang w:val="en-US"/>
        </w:rPr>
        <w:t>%</w:t>
      </w:r>
      <w:r w:rsidRPr="337FA1CF">
        <w:rPr>
          <w:lang w:val="en-US"/>
        </w:rPr>
        <w:t>, 10/222), Switzerland (3</w:t>
      </w:r>
      <w:r w:rsidR="006856C2">
        <w:rPr>
          <w:lang w:val="en-US"/>
        </w:rPr>
        <w:t>%</w:t>
      </w:r>
      <w:r w:rsidRPr="337FA1CF">
        <w:rPr>
          <w:lang w:val="en-US"/>
        </w:rPr>
        <w:t xml:space="preserve">, 7/222) and the </w:t>
      </w:r>
      <w:r w:rsidR="769BEBA7">
        <w:rPr>
          <w:lang w:val="en-US"/>
        </w:rPr>
        <w:t>UK</w:t>
      </w:r>
      <w:r w:rsidRPr="337FA1CF">
        <w:rPr>
          <w:lang w:val="en-US"/>
        </w:rPr>
        <w:t xml:space="preserve"> (2</w:t>
      </w:r>
      <w:r w:rsidR="006856C2">
        <w:rPr>
          <w:lang w:val="en-US"/>
        </w:rPr>
        <w:t>%</w:t>
      </w:r>
      <w:r w:rsidRPr="337FA1CF">
        <w:rPr>
          <w:lang w:val="en-US"/>
        </w:rPr>
        <w:t xml:space="preserve">, 4/222). </w:t>
      </w:r>
    </w:p>
    <w:p w14:paraId="637EE888" w14:textId="4D9DFD32" w:rsidR="337FA1CF" w:rsidRPr="001713E4" w:rsidRDefault="45FA570F" w:rsidP="002B3C24">
      <w:r w:rsidRPr="337FA1CF">
        <w:lastRenderedPageBreak/>
        <w:t>With respect to the type of stakeholder groups</w:t>
      </w:r>
      <w:r w:rsidR="00A720AE">
        <w:rPr>
          <w:rStyle w:val="FootnoteReference"/>
        </w:rPr>
        <w:footnoteReference w:id="13"/>
      </w:r>
      <w:r w:rsidRPr="337FA1CF">
        <w:t xml:space="preserve">, responses came from </w:t>
      </w:r>
      <w:r w:rsidR="4321F5F5">
        <w:t>b</w:t>
      </w:r>
      <w:r w:rsidRPr="337FA1CF">
        <w:t xml:space="preserve">usiness </w:t>
      </w:r>
      <w:r w:rsidR="4321F5F5">
        <w:t>a</w:t>
      </w:r>
      <w:r w:rsidRPr="337FA1CF">
        <w:t>ssociation</w:t>
      </w:r>
      <w:r w:rsidR="004415FA">
        <w:rPr>
          <w:rStyle w:val="FootnoteReference"/>
        </w:rPr>
        <w:footnoteReference w:id="14"/>
      </w:r>
      <w:r w:rsidRPr="337FA1CF">
        <w:t xml:space="preserve"> (</w:t>
      </w:r>
      <w:r w:rsidR="6D21DEA0">
        <w:t>60</w:t>
      </w:r>
      <w:r w:rsidRPr="337FA1CF">
        <w:t xml:space="preserve">), </w:t>
      </w:r>
      <w:r w:rsidR="4321F5F5">
        <w:t>c</w:t>
      </w:r>
      <w:r w:rsidRPr="337FA1CF">
        <w:t>ompan</w:t>
      </w:r>
      <w:r w:rsidR="4321F5F5">
        <w:t>ies</w:t>
      </w:r>
      <w:r w:rsidRPr="337FA1CF">
        <w:t xml:space="preserve"> or </w:t>
      </w:r>
      <w:r w:rsidR="4321F5F5">
        <w:t>b</w:t>
      </w:r>
      <w:r w:rsidRPr="337FA1CF">
        <w:t>usiness</w:t>
      </w:r>
      <w:r w:rsidR="4321F5F5">
        <w:t>es</w:t>
      </w:r>
      <w:r w:rsidRPr="337FA1CF">
        <w:t xml:space="preserve"> (</w:t>
      </w:r>
      <w:r w:rsidR="6D21DEA0">
        <w:t>50</w:t>
      </w:r>
      <w:r w:rsidRPr="337FA1CF">
        <w:t>)</w:t>
      </w:r>
      <w:r w:rsidR="6D21DEA0">
        <w:t xml:space="preserve">, </w:t>
      </w:r>
      <w:r w:rsidR="4321F5F5">
        <w:t>n</w:t>
      </w:r>
      <w:r w:rsidR="3C47D0CD">
        <w:t>on-</w:t>
      </w:r>
      <w:r w:rsidR="4321F5F5">
        <w:t>g</w:t>
      </w:r>
      <w:r w:rsidR="3C47D0CD">
        <w:t xml:space="preserve">overnmental </w:t>
      </w:r>
      <w:r w:rsidR="3C47D0CD" w:rsidRPr="00DD4C0B">
        <w:t>organisations (44)</w:t>
      </w:r>
      <w:r w:rsidR="4321F5F5" w:rsidRPr="00DD4C0B">
        <w:t xml:space="preserve">, </w:t>
      </w:r>
      <w:r w:rsidR="52298E51" w:rsidRPr="002B3C24">
        <w:t>academic, research institutions</w:t>
      </w:r>
      <w:r w:rsidR="4321F5F5" w:rsidRPr="00DD4C0B">
        <w:t xml:space="preserve"> </w:t>
      </w:r>
      <w:r w:rsidR="52298E51" w:rsidRPr="00DD4C0B">
        <w:t>(</w:t>
      </w:r>
      <w:r w:rsidR="4321F5F5" w:rsidRPr="00DD4C0B">
        <w:t>20</w:t>
      </w:r>
      <w:r w:rsidR="52298E51" w:rsidRPr="00DD4C0B">
        <w:t xml:space="preserve">), </w:t>
      </w:r>
      <w:r w:rsidR="52298E51" w:rsidRPr="002B3C24">
        <w:t>public authorities</w:t>
      </w:r>
      <w:r w:rsidR="4321F5F5" w:rsidRPr="00DD4C0B">
        <w:t xml:space="preserve"> (14</w:t>
      </w:r>
      <w:r w:rsidR="52298E51" w:rsidRPr="00DD4C0B">
        <w:t>)</w:t>
      </w:r>
      <w:r w:rsidR="3A09AA87">
        <w:t xml:space="preserve"> and </w:t>
      </w:r>
      <w:r w:rsidR="52298E51" w:rsidRPr="00DD4C0B">
        <w:t>from</w:t>
      </w:r>
      <w:r w:rsidR="3A09AA87">
        <w:t xml:space="preserve"> </w:t>
      </w:r>
      <w:r w:rsidR="52298E51" w:rsidRPr="002B3C24">
        <w:t>EU-citizens</w:t>
      </w:r>
      <w:r w:rsidR="3A09AA87">
        <w:t xml:space="preserve"> </w:t>
      </w:r>
      <w:r w:rsidR="52298E51" w:rsidRPr="00DD4C0B">
        <w:t>(</w:t>
      </w:r>
      <w:r w:rsidR="3A09AA87">
        <w:t>14</w:t>
      </w:r>
      <w:r w:rsidR="52298E51" w:rsidRPr="00DD4C0B">
        <w:t>).</w:t>
      </w:r>
      <w:r w:rsidR="48033472">
        <w:t xml:space="preserve"> </w:t>
      </w:r>
      <w:r w:rsidR="00600A47">
        <w:t>No campaign was identified</w:t>
      </w:r>
      <w:r w:rsidR="004C56DD">
        <w:t xml:space="preserve">. </w:t>
      </w:r>
      <w:r w:rsidRPr="337FA1CF">
        <w:t xml:space="preserve">All feedback and </w:t>
      </w:r>
      <w:r w:rsidRPr="001713E4">
        <w:t>position papers</w:t>
      </w:r>
      <w:r w:rsidR="20750F70" w:rsidRPr="001713E4">
        <w:t xml:space="preserve"> </w:t>
      </w:r>
      <w:r w:rsidRPr="001713E4">
        <w:t xml:space="preserve">were </w:t>
      </w:r>
      <w:r w:rsidR="20750F70" w:rsidRPr="001713E4">
        <w:t>analysed in</w:t>
      </w:r>
      <w:r w:rsidRPr="001713E4">
        <w:t xml:space="preserve"> the </w:t>
      </w:r>
      <w:r w:rsidR="20750F70" w:rsidRPr="001713E4">
        <w:t xml:space="preserve">context of the </w:t>
      </w:r>
      <w:r w:rsidRPr="001713E4">
        <w:t xml:space="preserve">Landscape </w:t>
      </w:r>
      <w:r w:rsidR="616B6DD3" w:rsidRPr="001713E4">
        <w:t>A</w:t>
      </w:r>
      <w:r w:rsidRPr="001713E4">
        <w:t xml:space="preserve">nalysis </w:t>
      </w:r>
      <w:r w:rsidR="649528C8" w:rsidRPr="001713E4">
        <w:t>S</w:t>
      </w:r>
      <w:r w:rsidRPr="001713E4">
        <w:t>tudy</w:t>
      </w:r>
      <w:r w:rsidR="6D0F2B60" w:rsidRPr="001713E4">
        <w:t>.</w:t>
      </w:r>
    </w:p>
    <w:p w14:paraId="28608D9F" w14:textId="1A730989" w:rsidR="1D0A1038" w:rsidRPr="001713E4" w:rsidRDefault="45FA570F" w:rsidP="004570F2">
      <w:pPr>
        <w:pStyle w:val="Heading3"/>
        <w:numPr>
          <w:ilvl w:val="0"/>
          <w:numId w:val="0"/>
        </w:numPr>
      </w:pPr>
      <w:bookmarkStart w:id="60" w:name="_Toc225783185"/>
      <w:bookmarkStart w:id="61" w:name="_Toc225969757"/>
      <w:bookmarkStart w:id="62" w:name="_Toc225979069"/>
      <w:r w:rsidRPr="009649A3">
        <w:t>Public Consultation (PC)</w:t>
      </w:r>
      <w:bookmarkEnd w:id="60"/>
      <w:bookmarkEnd w:id="61"/>
      <w:bookmarkEnd w:id="62"/>
    </w:p>
    <w:p w14:paraId="4EB81EB7" w14:textId="0E1F37CE" w:rsidR="00231B6E" w:rsidRDefault="45FA570F" w:rsidP="00F255DF">
      <w:r w:rsidRPr="001713E4">
        <w:rPr>
          <w:lang w:val="en-US"/>
        </w:rPr>
        <w:t xml:space="preserve">The PC was published on the Commission’s </w:t>
      </w:r>
      <w:r w:rsidRPr="001713E4">
        <w:rPr>
          <w:i/>
          <w:iCs/>
          <w:lang w:val="en-US"/>
        </w:rPr>
        <w:t>Have Your Say</w:t>
      </w:r>
      <w:r w:rsidR="1D0A1038" w:rsidRPr="001713E4">
        <w:rPr>
          <w:vertAlign w:val="superscript"/>
          <w:lang w:val="en-US"/>
        </w:rPr>
        <w:footnoteReference w:id="15"/>
      </w:r>
      <w:r w:rsidRPr="001713E4">
        <w:rPr>
          <w:vertAlign w:val="superscript"/>
          <w:lang w:val="en-US"/>
        </w:rPr>
        <w:t xml:space="preserve"> </w:t>
      </w:r>
      <w:r w:rsidRPr="001713E4">
        <w:rPr>
          <w:lang w:val="en-US"/>
        </w:rPr>
        <w:t>platform. A total of 464 answers were received</w:t>
      </w:r>
      <w:r w:rsidR="247D2E79" w:rsidRPr="001713E4">
        <w:rPr>
          <w:lang w:val="en-US"/>
        </w:rPr>
        <w:t xml:space="preserve"> and 119 attachments were submitted</w:t>
      </w:r>
      <w:r w:rsidRPr="001713E4">
        <w:rPr>
          <w:lang w:val="en-US"/>
        </w:rPr>
        <w:t xml:space="preserve">. </w:t>
      </w:r>
      <w:r w:rsidR="247D2E79" w:rsidRPr="001713E4">
        <w:t xml:space="preserve">The majority were position papers, while some included answers to open questions. </w:t>
      </w:r>
      <w:r w:rsidRPr="001713E4">
        <w:rPr>
          <w:lang w:val="en-US"/>
        </w:rPr>
        <w:t>Most of th</w:t>
      </w:r>
      <w:r w:rsidR="48033472" w:rsidRPr="001713E4">
        <w:rPr>
          <w:lang w:val="en-US"/>
        </w:rPr>
        <w:t>e responses</w:t>
      </w:r>
      <w:r w:rsidRPr="001713E4">
        <w:rPr>
          <w:lang w:val="en-US"/>
        </w:rPr>
        <w:t xml:space="preserve"> were submitted by respondents from France (</w:t>
      </w:r>
      <w:r w:rsidR="002A4065">
        <w:rPr>
          <w:lang w:val="en-US"/>
        </w:rPr>
        <w:t>20</w:t>
      </w:r>
      <w:r w:rsidR="006856C2">
        <w:rPr>
          <w:lang w:val="en-US"/>
        </w:rPr>
        <w:t>%</w:t>
      </w:r>
      <w:r w:rsidRPr="001713E4">
        <w:rPr>
          <w:lang w:val="en-US"/>
        </w:rPr>
        <w:t>, 91/464), Belgium (1</w:t>
      </w:r>
      <w:r w:rsidR="0029429B">
        <w:rPr>
          <w:lang w:val="en-US"/>
        </w:rPr>
        <w:t>9</w:t>
      </w:r>
      <w:r w:rsidR="006856C2">
        <w:rPr>
          <w:lang w:val="en-US"/>
        </w:rPr>
        <w:t>%</w:t>
      </w:r>
      <w:r w:rsidRPr="001713E4">
        <w:rPr>
          <w:lang w:val="en-US"/>
        </w:rPr>
        <w:t>, 87/464) and Germany (1</w:t>
      </w:r>
      <w:r w:rsidR="0029429B">
        <w:rPr>
          <w:lang w:val="en-US"/>
        </w:rPr>
        <w:t>2</w:t>
      </w:r>
      <w:r w:rsidR="006856C2">
        <w:rPr>
          <w:lang w:val="en-US"/>
        </w:rPr>
        <w:t>%</w:t>
      </w:r>
      <w:r w:rsidRPr="001713E4">
        <w:rPr>
          <w:lang w:val="en-US"/>
        </w:rPr>
        <w:t xml:space="preserve">, 54/464). Contributions from non-EU </w:t>
      </w:r>
      <w:r w:rsidRPr="004570F2">
        <w:t>countries</w:t>
      </w:r>
      <w:r w:rsidRPr="001713E4">
        <w:rPr>
          <w:lang w:val="en-US"/>
        </w:rPr>
        <w:t xml:space="preserve"> mainly came from the </w:t>
      </w:r>
      <w:r w:rsidR="20DA2D01" w:rsidRPr="001713E4">
        <w:rPr>
          <w:lang w:val="en-US"/>
        </w:rPr>
        <w:t>US</w:t>
      </w:r>
      <w:r w:rsidRPr="001713E4">
        <w:rPr>
          <w:lang w:val="en-US"/>
        </w:rPr>
        <w:t xml:space="preserve"> (</w:t>
      </w:r>
      <w:r w:rsidR="00881834">
        <w:rPr>
          <w:lang w:val="en-US"/>
        </w:rPr>
        <w:t>3</w:t>
      </w:r>
      <w:r w:rsidR="006856C2">
        <w:rPr>
          <w:lang w:val="en-US"/>
        </w:rPr>
        <w:t>%</w:t>
      </w:r>
      <w:r w:rsidRPr="001713E4">
        <w:rPr>
          <w:lang w:val="en-US"/>
        </w:rPr>
        <w:t>, 12/464), followed by Switzerland (</w:t>
      </w:r>
      <w:r w:rsidR="00881834">
        <w:rPr>
          <w:lang w:val="en-US"/>
        </w:rPr>
        <w:t>2</w:t>
      </w:r>
      <w:r w:rsidR="006856C2">
        <w:rPr>
          <w:lang w:val="en-US"/>
        </w:rPr>
        <w:t>%</w:t>
      </w:r>
      <w:r w:rsidRPr="001713E4">
        <w:rPr>
          <w:lang w:val="en-US"/>
        </w:rPr>
        <w:t xml:space="preserve">, 8/464). </w:t>
      </w:r>
      <w:r w:rsidRPr="001713E4">
        <w:t>With respect to the type</w:t>
      </w:r>
      <w:r w:rsidRPr="337FA1CF">
        <w:t xml:space="preserve"> of stakeholder groups</w:t>
      </w:r>
      <w:r w:rsidR="006127D4">
        <w:rPr>
          <w:rStyle w:val="FootnoteReference"/>
        </w:rPr>
        <w:footnoteReference w:id="16"/>
      </w:r>
      <w:r w:rsidRPr="337FA1CF">
        <w:t xml:space="preserve">, most respondents were from individual </w:t>
      </w:r>
      <w:r w:rsidR="1E70BCDD">
        <w:t>c</w:t>
      </w:r>
      <w:r w:rsidRPr="337FA1CF">
        <w:t>ompanies</w:t>
      </w:r>
      <w:r w:rsidR="1E70BCDD">
        <w:t xml:space="preserve"> </w:t>
      </w:r>
      <w:r w:rsidR="0A49A5E8">
        <w:t>or businesses</w:t>
      </w:r>
      <w:r w:rsidRPr="337FA1CF">
        <w:t xml:space="preserve"> (2</w:t>
      </w:r>
      <w:r w:rsidR="00664DE3">
        <w:t>5</w:t>
      </w:r>
      <w:r w:rsidR="006856C2">
        <w:t>%</w:t>
      </w:r>
      <w:r w:rsidRPr="337FA1CF">
        <w:t xml:space="preserve">, 114/464), followed by </w:t>
      </w:r>
      <w:r w:rsidR="0A49A5E8">
        <w:t>b</w:t>
      </w:r>
      <w:r w:rsidRPr="337FA1CF">
        <w:t xml:space="preserve">usiness </w:t>
      </w:r>
      <w:r w:rsidR="0A49A5E8">
        <w:t>a</w:t>
      </w:r>
      <w:r w:rsidRPr="337FA1CF">
        <w:t>ssociations (19</w:t>
      </w:r>
      <w:r w:rsidR="006856C2">
        <w:t>%</w:t>
      </w:r>
      <w:r w:rsidRPr="337FA1CF">
        <w:t xml:space="preserve">, 89/464), and </w:t>
      </w:r>
      <w:r w:rsidR="0A49A5E8">
        <w:t>c</w:t>
      </w:r>
      <w:r w:rsidRPr="337FA1CF">
        <w:t>itizen (1</w:t>
      </w:r>
      <w:r w:rsidR="00B6205C">
        <w:t>6</w:t>
      </w:r>
      <w:r w:rsidR="006856C2">
        <w:t>%</w:t>
      </w:r>
      <w:r w:rsidRPr="337FA1CF">
        <w:t xml:space="preserve">, 73/464). </w:t>
      </w:r>
      <w:r w:rsidR="1E70BCDD">
        <w:t>Among businesses</w:t>
      </w:r>
      <w:r w:rsidR="0A49A5E8">
        <w:t>, most identified themselves as SMEs (</w:t>
      </w:r>
      <w:r w:rsidR="5F8A3CD8">
        <w:t>55</w:t>
      </w:r>
      <w:r w:rsidR="006856C2">
        <w:t>%</w:t>
      </w:r>
      <w:r w:rsidR="5F8A3CD8">
        <w:t xml:space="preserve">, </w:t>
      </w:r>
      <w:r w:rsidR="0A49A5E8">
        <w:t>63</w:t>
      </w:r>
      <w:r w:rsidR="50821702">
        <w:t>/</w:t>
      </w:r>
      <w:r w:rsidR="4B612780">
        <w:t>114</w:t>
      </w:r>
      <w:r w:rsidR="0A49A5E8">
        <w:t>)</w:t>
      </w:r>
      <w:r w:rsidR="007E0CB5">
        <w:rPr>
          <w:rStyle w:val="FootnoteReference"/>
        </w:rPr>
        <w:footnoteReference w:id="17"/>
      </w:r>
      <w:r w:rsidR="0A49A5E8">
        <w:t>.</w:t>
      </w:r>
      <w:r w:rsidR="131777FE">
        <w:t xml:space="preserve"> </w:t>
      </w:r>
      <w:r w:rsidR="131777FE" w:rsidRPr="00400A7E">
        <w:t>Among public authorities,</w:t>
      </w:r>
      <w:r w:rsidRPr="00400A7E" w:rsidDel="00A662BB">
        <w:t xml:space="preserve"> </w:t>
      </w:r>
      <w:r w:rsidR="131777FE" w:rsidRPr="00400A7E">
        <w:t>14</w:t>
      </w:r>
      <w:r w:rsidR="012F6345" w:rsidRPr="00400A7E">
        <w:t xml:space="preserve"> </w:t>
      </w:r>
      <w:r w:rsidR="131777FE" w:rsidRPr="00400A7E">
        <w:t>self-identified as national</w:t>
      </w:r>
      <w:r w:rsidR="012F6345" w:rsidRPr="00400A7E">
        <w:t xml:space="preserve">, </w:t>
      </w:r>
      <w:r w:rsidR="0063509F">
        <w:t>ten</w:t>
      </w:r>
      <w:r w:rsidR="012F6345" w:rsidRPr="00400A7E">
        <w:t xml:space="preserve"> </w:t>
      </w:r>
      <w:r w:rsidR="131777FE" w:rsidRPr="00400A7E">
        <w:t>as</w:t>
      </w:r>
      <w:r w:rsidR="012F6345" w:rsidRPr="00400A7E">
        <w:t xml:space="preserve"> </w:t>
      </w:r>
      <w:r w:rsidR="131777FE" w:rsidRPr="00400A7E">
        <w:t>regional</w:t>
      </w:r>
      <w:r w:rsidR="012F6345" w:rsidRPr="00400A7E">
        <w:t xml:space="preserve"> </w:t>
      </w:r>
      <w:r w:rsidR="131777FE" w:rsidRPr="00400A7E">
        <w:t>respectively,</w:t>
      </w:r>
      <w:r w:rsidR="012F6345" w:rsidRPr="00400A7E">
        <w:t xml:space="preserve"> </w:t>
      </w:r>
      <w:r w:rsidR="0063509F">
        <w:t>two</w:t>
      </w:r>
      <w:r w:rsidR="012F6345" w:rsidRPr="00400A7E">
        <w:t xml:space="preserve"> </w:t>
      </w:r>
      <w:r w:rsidR="131777FE" w:rsidRPr="00400A7E">
        <w:t>as local, and</w:t>
      </w:r>
      <w:r w:rsidR="012F6345" w:rsidRPr="00400A7E">
        <w:t xml:space="preserve"> </w:t>
      </w:r>
      <w:r w:rsidR="0063509F">
        <w:t>three</w:t>
      </w:r>
      <w:r w:rsidR="012F6345" w:rsidRPr="00400A7E">
        <w:t xml:space="preserve"> </w:t>
      </w:r>
      <w:r w:rsidR="131777FE" w:rsidRPr="00400A7E">
        <w:t>as international.</w:t>
      </w:r>
    </w:p>
    <w:p w14:paraId="7772B5F8" w14:textId="272360AD" w:rsidR="00A662BB" w:rsidRDefault="1D0A1038" w:rsidP="002B3C24">
      <w:r w:rsidRPr="337FA1CF">
        <w:t>The questionnaire consists of nine sections, which can be roughly divided into three thematic blocks: The first block (Sections 1–3) addresses general views on biotechnology, the presence of businesses in the EU market, and the regulatory environment in the EU. The second block (Sections 4–6) focuses on biomanufacturing, specifically biotechnology clusters, production, and the availability of workforce. The third block (Sections 7–9) centres on data</w:t>
      </w:r>
      <w:r w:rsidR="002D6A2C">
        <w:t xml:space="preserve"> and</w:t>
      </w:r>
      <w:r w:rsidRPr="337FA1CF">
        <w:t xml:space="preserve"> artificial intelligence, defence, and security</w:t>
      </w:r>
      <w:r w:rsidR="003C23F4">
        <w:t xml:space="preserve">, and </w:t>
      </w:r>
      <w:r w:rsidR="00117755">
        <w:t xml:space="preserve">a final section </w:t>
      </w:r>
      <w:r w:rsidR="003C23F4">
        <w:t>to submit attachments.</w:t>
      </w:r>
    </w:p>
    <w:p w14:paraId="70CFA57E" w14:textId="1F5DC722" w:rsidR="009E25E0" w:rsidRDefault="1D0A1038" w:rsidP="002B3C24">
      <w:r w:rsidRPr="337FA1CF">
        <w:t xml:space="preserve">Duplicates or campaigns </w:t>
      </w:r>
      <w:r w:rsidR="0063509F">
        <w:t>from stakeholders</w:t>
      </w:r>
      <w:r w:rsidRPr="337FA1CF">
        <w:t xml:space="preserve"> had not been identified.</w:t>
      </w:r>
      <w:r w:rsidR="00B17A4C">
        <w:t xml:space="preserve"> </w:t>
      </w:r>
      <w:r w:rsidR="00A662BB" w:rsidRPr="337FA1CF">
        <w:t>All feedback and position papers</w:t>
      </w:r>
      <w:r w:rsidR="00A662BB">
        <w:t xml:space="preserve"> </w:t>
      </w:r>
      <w:r w:rsidR="00A662BB" w:rsidRPr="337FA1CF">
        <w:t xml:space="preserve">were </w:t>
      </w:r>
      <w:r w:rsidR="00A662BB">
        <w:t>analysed in</w:t>
      </w:r>
      <w:r w:rsidR="00A662BB" w:rsidRPr="337FA1CF">
        <w:t xml:space="preserve"> the </w:t>
      </w:r>
      <w:r w:rsidR="00A662BB">
        <w:t xml:space="preserve">context of the </w:t>
      </w:r>
      <w:r w:rsidR="00A662BB" w:rsidRPr="337FA1CF">
        <w:t xml:space="preserve">Landscape </w:t>
      </w:r>
      <w:r w:rsidR="64D5D7C5">
        <w:t>A</w:t>
      </w:r>
      <w:r w:rsidR="00A662BB">
        <w:t xml:space="preserve">nalysis </w:t>
      </w:r>
      <w:r w:rsidR="6BCA7AD2">
        <w:t>S</w:t>
      </w:r>
      <w:r w:rsidR="00A662BB">
        <w:t>tudy.</w:t>
      </w:r>
    </w:p>
    <w:p w14:paraId="5E7CB8C0" w14:textId="62E8C98E" w:rsidR="00477976" w:rsidRDefault="00477976" w:rsidP="00477976">
      <w:r w:rsidRPr="007052FB">
        <w:t>A Factual Summary Report has been published on 23 December 2025, based on</w:t>
      </w:r>
      <w:r>
        <w:t xml:space="preserve"> </w:t>
      </w:r>
      <w:r w:rsidRPr="007052FB">
        <w:t>359 responses</w:t>
      </w:r>
      <w:r w:rsidR="00B03AE8">
        <w:t xml:space="preserve"> on the Have Your Say webpage</w:t>
      </w:r>
      <w:r w:rsidR="00B03AE8">
        <w:rPr>
          <w:rStyle w:val="FootnoteReference"/>
        </w:rPr>
        <w:footnoteReference w:id="18"/>
      </w:r>
      <w:r w:rsidRPr="007052FB">
        <w:t xml:space="preserve">. This </w:t>
      </w:r>
      <w:r>
        <w:t>report</w:t>
      </w:r>
      <w:r w:rsidRPr="007052FB">
        <w:t xml:space="preserve"> presents the</w:t>
      </w:r>
      <w:r>
        <w:t xml:space="preserve"> </w:t>
      </w:r>
      <w:r w:rsidRPr="007052FB">
        <w:t>outcome of the Public Consultation</w:t>
      </w:r>
      <w:r>
        <w:t xml:space="preserve"> </w:t>
      </w:r>
      <w:r w:rsidRPr="007052FB">
        <w:t>based on all 464 contributions received</w:t>
      </w:r>
      <w:r>
        <w:t>.</w:t>
      </w:r>
    </w:p>
    <w:p w14:paraId="24C29578" w14:textId="77777777" w:rsidR="0047118A" w:rsidRDefault="0047118A" w:rsidP="00477976"/>
    <w:p w14:paraId="6859A415" w14:textId="1948ED6B" w:rsidR="00914C0C" w:rsidRPr="00477976" w:rsidRDefault="2F23A51D" w:rsidP="004570F2">
      <w:pPr>
        <w:pStyle w:val="Heading3"/>
        <w:numPr>
          <w:ilvl w:val="0"/>
          <w:numId w:val="0"/>
        </w:numPr>
      </w:pPr>
      <w:bookmarkStart w:id="63" w:name="_Toc225783186"/>
      <w:bookmarkStart w:id="64" w:name="_Toc225969758"/>
      <w:bookmarkStart w:id="65" w:name="_Toc225979070"/>
      <w:r w:rsidRPr="337FA1CF">
        <w:lastRenderedPageBreak/>
        <w:t>Targeted Consultation (TC)</w:t>
      </w:r>
      <w:bookmarkEnd w:id="63"/>
      <w:bookmarkEnd w:id="64"/>
      <w:bookmarkEnd w:id="65"/>
    </w:p>
    <w:p w14:paraId="11E0E3B6" w14:textId="654377D9" w:rsidR="2F23A51D" w:rsidRPr="007052FB" w:rsidRDefault="3321781A" w:rsidP="7E49C426">
      <w:pPr>
        <w:rPr>
          <w:i/>
        </w:rPr>
      </w:pPr>
      <w:r w:rsidRPr="00305597">
        <w:rPr>
          <w:b/>
          <w:i/>
          <w:u w:val="single"/>
        </w:rPr>
        <w:t>Analysis of the Regulatory Framework for Biotechnology and Biomanufacturing in the EU</w:t>
      </w:r>
    </w:p>
    <w:p w14:paraId="2D2ABC96" w14:textId="0AE3AFA6" w:rsidR="00363F39" w:rsidRPr="00305597" w:rsidRDefault="269B2665">
      <w:r>
        <w:t>The Regulatory Framework Study consist</w:t>
      </w:r>
      <w:r w:rsidR="4F68DE2B">
        <w:t>s</w:t>
      </w:r>
      <w:r>
        <w:t xml:space="preserve"> of two Pillar</w:t>
      </w:r>
      <w:r w:rsidR="05F648F5">
        <w:t>s</w:t>
      </w:r>
      <w:r>
        <w:t>.</w:t>
      </w:r>
    </w:p>
    <w:p w14:paraId="7D4ECA54" w14:textId="08F7B732" w:rsidR="00363F39" w:rsidRPr="00305597" w:rsidRDefault="3321781A" w:rsidP="00C826F6">
      <w:pPr>
        <w:pStyle w:val="ListParagraph"/>
        <w:numPr>
          <w:ilvl w:val="0"/>
          <w:numId w:val="318"/>
        </w:numPr>
      </w:pPr>
      <w:r w:rsidRPr="00305597">
        <w:t>Pillar A focused on the assessment of impacts of policy scenarios defined by the EC</w:t>
      </w:r>
      <w:r w:rsidR="21994DAE" w:rsidRPr="00305597">
        <w:t>. It</w:t>
      </w:r>
      <w:r w:rsidRPr="00305597">
        <w:t xml:space="preserve"> </w:t>
      </w:r>
      <w:r w:rsidR="21994DAE" w:rsidRPr="00305597">
        <w:t xml:space="preserve">consists of a supporting </w:t>
      </w:r>
      <w:r w:rsidR="007315CF">
        <w:t xml:space="preserve">assessment of </w:t>
      </w:r>
      <w:r w:rsidR="21994DAE" w:rsidRPr="00305597">
        <w:t>impact</w:t>
      </w:r>
      <w:r w:rsidR="007315CF">
        <w:t>s</w:t>
      </w:r>
      <w:r w:rsidR="21994DAE" w:rsidRPr="00305597">
        <w:t xml:space="preserve"> related to genetically modified micro</w:t>
      </w:r>
      <w:r w:rsidR="5AAFA696" w:rsidRPr="00305597">
        <w:t>-</w:t>
      </w:r>
      <w:r w:rsidR="21994DAE" w:rsidRPr="00305597">
        <w:t xml:space="preserve">organisms (GMM) and a supporting </w:t>
      </w:r>
      <w:r w:rsidR="007315CF">
        <w:t>assessment of</w:t>
      </w:r>
      <w:r w:rsidR="21994DAE" w:rsidRPr="00305597">
        <w:t xml:space="preserve"> impact</w:t>
      </w:r>
      <w:r w:rsidR="007315CF">
        <w:t xml:space="preserve">s </w:t>
      </w:r>
      <w:r w:rsidR="21994DAE" w:rsidRPr="00305597">
        <w:t>related to clinical trials in Europe (CT).</w:t>
      </w:r>
      <w:r w:rsidR="2C36A651" w:rsidRPr="00305597">
        <w:t xml:space="preserve"> </w:t>
      </w:r>
    </w:p>
    <w:p w14:paraId="275631FB" w14:textId="7EF7BCCA" w:rsidR="2F23A51D" w:rsidRPr="00305597" w:rsidRDefault="2F23A51D" w:rsidP="00C826F6">
      <w:pPr>
        <w:pStyle w:val="ListParagraph"/>
        <w:numPr>
          <w:ilvl w:val="0"/>
          <w:numId w:val="318"/>
        </w:numPr>
      </w:pPr>
      <w:r w:rsidRPr="00305597">
        <w:t>Pillar B</w:t>
      </w:r>
      <w:r w:rsidRPr="00305597" w:rsidDel="00FB25DD">
        <w:t xml:space="preserve"> </w:t>
      </w:r>
      <w:r w:rsidRPr="00305597">
        <w:t xml:space="preserve">focused on mapping the relevant EU and national legislations related to biotechnology and biomanufacturing; identifying regulatory challenges, causes and consequences relevant for the biotechnology and biomanufacturing ecosystems; </w:t>
      </w:r>
      <w:r w:rsidR="00FB25DD" w:rsidRPr="00305597">
        <w:t>and</w:t>
      </w:r>
      <w:r w:rsidRPr="00305597">
        <w:t xml:space="preserve"> identifying policy areas for potential simplification and streamlining</w:t>
      </w:r>
      <w:r w:rsidR="3321781A" w:rsidRPr="00305597">
        <w:t>.</w:t>
      </w:r>
    </w:p>
    <w:p w14:paraId="54BFF40C" w14:textId="429B3BA2" w:rsidR="337FA1CF" w:rsidRPr="00305597" w:rsidRDefault="2F23A51D" w:rsidP="00C826F6">
      <w:r w:rsidRPr="00305597">
        <w:t>Targeted stakeholder consultations were carried out across all the listed activities:</w:t>
      </w:r>
    </w:p>
    <w:p w14:paraId="2B7F1093" w14:textId="3D8CACFA" w:rsidR="2F23A51D" w:rsidRPr="00305597" w:rsidRDefault="00FA28EE" w:rsidP="00C826F6">
      <w:r w:rsidRPr="00305597">
        <w:t>On</w:t>
      </w:r>
      <w:r w:rsidR="2F23A51D" w:rsidRPr="00305597" w:rsidDel="00011191">
        <w:t xml:space="preserve"> </w:t>
      </w:r>
      <w:r w:rsidR="2F23A51D" w:rsidRPr="00305597">
        <w:t>genetically modified microorganisms (GMM)</w:t>
      </w:r>
      <w:r w:rsidR="00DF6F54" w:rsidRPr="00305597">
        <w:t>,</w:t>
      </w:r>
      <w:r w:rsidR="2F23A51D" w:rsidRPr="00305597">
        <w:t xml:space="preserve"> targeted </w:t>
      </w:r>
      <w:r w:rsidR="2F23A51D" w:rsidRPr="00305597">
        <w:rPr>
          <w:b/>
        </w:rPr>
        <w:t xml:space="preserve">stakeholder interviews and </w:t>
      </w:r>
      <w:r w:rsidR="2C621726" w:rsidRPr="007052FB">
        <w:rPr>
          <w:b/>
          <w:bCs/>
        </w:rPr>
        <w:t>a</w:t>
      </w:r>
      <w:r w:rsidR="2F23A51D" w:rsidRPr="007052FB">
        <w:rPr>
          <w:b/>
        </w:rPr>
        <w:t xml:space="preserve"> consultation</w:t>
      </w:r>
      <w:r w:rsidR="00C350DC" w:rsidRPr="007052FB">
        <w:rPr>
          <w:b/>
        </w:rPr>
        <w:t xml:space="preserve"> </w:t>
      </w:r>
      <w:r w:rsidR="2C621726" w:rsidRPr="007052FB">
        <w:rPr>
          <w:b/>
          <w:bCs/>
        </w:rPr>
        <w:t xml:space="preserve">of </w:t>
      </w:r>
      <w:r w:rsidR="2F23A51D" w:rsidRPr="00305597">
        <w:rPr>
          <w:b/>
          <w:bCs/>
        </w:rPr>
        <w:t>subject matter expert</w:t>
      </w:r>
      <w:r w:rsidR="6C8E47EF" w:rsidRPr="007052FB">
        <w:rPr>
          <w:b/>
          <w:bCs/>
        </w:rPr>
        <w:t>s</w:t>
      </w:r>
      <w:r w:rsidR="2F23A51D" w:rsidRPr="00305597">
        <w:rPr>
          <w:b/>
          <w:bCs/>
        </w:rPr>
        <w:t xml:space="preserve"> </w:t>
      </w:r>
      <w:r w:rsidR="00C350DC" w:rsidRPr="00305597">
        <w:t>were conducted</w:t>
      </w:r>
      <w:r w:rsidR="008622A6" w:rsidRPr="00305597">
        <w:t xml:space="preserve">. </w:t>
      </w:r>
      <w:r w:rsidR="009E5279" w:rsidRPr="00305597">
        <w:t xml:space="preserve">It included </w:t>
      </w:r>
      <w:r w:rsidR="2F23A51D" w:rsidRPr="00305597">
        <w:rPr>
          <w:b/>
        </w:rPr>
        <w:t xml:space="preserve">25 interviews </w:t>
      </w:r>
      <w:r w:rsidR="2F23A51D" w:rsidRPr="00305597">
        <w:t xml:space="preserve">comprising seven large enterprises, six SMEs, </w:t>
      </w:r>
      <w:r w:rsidR="001A37AD" w:rsidRPr="00305597">
        <w:t>five</w:t>
      </w:r>
      <w:r w:rsidR="2F23A51D" w:rsidRPr="00305597">
        <w:t xml:space="preserve"> public authorities, </w:t>
      </w:r>
      <w:r w:rsidR="001A37AD" w:rsidRPr="00305597">
        <w:t xml:space="preserve">one EU agency, </w:t>
      </w:r>
      <w:r w:rsidR="2F23A51D" w:rsidRPr="00305597">
        <w:t>four EU</w:t>
      </w:r>
      <w:r w:rsidR="001A37AD" w:rsidRPr="00305597">
        <w:t xml:space="preserve"> business</w:t>
      </w:r>
      <w:r w:rsidR="2F23A51D" w:rsidRPr="00305597">
        <w:t xml:space="preserve"> associations, one national </w:t>
      </w:r>
      <w:r w:rsidR="001A37AD" w:rsidRPr="00305597">
        <w:t xml:space="preserve">business </w:t>
      </w:r>
      <w:r w:rsidR="2F23A51D" w:rsidRPr="00305597">
        <w:t>association, and one NGO</w:t>
      </w:r>
      <w:r w:rsidR="3321781A" w:rsidRPr="00305597">
        <w:t>.</w:t>
      </w:r>
    </w:p>
    <w:p w14:paraId="22D105F6" w14:textId="68CD850E" w:rsidR="2F23A51D" w:rsidRPr="00305597" w:rsidRDefault="00FA1AB6" w:rsidP="00C826F6">
      <w:r w:rsidRPr="00305597">
        <w:t>On</w:t>
      </w:r>
      <w:r w:rsidR="2F23A51D" w:rsidRPr="00305597" w:rsidDel="00FA1AB6">
        <w:t xml:space="preserve"> </w:t>
      </w:r>
      <w:r w:rsidR="2F23A51D" w:rsidRPr="00305597">
        <w:t xml:space="preserve">clinical trials </w:t>
      </w:r>
      <w:r w:rsidR="00175754">
        <w:t>(CT)</w:t>
      </w:r>
      <w:r w:rsidR="2F23A51D" w:rsidRPr="00305597">
        <w:t xml:space="preserve"> in Europe</w:t>
      </w:r>
      <w:r w:rsidRPr="00305597">
        <w:t xml:space="preserve">, </w:t>
      </w:r>
      <w:r w:rsidRPr="00305597">
        <w:rPr>
          <w:b/>
        </w:rPr>
        <w:t>targeted</w:t>
      </w:r>
      <w:r w:rsidR="2F23A51D" w:rsidRPr="00305597">
        <w:rPr>
          <w:b/>
        </w:rPr>
        <w:t xml:space="preserve"> interviews, surveys and consultations</w:t>
      </w:r>
      <w:r w:rsidR="2F23A51D" w:rsidRPr="00305597">
        <w:t xml:space="preserve"> with the </w:t>
      </w:r>
      <w:r w:rsidR="00301631" w:rsidRPr="00305597">
        <w:t xml:space="preserve">study </w:t>
      </w:r>
      <w:r w:rsidR="2F23A51D" w:rsidRPr="00305597">
        <w:t xml:space="preserve">team’s subject matter experts </w:t>
      </w:r>
      <w:r w:rsidRPr="00305597">
        <w:t>were conducted</w:t>
      </w:r>
      <w:r w:rsidR="3321781A" w:rsidRPr="00305597">
        <w:t>.</w:t>
      </w:r>
      <w:r w:rsidR="009D601C" w:rsidRPr="00305597">
        <w:t xml:space="preserve"> </w:t>
      </w:r>
      <w:r w:rsidR="00A63E61" w:rsidRPr="00305597">
        <w:t>T</w:t>
      </w:r>
      <w:r w:rsidR="2F23A51D" w:rsidRPr="00305597">
        <w:t>wo rounds</w:t>
      </w:r>
      <w:r w:rsidR="00A63E61" w:rsidRPr="00305597">
        <w:t xml:space="preserve"> of stakeholder interviews were conducted, </w:t>
      </w:r>
      <w:r w:rsidR="00305597" w:rsidRPr="00305597">
        <w:t>comprising a total of</w:t>
      </w:r>
      <w:r w:rsidR="2F23A51D" w:rsidRPr="00305597">
        <w:t xml:space="preserve"> </w:t>
      </w:r>
      <w:r w:rsidR="2F23A51D" w:rsidRPr="00305597">
        <w:rPr>
          <w:b/>
        </w:rPr>
        <w:t>ten interviews with nine stakeholders</w:t>
      </w:r>
      <w:r w:rsidR="2F23A51D" w:rsidRPr="00305597">
        <w:t>, representing four industry associations,</w:t>
      </w:r>
      <w:r w:rsidR="2F23A51D" w:rsidRPr="00305597" w:rsidDel="008A3DE4">
        <w:t xml:space="preserve"> </w:t>
      </w:r>
      <w:r w:rsidR="127C3D39" w:rsidRPr="00305597">
        <w:t>two</w:t>
      </w:r>
      <w:r w:rsidR="008A3DE4" w:rsidRPr="00305597">
        <w:t xml:space="preserve"> </w:t>
      </w:r>
      <w:r w:rsidR="2F23A51D" w:rsidRPr="00305597">
        <w:t xml:space="preserve">large enterprises, and </w:t>
      </w:r>
      <w:r w:rsidR="15DCE577" w:rsidRPr="00305597">
        <w:t>one</w:t>
      </w:r>
      <w:r w:rsidR="008A3DE4" w:rsidRPr="00305597">
        <w:t xml:space="preserve"> </w:t>
      </w:r>
      <w:r w:rsidR="2F23A51D" w:rsidRPr="00305597">
        <w:t>each from a European agency, a research network, and a private non-profit organisation.</w:t>
      </w:r>
    </w:p>
    <w:p w14:paraId="0F9316F8" w14:textId="30CBC5EF" w:rsidR="2F23A51D" w:rsidRPr="00B603C0" w:rsidRDefault="009D601C" w:rsidP="00C826F6">
      <w:r w:rsidRPr="00860819">
        <w:t>On CTs,</w:t>
      </w:r>
      <w:r w:rsidRPr="00305597">
        <w:t xml:space="preserve"> t</w:t>
      </w:r>
      <w:r w:rsidR="2F23A51D" w:rsidRPr="00305597">
        <w:t xml:space="preserve">hree </w:t>
      </w:r>
      <w:r w:rsidR="2F23A51D" w:rsidRPr="00305597">
        <w:rPr>
          <w:b/>
          <w:bCs/>
        </w:rPr>
        <w:t>surveys</w:t>
      </w:r>
      <w:r w:rsidR="2F23A51D" w:rsidRPr="00305597">
        <w:t xml:space="preserve"> were </w:t>
      </w:r>
      <w:r w:rsidRPr="00305597">
        <w:t xml:space="preserve">also </w:t>
      </w:r>
      <w:r w:rsidR="2F23A51D" w:rsidRPr="00305597">
        <w:t>launched</w:t>
      </w:r>
      <w:r w:rsidR="001F202B" w:rsidRPr="00305597">
        <w:t>. One survey</w:t>
      </w:r>
      <w:r w:rsidR="2F23A51D" w:rsidRPr="00305597">
        <w:t xml:space="preserve"> target</w:t>
      </w:r>
      <w:r w:rsidR="001F202B" w:rsidRPr="00305597">
        <w:t>ed</w:t>
      </w:r>
      <w:r w:rsidR="2F23A51D" w:rsidRPr="00305597">
        <w:t xml:space="preserve"> </w:t>
      </w:r>
      <w:r w:rsidR="2F23A51D" w:rsidRPr="00305597">
        <w:rPr>
          <w:b/>
          <w:bCs/>
        </w:rPr>
        <w:t>sponsors and contract research organisations</w:t>
      </w:r>
      <w:r w:rsidR="2F23A51D" w:rsidRPr="00305597">
        <w:t xml:space="preserve"> (CROs) involved in clinical trials</w:t>
      </w:r>
      <w:r w:rsidR="001F202B" w:rsidRPr="00305597">
        <w:t>. It</w:t>
      </w:r>
      <w:r w:rsidR="2F23A51D" w:rsidRPr="00305597">
        <w:t xml:space="preserve"> </w:t>
      </w:r>
      <w:r w:rsidR="001F202B" w:rsidRPr="00305597">
        <w:t>received 48 responses, 32 from commercial sponsors,</w:t>
      </w:r>
      <w:r w:rsidR="001F202B" w:rsidRPr="00305597" w:rsidDel="00AE6048">
        <w:t xml:space="preserve"> </w:t>
      </w:r>
      <w:r w:rsidR="4F7CA8CF" w:rsidRPr="00305597">
        <w:t>six</w:t>
      </w:r>
      <w:r w:rsidR="00AE6048" w:rsidRPr="00305597">
        <w:t xml:space="preserve"> </w:t>
      </w:r>
      <w:r w:rsidR="001F202B" w:rsidRPr="00305597">
        <w:t>from non-commercial sponsors, three from CROs, and seven from other stakeholders (including non-profits, hospital owners, advocacy groups, research infrastructures, trade associations, and life sciences providers). Thus, the response rate for this survey was approximately 23.8</w:t>
      </w:r>
      <w:r w:rsidR="006856C2">
        <w:t>%</w:t>
      </w:r>
      <w:r w:rsidR="001F202B" w:rsidRPr="00305597">
        <w:t xml:space="preserve"> (48/202).</w:t>
      </w:r>
      <w:r w:rsidRPr="00305597">
        <w:t xml:space="preserve"> </w:t>
      </w:r>
      <w:r w:rsidR="001F202B" w:rsidRPr="00305597">
        <w:t>A second survey</w:t>
      </w:r>
      <w:r w:rsidR="2F23A51D" w:rsidRPr="00305597">
        <w:t xml:space="preserve"> </w:t>
      </w:r>
      <w:r w:rsidR="001F202B" w:rsidRPr="00305597">
        <w:t xml:space="preserve">was </w:t>
      </w:r>
      <w:r w:rsidR="2F23A51D" w:rsidRPr="00305597">
        <w:t xml:space="preserve">directed at </w:t>
      </w:r>
      <w:r w:rsidR="2F23A51D" w:rsidRPr="00305597">
        <w:rPr>
          <w:b/>
          <w:bCs/>
        </w:rPr>
        <w:t>public authorities</w:t>
      </w:r>
      <w:r w:rsidR="2F23A51D" w:rsidRPr="00305597">
        <w:t xml:space="preserve"> (including ethics committees and national competent authorities)</w:t>
      </w:r>
      <w:r w:rsidR="001F202B" w:rsidRPr="00305597">
        <w:t xml:space="preserve">. </w:t>
      </w:r>
      <w:r w:rsidRPr="00305597">
        <w:t xml:space="preserve">It </w:t>
      </w:r>
      <w:r w:rsidR="001A2E2D" w:rsidRPr="00305597">
        <w:t>yielded</w:t>
      </w:r>
      <w:r w:rsidRPr="00305597">
        <w:t xml:space="preserve"> 44 responses from public authorities</w:t>
      </w:r>
      <w:r w:rsidR="001A2E2D" w:rsidRPr="00305597">
        <w:t xml:space="preserve"> with </w:t>
      </w:r>
      <w:r w:rsidRPr="00305597">
        <w:t>approximat</w:t>
      </w:r>
      <w:r w:rsidR="001A2E2D" w:rsidRPr="00305597">
        <w:t>e response rate of</w:t>
      </w:r>
      <w:r w:rsidRPr="00305597">
        <w:t xml:space="preserve"> 32.6</w:t>
      </w:r>
      <w:r w:rsidR="006856C2">
        <w:t>%</w:t>
      </w:r>
      <w:r w:rsidR="00FB2603" w:rsidRPr="00305597">
        <w:t>, including</w:t>
      </w:r>
      <w:r w:rsidRPr="00305597">
        <w:t xml:space="preserve"> </w:t>
      </w:r>
      <w:r w:rsidR="003610D3" w:rsidRPr="00305597">
        <w:t>20 responses from</w:t>
      </w:r>
      <w:r w:rsidRPr="00305597">
        <w:t xml:space="preserve"> ethics committees and national competent authorities each</w:t>
      </w:r>
      <w:r w:rsidR="00FB2603" w:rsidRPr="00305597">
        <w:t>, t</w:t>
      </w:r>
      <w:r w:rsidRPr="00305597">
        <w:t>hree responses from ministries or government bodies, and one respondent identified as both a ministry and an ethics committee</w:t>
      </w:r>
      <w:r w:rsidR="00876DA8" w:rsidRPr="00305597">
        <w:t xml:space="preserve">. </w:t>
      </w:r>
      <w:r w:rsidR="001F202B" w:rsidRPr="00305597">
        <w:t xml:space="preserve">A third </w:t>
      </w:r>
      <w:r w:rsidR="00BC0C40" w:rsidRPr="00305597">
        <w:t>survey</w:t>
      </w:r>
      <w:r w:rsidR="2F23A51D" w:rsidRPr="00305597">
        <w:t xml:space="preserve"> aimed at </w:t>
      </w:r>
      <w:r w:rsidR="2F23A51D" w:rsidRPr="00305597">
        <w:rPr>
          <w:b/>
          <w:bCs/>
        </w:rPr>
        <w:t>patient representative organisations</w:t>
      </w:r>
      <w:r w:rsidR="00BC0C40" w:rsidRPr="00305597">
        <w:t>, collecting only</w:t>
      </w:r>
      <w:r w:rsidR="2F23A51D" w:rsidRPr="00305597">
        <w:t xml:space="preserve"> one </w:t>
      </w:r>
      <w:r w:rsidR="00BC0C40" w:rsidRPr="00305597">
        <w:t>response from a</w:t>
      </w:r>
      <w:r w:rsidR="2F23A51D" w:rsidRPr="00305597">
        <w:t xml:space="preserve"> national, disease-specific patient organisation active </w:t>
      </w:r>
      <w:r w:rsidR="2F23A51D" w:rsidRPr="00B603C0">
        <w:t xml:space="preserve">in clinical trials across </w:t>
      </w:r>
      <w:r w:rsidR="00175754">
        <w:t>eight</w:t>
      </w:r>
      <w:r w:rsidR="00AE6048" w:rsidRPr="00B603C0">
        <w:t xml:space="preserve"> </w:t>
      </w:r>
      <w:r w:rsidR="2F23A51D" w:rsidRPr="00B603C0">
        <w:t xml:space="preserve">EU </w:t>
      </w:r>
      <w:r w:rsidR="4EF5CC81" w:rsidRPr="00B603C0">
        <w:t>M</w:t>
      </w:r>
      <w:r w:rsidR="3321781A" w:rsidRPr="00B603C0">
        <w:t xml:space="preserve">ember </w:t>
      </w:r>
      <w:r w:rsidR="4EF5CC81" w:rsidRPr="00B603C0">
        <w:t>S</w:t>
      </w:r>
      <w:r w:rsidR="3321781A" w:rsidRPr="00B603C0">
        <w:t>tates</w:t>
      </w:r>
      <w:r w:rsidR="2F23A51D" w:rsidRPr="00B603C0">
        <w:t xml:space="preserve"> and </w:t>
      </w:r>
      <w:r w:rsidR="00175754">
        <w:t>two</w:t>
      </w:r>
      <w:r w:rsidR="00AE6048" w:rsidRPr="00B603C0">
        <w:t xml:space="preserve"> </w:t>
      </w:r>
      <w:r w:rsidR="2F23A51D" w:rsidRPr="00B603C0">
        <w:t>third countries. This resulted in a response rate of 8.3</w:t>
      </w:r>
      <w:r w:rsidR="006856C2">
        <w:t>%</w:t>
      </w:r>
      <w:r w:rsidR="2F23A51D" w:rsidRPr="00B603C0">
        <w:t xml:space="preserve"> (1/12)</w:t>
      </w:r>
      <w:r w:rsidR="00BC0C40" w:rsidRPr="00B603C0">
        <w:t>.</w:t>
      </w:r>
    </w:p>
    <w:p w14:paraId="2CB02953" w14:textId="14753F98" w:rsidR="2F23A51D" w:rsidRPr="001713E4" w:rsidRDefault="00876DA8" w:rsidP="00C826F6">
      <w:r w:rsidRPr="00B603C0">
        <w:t xml:space="preserve">With regards to </w:t>
      </w:r>
      <w:r w:rsidR="2F23A51D" w:rsidRPr="00B603C0">
        <w:t>Pillar B</w:t>
      </w:r>
      <w:r w:rsidRPr="00B603C0">
        <w:t xml:space="preserve"> of the study</w:t>
      </w:r>
      <w:r w:rsidR="00175754">
        <w:t xml:space="preserve"> (see above)</w:t>
      </w:r>
      <w:r w:rsidRPr="00B603C0">
        <w:t xml:space="preserve">, </w:t>
      </w:r>
      <w:r w:rsidRPr="00B603C0">
        <w:rPr>
          <w:b/>
          <w:bCs/>
        </w:rPr>
        <w:t>t</w:t>
      </w:r>
      <w:r w:rsidR="2F23A51D" w:rsidRPr="00B603C0">
        <w:rPr>
          <w:b/>
          <w:bCs/>
        </w:rPr>
        <w:t>wo</w:t>
      </w:r>
      <w:r w:rsidR="2F23A51D" w:rsidRPr="00B603C0">
        <w:rPr>
          <w:b/>
        </w:rPr>
        <w:t xml:space="preserve"> surveys</w:t>
      </w:r>
      <w:r w:rsidR="2F23A51D" w:rsidRPr="00B603C0">
        <w:t xml:space="preserve"> were conducted, along with</w:t>
      </w:r>
      <w:r w:rsidR="2F23A51D" w:rsidRPr="00B603C0">
        <w:rPr>
          <w:b/>
        </w:rPr>
        <w:t xml:space="preserve"> ten interviews and five workshops</w:t>
      </w:r>
      <w:r w:rsidR="2F23A51D" w:rsidRPr="00B603C0">
        <w:t xml:space="preserve">. One </w:t>
      </w:r>
      <w:r w:rsidR="2F23A51D" w:rsidRPr="00B603C0">
        <w:rPr>
          <w:b/>
        </w:rPr>
        <w:t>survey</w:t>
      </w:r>
      <w:r w:rsidR="2F23A51D" w:rsidRPr="00B603C0">
        <w:t xml:space="preserve"> was focused on </w:t>
      </w:r>
      <w:r w:rsidR="2F23A51D" w:rsidRPr="00B603C0">
        <w:rPr>
          <w:b/>
        </w:rPr>
        <w:t>public authorities</w:t>
      </w:r>
      <w:r w:rsidR="2F23A51D" w:rsidRPr="00B603C0">
        <w:t xml:space="preserve"> across the EU Member States</w:t>
      </w:r>
      <w:r w:rsidR="00DE67FE" w:rsidRPr="00B603C0">
        <w:t>.</w:t>
      </w:r>
      <w:r w:rsidR="00C826F6" w:rsidRPr="00B603C0">
        <w:t xml:space="preserve"> </w:t>
      </w:r>
      <w:r w:rsidR="00DE67FE" w:rsidRPr="00B603C0">
        <w:t>A second survey</w:t>
      </w:r>
      <w:r w:rsidR="2F23A51D" w:rsidRPr="00B603C0" w:rsidDel="00DE67FE">
        <w:t xml:space="preserve"> </w:t>
      </w:r>
      <w:r w:rsidR="2F23A51D" w:rsidRPr="00B603C0">
        <w:t xml:space="preserve">was broader in scope and covered </w:t>
      </w:r>
      <w:r w:rsidR="2F23A51D" w:rsidRPr="00B603C0">
        <w:rPr>
          <w:b/>
        </w:rPr>
        <w:t>all types of stakeholders</w:t>
      </w:r>
      <w:r w:rsidR="2F23A51D" w:rsidRPr="00B603C0">
        <w:t xml:space="preserve"> (e.g. NGOs, business associations at EU and national levels, industry, academia, etc.)</w:t>
      </w:r>
      <w:r w:rsidR="02D40E99" w:rsidRPr="00B603C0">
        <w:t>.</w:t>
      </w:r>
      <w:r w:rsidR="2F23A51D" w:rsidRPr="00B603C0">
        <w:t xml:space="preserve"> In total, 334 responses were received in both surveys</w:t>
      </w:r>
      <w:r w:rsidR="00A30EA0" w:rsidRPr="00B603C0">
        <w:t>. C</w:t>
      </w:r>
      <w:r w:rsidR="2F23A51D" w:rsidRPr="00B603C0">
        <w:t>onsidering</w:t>
      </w:r>
      <w:r w:rsidR="2F23A51D" w:rsidRPr="001207C6">
        <w:t xml:space="preserve"> </w:t>
      </w:r>
      <w:r w:rsidR="2F23A51D" w:rsidRPr="001207C6">
        <w:lastRenderedPageBreak/>
        <w:t>duplications in entries from stakeholders, 274 responses were considered for the analysis.</w:t>
      </w:r>
      <w:r w:rsidR="00403553" w:rsidRPr="001207C6">
        <w:t xml:space="preserve"> </w:t>
      </w:r>
      <w:r w:rsidR="2F23A51D" w:rsidRPr="001207C6">
        <w:t xml:space="preserve">Ten </w:t>
      </w:r>
      <w:r w:rsidR="2F23A51D" w:rsidRPr="001207C6">
        <w:rPr>
          <w:b/>
        </w:rPr>
        <w:t>interviews</w:t>
      </w:r>
      <w:r w:rsidR="2F23A51D" w:rsidRPr="001207C6">
        <w:t xml:space="preserve"> were carried out to understand the regulatory challenges that stakeholders encounter, the legislation currently impacting them, and potential policy areas for simplification</w:t>
      </w:r>
      <w:r w:rsidR="3321781A" w:rsidRPr="001207C6">
        <w:t>.</w:t>
      </w:r>
      <w:r w:rsidR="00403553" w:rsidRPr="001207C6">
        <w:t xml:space="preserve"> </w:t>
      </w:r>
      <w:r w:rsidR="7A2D5B00" w:rsidRPr="001207C6">
        <w:rPr>
          <w:b/>
          <w:bCs/>
        </w:rPr>
        <w:t>Five workshops</w:t>
      </w:r>
      <w:r w:rsidR="7A2D5B00" w:rsidRPr="001207C6">
        <w:t xml:space="preserve"> were carried out to gather insights into regulatory challenges that stakeholders face and identify potential legislation that brings such challenges. Each workshop focused on a specific sector, i.e. health/pharma, agriculture/environment, </w:t>
      </w:r>
      <w:r w:rsidR="0004745F">
        <w:t>food</w:t>
      </w:r>
      <w:r w:rsidR="7A2D5B00" w:rsidRPr="001207C6">
        <w:t xml:space="preserve"> and feed, bio-based chemicals and plastics, and bio-based materials. For each sector, relevant actors active in the specific field of the workshop were </w:t>
      </w:r>
      <w:r w:rsidR="7A2D5B00" w:rsidRPr="001713E4">
        <w:t>invited to participate</w:t>
      </w:r>
      <w:r w:rsidR="6E7C730E" w:rsidRPr="001713E4">
        <w:t>.</w:t>
      </w:r>
    </w:p>
    <w:p w14:paraId="1414BB0E" w14:textId="0F20D751" w:rsidR="00914C0C" w:rsidRPr="009649A3" w:rsidRDefault="00914C0C" w:rsidP="0DC756F4">
      <w:pPr>
        <w:rPr>
          <w:b/>
          <w:i/>
          <w:u w:val="single"/>
        </w:rPr>
      </w:pPr>
      <w:r w:rsidRPr="009649A3">
        <w:rPr>
          <w:b/>
          <w:i/>
          <w:u w:val="single"/>
        </w:rPr>
        <w:t xml:space="preserve">Landscape </w:t>
      </w:r>
      <w:r w:rsidR="7E410C1B" w:rsidRPr="009649A3">
        <w:rPr>
          <w:b/>
          <w:i/>
          <w:u w:val="single"/>
        </w:rPr>
        <w:t>A</w:t>
      </w:r>
      <w:r w:rsidRPr="009649A3">
        <w:rPr>
          <w:b/>
          <w:i/>
          <w:u w:val="single"/>
        </w:rPr>
        <w:t xml:space="preserve">nalysis </w:t>
      </w:r>
      <w:r w:rsidR="203F7684" w:rsidRPr="009649A3">
        <w:rPr>
          <w:b/>
          <w:i/>
          <w:u w:val="single"/>
        </w:rPr>
        <w:t>S</w:t>
      </w:r>
      <w:r w:rsidRPr="009649A3">
        <w:rPr>
          <w:b/>
          <w:i/>
          <w:u w:val="single"/>
        </w:rPr>
        <w:t>tudy of the biotechnology sector in the Union with a view to foster its competitiveness and innovation</w:t>
      </w:r>
    </w:p>
    <w:p w14:paraId="16ED6E0B" w14:textId="5F4EAE04" w:rsidR="000D296C" w:rsidRDefault="2BBF603F" w:rsidP="00C826F6">
      <w:r w:rsidRPr="001713E4">
        <w:t xml:space="preserve">The Landscape Analysis Study draws on evidence from the CfE, PC and </w:t>
      </w:r>
      <w:r w:rsidRPr="001713E4">
        <w:rPr>
          <w:b/>
          <w:bCs/>
        </w:rPr>
        <w:t xml:space="preserve">targeted stakeholder interviews, workshops and case studies. </w:t>
      </w:r>
      <w:r w:rsidR="661DEE1B" w:rsidRPr="001713E4">
        <w:t>It</w:t>
      </w:r>
      <w:r w:rsidR="28F2A396" w:rsidRPr="001713E4">
        <w:t xml:space="preserve"> includes</w:t>
      </w:r>
      <w:r w:rsidR="28F2A396">
        <w:t xml:space="preserve"> </w:t>
      </w:r>
      <w:r w:rsidRPr="337FA1CF">
        <w:t>28</w:t>
      </w:r>
      <w:r>
        <w:t xml:space="preserve"> </w:t>
      </w:r>
      <w:r w:rsidRPr="00C826F6">
        <w:rPr>
          <w:b/>
          <w:bCs/>
        </w:rPr>
        <w:t>interviews</w:t>
      </w:r>
      <w:r w:rsidRPr="337FA1CF">
        <w:t xml:space="preserve"> with organisations, covering the five pillars Access to Finance (eleven interviews</w:t>
      </w:r>
      <w:r w:rsidR="004867DD">
        <w:t xml:space="preserve">, </w:t>
      </w:r>
      <w:r w:rsidR="00CF3508">
        <w:t>five</w:t>
      </w:r>
      <w:r w:rsidR="004867DD">
        <w:t xml:space="preserve"> with private sector funders and </w:t>
      </w:r>
      <w:r w:rsidR="00CF3508">
        <w:t>six</w:t>
      </w:r>
      <w:r w:rsidR="004867DD">
        <w:t xml:space="preserve"> with public sector funders</w:t>
      </w:r>
      <w:r w:rsidRPr="337FA1CF">
        <w:t>), AI and Data (</w:t>
      </w:r>
      <w:r w:rsidR="009C4B6F">
        <w:t xml:space="preserve">six interviews, </w:t>
      </w:r>
      <w:r w:rsidR="00CF3508">
        <w:t>two</w:t>
      </w:r>
      <w:r w:rsidR="009C4B6F">
        <w:t xml:space="preserve"> businesses, </w:t>
      </w:r>
      <w:r w:rsidR="00CF3508">
        <w:t>one</w:t>
      </w:r>
      <w:r w:rsidR="009C4B6F">
        <w:t xml:space="preserve"> trade association, </w:t>
      </w:r>
      <w:r w:rsidR="00CF3508">
        <w:t>two</w:t>
      </w:r>
      <w:r w:rsidR="009C4B6F">
        <w:t xml:space="preserve"> research organisations and </w:t>
      </w:r>
      <w:r w:rsidR="00CF3508">
        <w:t>one</w:t>
      </w:r>
      <w:r w:rsidR="009C4B6F">
        <w:t xml:space="preserve"> public-private partnership</w:t>
      </w:r>
      <w:r w:rsidRPr="337FA1CF">
        <w:t>), Cluster (</w:t>
      </w:r>
      <w:r w:rsidR="009C4B6F">
        <w:t>three</w:t>
      </w:r>
      <w:r w:rsidR="009C4B6F" w:rsidRPr="337FA1CF">
        <w:t xml:space="preserve"> </w:t>
      </w:r>
      <w:r w:rsidRPr="337FA1CF">
        <w:t>interviews</w:t>
      </w:r>
      <w:r w:rsidR="009C4B6F">
        <w:t xml:space="preserve"> with clusters</w:t>
      </w:r>
      <w:r w:rsidRPr="337FA1CF">
        <w:t>), Skills (four interviews</w:t>
      </w:r>
      <w:r w:rsidR="00F934AC">
        <w:t xml:space="preserve"> with research</w:t>
      </w:r>
      <w:r w:rsidR="00210558">
        <w:t xml:space="preserve"> and training</w:t>
      </w:r>
      <w:r w:rsidR="00B764C9">
        <w:t>, and education organisations/infrastructures</w:t>
      </w:r>
      <w:r w:rsidRPr="337FA1CF">
        <w:t>), and Security and Defence (</w:t>
      </w:r>
      <w:r w:rsidR="00884660">
        <w:t>five</w:t>
      </w:r>
      <w:r w:rsidRPr="337FA1CF">
        <w:t xml:space="preserve"> interviews</w:t>
      </w:r>
      <w:r w:rsidR="00884660">
        <w:t xml:space="preserve"> with </w:t>
      </w:r>
      <w:r w:rsidR="00175754">
        <w:t>two</w:t>
      </w:r>
      <w:r w:rsidR="00884660">
        <w:t xml:space="preserve"> private sector companies and </w:t>
      </w:r>
      <w:r w:rsidR="00175754">
        <w:t>three</w:t>
      </w:r>
      <w:r w:rsidR="00884660">
        <w:t xml:space="preserve"> research intermedia</w:t>
      </w:r>
      <w:r w:rsidR="006967F3">
        <w:t>ries</w:t>
      </w:r>
      <w:r w:rsidR="661DEE1B" w:rsidRPr="0071524B">
        <w:t>)</w:t>
      </w:r>
      <w:r w:rsidR="661DEE1B">
        <w:t>.</w:t>
      </w:r>
      <w:r>
        <w:t xml:space="preserve"> </w:t>
      </w:r>
    </w:p>
    <w:p w14:paraId="65F1DFA2" w14:textId="190F76D8" w:rsidR="337FA1CF" w:rsidRPr="001713E4" w:rsidRDefault="2BBF603F" w:rsidP="00C826F6">
      <w:r w:rsidRPr="0071524B">
        <w:t xml:space="preserve">Four </w:t>
      </w:r>
      <w:r w:rsidRPr="0071524B">
        <w:rPr>
          <w:b/>
          <w:bCs/>
        </w:rPr>
        <w:t>workshops</w:t>
      </w:r>
      <w:r w:rsidR="00914C0C" w:rsidRPr="0071524B">
        <w:rPr>
          <w:rStyle w:val="FootnoteReference"/>
        </w:rPr>
        <w:footnoteReference w:id="19"/>
      </w:r>
      <w:r w:rsidRPr="0071524B">
        <w:t xml:space="preserve"> were conducted</w:t>
      </w:r>
      <w:r w:rsidR="00996E85">
        <w:t xml:space="preserve"> on </w:t>
      </w:r>
      <w:r w:rsidRPr="0071524B">
        <w:t>Access to Finance</w:t>
      </w:r>
      <w:r w:rsidR="00AA6FFE">
        <w:t xml:space="preserve"> (</w:t>
      </w:r>
      <w:r w:rsidR="00175754">
        <w:t>three</w:t>
      </w:r>
      <w:r w:rsidR="00AA6FFE">
        <w:t xml:space="preserve"> public funders, </w:t>
      </w:r>
      <w:r w:rsidR="00175754">
        <w:t>four</w:t>
      </w:r>
      <w:r w:rsidR="00AA6FFE">
        <w:t xml:space="preserve"> private funders</w:t>
      </w:r>
      <w:r w:rsidR="00CB4D39">
        <w:t xml:space="preserve">, </w:t>
      </w:r>
      <w:r w:rsidR="00175754">
        <w:t>one</w:t>
      </w:r>
      <w:r w:rsidR="00CB4D39">
        <w:t xml:space="preserve"> institutional investor, </w:t>
      </w:r>
      <w:r w:rsidR="00175754">
        <w:t>two</w:t>
      </w:r>
      <w:r w:rsidR="00CB4D39">
        <w:t xml:space="preserve"> industry associations</w:t>
      </w:r>
      <w:r w:rsidR="005B2ADA">
        <w:t>)</w:t>
      </w:r>
      <w:r w:rsidRPr="0071524B">
        <w:t>, Skills</w:t>
      </w:r>
      <w:r w:rsidR="005B2ADA">
        <w:t xml:space="preserve"> (11 research organisations and research infrastructure, </w:t>
      </w:r>
      <w:r w:rsidR="00175754">
        <w:t>two</w:t>
      </w:r>
      <w:r w:rsidR="005B2ADA">
        <w:t xml:space="preserve"> businesses, </w:t>
      </w:r>
      <w:r w:rsidR="00175754">
        <w:t>one</w:t>
      </w:r>
      <w:r w:rsidR="00066096">
        <w:t xml:space="preserve"> intermediary, </w:t>
      </w:r>
      <w:r w:rsidR="00175754">
        <w:t>five</w:t>
      </w:r>
      <w:r w:rsidR="00066096">
        <w:t xml:space="preserve"> business associations)</w:t>
      </w:r>
      <w:r w:rsidRPr="0071524B">
        <w:t>, Clusters</w:t>
      </w:r>
      <w:r w:rsidR="00066096">
        <w:t xml:space="preserve"> (</w:t>
      </w:r>
      <w:r w:rsidR="00175754">
        <w:t>eight</w:t>
      </w:r>
      <w:r w:rsidR="00066096">
        <w:t xml:space="preserve"> representatives of European and regional cluster organisations, </w:t>
      </w:r>
      <w:r w:rsidR="00175754">
        <w:t>one</w:t>
      </w:r>
      <w:r w:rsidR="00066096">
        <w:t xml:space="preserve"> infrastructure provider, </w:t>
      </w:r>
      <w:r w:rsidR="00175754">
        <w:t>one</w:t>
      </w:r>
      <w:r w:rsidR="00066096">
        <w:t xml:space="preserve"> ecosystem intermediary and </w:t>
      </w:r>
      <w:r w:rsidR="00175754">
        <w:t>one</w:t>
      </w:r>
      <w:r w:rsidR="00066096">
        <w:t xml:space="preserve"> EU institution)</w:t>
      </w:r>
      <w:r w:rsidRPr="0071524B">
        <w:t>, AI and Data</w:t>
      </w:r>
      <w:r w:rsidR="009E74EF">
        <w:t xml:space="preserve"> (</w:t>
      </w:r>
      <w:r w:rsidR="00E97318">
        <w:t>three</w:t>
      </w:r>
      <w:r w:rsidR="009E74EF">
        <w:t xml:space="preserve"> businesses, </w:t>
      </w:r>
      <w:r w:rsidR="00E97318">
        <w:t>four</w:t>
      </w:r>
      <w:r w:rsidR="009E74EF">
        <w:t xml:space="preserve"> research organisations, </w:t>
      </w:r>
      <w:r w:rsidR="00E97318">
        <w:t>two</w:t>
      </w:r>
      <w:r w:rsidR="009E74EF">
        <w:t xml:space="preserve"> industry </w:t>
      </w:r>
      <w:r w:rsidR="00652B8E">
        <w:t xml:space="preserve">associations, </w:t>
      </w:r>
      <w:r w:rsidR="00E97318">
        <w:t>one</w:t>
      </w:r>
      <w:r w:rsidR="00652B8E">
        <w:t xml:space="preserve"> public organisation)</w:t>
      </w:r>
      <w:r w:rsidR="00996E85">
        <w:t xml:space="preserve"> </w:t>
      </w:r>
      <w:r w:rsidR="00996E85" w:rsidRPr="001713E4">
        <w:t>respectively</w:t>
      </w:r>
      <w:r w:rsidRPr="001713E4">
        <w:t>.</w:t>
      </w:r>
    </w:p>
    <w:p w14:paraId="408E7864" w14:textId="53FD3715" w:rsidR="2F23A51D" w:rsidRPr="007052FB" w:rsidRDefault="2F23A51D" w:rsidP="2149C09D">
      <w:pPr>
        <w:rPr>
          <w:i/>
          <w:u w:val="single"/>
        </w:rPr>
      </w:pPr>
      <w:r w:rsidRPr="009649A3">
        <w:rPr>
          <w:b/>
          <w:i/>
          <w:u w:val="single"/>
        </w:rPr>
        <w:t>Study to support the rapid assessment of policy scenarios to strengthen innovation and competitiveness in the field of biotechnology in the EU</w:t>
      </w:r>
    </w:p>
    <w:p w14:paraId="50BC26E0" w14:textId="524AC23A" w:rsidR="69DFDA1F" w:rsidRPr="0071524B" w:rsidRDefault="6A96ACCD" w:rsidP="00C826F6">
      <w:pPr>
        <w:rPr>
          <w:rFonts w:eastAsia="Times New Roman"/>
        </w:rPr>
      </w:pPr>
      <w:r w:rsidRPr="5131E815">
        <w:rPr>
          <w:rFonts w:eastAsia="Times New Roman"/>
        </w:rPr>
        <w:t>As part of the study, the project team carried out a stakeholder consultation programme comprising three targeted workshops and a series of semi-structured interviews. Consultations were conducted between January and March 2026 and covered the main policy intervention areas addressed in the study</w:t>
      </w:r>
    </w:p>
    <w:p w14:paraId="79E5DBE3" w14:textId="014F01DB" w:rsidR="38F9CAFE" w:rsidRDefault="6A96ACCD" w:rsidP="007B7EFD">
      <w:pPr>
        <w:rPr>
          <w:rFonts w:eastAsia="Times New Roman"/>
        </w:rPr>
      </w:pPr>
      <w:r w:rsidRPr="5131E815">
        <w:rPr>
          <w:rFonts w:eastAsia="Times New Roman"/>
        </w:rPr>
        <w:t xml:space="preserve">The online </w:t>
      </w:r>
      <w:r w:rsidRPr="009649A3">
        <w:rPr>
          <w:rFonts w:eastAsia="Times New Roman"/>
          <w:b/>
          <w:bCs/>
        </w:rPr>
        <w:t>workshops</w:t>
      </w:r>
      <w:r w:rsidRPr="5131E815">
        <w:rPr>
          <w:rFonts w:eastAsia="Times New Roman"/>
        </w:rPr>
        <w:t xml:space="preserve"> were organised to gather stakeholder views on specific thematic areas of the </w:t>
      </w:r>
      <w:r w:rsidR="00A25C33">
        <w:rPr>
          <w:rFonts w:eastAsia="Times New Roman"/>
        </w:rPr>
        <w:t xml:space="preserve">European </w:t>
      </w:r>
      <w:r w:rsidRPr="5131E815">
        <w:rPr>
          <w:rFonts w:eastAsia="Times New Roman"/>
        </w:rPr>
        <w:t>Biotech Act</w:t>
      </w:r>
      <w:r w:rsidR="007B7EFD">
        <w:rPr>
          <w:rFonts w:eastAsia="Times New Roman"/>
        </w:rPr>
        <w:t xml:space="preserve">: </w:t>
      </w:r>
      <w:r w:rsidR="38F9CAFE" w:rsidRPr="3FD745DC">
        <w:rPr>
          <w:rFonts w:eastAsia="Times New Roman"/>
        </w:rPr>
        <w:t>Clusters and Strategic Projects Workshop</w:t>
      </w:r>
      <w:r w:rsidR="38F9CAFE" w:rsidRPr="72A2BF54">
        <w:rPr>
          <w:rFonts w:eastAsia="Times New Roman"/>
        </w:rPr>
        <w:t xml:space="preserve"> (11 participants)</w:t>
      </w:r>
      <w:r w:rsidR="007B7EFD">
        <w:rPr>
          <w:rFonts w:eastAsia="Times New Roman"/>
        </w:rPr>
        <w:t xml:space="preserve">, </w:t>
      </w:r>
      <w:r w:rsidR="38F9CAFE" w:rsidRPr="3FD745DC">
        <w:rPr>
          <w:rFonts w:eastAsia="Times New Roman"/>
        </w:rPr>
        <w:t>AI and Data Workshop</w:t>
      </w:r>
      <w:r w:rsidR="38F9CAFE" w:rsidRPr="72A2BF54">
        <w:rPr>
          <w:rFonts w:eastAsia="Times New Roman"/>
        </w:rPr>
        <w:t xml:space="preserve"> </w:t>
      </w:r>
      <w:r w:rsidR="38F9CAFE" w:rsidRPr="02EB21ED">
        <w:rPr>
          <w:rFonts w:eastAsia="Times New Roman"/>
        </w:rPr>
        <w:t>(</w:t>
      </w:r>
      <w:r w:rsidR="006D4954">
        <w:rPr>
          <w:rFonts w:eastAsia="Times New Roman"/>
        </w:rPr>
        <w:t>eight</w:t>
      </w:r>
      <w:r w:rsidR="01FC3837" w:rsidRPr="02EB21ED">
        <w:rPr>
          <w:rFonts w:eastAsia="Times New Roman"/>
        </w:rPr>
        <w:t xml:space="preserve"> participants</w:t>
      </w:r>
      <w:r w:rsidR="38F9CAFE" w:rsidRPr="02EB21ED">
        <w:rPr>
          <w:rFonts w:eastAsia="Times New Roman"/>
        </w:rPr>
        <w:t>)</w:t>
      </w:r>
      <w:r w:rsidR="007B7EFD">
        <w:rPr>
          <w:rFonts w:eastAsia="Times New Roman"/>
        </w:rPr>
        <w:t xml:space="preserve">, </w:t>
      </w:r>
      <w:r w:rsidR="38F9CAFE" w:rsidRPr="3FD745DC">
        <w:rPr>
          <w:rFonts w:eastAsia="Times New Roman"/>
        </w:rPr>
        <w:t>Biosecurity Workshop</w:t>
      </w:r>
      <w:r w:rsidR="11A8FF2D" w:rsidRPr="02EB21ED">
        <w:rPr>
          <w:rFonts w:eastAsia="Times New Roman"/>
        </w:rPr>
        <w:t xml:space="preserve"> (</w:t>
      </w:r>
      <w:r w:rsidR="00003C39">
        <w:rPr>
          <w:rFonts w:eastAsia="Times New Roman"/>
        </w:rPr>
        <w:t>Ca. 100 participants</w:t>
      </w:r>
      <w:r w:rsidR="11A8FF2D" w:rsidRPr="02EB21ED">
        <w:rPr>
          <w:rFonts w:eastAsia="Times New Roman"/>
        </w:rPr>
        <w:t>)</w:t>
      </w:r>
      <w:r w:rsidR="007B7EFD">
        <w:rPr>
          <w:rFonts w:eastAsia="Times New Roman"/>
        </w:rPr>
        <w:t>.</w:t>
      </w:r>
    </w:p>
    <w:p w14:paraId="18261692" w14:textId="1108F0DD" w:rsidR="70AA5987" w:rsidRDefault="00933A0D" w:rsidP="1FC6A063">
      <w:pPr>
        <w:rPr>
          <w:rFonts w:eastAsia="Times New Roman"/>
        </w:rPr>
      </w:pPr>
      <w:r>
        <w:rPr>
          <w:rFonts w:eastAsia="Times New Roman"/>
        </w:rPr>
        <w:lastRenderedPageBreak/>
        <w:t>34</w:t>
      </w:r>
      <w:r w:rsidR="70AA5987" w:rsidRPr="1FC6A063">
        <w:rPr>
          <w:rFonts w:eastAsia="Times New Roman"/>
        </w:rPr>
        <w:t xml:space="preserve"> </w:t>
      </w:r>
      <w:r w:rsidR="70AA5987" w:rsidRPr="007052FB">
        <w:rPr>
          <w:rFonts w:eastAsia="Times New Roman"/>
          <w:b/>
          <w:bCs/>
        </w:rPr>
        <w:t>interviews</w:t>
      </w:r>
      <w:r w:rsidR="70AA5987" w:rsidRPr="1FC6A063">
        <w:rPr>
          <w:rFonts w:eastAsia="Times New Roman"/>
        </w:rPr>
        <w:t xml:space="preserve"> </w:t>
      </w:r>
      <w:r w:rsidR="750C167B" w:rsidRPr="4E53ECFD">
        <w:rPr>
          <w:rFonts w:eastAsia="Times New Roman"/>
        </w:rPr>
        <w:t xml:space="preserve">(including one written response) </w:t>
      </w:r>
      <w:r w:rsidR="70AA5987" w:rsidRPr="1FC6A063">
        <w:rPr>
          <w:rFonts w:eastAsia="Times New Roman"/>
        </w:rPr>
        <w:t xml:space="preserve">were conducted across seven policy intervention areas of the proposed </w:t>
      </w:r>
      <w:r w:rsidR="00A25C33">
        <w:rPr>
          <w:rFonts w:eastAsia="Times New Roman"/>
        </w:rPr>
        <w:t xml:space="preserve">European </w:t>
      </w:r>
      <w:r w:rsidR="70AA5987" w:rsidRPr="1FC6A063">
        <w:rPr>
          <w:rFonts w:eastAsia="Times New Roman"/>
        </w:rPr>
        <w:t>Biotech Act. Interviews were held between January and March 2026</w:t>
      </w:r>
      <w:r w:rsidR="00B73B77">
        <w:rPr>
          <w:rFonts w:eastAsia="Times New Roman"/>
        </w:rPr>
        <w:t>.</w:t>
      </w:r>
      <w:r w:rsidR="1B6B3D8D" w:rsidRPr="1FC6A063">
        <w:rPr>
          <w:rFonts w:eastAsia="Times New Roman"/>
        </w:rPr>
        <w:t>The policy intervention areas were:</w:t>
      </w:r>
    </w:p>
    <w:p w14:paraId="657C5E57" w14:textId="4F06E9AD" w:rsidR="1B6B3D8D" w:rsidRDefault="1B6B3D8D" w:rsidP="009649A3">
      <w:pPr>
        <w:pStyle w:val="ListParagraph"/>
        <w:numPr>
          <w:ilvl w:val="0"/>
          <w:numId w:val="5"/>
        </w:numPr>
        <w:rPr>
          <w:rFonts w:eastAsia="Times New Roman"/>
        </w:rPr>
      </w:pPr>
      <w:r w:rsidRPr="1FC6A063">
        <w:rPr>
          <w:rFonts w:eastAsia="Times New Roman"/>
        </w:rPr>
        <w:t>SPC extension for biotechnology medicines (</w:t>
      </w:r>
      <w:r w:rsidR="006D4954">
        <w:rPr>
          <w:rFonts w:eastAsia="Times New Roman"/>
        </w:rPr>
        <w:t>four</w:t>
      </w:r>
      <w:r w:rsidRPr="1FC6A063">
        <w:rPr>
          <w:rFonts w:eastAsia="Times New Roman"/>
        </w:rPr>
        <w:t xml:space="preserve"> interviews)</w:t>
      </w:r>
    </w:p>
    <w:p w14:paraId="699BA69E" w14:textId="573F77C0" w:rsidR="1B6B3D8D" w:rsidRDefault="1B6B3D8D" w:rsidP="009649A3">
      <w:pPr>
        <w:pStyle w:val="ListParagraph"/>
        <w:numPr>
          <w:ilvl w:val="0"/>
          <w:numId w:val="5"/>
        </w:numPr>
        <w:rPr>
          <w:rFonts w:eastAsia="Times New Roman"/>
        </w:rPr>
      </w:pPr>
      <w:r w:rsidRPr="1FC6A063">
        <w:rPr>
          <w:rFonts w:eastAsia="Times New Roman"/>
        </w:rPr>
        <w:t>Biosecurity and Recognition and support of high impact biodefence projects (</w:t>
      </w:r>
      <w:r w:rsidR="006D4954">
        <w:rPr>
          <w:rFonts w:eastAsia="Times New Roman"/>
        </w:rPr>
        <w:t>six</w:t>
      </w:r>
      <w:r w:rsidRPr="1FC6A063">
        <w:rPr>
          <w:rFonts w:eastAsia="Times New Roman"/>
        </w:rPr>
        <w:t xml:space="preserve"> interviews)</w:t>
      </w:r>
    </w:p>
    <w:p w14:paraId="120B3716" w14:textId="38E1E741" w:rsidR="1B6B3D8D" w:rsidRPr="003C2754" w:rsidRDefault="1B6B3D8D" w:rsidP="009649A3">
      <w:pPr>
        <w:pStyle w:val="ListParagraph"/>
        <w:numPr>
          <w:ilvl w:val="0"/>
          <w:numId w:val="5"/>
        </w:numPr>
        <w:rPr>
          <w:rFonts w:eastAsia="Times New Roman"/>
        </w:rPr>
      </w:pPr>
      <w:r w:rsidRPr="003C2754">
        <w:rPr>
          <w:rFonts w:eastAsia="Times New Roman"/>
        </w:rPr>
        <w:t>Targeted regulatory reform of Veterinary Medicinal Products (</w:t>
      </w:r>
      <w:r w:rsidR="006D4954">
        <w:rPr>
          <w:rFonts w:eastAsia="Times New Roman"/>
        </w:rPr>
        <w:t>eight</w:t>
      </w:r>
      <w:r w:rsidRPr="003C2754">
        <w:rPr>
          <w:rFonts w:eastAsia="Times New Roman"/>
        </w:rPr>
        <w:t xml:space="preserve"> interviews)</w:t>
      </w:r>
    </w:p>
    <w:p w14:paraId="0E786206" w14:textId="4D716EAC" w:rsidR="1B6B3D8D" w:rsidRPr="003C2754" w:rsidRDefault="1B6B3D8D" w:rsidP="009649A3">
      <w:pPr>
        <w:pStyle w:val="ListParagraph"/>
        <w:numPr>
          <w:ilvl w:val="0"/>
          <w:numId w:val="5"/>
        </w:numPr>
        <w:rPr>
          <w:rFonts w:eastAsia="Times New Roman"/>
        </w:rPr>
      </w:pPr>
      <w:r w:rsidRPr="003C2754">
        <w:rPr>
          <w:rFonts w:eastAsia="Times New Roman"/>
        </w:rPr>
        <w:t xml:space="preserve">Regulation of novel health biotechnology products, ATMPs framework and Targeted regulatory reform of clinical trials </w:t>
      </w:r>
      <w:r w:rsidR="02279562" w:rsidRPr="009649A3">
        <w:rPr>
          <w:rFonts w:eastAsia="Times New Roman"/>
        </w:rPr>
        <w:t xml:space="preserve">framework </w:t>
      </w:r>
      <w:r w:rsidRPr="003C2754">
        <w:rPr>
          <w:rFonts w:eastAsia="Times New Roman"/>
        </w:rPr>
        <w:t>(</w:t>
      </w:r>
      <w:r w:rsidR="006D4954">
        <w:rPr>
          <w:rFonts w:eastAsia="Times New Roman"/>
        </w:rPr>
        <w:t>seven</w:t>
      </w:r>
      <w:r w:rsidRPr="003C2754">
        <w:rPr>
          <w:rFonts w:eastAsia="Times New Roman"/>
        </w:rPr>
        <w:t xml:space="preserve"> interviews)</w:t>
      </w:r>
    </w:p>
    <w:p w14:paraId="7255B218" w14:textId="13AF8FF5" w:rsidR="1B6B3D8D" w:rsidRPr="003C2754" w:rsidRDefault="1B6B3D8D" w:rsidP="009649A3">
      <w:pPr>
        <w:pStyle w:val="ListParagraph"/>
        <w:numPr>
          <w:ilvl w:val="0"/>
          <w:numId w:val="5"/>
        </w:numPr>
        <w:rPr>
          <w:rFonts w:eastAsia="Times New Roman"/>
        </w:rPr>
      </w:pPr>
      <w:r w:rsidRPr="003C2754">
        <w:rPr>
          <w:rFonts w:eastAsia="Times New Roman"/>
        </w:rPr>
        <w:t xml:space="preserve">Regulatory framework for genetically modified micro-organisms (GMMs) in </w:t>
      </w:r>
      <w:r w:rsidR="4D9930AB" w:rsidRPr="009649A3">
        <w:rPr>
          <w:rFonts w:eastAsia="Times New Roman"/>
        </w:rPr>
        <w:t>pr</w:t>
      </w:r>
      <w:r w:rsidR="00220DB5">
        <w:rPr>
          <w:rFonts w:eastAsia="Times New Roman"/>
        </w:rPr>
        <w:t>o</w:t>
      </w:r>
      <w:r w:rsidR="4D9930AB" w:rsidRPr="009649A3">
        <w:rPr>
          <w:rFonts w:eastAsia="Times New Roman"/>
        </w:rPr>
        <w:t xml:space="preserve">ducts other than </w:t>
      </w:r>
      <w:r w:rsidRPr="003C2754">
        <w:rPr>
          <w:rFonts w:eastAsia="Times New Roman"/>
        </w:rPr>
        <w:t>food and feed (</w:t>
      </w:r>
      <w:r w:rsidR="006D4954">
        <w:rPr>
          <w:rFonts w:eastAsia="Times New Roman"/>
        </w:rPr>
        <w:t>four</w:t>
      </w:r>
      <w:r w:rsidRPr="003C2754">
        <w:rPr>
          <w:rFonts w:eastAsia="Times New Roman"/>
        </w:rPr>
        <w:t xml:space="preserve"> interviews)</w:t>
      </w:r>
    </w:p>
    <w:p w14:paraId="21047C6A" w14:textId="51326AD1" w:rsidR="1B6B3D8D" w:rsidRDefault="00220DB5" w:rsidP="009649A3">
      <w:pPr>
        <w:pStyle w:val="ListParagraph"/>
        <w:numPr>
          <w:ilvl w:val="0"/>
          <w:numId w:val="5"/>
        </w:numPr>
        <w:rPr>
          <w:rFonts w:eastAsia="Times New Roman"/>
        </w:rPr>
      </w:pPr>
      <w:r>
        <w:rPr>
          <w:rFonts w:eastAsia="Times New Roman"/>
        </w:rPr>
        <w:t>Regulatory framework on</w:t>
      </w:r>
      <w:r w:rsidR="1B6B3D8D" w:rsidRPr="1FC6A063">
        <w:rPr>
          <w:rFonts w:eastAsia="Times New Roman"/>
        </w:rPr>
        <w:t xml:space="preserve"> the substances of human origin (SoHO)</w:t>
      </w:r>
      <w:r>
        <w:rPr>
          <w:rFonts w:eastAsia="Times New Roman"/>
        </w:rPr>
        <w:t xml:space="preserve"> </w:t>
      </w:r>
      <w:r w:rsidR="1B6B3D8D" w:rsidRPr="1FC6A063">
        <w:rPr>
          <w:rFonts w:eastAsia="Times New Roman"/>
        </w:rPr>
        <w:t>(</w:t>
      </w:r>
      <w:r w:rsidR="006D4954">
        <w:rPr>
          <w:rFonts w:eastAsia="Times New Roman"/>
        </w:rPr>
        <w:t>two</w:t>
      </w:r>
      <w:r w:rsidR="1B6B3D8D" w:rsidRPr="1FC6A063">
        <w:rPr>
          <w:rFonts w:eastAsia="Times New Roman"/>
        </w:rPr>
        <w:t xml:space="preserve"> interviews)</w:t>
      </w:r>
    </w:p>
    <w:p w14:paraId="19B46F04" w14:textId="1638B257" w:rsidR="1B6B3D8D" w:rsidRDefault="00055B83" w:rsidP="009649A3">
      <w:pPr>
        <w:pStyle w:val="ListParagraph"/>
        <w:numPr>
          <w:ilvl w:val="0"/>
          <w:numId w:val="5"/>
        </w:numPr>
        <w:rPr>
          <w:rFonts w:eastAsia="Times New Roman"/>
        </w:rPr>
      </w:pPr>
      <w:r>
        <w:rPr>
          <w:rFonts w:eastAsia="Times New Roman"/>
        </w:rPr>
        <w:t>Regulatory framework on</w:t>
      </w:r>
      <w:r w:rsidR="1B6B3D8D" w:rsidRPr="1FC6A063">
        <w:rPr>
          <w:rFonts w:eastAsia="Times New Roman"/>
        </w:rPr>
        <w:t xml:space="preserve"> standards of quality and safety of human organs intended for transplantation (</w:t>
      </w:r>
      <w:r w:rsidR="006D4954">
        <w:rPr>
          <w:rFonts w:eastAsia="Times New Roman"/>
        </w:rPr>
        <w:t>three</w:t>
      </w:r>
      <w:r w:rsidR="1B6B3D8D" w:rsidRPr="1FC6A063">
        <w:rPr>
          <w:rFonts w:eastAsia="Times New Roman"/>
        </w:rPr>
        <w:t xml:space="preserve"> interviews)</w:t>
      </w:r>
    </w:p>
    <w:p w14:paraId="28D18143" w14:textId="21575939" w:rsidR="00F36D9C" w:rsidRDefault="7ECCD73E" w:rsidP="1FC6A063">
      <w:pPr>
        <w:rPr>
          <w:rFonts w:eastAsia="Times New Roman"/>
        </w:rPr>
      </w:pPr>
      <w:r w:rsidRPr="1FC6A063">
        <w:rPr>
          <w:rFonts w:eastAsia="Times New Roman"/>
        </w:rPr>
        <w:t>The interviews were distributed across the following stakeholder groups: industry (</w:t>
      </w:r>
      <w:r w:rsidR="00AE6969">
        <w:rPr>
          <w:rFonts w:eastAsia="Times New Roman"/>
        </w:rPr>
        <w:t>ten</w:t>
      </w:r>
      <w:r w:rsidRPr="1FC6A063">
        <w:rPr>
          <w:rFonts w:eastAsia="Times New Roman"/>
        </w:rPr>
        <w:t xml:space="preserve"> interviews), regulatory authorities (EU and national, 12 interviews), academia and research (</w:t>
      </w:r>
      <w:r w:rsidR="006D4954">
        <w:rPr>
          <w:rFonts w:eastAsia="Times New Roman"/>
        </w:rPr>
        <w:t>four</w:t>
      </w:r>
      <w:r w:rsidRPr="1FC6A063">
        <w:rPr>
          <w:rFonts w:eastAsia="Times New Roman"/>
        </w:rPr>
        <w:t xml:space="preserve"> interviews), policy experts and think tanks (</w:t>
      </w:r>
      <w:r w:rsidR="006D4954">
        <w:rPr>
          <w:rFonts w:eastAsia="Times New Roman"/>
        </w:rPr>
        <w:t>five</w:t>
      </w:r>
      <w:r w:rsidRPr="1FC6A063">
        <w:rPr>
          <w:rFonts w:eastAsia="Times New Roman"/>
        </w:rPr>
        <w:t xml:space="preserve"> interviews), and other (</w:t>
      </w:r>
      <w:r w:rsidR="006D4954">
        <w:rPr>
          <w:rFonts w:eastAsia="Times New Roman"/>
        </w:rPr>
        <w:t>three</w:t>
      </w:r>
      <w:r w:rsidRPr="1FC6A063">
        <w:rPr>
          <w:rFonts w:eastAsia="Times New Roman"/>
        </w:rPr>
        <w:t xml:space="preserve"> interviews).</w:t>
      </w:r>
    </w:p>
    <w:p w14:paraId="2113458B" w14:textId="49791874" w:rsidR="002A7142" w:rsidRDefault="00F36D9C" w:rsidP="00C826F6">
      <w:pPr>
        <w:rPr>
          <w:rFonts w:eastAsia="Times New Roman"/>
          <w:b/>
          <w:bCs/>
          <w:i/>
          <w:iCs/>
          <w:u w:val="single"/>
        </w:rPr>
      </w:pPr>
      <w:r>
        <w:rPr>
          <w:rFonts w:eastAsia="Times New Roman"/>
          <w:b/>
          <w:bCs/>
          <w:i/>
          <w:iCs/>
          <w:u w:val="single"/>
        </w:rPr>
        <w:t>Other targeted consultation activities</w:t>
      </w:r>
    </w:p>
    <w:p w14:paraId="15D573F8" w14:textId="0BEC03C0" w:rsidR="00F36D9C" w:rsidRPr="0068624A" w:rsidRDefault="00F36D9C" w:rsidP="00C826F6">
      <w:pPr>
        <w:rPr>
          <w:rFonts w:eastAsia="Times New Roman"/>
        </w:rPr>
      </w:pPr>
      <w:r w:rsidRPr="0068624A">
        <w:rPr>
          <w:rFonts w:eastAsia="Times New Roman"/>
        </w:rPr>
        <w:t>On clinical trials, evidence has also been collected through three workshops</w:t>
      </w:r>
      <w:r w:rsidR="00261FFE" w:rsidRPr="0068624A">
        <w:rPr>
          <w:rStyle w:val="FootnoteReference"/>
          <w:rFonts w:eastAsia="Times New Roman"/>
        </w:rPr>
        <w:footnoteReference w:id="20"/>
      </w:r>
      <w:r w:rsidRPr="0068624A">
        <w:rPr>
          <w:rFonts w:eastAsia="Times New Roman"/>
        </w:rPr>
        <w:t xml:space="preserve"> organised by the European Commission in June, September, and November 2025, with representatives of national competent authorities and ethics committee members from </w:t>
      </w:r>
      <w:r w:rsidR="00A355CF" w:rsidRPr="009649A3">
        <w:rPr>
          <w:rFonts w:eastAsia="Times New Roman"/>
        </w:rPr>
        <w:t xml:space="preserve">each Member States </w:t>
      </w:r>
      <w:r w:rsidRPr="0068624A">
        <w:rPr>
          <w:rFonts w:eastAsia="Times New Roman"/>
        </w:rPr>
        <w:t>across the EU to exchange views with experts to inform how policy options would be defined</w:t>
      </w:r>
      <w:r w:rsidR="00261FFE" w:rsidRPr="0068624A">
        <w:rPr>
          <w:rFonts w:eastAsia="Times New Roman"/>
        </w:rPr>
        <w:t>.</w:t>
      </w:r>
    </w:p>
    <w:p w14:paraId="32BC8008" w14:textId="710AD4F4" w:rsidR="00D177BA" w:rsidRDefault="003A6EFA" w:rsidP="00C826F6">
      <w:pPr>
        <w:rPr>
          <w:rFonts w:eastAsia="Times New Roman"/>
        </w:rPr>
      </w:pPr>
      <w:r w:rsidRPr="009649A3">
        <w:rPr>
          <w:rFonts w:eastAsia="Times New Roman"/>
        </w:rPr>
        <w:t>Finally, targeted consultation activities were also conducted as part of the supporting study for the evaluation of EFSA</w:t>
      </w:r>
      <w:r w:rsidRPr="0068624A">
        <w:rPr>
          <w:rFonts w:eastAsia="Times New Roman"/>
        </w:rPr>
        <w:t xml:space="preserve"> (see Annex 1 for information the study).</w:t>
      </w:r>
    </w:p>
    <w:p w14:paraId="1592B0CE" w14:textId="5AF44E45" w:rsidR="2F23A51D" w:rsidRPr="0071524B" w:rsidRDefault="2F23A51D" w:rsidP="004570F2">
      <w:pPr>
        <w:pStyle w:val="Heading2"/>
        <w:numPr>
          <w:ilvl w:val="0"/>
          <w:numId w:val="522"/>
        </w:numPr>
      </w:pPr>
      <w:bookmarkStart w:id="66" w:name="_Toc225783187"/>
      <w:bookmarkStart w:id="67" w:name="_Toc225969759"/>
      <w:bookmarkStart w:id="68" w:name="_Toc225979071"/>
      <w:r>
        <w:t>Overview of Responses</w:t>
      </w:r>
      <w:bookmarkEnd w:id="66"/>
      <w:bookmarkEnd w:id="67"/>
      <w:bookmarkEnd w:id="68"/>
    </w:p>
    <w:p w14:paraId="02A6DA66" w14:textId="3F24F4A8" w:rsidR="2F23A51D" w:rsidRPr="00EB2242" w:rsidRDefault="2F23A51D" w:rsidP="004570F2">
      <w:pPr>
        <w:pStyle w:val="Heading3"/>
        <w:numPr>
          <w:ilvl w:val="0"/>
          <w:numId w:val="0"/>
        </w:numPr>
      </w:pPr>
      <w:bookmarkStart w:id="69" w:name="_Toc225783188"/>
      <w:bookmarkStart w:id="70" w:name="_Toc225969760"/>
      <w:bookmarkStart w:id="71" w:name="_Toc225979072"/>
      <w:r w:rsidRPr="004570F2">
        <w:rPr>
          <w:b/>
        </w:rPr>
        <w:t>The regulatory environment</w:t>
      </w:r>
      <w:bookmarkEnd w:id="69"/>
      <w:bookmarkEnd w:id="70"/>
      <w:bookmarkEnd w:id="71"/>
    </w:p>
    <w:p w14:paraId="64D8D2BF" w14:textId="62946D40" w:rsidR="3EBDAFE3" w:rsidRDefault="04F73A68" w:rsidP="38FC1D97">
      <w:r w:rsidRPr="38FC1D97">
        <w:t>Respondents to the PC perceive significant regulatory barriers across the authorisation, testing and commercialisation chain</w:t>
      </w:r>
      <w:r w:rsidR="006D4954">
        <w:t xml:space="preserve"> in the biotechnology sector</w:t>
      </w:r>
      <w:r w:rsidRPr="38FC1D97">
        <w:t>. The EU framework is considered complex and cost-increasing compared with non-EU countries despite ensuring high safety standards.</w:t>
      </w:r>
    </w:p>
    <w:p w14:paraId="214E9D10" w14:textId="7537E461" w:rsidR="3EBDAFE3" w:rsidRDefault="04F73A68" w:rsidP="38FC1D97">
      <w:r w:rsidRPr="38FC1D97">
        <w:t>Three-quarter of the respondents indicated regulatory barriers in the assessment and market authorisation (77</w:t>
      </w:r>
      <w:r w:rsidR="006856C2">
        <w:t>%</w:t>
      </w:r>
      <w:r w:rsidRPr="38FC1D97">
        <w:t>, 357/464). About 70</w:t>
      </w:r>
      <w:r w:rsidR="006856C2">
        <w:t>%</w:t>
      </w:r>
      <w:r w:rsidRPr="38FC1D97">
        <w:t xml:space="preserve"> (326/464) indicated pre-commercial testing or clinical trials, 68</w:t>
      </w:r>
      <w:r w:rsidR="006856C2">
        <w:t>%</w:t>
      </w:r>
      <w:r w:rsidRPr="38FC1D97">
        <w:t xml:space="preserve"> (314/464) noted impediments in commercialising products and 67</w:t>
      </w:r>
      <w:r w:rsidR="006856C2">
        <w:t>%</w:t>
      </w:r>
      <w:r w:rsidRPr="38FC1D97">
        <w:t xml:space="preserve"> (311/464) in scaling-up production or manufacturing, while 64</w:t>
      </w:r>
      <w:r w:rsidR="006856C2">
        <w:t>%</w:t>
      </w:r>
      <w:r w:rsidRPr="38FC1D97">
        <w:t xml:space="preserve"> (298/464) signalled regulatory barriers in product development matters. </w:t>
      </w:r>
      <w:r w:rsidR="00AB0ADD" w:rsidRPr="00AB0ADD">
        <w:t>Regarding other stages and cross-</w:t>
      </w:r>
      <w:r w:rsidR="00AB0ADD" w:rsidRPr="00AB0ADD">
        <w:lastRenderedPageBreak/>
        <w:t>cutting aspects,</w:t>
      </w:r>
      <w:r w:rsidR="00AB0ADD">
        <w:t xml:space="preserve"> b</w:t>
      </w:r>
      <w:r w:rsidRPr="38FC1D97">
        <w:t xml:space="preserve">etween </w:t>
      </w:r>
      <w:r w:rsidR="005E5D6E" w:rsidRPr="38FC1D97">
        <w:t>44</w:t>
      </w:r>
      <w:r w:rsidR="006856C2">
        <w:t>%</w:t>
      </w:r>
      <w:r w:rsidR="005E5D6E" w:rsidRPr="38FC1D97">
        <w:t xml:space="preserve"> (204/464) </w:t>
      </w:r>
      <w:r w:rsidR="005E5D6E">
        <w:t xml:space="preserve">and </w:t>
      </w:r>
      <w:r w:rsidRPr="38FC1D97">
        <w:t>49</w:t>
      </w:r>
      <w:r w:rsidR="006856C2">
        <w:t>%</w:t>
      </w:r>
      <w:r w:rsidRPr="38FC1D97">
        <w:t xml:space="preserve"> (226</w:t>
      </w:r>
      <w:r w:rsidRPr="38FC1D97" w:rsidDel="005E5D6E">
        <w:t xml:space="preserve">/464) </w:t>
      </w:r>
      <w:r w:rsidRPr="38FC1D97">
        <w:t>agreed or strongly agreed that EU rules lead to regulatory barriers</w:t>
      </w:r>
      <w:r w:rsidR="00DB51CA">
        <w:t xml:space="preserve"> in</w:t>
      </w:r>
      <w:r w:rsidR="00DB51CA" w:rsidRPr="00DB51CA">
        <w:t xml:space="preserve"> </w:t>
      </w:r>
      <w:r w:rsidR="00DB51CA" w:rsidRPr="38FC1D97">
        <w:t xml:space="preserve">early-stage or pre-clinical development, </w:t>
      </w:r>
      <w:r w:rsidR="00DB51CA">
        <w:t>t</w:t>
      </w:r>
      <w:r w:rsidR="00DB51CA" w:rsidRPr="38FC1D97">
        <w:t>echno-economics (outside health), health technology assessments, and post market activities</w:t>
      </w:r>
      <w:r w:rsidRPr="38FC1D97">
        <w:t xml:space="preserve">. </w:t>
      </w:r>
    </w:p>
    <w:p w14:paraId="517B9F87" w14:textId="505C88DE" w:rsidR="00966D34" w:rsidRDefault="006755F9" w:rsidP="00B73FB2">
      <w:r w:rsidRPr="0063730E">
        <w:t>Stakeholders also provided views as part of the feedback to the CfE.</w:t>
      </w:r>
      <w:r w:rsidR="00552BBF" w:rsidRPr="0063730E">
        <w:t xml:space="preserve"> On </w:t>
      </w:r>
      <w:r w:rsidR="00552BBF" w:rsidRPr="009649A3">
        <w:rPr>
          <w:b/>
          <w:bCs/>
        </w:rPr>
        <w:t>Clinical trials</w:t>
      </w:r>
      <w:r w:rsidR="00552BBF" w:rsidRPr="0063730E">
        <w:t xml:space="preserve">, </w:t>
      </w:r>
      <w:r w:rsidR="642988D2" w:rsidRPr="009649A3">
        <w:t>submissions highlight</w:t>
      </w:r>
      <w:r w:rsidR="00552BBF" w:rsidRPr="009649A3">
        <w:t>ed</w:t>
      </w:r>
      <w:r w:rsidR="642988D2" w:rsidRPr="009649A3">
        <w:t xml:space="preserve"> delays, fragmentation, and excessive bureaucracy as key barriers. Stakeholders argue</w:t>
      </w:r>
      <w:r w:rsidR="00552BBF" w:rsidRPr="009649A3">
        <w:t>d</w:t>
      </w:r>
      <w:r w:rsidR="642988D2" w:rsidRPr="009649A3">
        <w:t xml:space="preserve"> that protracted timelines, divergent national requirements, and administrative burdens (e.g., for trial modifications or ethics reviews) undermine Europe’s competitiveness and delay patient access to innovative therapies.</w:t>
      </w:r>
      <w:r w:rsidR="00966D34" w:rsidRPr="0063730E">
        <w:t xml:space="preserve"> </w:t>
      </w:r>
      <w:r w:rsidR="642988D2" w:rsidRPr="0063730E">
        <w:t xml:space="preserve">Pharma and biotech industry groups </w:t>
      </w:r>
      <w:r w:rsidR="00B73FB2" w:rsidRPr="0063730E">
        <w:t>also pointed</w:t>
      </w:r>
      <w:r w:rsidR="642988D2" w:rsidRPr="0063730E">
        <w:t xml:space="preserve"> </w:t>
      </w:r>
      <w:r w:rsidR="007A2F82">
        <w:t xml:space="preserve">to </w:t>
      </w:r>
      <w:r w:rsidR="642988D2" w:rsidRPr="0063730E">
        <w:t>the lack of coordination between Member States, proposing centralised approval systems, binding deadlines, and digital tools (e.g., CTIS optimisation) to cut duplication and speed up trials.</w:t>
      </w:r>
      <w:r w:rsidR="642988D2">
        <w:t xml:space="preserve"> </w:t>
      </w:r>
    </w:p>
    <w:p w14:paraId="7DC1802D" w14:textId="7C4144DC" w:rsidR="005E0753" w:rsidRPr="009E6B90" w:rsidRDefault="642988D2" w:rsidP="00B73FB2">
      <w:r w:rsidRPr="00B36087">
        <w:t>Research institutes and SMEs push</w:t>
      </w:r>
      <w:r w:rsidR="005E0753" w:rsidRPr="009E6B90">
        <w:t>ed</w:t>
      </w:r>
      <w:r w:rsidRPr="00B36087">
        <w:t xml:space="preserve"> for regulatory sandboxes for </w:t>
      </w:r>
      <w:r w:rsidRPr="009649A3">
        <w:rPr>
          <w:b/>
          <w:bCs/>
        </w:rPr>
        <w:t>advanced therapies</w:t>
      </w:r>
      <w:r w:rsidRPr="00B36087">
        <w:t xml:space="preserve"> (ATMPs) and simplified rules for academic studies (e.g., reduced fees, streamlined exemptions), while patient organisations stress</w:t>
      </w:r>
      <w:r w:rsidR="0088218D">
        <w:t>ed</w:t>
      </w:r>
      <w:r w:rsidRPr="00B36087">
        <w:t xml:space="preserve"> the need for </w:t>
      </w:r>
      <w:r w:rsidRPr="009E6B90">
        <w:rPr>
          <w:b/>
          <w:bCs/>
        </w:rPr>
        <w:t>real-world data</w:t>
      </w:r>
      <w:r w:rsidRPr="00B36087">
        <w:t xml:space="preserve"> (RWD) and cross-border collaboration (e.g., for rare diseases) to enable faster, patient-centred trials. Individual biotech firms additionally call</w:t>
      </w:r>
      <w:r w:rsidR="005E0753" w:rsidRPr="009E6B90">
        <w:t>ed</w:t>
      </w:r>
      <w:r w:rsidRPr="00B36087">
        <w:t xml:space="preserve"> for early scientific dialogue with regulators and prioritised pathways for </w:t>
      </w:r>
      <w:r w:rsidRPr="009E6B90">
        <w:rPr>
          <w:b/>
          <w:bCs/>
        </w:rPr>
        <w:t>breakthrough therapies</w:t>
      </w:r>
      <w:r w:rsidRPr="00B36087">
        <w:t xml:space="preserve"> to boost investment confidence.</w:t>
      </w:r>
      <w:r w:rsidR="000C20D1" w:rsidRPr="009E6B90">
        <w:t xml:space="preserve"> </w:t>
      </w:r>
    </w:p>
    <w:p w14:paraId="1B06FBC3" w14:textId="77777777" w:rsidR="005E0753" w:rsidRPr="009E6B90" w:rsidRDefault="000C20D1" w:rsidP="00B73FB2">
      <w:r w:rsidRPr="009E6B90">
        <w:t xml:space="preserve">Stakeholders also addressed </w:t>
      </w:r>
      <w:r w:rsidRPr="009E6B90">
        <w:rPr>
          <w:b/>
          <w:bCs/>
        </w:rPr>
        <w:t xml:space="preserve">Advanced Therapy Medicinal Products </w:t>
      </w:r>
      <w:r w:rsidRPr="009E6B90">
        <w:t>(ATMPs), highlighting their transformative potential but also critical barriers to development and patient access.</w:t>
      </w:r>
      <w:r w:rsidR="005E0753" w:rsidRPr="00B36087">
        <w:t xml:space="preserve"> </w:t>
      </w:r>
    </w:p>
    <w:p w14:paraId="27E6C5EE" w14:textId="7C1A60F8" w:rsidR="6E4671B9" w:rsidRPr="009E6B90" w:rsidRDefault="005E0753" w:rsidP="00B73FB2">
      <w:r w:rsidRPr="00B36087">
        <w:t>The overarching consensus emphasised that regulatory complexity, fragmented approval pathways, and funding gaps (especially for rare/ultra-rare diseases) hinder ATMP innovation in the EU. Stakeholders called for streamlined, risk-based frameworks, including regulatory sandboxes, harmonised GMO/clinical trial rules, and centralised ethics reviews, to accelerate development while ensuring safety.</w:t>
      </w:r>
    </w:p>
    <w:p w14:paraId="27C33E2E" w14:textId="493D8B68" w:rsidR="00E072A7" w:rsidRDefault="005E0753" w:rsidP="005E0753">
      <w:r w:rsidRPr="00B36087">
        <w:t>Industry groups called for simplified manufacturing rules (e.g., decentralised production, platform-based assessments) and financial incentives (e.g., innovation procurement, social impact funds) to offset high costs. Academics and research bodies demand</w:t>
      </w:r>
      <w:r w:rsidR="00E01E59">
        <w:t>ed</w:t>
      </w:r>
      <w:r w:rsidRPr="00B36087">
        <w:t xml:space="preserve"> dedicated pathways for non-profit developers, including reduced fees and tailored regulatory support, while patient advocates stress</w:t>
      </w:r>
      <w:r w:rsidR="00E01E59">
        <w:t>ed</w:t>
      </w:r>
      <w:r w:rsidRPr="00B36087">
        <w:t xml:space="preserve"> equitable cross-border access via harmonised Hospital Exemption rules and EU-wide reimbursement alignment. Regulatory experts propose</w:t>
      </w:r>
      <w:r w:rsidR="00101A17" w:rsidRPr="00B36087">
        <w:t>d</w:t>
      </w:r>
      <w:r w:rsidRPr="00B36087">
        <w:t xml:space="preserve"> joint GMO/CTR reforms and ATMP-specific sandboxes to cut redundancy and enable faster, scalable therapies.</w:t>
      </w:r>
    </w:p>
    <w:p w14:paraId="0EB9A9A7" w14:textId="26A90254" w:rsidR="47CE2601" w:rsidRPr="004B4640" w:rsidRDefault="00122F40" w:rsidP="009E6B90">
      <w:r w:rsidRPr="009E6B90">
        <w:t>On</w:t>
      </w:r>
      <w:r w:rsidR="004B4640" w:rsidRPr="009E6B90">
        <w:t xml:space="preserve"> the</w:t>
      </w:r>
      <w:r w:rsidRPr="009E6B90">
        <w:t xml:space="preserve"> </w:t>
      </w:r>
      <w:r w:rsidR="004B4640" w:rsidRPr="009E6B90">
        <w:rPr>
          <w:b/>
          <w:bCs/>
        </w:rPr>
        <w:t>Supplementary Protection Certificate</w:t>
      </w:r>
      <w:r w:rsidR="004B4640" w:rsidRPr="009E6B90">
        <w:t xml:space="preserve"> (</w:t>
      </w:r>
      <w:r w:rsidRPr="009E6B90">
        <w:t>SPC</w:t>
      </w:r>
      <w:r w:rsidR="004B4640" w:rsidRPr="009E6B90">
        <w:t xml:space="preserve">), some stakeholders underlined </w:t>
      </w:r>
      <w:r w:rsidR="5904F122" w:rsidRPr="009E6B90">
        <w:t xml:space="preserve">that the current SPC framework needs reform to compensate for regulatory delays, enhance competitiveness, and ensure robust intellectual property protection in the EU, </w:t>
      </w:r>
      <w:r w:rsidR="00E62563">
        <w:t>while</w:t>
      </w:r>
      <w:r w:rsidR="5904F122" w:rsidRPr="009E6B90">
        <w:t xml:space="preserve"> their proposals differ in scope and specificity.</w:t>
      </w:r>
    </w:p>
    <w:p w14:paraId="77DC4E15" w14:textId="0A8D00A0" w:rsidR="00C002B8" w:rsidRPr="0071524B" w:rsidRDefault="5BE7E6F0" w:rsidP="7E49C426">
      <w:r>
        <w:t>Some</w:t>
      </w:r>
      <w:r w:rsidR="6E6C1228">
        <w:t xml:space="preserve"> stakeholders addressed </w:t>
      </w:r>
      <w:r w:rsidR="6E6C1228" w:rsidRPr="08FDD09A">
        <w:rPr>
          <w:b/>
          <w:bCs/>
        </w:rPr>
        <w:t>Substances of Human Origin</w:t>
      </w:r>
      <w:r w:rsidR="6E6C1228">
        <w:t xml:space="preserve"> (SoHO), flagging critical regulatory gaps in its interaction with other frameworks (e.g., GMO, ATMPs, medical devices). The overarching concern is fragmentation and legal uncertainty, which </w:t>
      </w:r>
      <w:r w:rsidR="31920207">
        <w:t xml:space="preserve">is seen as to </w:t>
      </w:r>
      <w:r w:rsidR="6E6C1228">
        <w:t>stifle innovation in human-derived therapies like cell/gene therapies and microbiome-based products.</w:t>
      </w:r>
    </w:p>
    <w:p w14:paraId="16BCA9FB" w14:textId="4CB3A8AD" w:rsidR="7A0A0C18" w:rsidRDefault="7A0A0C18">
      <w:r>
        <w:lastRenderedPageBreak/>
        <w:t xml:space="preserve">In the context of the consultations for the study on the regulatory framework for biotechnology and biomanufacturing in the EU, SMEs but also larger companies identified the complexity of the legislation governing genetically modified organisms (GMOs) in the EU, together with the complexity of the risk assessment and authorisation procedures as aspects posing challenges for biotech innovation, including for bringing innovative products to the EU market. The regulation of </w:t>
      </w:r>
      <w:r w:rsidRPr="00372B3E">
        <w:rPr>
          <w:b/>
        </w:rPr>
        <w:t>genetically modified micro-organisms</w:t>
      </w:r>
      <w:r>
        <w:t xml:space="preserve"> (GMMs) was identified as one concrete example in this regard. In addition, when consulted on concrete policy scenarios for the authorisation of products containing, consisting of or produced from GMMs, many stakeholders, including public authorities, considered that a more product-centric approach that differentiates between low-risk and other GMMs has the potential to provide faster, more cost-effective assessments of GMM products. These stakeholders also considered that the biological properties of a GMM and the status of qualified presumption of safety (QPS) would be suitable to determine the category of a GMM, i.e. low-risk or other, and with that the regulatory path of a GMM product.</w:t>
      </w:r>
    </w:p>
    <w:p w14:paraId="184503A3" w14:textId="3DA5B3B1" w:rsidR="2F23A51D" w:rsidRPr="00EB2242" w:rsidRDefault="2F23A51D" w:rsidP="004570F2">
      <w:pPr>
        <w:pStyle w:val="Heading3"/>
        <w:numPr>
          <w:ilvl w:val="0"/>
          <w:numId w:val="0"/>
        </w:numPr>
      </w:pPr>
      <w:bookmarkStart w:id="72" w:name="_Toc225969761"/>
      <w:bookmarkStart w:id="73" w:name="_Toc225979073"/>
      <w:r w:rsidRPr="004570F2">
        <w:rPr>
          <w:b/>
        </w:rPr>
        <w:t>Access to capital</w:t>
      </w:r>
      <w:bookmarkEnd w:id="72"/>
      <w:bookmarkEnd w:id="73"/>
    </w:p>
    <w:p w14:paraId="7F3CDAC5" w14:textId="0A9B4CAB" w:rsidR="4CD4F1FC" w:rsidRPr="007052FB" w:rsidRDefault="7C5E21C1" w:rsidP="7E49C426">
      <w:pPr>
        <w:rPr>
          <w:rFonts w:eastAsia="Aptos"/>
        </w:rPr>
      </w:pPr>
      <w:r w:rsidRPr="7E49C426">
        <w:rPr>
          <w:rFonts w:eastAsia="Aptos"/>
        </w:rPr>
        <w:t xml:space="preserve">The different stakeholder consultation activities (CfE, PC and </w:t>
      </w:r>
      <w:r w:rsidR="002E630A">
        <w:rPr>
          <w:rFonts w:eastAsia="Aptos"/>
        </w:rPr>
        <w:t>targeted consultations</w:t>
      </w:r>
      <w:r w:rsidRPr="7E49C426">
        <w:rPr>
          <w:rFonts w:eastAsia="Aptos"/>
        </w:rPr>
        <w:t>) draw a consistent picture of the challenges in Europe’s biotechnology sector, particularly regarding access to risk-tolerant capital. The findings show that Europe’s biotech industry suffers from a chronic shortage of long-term financing, which limits the ability of start-ups and SMEs to scale, innovate, and compete globally.</w:t>
      </w:r>
    </w:p>
    <w:p w14:paraId="04097F00" w14:textId="717AADB3" w:rsidR="4CD4F1FC" w:rsidRPr="009649A3" w:rsidRDefault="7C5E21C1" w:rsidP="7E49C426">
      <w:pPr>
        <w:rPr>
          <w:rFonts w:eastAsia="Aptos"/>
        </w:rPr>
      </w:pPr>
      <w:r w:rsidRPr="7E49C426">
        <w:rPr>
          <w:rFonts w:eastAsia="Aptos"/>
        </w:rPr>
        <w:t xml:space="preserve">According to the CfE, there is </w:t>
      </w:r>
      <w:r w:rsidR="00BD1B96">
        <w:rPr>
          <w:rFonts w:eastAsia="Aptos"/>
        </w:rPr>
        <w:t>broad</w:t>
      </w:r>
      <w:r w:rsidR="00BD1B96" w:rsidRPr="7E49C426">
        <w:rPr>
          <w:rFonts w:eastAsia="Aptos"/>
        </w:rPr>
        <w:t xml:space="preserve"> </w:t>
      </w:r>
      <w:r w:rsidRPr="7E49C426">
        <w:rPr>
          <w:rFonts w:eastAsia="Aptos"/>
        </w:rPr>
        <w:t xml:space="preserve">agreement that Europe lags behind the U.S. and China in biotech financing, with only a fraction of global venture capital available. Fragmented and risk-averse capital markets force European companies to seek funding abroad, jeopardizing technological sovereignty and </w:t>
      </w:r>
      <w:r w:rsidR="00A71792">
        <w:rPr>
          <w:rFonts w:eastAsia="Aptos"/>
        </w:rPr>
        <w:t>contributing</w:t>
      </w:r>
      <w:r w:rsidR="00A71792" w:rsidRPr="7E49C426">
        <w:rPr>
          <w:rFonts w:eastAsia="Aptos"/>
        </w:rPr>
        <w:t xml:space="preserve"> </w:t>
      </w:r>
      <w:r w:rsidRPr="7E49C426">
        <w:rPr>
          <w:rFonts w:eastAsia="Aptos"/>
        </w:rPr>
        <w:t>to offshoring. Early-stage firms, especially those without clinical data, struggle due to long development timelines, high capital expenditures (CAPEX), and regulatory uncertainty. Stakeholders are calling for a comprehensive financial and regulatory framework that would mobilize public and private investment while reducing structural barriers to funding. Proposed solutions include the creation of dedicated EU biotech funds with a mix of grants, convertible loans, and guarantees, the establishment of an EU Biotech/Life Sciences Index or NASDAQ-style exchange to improve equity access, and Fund-of-Funds mechanisms to de-risk early-stage innovation. Additionally, public-private partnerships (PPPs) and Important Projects of Common European Interest (IPCEIs) are recommended as tools to attract private co-investment.</w:t>
      </w:r>
    </w:p>
    <w:p w14:paraId="6B96920A" w14:textId="08D11737" w:rsidR="4CD4F1FC" w:rsidRPr="009649A3" w:rsidRDefault="7C5E21C1" w:rsidP="7E49C426">
      <w:pPr>
        <w:rPr>
          <w:rFonts w:eastAsia="Aptos"/>
        </w:rPr>
      </w:pPr>
      <w:r w:rsidRPr="5712F33C">
        <w:rPr>
          <w:rFonts w:eastAsia="Aptos"/>
        </w:rPr>
        <w:t>The PC reinforces these findings with concrete data on the accessibility of financing instruments. Only 19</w:t>
      </w:r>
      <w:r w:rsidR="006856C2">
        <w:rPr>
          <w:rFonts w:eastAsia="Aptos"/>
        </w:rPr>
        <w:t>%</w:t>
      </w:r>
      <w:r w:rsidRPr="5712F33C">
        <w:rPr>
          <w:rFonts w:eastAsia="Aptos"/>
        </w:rPr>
        <w:t xml:space="preserve"> of respondents state that public grants or subsidies are easy to access, while for other public funding types, agreement drops to below 10</w:t>
      </w:r>
      <w:r w:rsidR="006856C2">
        <w:rPr>
          <w:rFonts w:eastAsia="Aptos"/>
        </w:rPr>
        <w:t>%</w:t>
      </w:r>
      <w:r w:rsidRPr="5712F33C">
        <w:rPr>
          <w:rFonts w:eastAsia="Aptos"/>
        </w:rPr>
        <w:t>. Nearly 50</w:t>
      </w:r>
      <w:r w:rsidR="006856C2">
        <w:rPr>
          <w:rFonts w:eastAsia="Aptos"/>
        </w:rPr>
        <w:t>%</w:t>
      </w:r>
      <w:r w:rsidRPr="5712F33C">
        <w:rPr>
          <w:rFonts w:eastAsia="Aptos"/>
        </w:rPr>
        <w:t xml:space="preserve"> of respondents disagree that public financing instruments are easily accessible. For private investments, strategic research or sales partnerships (21</w:t>
      </w:r>
      <w:r w:rsidR="006856C2">
        <w:rPr>
          <w:rFonts w:eastAsia="Aptos"/>
        </w:rPr>
        <w:t>%</w:t>
      </w:r>
      <w:r w:rsidRPr="5712F33C">
        <w:rPr>
          <w:rFonts w:eastAsia="Aptos"/>
        </w:rPr>
        <w:t>) and angel investors (15</w:t>
      </w:r>
      <w:r w:rsidR="006856C2">
        <w:rPr>
          <w:rFonts w:eastAsia="Aptos"/>
        </w:rPr>
        <w:t>%</w:t>
      </w:r>
      <w:r w:rsidRPr="5712F33C">
        <w:rPr>
          <w:rFonts w:eastAsia="Aptos"/>
        </w:rPr>
        <w:t xml:space="preserve">) are perceived as the most accessible, while venture capital in the expansion stage </w:t>
      </w:r>
      <w:r w:rsidR="068A6E33" w:rsidRPr="5712F33C">
        <w:rPr>
          <w:rFonts w:eastAsia="Aptos"/>
        </w:rPr>
        <w:t xml:space="preserve">was seen as particularly lacking </w:t>
      </w:r>
      <w:r w:rsidRPr="5712F33C">
        <w:rPr>
          <w:rFonts w:eastAsia="Aptos"/>
        </w:rPr>
        <w:t>(43.5</w:t>
      </w:r>
      <w:r w:rsidR="006856C2">
        <w:rPr>
          <w:rFonts w:eastAsia="Aptos"/>
        </w:rPr>
        <w:t>%</w:t>
      </w:r>
      <w:r w:rsidRPr="5712F33C">
        <w:rPr>
          <w:rFonts w:eastAsia="Aptos"/>
        </w:rPr>
        <w:t>). The high number of “don’t know” or “N/A” responses suggests a lack of awareness or clarity regarding available funding options</w:t>
      </w:r>
      <w:r w:rsidR="00273200" w:rsidRPr="5712F33C">
        <w:rPr>
          <w:rFonts w:eastAsia="Aptos"/>
        </w:rPr>
        <w:t>.</w:t>
      </w:r>
    </w:p>
    <w:p w14:paraId="6FA34B5B" w14:textId="4CC2172F" w:rsidR="4CD4F1FC" w:rsidRPr="007052FB" w:rsidRDefault="7C5E21C1" w:rsidP="7E49C426">
      <w:pPr>
        <w:rPr>
          <w:rFonts w:eastAsia="Aptos"/>
        </w:rPr>
      </w:pPr>
      <w:r w:rsidRPr="7E49C426">
        <w:rPr>
          <w:rFonts w:eastAsia="Aptos"/>
        </w:rPr>
        <w:t>As key drivers for biotech investments, respondents highlight groundbreaking technology, regulatory certainty, innovative science, and strong IP protection (up to 80</w:t>
      </w:r>
      <w:r w:rsidR="006856C2">
        <w:rPr>
          <w:rFonts w:eastAsia="Aptos"/>
        </w:rPr>
        <w:t>%</w:t>
      </w:r>
      <w:r w:rsidRPr="7E49C426">
        <w:rPr>
          <w:rFonts w:eastAsia="Aptos"/>
        </w:rPr>
        <w:t xml:space="preserve"> agreement), </w:t>
      </w:r>
      <w:r w:rsidRPr="7E49C426">
        <w:rPr>
          <w:rFonts w:eastAsia="Aptos"/>
        </w:rPr>
        <w:lastRenderedPageBreak/>
        <w:t>followed by experienced management teams, robust supply chains, and solid financial projections (67–71</w:t>
      </w:r>
      <w:r w:rsidR="006856C2">
        <w:rPr>
          <w:rFonts w:eastAsia="Aptos"/>
        </w:rPr>
        <w:t>%</w:t>
      </w:r>
      <w:r w:rsidRPr="7E49C426">
        <w:rPr>
          <w:rFonts w:eastAsia="Aptos"/>
        </w:rPr>
        <w:t xml:space="preserve"> agreement). </w:t>
      </w:r>
      <w:r w:rsidR="005E5238">
        <w:rPr>
          <w:rFonts w:eastAsia="Aptos"/>
        </w:rPr>
        <w:t>A</w:t>
      </w:r>
      <w:r w:rsidRPr="7E49C426">
        <w:rPr>
          <w:rFonts w:eastAsia="Aptos"/>
        </w:rPr>
        <w:t xml:space="preserve">ccess to data held by public sector bodies </w:t>
      </w:r>
      <w:r w:rsidR="005E5238">
        <w:rPr>
          <w:rFonts w:eastAsia="Aptos"/>
        </w:rPr>
        <w:t xml:space="preserve">is identified as a </w:t>
      </w:r>
      <w:r w:rsidR="007D42A9">
        <w:rPr>
          <w:rFonts w:eastAsia="Aptos"/>
        </w:rPr>
        <w:t xml:space="preserve">less prominent driver, </w:t>
      </w:r>
      <w:r w:rsidRPr="7E49C426">
        <w:rPr>
          <w:rFonts w:eastAsia="Aptos"/>
        </w:rPr>
        <w:t>with 49</w:t>
      </w:r>
      <w:r w:rsidR="006856C2">
        <w:rPr>
          <w:rFonts w:eastAsia="Aptos"/>
        </w:rPr>
        <w:t>%</w:t>
      </w:r>
      <w:r w:rsidRPr="7E49C426">
        <w:rPr>
          <w:rFonts w:eastAsia="Aptos"/>
        </w:rPr>
        <w:t xml:space="preserve"> of respondents agreeing or strongly agreeing that it </w:t>
      </w:r>
      <w:r w:rsidR="0027506D">
        <w:rPr>
          <w:rFonts w:eastAsia="Aptos"/>
        </w:rPr>
        <w:t>influences</w:t>
      </w:r>
      <w:r w:rsidRPr="7E49C426">
        <w:rPr>
          <w:rFonts w:eastAsia="Aptos"/>
        </w:rPr>
        <w:t xml:space="preserve"> investment</w:t>
      </w:r>
      <w:r w:rsidR="0027506D">
        <w:rPr>
          <w:rFonts w:eastAsia="Aptos"/>
        </w:rPr>
        <w:t xml:space="preserve"> decision</w:t>
      </w:r>
      <w:r w:rsidRPr="7E49C426">
        <w:rPr>
          <w:rFonts w:eastAsia="Aptos"/>
        </w:rPr>
        <w:t>s.</w:t>
      </w:r>
    </w:p>
    <w:p w14:paraId="0533671C" w14:textId="1C5ED42B" w:rsidR="4CD4F1FC" w:rsidRPr="00EE1B77" w:rsidRDefault="7C5E21C1" w:rsidP="00F255DF">
      <w:r w:rsidRPr="7E49C426">
        <w:rPr>
          <w:rFonts w:eastAsia="Aptos"/>
        </w:rPr>
        <w:t>The Landscape Study emphasizes that biotech financing is influenced by a complex interplay of economic factors and sector-specific risks. While some challenges, like the structure of financial markets, require systemic shifts, others could be addressed through targeted policy interventions.</w:t>
      </w:r>
      <w:r w:rsidR="10514745" w:rsidRPr="389001A8">
        <w:rPr>
          <w:rFonts w:eastAsia="Aptos"/>
        </w:rPr>
        <w:t xml:space="preserve"> </w:t>
      </w:r>
      <w:r w:rsidR="10514745" w:rsidRPr="05E331E5">
        <w:t xml:space="preserve">As part of </w:t>
      </w:r>
      <w:r w:rsidR="10514745" w:rsidRPr="7DA6AE36">
        <w:t>this</w:t>
      </w:r>
      <w:r w:rsidR="10514745" w:rsidRPr="05E331E5">
        <w:t xml:space="preserve"> Study, a workshop was held with representatives from </w:t>
      </w:r>
      <w:r w:rsidR="000078A4">
        <w:t xml:space="preserve">EU institutions, </w:t>
      </w:r>
      <w:r w:rsidR="10514745" w:rsidRPr="05E331E5">
        <w:t xml:space="preserve">industry associations, venture capital investors, and institutional investors. The key finding of the workshop was that while the EU has a strong biotech research base, it faces critical </w:t>
      </w:r>
      <w:r w:rsidR="10514745" w:rsidRPr="00EE1B77">
        <w:t xml:space="preserve">financing gaps, particularly </w:t>
      </w:r>
      <w:r w:rsidR="0027506D">
        <w:t>at</w:t>
      </w:r>
      <w:r w:rsidR="0027506D" w:rsidRPr="00EE1B77">
        <w:t xml:space="preserve"> </w:t>
      </w:r>
      <w:r w:rsidR="10514745" w:rsidRPr="00EE1B77">
        <w:t xml:space="preserve">early-stage. </w:t>
      </w:r>
    </w:p>
    <w:p w14:paraId="2F991D60" w14:textId="60B98D18" w:rsidR="2F23A51D" w:rsidRPr="00EB2242" w:rsidRDefault="2F23A51D" w:rsidP="004570F2">
      <w:pPr>
        <w:pStyle w:val="Heading3"/>
        <w:numPr>
          <w:ilvl w:val="0"/>
          <w:numId w:val="0"/>
        </w:numPr>
      </w:pPr>
      <w:bookmarkStart w:id="74" w:name="_Toc225969762"/>
      <w:bookmarkStart w:id="75" w:name="_Toc225979074"/>
      <w:r w:rsidRPr="004570F2">
        <w:rPr>
          <w:b/>
        </w:rPr>
        <w:t>Biotechnology clusters</w:t>
      </w:r>
      <w:bookmarkEnd w:id="74"/>
      <w:bookmarkEnd w:id="75"/>
    </w:p>
    <w:p w14:paraId="7F757D06" w14:textId="1435FCBC" w:rsidR="00C833C0" w:rsidRPr="00EE1B77" w:rsidRDefault="2DD19BE3" w:rsidP="65A72BE6">
      <w:pPr>
        <w:rPr>
          <w:rFonts w:ascii="Aptos" w:eastAsia="Aptos" w:hAnsi="Aptos" w:cs="Aptos"/>
          <w:color w:val="000000" w:themeColor="text1"/>
        </w:rPr>
      </w:pPr>
      <w:r w:rsidRPr="00EE1B77">
        <w:t>The</w:t>
      </w:r>
      <w:r w:rsidR="64D47461" w:rsidRPr="00EE1B77">
        <w:t xml:space="preserve"> five </w:t>
      </w:r>
      <w:r w:rsidRPr="00EE1B77">
        <w:t>most critical challenges</w:t>
      </w:r>
      <w:r w:rsidR="4F5C718E" w:rsidRPr="00EE1B77">
        <w:t xml:space="preserve"> recognised</w:t>
      </w:r>
      <w:r w:rsidR="005C05AF">
        <w:t xml:space="preserve"> </w:t>
      </w:r>
      <w:r w:rsidRPr="00EE1B77">
        <w:t>by respondents</w:t>
      </w:r>
      <w:r w:rsidR="589E99E4" w:rsidRPr="00EE1B77">
        <w:t xml:space="preserve"> to PC</w:t>
      </w:r>
      <w:r w:rsidRPr="00EE1B77">
        <w:t>,</w:t>
      </w:r>
      <w:r w:rsidR="64D47461" w:rsidRPr="00EE1B77">
        <w:t xml:space="preserve"> </w:t>
      </w:r>
      <w:r w:rsidR="2B247CAF" w:rsidRPr="00EE1B77">
        <w:t>which hamper</w:t>
      </w:r>
      <w:r w:rsidR="46482565" w:rsidRPr="001044F8">
        <w:t xml:space="preserve"> EU biotechnology clu</w:t>
      </w:r>
      <w:r w:rsidR="005376EC" w:rsidRPr="001044F8">
        <w:t>s</w:t>
      </w:r>
      <w:r w:rsidR="46482565" w:rsidRPr="001044F8">
        <w:t>ters</w:t>
      </w:r>
      <w:r w:rsidR="2B247CAF" w:rsidRPr="001044F8">
        <w:t xml:space="preserve"> </w:t>
      </w:r>
      <w:r w:rsidR="005C05AF">
        <w:t>in</w:t>
      </w:r>
      <w:r w:rsidR="005C05AF" w:rsidRPr="00EE1B77">
        <w:t xml:space="preserve"> </w:t>
      </w:r>
      <w:r w:rsidR="2B247CAF" w:rsidRPr="00EE1B77">
        <w:t>achiev</w:t>
      </w:r>
      <w:r w:rsidR="005C05AF">
        <w:t>ing</w:t>
      </w:r>
      <w:r w:rsidR="2B247CAF" w:rsidRPr="00EE1B77">
        <w:t xml:space="preserve"> their full potential</w:t>
      </w:r>
      <w:r w:rsidRPr="00EE1B77">
        <w:t>,</w:t>
      </w:r>
      <w:r w:rsidR="64D47461" w:rsidRPr="00EE1B77">
        <w:t xml:space="preserve"> were: insufficient financial support (58</w:t>
      </w:r>
      <w:r w:rsidR="006856C2">
        <w:t>%</w:t>
      </w:r>
      <w:r w:rsidR="64D47461" w:rsidRPr="00EE1B77">
        <w:t>, 270/464), insufficient public support (54</w:t>
      </w:r>
      <w:r w:rsidR="006856C2">
        <w:t>%</w:t>
      </w:r>
      <w:r w:rsidR="64D47461" w:rsidRPr="00EE1B77">
        <w:t>, 251/464), incapacity to reach a critical mass of stakeholders (46</w:t>
      </w:r>
      <w:r w:rsidR="006856C2">
        <w:t>%</w:t>
      </w:r>
      <w:r w:rsidR="64D47461" w:rsidRPr="00EE1B77">
        <w:t>, 215/464), insufficient collaboration among existing clusters (46</w:t>
      </w:r>
      <w:r w:rsidR="006856C2">
        <w:t>%</w:t>
      </w:r>
      <w:r w:rsidR="64D47461" w:rsidRPr="00EE1B77">
        <w:t>, 213/464) and insufficient start-up incubators or business support infrastructure (45</w:t>
      </w:r>
      <w:r w:rsidR="006856C2">
        <w:t>%</w:t>
      </w:r>
      <w:r w:rsidR="64D47461" w:rsidRPr="00EE1B77">
        <w:t xml:space="preserve">, 209/464). </w:t>
      </w:r>
    </w:p>
    <w:p w14:paraId="4DC6C150" w14:textId="10C87A5F" w:rsidR="2F23A51D" w:rsidRPr="00EB2242" w:rsidRDefault="2F23A51D" w:rsidP="004570F2">
      <w:pPr>
        <w:pStyle w:val="Heading3"/>
        <w:numPr>
          <w:ilvl w:val="0"/>
          <w:numId w:val="0"/>
        </w:numPr>
      </w:pPr>
      <w:bookmarkStart w:id="76" w:name="_Toc225969763"/>
      <w:bookmarkStart w:id="77" w:name="_Toc225979075"/>
      <w:r w:rsidRPr="004570F2">
        <w:rPr>
          <w:b/>
        </w:rPr>
        <w:t>Biomanufacturing</w:t>
      </w:r>
      <w:bookmarkEnd w:id="76"/>
      <w:bookmarkEnd w:id="77"/>
    </w:p>
    <w:p w14:paraId="60DBE823" w14:textId="1552FC6D" w:rsidR="538775FA" w:rsidRPr="0071524B" w:rsidRDefault="04D7A9B9" w:rsidP="1A906330">
      <w:pPr>
        <w:rPr>
          <w:rFonts w:ascii="Aptos" w:eastAsia="Aptos" w:hAnsi="Aptos" w:cs="Aptos"/>
        </w:rPr>
      </w:pPr>
      <w:r w:rsidRPr="00EE1B77">
        <w:t>The responses gathered from both the CfE and the PC reveal several critical challenges and priorities related to biomanufacturing, with</w:t>
      </w:r>
      <w:r w:rsidRPr="1A906330">
        <w:t xml:space="preserve"> stakeholders across industry, academia, and research institutions highlighting key areas for improvement.</w:t>
      </w:r>
    </w:p>
    <w:p w14:paraId="72D52811" w14:textId="6C979B82" w:rsidR="538775FA" w:rsidRPr="0071524B" w:rsidRDefault="04D7A9B9" w:rsidP="1A906330">
      <w:pPr>
        <w:rPr>
          <w:rFonts w:ascii="Aptos" w:eastAsia="Aptos" w:hAnsi="Aptos" w:cs="Aptos"/>
        </w:rPr>
      </w:pPr>
      <w:r w:rsidRPr="1A906330">
        <w:t>A major concern is infrastructure and facility capacity, with NGOs and “other” contributors (16 submissions in the CfE) stressing the need for better-equipped biomanufacturing sites, particularly those compliant with Good Manufacturing Practices (GMP). They also called for interoperable digital platforms, such as the European Health Data Space (EHDS), and clinical trial networks to support scalable production). Additionally, s</w:t>
      </w:r>
      <w:r w:rsidR="005376EC">
        <w:t>ome</w:t>
      </w:r>
      <w:r w:rsidRPr="1A906330">
        <w:t xml:space="preserve"> contributions emphasised the importance of resilient supply chains, suggesting decentralised or point-of-care biomanufacturing as a potential solution.</w:t>
      </w:r>
    </w:p>
    <w:p w14:paraId="663AD925" w14:textId="53FCE76D" w:rsidR="538775FA" w:rsidRPr="0071524B" w:rsidRDefault="04D7A9B9" w:rsidP="1A906330">
      <w:pPr>
        <w:rPr>
          <w:rFonts w:ascii="Aptos" w:eastAsia="Aptos" w:hAnsi="Aptos" w:cs="Aptos"/>
        </w:rPr>
      </w:pPr>
      <w:r w:rsidRPr="1A906330">
        <w:t>The PC responses reinforced these concerns, with 58</w:t>
      </w:r>
      <w:r w:rsidR="006856C2">
        <w:t>%</w:t>
      </w:r>
      <w:r w:rsidRPr="1A906330">
        <w:t xml:space="preserve"> to 67</w:t>
      </w:r>
      <w:r w:rsidR="006856C2">
        <w:t>%</w:t>
      </w:r>
      <w:r w:rsidRPr="1A906330">
        <w:t xml:space="preserve"> of stakeholders identifying global competition, lengthy permitting processes for new facilities, scaling challenges from pilot to industrial production, high energy costs, and expensive raw materials as the most significant barriers. Around half of respondents also highlighted supply chain vulnerabilities and inconsistent sustainability policies as major obstacles. </w:t>
      </w:r>
    </w:p>
    <w:p w14:paraId="1A785B2F" w14:textId="0AEA4F27" w:rsidR="538775FA" w:rsidRPr="0071524B" w:rsidRDefault="04D7A9B9" w:rsidP="1A906330">
      <w:pPr>
        <w:rPr>
          <w:rFonts w:ascii="Aptos" w:eastAsia="Aptos" w:hAnsi="Aptos" w:cs="Aptos"/>
        </w:rPr>
      </w:pPr>
      <w:r w:rsidRPr="1A906330">
        <w:t>Financing and investment risks were another recurring theme. In the CfE, businesses pointed to weak late-stage capital and the need for targeted incentives, guarantees, and de-risking tools to support pilot, demonstration, and full-scale manufacturing projects. The PC similarly underscored high operational costs as a key challenge, further complicating scaling efforts.</w:t>
      </w:r>
    </w:p>
    <w:p w14:paraId="2073B1C6" w14:textId="2847357D" w:rsidR="538775FA" w:rsidRPr="0071524B" w:rsidRDefault="04D7A9B9" w:rsidP="1A906330">
      <w:pPr>
        <w:rPr>
          <w:rFonts w:ascii="Aptos" w:eastAsia="Aptos" w:hAnsi="Aptos" w:cs="Aptos"/>
        </w:rPr>
      </w:pPr>
      <w:r w:rsidRPr="1A906330">
        <w:lastRenderedPageBreak/>
        <w:t xml:space="preserve">Business associations called for training in advanced biomanufacturing, </w:t>
      </w:r>
      <w:r w:rsidR="00833949">
        <w:t>among</w:t>
      </w:r>
      <w:r w:rsidR="00833949" w:rsidRPr="1A906330">
        <w:t xml:space="preserve"> </w:t>
      </w:r>
      <w:r w:rsidRPr="1A906330">
        <w:t>other</w:t>
      </w:r>
      <w:r w:rsidR="00833949">
        <w:t xml:space="preserve"> need</w:t>
      </w:r>
      <w:r w:rsidRPr="1A906330">
        <w:t xml:space="preserve">s. </w:t>
      </w:r>
      <w:r w:rsidR="00304E90">
        <w:t>A few</w:t>
      </w:r>
      <w:r w:rsidR="00304E90" w:rsidRPr="1A906330">
        <w:t xml:space="preserve"> </w:t>
      </w:r>
      <w:r w:rsidRPr="1A906330">
        <w:t>companies specifically advocated for EU-wide multidisciplinary training programmes, while academic and research institutions stressed the need for co-created curricula, including modular courses, vocational training, and industry placements in Contract Development and Manufacturing Organisations (CDMOs).</w:t>
      </w:r>
    </w:p>
    <w:p w14:paraId="120B9FF3" w14:textId="4EDBBDAC" w:rsidR="1A906330" w:rsidRDefault="04D7A9B9">
      <w:r w:rsidRPr="1A906330">
        <w:t xml:space="preserve">Finally, sustainability and innovation in manufacturing were addressed, with one academic respondent (EU </w:t>
      </w:r>
      <w:r w:rsidR="002764CB">
        <w:t>c</w:t>
      </w:r>
      <w:r w:rsidRPr="1A906330">
        <w:t>itizen) highlighting plant-based production and microbial technologies as promising but currently hindered by inadequate infrastructure and regulatory frameworks.</w:t>
      </w:r>
    </w:p>
    <w:p w14:paraId="0B054FA0" w14:textId="1D70C80C" w:rsidR="2F23A51D" w:rsidRPr="00EB2242" w:rsidRDefault="00B7065A" w:rsidP="004570F2">
      <w:pPr>
        <w:pStyle w:val="Heading3"/>
        <w:numPr>
          <w:ilvl w:val="0"/>
          <w:numId w:val="0"/>
        </w:numPr>
      </w:pPr>
      <w:bookmarkStart w:id="78" w:name="_Toc225969764"/>
      <w:bookmarkStart w:id="79" w:name="_Toc225979076"/>
      <w:r w:rsidRPr="004570F2">
        <w:rPr>
          <w:b/>
        </w:rPr>
        <w:t>A</w:t>
      </w:r>
      <w:r w:rsidR="2F23A51D" w:rsidRPr="004570F2">
        <w:rPr>
          <w:b/>
        </w:rPr>
        <w:t>I and data</w:t>
      </w:r>
      <w:bookmarkEnd w:id="78"/>
      <w:bookmarkEnd w:id="79"/>
    </w:p>
    <w:p w14:paraId="0D501B05" w14:textId="1BE8627D" w:rsidR="337FA1CF" w:rsidRPr="007052FB" w:rsidRDefault="23EF2E92" w:rsidP="007052FB">
      <w:r w:rsidRPr="1A906330">
        <w:rPr>
          <w:rFonts w:eastAsia="Aptos"/>
        </w:rPr>
        <w:t xml:space="preserve">The results of several stakeholder consultation activities (CfE, PC, </w:t>
      </w:r>
      <w:r w:rsidR="00B60AD3">
        <w:rPr>
          <w:rFonts w:eastAsia="Aptos"/>
        </w:rPr>
        <w:t>targeted consultations</w:t>
      </w:r>
      <w:r w:rsidRPr="1A906330">
        <w:rPr>
          <w:rFonts w:eastAsia="Aptos"/>
        </w:rPr>
        <w:t>) emphasize the critical role of AI and data in Europe’s biotechnology sector, while exposing significant barriers that hinder their effective deployment. Across all stakeholder consultation activities, a recurring theme emerges data access, governance, and interoperability represent the most pressing bottlenecks, compounded by regulatory uncertainty, infrastructure limitations, and skills shortages, which together threaten Europe’s ability to compete globally in AI-driven biotechnology innovation.</w:t>
      </w:r>
    </w:p>
    <w:p w14:paraId="1A313E50" w14:textId="71C9D7D5" w:rsidR="337FA1CF" w:rsidRPr="009649A3" w:rsidRDefault="23EF2E92" w:rsidP="007052FB">
      <w:pPr>
        <w:rPr>
          <w:rFonts w:eastAsia="Aptos"/>
        </w:rPr>
      </w:pPr>
      <w:r w:rsidRPr="7E49C426">
        <w:rPr>
          <w:rFonts w:eastAsia="Aptos"/>
        </w:rPr>
        <w:t xml:space="preserve">The CfE responses reveal broad consensus that Europe’s biotech sector suffers from fragmented, non-interoperable data and ambiguous governance frameworks, severely limiting the potential of AI applications. Despite rapid advancements in AI technologies, their adoption remains constrained by these structural barriers. Stakeholders emphasize the need for EU-wide bio-data infrastructures, European biotechnology dataspaces, and secure computing resources, particularly to support SMEs and start-ups that lack the infrastructure to leverage AI effectively. They also call for FAIR-aligned data-sharing ecosystems tailored to genomics, proteomics, synthetic biology, and clinical data, alongside federated datasets, supercomputing resources, and AI testing facilities. </w:t>
      </w:r>
    </w:p>
    <w:p w14:paraId="4F0B7404" w14:textId="2D974103" w:rsidR="337FA1CF" w:rsidRPr="009649A3" w:rsidRDefault="23EF2E92" w:rsidP="007052FB">
      <w:pPr>
        <w:rPr>
          <w:rFonts w:eastAsia="Aptos"/>
        </w:rPr>
      </w:pPr>
      <w:r w:rsidRPr="7E49C426">
        <w:rPr>
          <w:rFonts w:eastAsia="Aptos"/>
        </w:rPr>
        <w:t>Stakeholders in the CfE</w:t>
      </w:r>
      <w:r w:rsidRPr="7E49C426" w:rsidDel="00A168D2">
        <w:rPr>
          <w:rFonts w:eastAsia="Aptos"/>
        </w:rPr>
        <w:t xml:space="preserve"> </w:t>
      </w:r>
      <w:r w:rsidRPr="7E49C426">
        <w:rPr>
          <w:rFonts w:eastAsia="Aptos"/>
        </w:rPr>
        <w:t xml:space="preserve">also stress the importance of AI-ready data formats, reliable data connectors, and harmonized metadata standards to enable seamless integration of AI tools. They advocate for aligning the </w:t>
      </w:r>
      <w:r w:rsidR="00A25C33">
        <w:rPr>
          <w:rFonts w:eastAsia="Aptos"/>
        </w:rPr>
        <w:t xml:space="preserve">proposed European </w:t>
      </w:r>
      <w:r w:rsidRPr="7E49C426">
        <w:rPr>
          <w:rFonts w:eastAsia="Aptos"/>
        </w:rPr>
        <w:t xml:space="preserve">Biotech Act with existing frameworks such as the AI Act, GDPR, European Health Data Space (EHDS), and AI in Science Strategy, while demanding clarity on rules governing AI model training, validation, and deployment, particularly in highly regulated sectors like pharma and healthcare. The PC </w:t>
      </w:r>
      <w:r w:rsidRPr="00DB2FAE">
        <w:rPr>
          <w:rFonts w:eastAsia="Aptos"/>
        </w:rPr>
        <w:t>quantifies these challenges, with 61</w:t>
      </w:r>
      <w:r w:rsidR="006856C2">
        <w:rPr>
          <w:rFonts w:eastAsia="Aptos"/>
        </w:rPr>
        <w:t>%</w:t>
      </w:r>
      <w:r w:rsidRPr="00DB2FAE">
        <w:rPr>
          <w:rFonts w:eastAsia="Aptos"/>
        </w:rPr>
        <w:t xml:space="preserve"> of stakeholders citing technological barriers and 58</w:t>
      </w:r>
      <w:r w:rsidR="006856C2">
        <w:rPr>
          <w:rFonts w:eastAsia="Aptos"/>
        </w:rPr>
        <w:t>%</w:t>
      </w:r>
      <w:r w:rsidRPr="00DB2FAE">
        <w:rPr>
          <w:rFonts w:eastAsia="Aptos"/>
        </w:rPr>
        <w:t xml:space="preserve"> pointing to difficulties in implementing regulatory frameworks as the primary obstacles to AI adoption in R&amp;D. Over half of the respondents view these issues as the main barrier to deploying AI-based biotechnology products, underscoring the need for regulatory sandboxes to facilitate safe testing of AI-driven tools in areas like drug discovery and clinical trials.</w:t>
      </w:r>
    </w:p>
    <w:p w14:paraId="1BD7160C" w14:textId="2D3B7045" w:rsidR="337FA1CF" w:rsidRPr="009649A3" w:rsidRDefault="23EF2E92" w:rsidP="007052FB">
      <w:pPr>
        <w:rPr>
          <w:rFonts w:eastAsia="Aptos"/>
        </w:rPr>
      </w:pPr>
      <w:r w:rsidRPr="7E49C426">
        <w:rPr>
          <w:rFonts w:eastAsia="Aptos"/>
        </w:rPr>
        <w:t>A</w:t>
      </w:r>
      <w:r w:rsidRPr="7E49C426" w:rsidDel="00411372">
        <w:rPr>
          <w:rFonts w:eastAsia="Aptos"/>
        </w:rPr>
        <w:t xml:space="preserve"> </w:t>
      </w:r>
      <w:r w:rsidR="00DE3DF3">
        <w:rPr>
          <w:rFonts w:eastAsia="Aptos"/>
        </w:rPr>
        <w:t xml:space="preserve">cross-cutting </w:t>
      </w:r>
      <w:r w:rsidRPr="7E49C426">
        <w:rPr>
          <w:rFonts w:eastAsia="Aptos"/>
        </w:rPr>
        <w:t>concern is the shortage of interdisciplinary talent</w:t>
      </w:r>
      <w:r w:rsidR="00411372">
        <w:rPr>
          <w:rFonts w:eastAsia="Aptos"/>
        </w:rPr>
        <w:t>, namely</w:t>
      </w:r>
      <w:r w:rsidRPr="7E49C426">
        <w:rPr>
          <w:rFonts w:eastAsia="Aptos"/>
        </w:rPr>
        <w:t xml:space="preserve"> individuals proficient in both data science and biotechnology. The PC quantifies this gap, with stakeholders ranking skills development as the top priority (65</w:t>
      </w:r>
      <w:r w:rsidR="006856C2">
        <w:rPr>
          <w:rFonts w:eastAsia="Aptos"/>
        </w:rPr>
        <w:t>%</w:t>
      </w:r>
      <w:r w:rsidRPr="7E49C426">
        <w:rPr>
          <w:rFonts w:eastAsia="Aptos"/>
        </w:rPr>
        <w:t>) for supporting AI adoption in biotech, followed by access to annotated datasets (64</w:t>
      </w:r>
      <w:r w:rsidR="006856C2">
        <w:rPr>
          <w:rFonts w:eastAsia="Aptos"/>
        </w:rPr>
        <w:t>%</w:t>
      </w:r>
      <w:r w:rsidRPr="7E49C426">
        <w:rPr>
          <w:rFonts w:eastAsia="Aptos"/>
        </w:rPr>
        <w:t xml:space="preserve">), partnerships with </w:t>
      </w:r>
      <w:r w:rsidRPr="7E49C426">
        <w:rPr>
          <w:rFonts w:eastAsia="Aptos"/>
        </w:rPr>
        <w:lastRenderedPageBreak/>
        <w:t>public research institutions or AI hubs (63</w:t>
      </w:r>
      <w:r w:rsidR="006856C2">
        <w:rPr>
          <w:rFonts w:eastAsia="Aptos"/>
        </w:rPr>
        <w:t>%</w:t>
      </w:r>
      <w:r w:rsidRPr="7E49C426">
        <w:rPr>
          <w:rFonts w:eastAsia="Aptos"/>
        </w:rPr>
        <w:t>), dedicated funding (62</w:t>
      </w:r>
      <w:r w:rsidR="006856C2">
        <w:rPr>
          <w:rFonts w:eastAsia="Aptos"/>
        </w:rPr>
        <w:t>%</w:t>
      </w:r>
      <w:r w:rsidRPr="7E49C426">
        <w:rPr>
          <w:rFonts w:eastAsia="Aptos"/>
        </w:rPr>
        <w:t>), regulatory sandboxes (59</w:t>
      </w:r>
      <w:r w:rsidR="006856C2">
        <w:rPr>
          <w:rFonts w:eastAsia="Aptos"/>
        </w:rPr>
        <w:t>%</w:t>
      </w:r>
      <w:r w:rsidRPr="7E49C426">
        <w:rPr>
          <w:rFonts w:eastAsia="Aptos"/>
        </w:rPr>
        <w:t xml:space="preserve">), and roadmaps for AI implementation (65%). </w:t>
      </w:r>
    </w:p>
    <w:p w14:paraId="332F4B66" w14:textId="2745629D" w:rsidR="337FA1CF" w:rsidRPr="009649A3" w:rsidRDefault="23EF2E92" w:rsidP="007052FB">
      <w:pPr>
        <w:rPr>
          <w:rFonts w:eastAsia="Aptos"/>
        </w:rPr>
      </w:pPr>
      <w:r w:rsidRPr="7E49C426">
        <w:rPr>
          <w:rFonts w:eastAsia="Aptos"/>
        </w:rPr>
        <w:t xml:space="preserve">Despite these challenges, stakeholders in the CfE highlight AI’s transformative potential across the biotech value chain, including drug discovery, bioprocessing, healthcare, agriculture, and cosmetics. </w:t>
      </w:r>
    </w:p>
    <w:p w14:paraId="54100748" w14:textId="59677255" w:rsidR="337FA1CF" w:rsidRPr="009649A3" w:rsidRDefault="23EF2E92" w:rsidP="007052FB">
      <w:pPr>
        <w:rPr>
          <w:rFonts w:eastAsia="Aptos"/>
        </w:rPr>
      </w:pPr>
      <w:r w:rsidRPr="7E49C426">
        <w:rPr>
          <w:rFonts w:eastAsia="Aptos"/>
        </w:rPr>
        <w:t xml:space="preserve">To address these barriers, stakeholders propose investing in trusted data-sharing ecosystems and European-scale bio-data infrastructures, </w:t>
      </w:r>
      <w:r w:rsidR="00F937DA">
        <w:rPr>
          <w:rFonts w:eastAsia="Aptos"/>
        </w:rPr>
        <w:t xml:space="preserve">as well as </w:t>
      </w:r>
      <w:r w:rsidRPr="7E49C426">
        <w:rPr>
          <w:rFonts w:eastAsia="Aptos"/>
        </w:rPr>
        <w:t>developing harmonized standards for interoperability and security. They also advocate for targeted support for SMEs, including dedicated funding, AI test</w:t>
      </w:r>
      <w:r w:rsidR="000920DC">
        <w:rPr>
          <w:rFonts w:eastAsia="Aptos"/>
        </w:rPr>
        <w:t>ing</w:t>
      </w:r>
      <w:r w:rsidRPr="7E49C426">
        <w:rPr>
          <w:rFonts w:eastAsia="Aptos"/>
        </w:rPr>
        <w:t xml:space="preserve"> centr</w:t>
      </w:r>
      <w:r w:rsidR="000920DC">
        <w:rPr>
          <w:rFonts w:eastAsia="Aptos"/>
        </w:rPr>
        <w:t>e</w:t>
      </w:r>
      <w:r w:rsidRPr="7E49C426">
        <w:rPr>
          <w:rFonts w:eastAsia="Aptos"/>
        </w:rPr>
        <w:t>s, and collaborative projects, alongside promoting open science and FAIR principles as guiding frameworks.</w:t>
      </w:r>
    </w:p>
    <w:p w14:paraId="74F81778" w14:textId="73BBA34C" w:rsidR="13E56108" w:rsidRPr="00EB2242" w:rsidRDefault="13E56108" w:rsidP="004570F2">
      <w:pPr>
        <w:pStyle w:val="Heading3"/>
        <w:numPr>
          <w:ilvl w:val="0"/>
          <w:numId w:val="0"/>
        </w:numPr>
        <w:rPr>
          <w:rFonts w:eastAsia="Aptos"/>
        </w:rPr>
      </w:pPr>
      <w:bookmarkStart w:id="80" w:name="_Toc225969765"/>
      <w:bookmarkStart w:id="81" w:name="_Toc225979077"/>
      <w:r w:rsidRPr="004570F2">
        <w:rPr>
          <w:rFonts w:eastAsia="Aptos"/>
          <w:b/>
        </w:rPr>
        <w:t>Security and defence</w:t>
      </w:r>
      <w:bookmarkEnd w:id="80"/>
      <w:bookmarkEnd w:id="81"/>
    </w:p>
    <w:p w14:paraId="2CB7086E" w14:textId="007483F6" w:rsidR="663886E0" w:rsidRPr="002044F7" w:rsidRDefault="6CD7715E" w:rsidP="7E49C426">
      <w:pPr>
        <w:rPr>
          <w:rFonts w:eastAsia="Aptos"/>
        </w:rPr>
      </w:pPr>
      <w:r w:rsidRPr="7E49C426">
        <w:rPr>
          <w:rFonts w:eastAsia="Aptos"/>
        </w:rPr>
        <w:t>The results of stakeholder consultation activities (CfE, PC, and</w:t>
      </w:r>
      <w:r w:rsidR="00B60AD3">
        <w:rPr>
          <w:rFonts w:eastAsia="Aptos"/>
        </w:rPr>
        <w:t xml:space="preserve"> targeted consultations</w:t>
      </w:r>
      <w:r w:rsidRPr="7E49C426">
        <w:rPr>
          <w:rFonts w:eastAsia="Aptos"/>
        </w:rPr>
        <w:t>) highlight the dual-use risks, biosecurity challenges, and strategic vulnerabilities associated with Europe’s biotechnology sector, while emphasizing the need for proportionate governance frameworks that balance innovation with safeguards. Stakeholder responses reveal a shared concern that while biotechnology offers transformative potential for defence, healthcare, and food security, its misuse, fragmented regulation, and supply chain dependencies pose significant threats to Europe’s strategic autonomy and public safety.</w:t>
      </w:r>
    </w:p>
    <w:p w14:paraId="092EB948" w14:textId="6FCE7338" w:rsidR="663886E0" w:rsidRPr="002044F7" w:rsidRDefault="6CD7715E" w:rsidP="7E49C426">
      <w:pPr>
        <w:rPr>
          <w:rFonts w:eastAsia="Aptos"/>
        </w:rPr>
      </w:pPr>
      <w:r w:rsidRPr="7E49C426">
        <w:rPr>
          <w:rFonts w:eastAsia="Aptos"/>
        </w:rPr>
        <w:t xml:space="preserve">The CfE responses underscore that biotechnology’s rapid advancement brings ethical dilemmas and dual-use risks, particularly in areas like synthetic DNA, AI-driven biotech, and data exploitation. Stakeholders stress the need to embed ethical principles and standards from the outset to prevent misuse, protect societal trust, and ensure public acceptance of biotech innovations. However, they caution against excessive security-driven regulation, which could stifle innovation if not designed proportionately. Key proposals include screening </w:t>
      </w:r>
      <w:r w:rsidR="008E68BA">
        <w:rPr>
          <w:rFonts w:eastAsia="Aptos"/>
        </w:rPr>
        <w:t>customers of</w:t>
      </w:r>
      <w:r w:rsidRPr="7E49C426">
        <w:rPr>
          <w:rFonts w:eastAsia="Aptos"/>
        </w:rPr>
        <w:t xml:space="preserve"> synthetic DNA orders, regulatory sandboxes for controlled testing of novel biotechnologies, and tiered risk-based frameworks for GMOs and recombinant therapeutics. There are also calls for a European Biotechnology Security Strategy to enhance supply chain resilience and intellectual property protection, alongside international coordination to address dual-use risks globally. Stakeholders further advocate for harmonized EU rules to ensure consistency across Member States, while warning against overly restrictive approaches that could impede progress. </w:t>
      </w:r>
    </w:p>
    <w:p w14:paraId="6C9C93A8" w14:textId="7327F390" w:rsidR="663886E0" w:rsidRPr="002044F7" w:rsidRDefault="6CD7715E" w:rsidP="7E49C426">
      <w:pPr>
        <w:rPr>
          <w:rFonts w:eastAsia="Aptos"/>
        </w:rPr>
      </w:pPr>
      <w:r w:rsidRPr="7E49C426">
        <w:rPr>
          <w:rFonts w:eastAsia="Aptos"/>
        </w:rPr>
        <w:t>The CfE highlights the need for proportionate, risk-based governance that integrates security considerations without imposing unnecessary burdens. The PC identifies strategic autonomy risks, cybersecurity threats, supply chain vulnerabilities, and biosecurity concerns as the top challenges, with 50</w:t>
      </w:r>
      <w:r w:rsidR="006856C2">
        <w:rPr>
          <w:rFonts w:eastAsia="Aptos"/>
        </w:rPr>
        <w:t>%</w:t>
      </w:r>
      <w:r w:rsidRPr="7E49C426">
        <w:rPr>
          <w:rFonts w:eastAsia="Aptos"/>
        </w:rPr>
        <w:t xml:space="preserve"> of stakeholders citing risks to biomanufacturing autonomy and medical countermeasures, followed by cybersecurity risks (45</w:t>
      </w:r>
      <w:r w:rsidR="006856C2">
        <w:rPr>
          <w:rFonts w:eastAsia="Aptos"/>
        </w:rPr>
        <w:t>%</w:t>
      </w:r>
      <w:r w:rsidRPr="7E49C426">
        <w:rPr>
          <w:rFonts w:eastAsia="Aptos"/>
        </w:rPr>
        <w:t>), supply chain vulnerabilities (44</w:t>
      </w:r>
      <w:r w:rsidR="006856C2">
        <w:rPr>
          <w:rFonts w:eastAsia="Aptos"/>
        </w:rPr>
        <w:t>%</w:t>
      </w:r>
      <w:r w:rsidRPr="7E49C426">
        <w:rPr>
          <w:rFonts w:eastAsia="Aptos"/>
        </w:rPr>
        <w:t>), and biosecurity threats (40</w:t>
      </w:r>
      <w:r w:rsidR="006856C2">
        <w:rPr>
          <w:rFonts w:eastAsia="Aptos"/>
        </w:rPr>
        <w:t>%</w:t>
      </w:r>
      <w:r w:rsidRPr="7E49C426">
        <w:rPr>
          <w:rFonts w:eastAsia="Aptos"/>
        </w:rPr>
        <w:t>). Conversely, stakeholders see opportunities in innovative medical countermeasures (45</w:t>
      </w:r>
      <w:r w:rsidR="006856C2">
        <w:rPr>
          <w:rFonts w:eastAsia="Aptos"/>
        </w:rPr>
        <w:t>%</w:t>
      </w:r>
      <w:r w:rsidRPr="7E49C426">
        <w:rPr>
          <w:rFonts w:eastAsia="Aptos"/>
        </w:rPr>
        <w:t>), biological threat detection (45</w:t>
      </w:r>
      <w:r w:rsidR="006856C2">
        <w:rPr>
          <w:rFonts w:eastAsia="Aptos"/>
        </w:rPr>
        <w:t>%</w:t>
      </w:r>
      <w:r w:rsidRPr="7E49C426">
        <w:rPr>
          <w:rFonts w:eastAsia="Aptos"/>
        </w:rPr>
        <w:t>), and enhanced food security (53</w:t>
      </w:r>
      <w:r w:rsidR="006856C2">
        <w:rPr>
          <w:rFonts w:eastAsia="Aptos"/>
        </w:rPr>
        <w:t>%</w:t>
      </w:r>
      <w:r w:rsidRPr="7E49C426">
        <w:rPr>
          <w:rFonts w:eastAsia="Aptos"/>
        </w:rPr>
        <w:t xml:space="preserve">). </w:t>
      </w:r>
    </w:p>
    <w:p w14:paraId="0AC36781" w14:textId="2DBF3F3F" w:rsidR="663886E0" w:rsidRPr="002044F7" w:rsidRDefault="6CD7715E" w:rsidP="7E49C426">
      <w:r w:rsidRPr="7E49C426">
        <w:rPr>
          <w:rFonts w:eastAsia="Aptos"/>
        </w:rPr>
        <w:t xml:space="preserve">To address these challenges, stakeholders propose EU-wide governance frameworks that align with international best practices, such as the Australia Group Biological Agent List and IGSC Harmonised Screening Protocol. </w:t>
      </w:r>
    </w:p>
    <w:p w14:paraId="45AA7AEA" w14:textId="399D0727" w:rsidR="538775FA" w:rsidRPr="009649A3" w:rsidRDefault="6CD7715E" w:rsidP="7E49C426">
      <w:pPr>
        <w:rPr>
          <w:rFonts w:eastAsia="Aptos"/>
        </w:rPr>
      </w:pPr>
      <w:r w:rsidRPr="7E49C426">
        <w:rPr>
          <w:rFonts w:eastAsia="Aptos"/>
        </w:rPr>
        <w:lastRenderedPageBreak/>
        <w:t>The responses from PC further emphasize the need for risk-based, innovation-friendly regulation that keeps pace with advances in synthetic biology and AI, while the response from CfE call for strategic autonomy in biomanufacturing and resilient supply chains to mitigate dependencies.</w:t>
      </w:r>
    </w:p>
    <w:p w14:paraId="0D92A98B" w14:textId="14D67075" w:rsidR="19D3CCE5" w:rsidRPr="00EB2242" w:rsidRDefault="19D3CCE5" w:rsidP="004570F2">
      <w:pPr>
        <w:pStyle w:val="Heading3"/>
        <w:numPr>
          <w:ilvl w:val="0"/>
          <w:numId w:val="0"/>
        </w:numPr>
      </w:pPr>
      <w:bookmarkStart w:id="82" w:name="_Toc225969766"/>
      <w:bookmarkStart w:id="83" w:name="_Toc225979078"/>
      <w:r w:rsidRPr="004570F2">
        <w:rPr>
          <w:b/>
        </w:rPr>
        <w:t>Skills</w:t>
      </w:r>
      <w:bookmarkEnd w:id="82"/>
      <w:bookmarkEnd w:id="83"/>
    </w:p>
    <w:p w14:paraId="40C77FF1" w14:textId="01A4FB1F" w:rsidR="19D3CCE5" w:rsidRPr="009649A3" w:rsidRDefault="19D3CCE5" w:rsidP="7E49C426">
      <w:pPr>
        <w:rPr>
          <w:rFonts w:eastAsia="Aptos"/>
        </w:rPr>
      </w:pPr>
      <w:r w:rsidRPr="7E49C426">
        <w:rPr>
          <w:rFonts w:eastAsia="Aptos"/>
        </w:rPr>
        <w:t xml:space="preserve">The results of all stakeholder consultation activities (CfE, PC, and </w:t>
      </w:r>
      <w:r w:rsidR="00B60AD3">
        <w:rPr>
          <w:rFonts w:eastAsia="Aptos"/>
        </w:rPr>
        <w:t>targeted consultations</w:t>
      </w:r>
      <w:r w:rsidRPr="7E49C426">
        <w:rPr>
          <w:rFonts w:eastAsia="Aptos"/>
        </w:rPr>
        <w:t xml:space="preserve">) highlight the critical skills challenges facing Europe’s biotechnology sector, with stakeholders </w:t>
      </w:r>
      <w:r w:rsidRPr="7E49C426" w:rsidDel="00D675C5">
        <w:rPr>
          <w:rFonts w:eastAsia="Aptos"/>
        </w:rPr>
        <w:t xml:space="preserve">across all three sources </w:t>
      </w:r>
      <w:r w:rsidRPr="7E49C426">
        <w:rPr>
          <w:rFonts w:eastAsia="Aptos"/>
        </w:rPr>
        <w:t>underscoring the need for targeted interventions to develop a workforce capable of driving innovation and competitiveness.</w:t>
      </w:r>
    </w:p>
    <w:p w14:paraId="3E5D3E4A" w14:textId="7DAB898A" w:rsidR="19D3CCE5" w:rsidRPr="009649A3" w:rsidRDefault="19D3CCE5" w:rsidP="7E49C426">
      <w:pPr>
        <w:rPr>
          <w:rFonts w:eastAsia="Aptos"/>
        </w:rPr>
      </w:pPr>
      <w:r w:rsidRPr="7E49C426">
        <w:rPr>
          <w:rFonts w:eastAsia="Aptos"/>
        </w:rPr>
        <w:t xml:space="preserve">In the CfE responses, stakeholders reveal broad consensus that developing a skilled workforce represents a central challenge for Europe's competitiveness in biotechnology. Industrial companies identify skills development as a key priority for the </w:t>
      </w:r>
      <w:r w:rsidR="12DC7C4C" w:rsidRPr="639B442E">
        <w:rPr>
          <w:rFonts w:eastAsia="Aptos"/>
        </w:rPr>
        <w:t>b</w:t>
      </w:r>
      <w:r w:rsidR="61D343C4" w:rsidRPr="639B442E">
        <w:rPr>
          <w:rFonts w:eastAsia="Aptos"/>
        </w:rPr>
        <w:t xml:space="preserve">iotech </w:t>
      </w:r>
      <w:r w:rsidR="6ED04FD6" w:rsidRPr="639B442E">
        <w:rPr>
          <w:rFonts w:eastAsia="Aptos"/>
        </w:rPr>
        <w:t>ecosystem</w:t>
      </w:r>
      <w:r w:rsidRPr="7E49C426">
        <w:rPr>
          <w:rFonts w:eastAsia="Aptos"/>
        </w:rPr>
        <w:t xml:space="preserve">, particularly highlighting the need for competencies in data and AI alongside traditional </w:t>
      </w:r>
      <w:r w:rsidR="61D343C4" w:rsidRPr="4EF7677C">
        <w:rPr>
          <w:rFonts w:eastAsia="Aptos"/>
        </w:rPr>
        <w:t>biotech</w:t>
      </w:r>
      <w:r w:rsidRPr="7E49C426">
        <w:rPr>
          <w:rFonts w:eastAsia="Aptos"/>
        </w:rPr>
        <w:t xml:space="preserve"> skills. This perspective is echoed by healthcare and pharmaceutical companies, which similarly underscore the urgency of skills development, while business associations consistently prioritize building a skilled workforce as fundamental to sectoral growth. Third-country stakeholders reinforce these themes, particularly emphasizing skills development as part of a broader package that includes regulatory and financing improvements. A dominant concern across these responses is the need to address skills shortages through specialized training programs, effective talent attraction strategies, and entrepreneurial education initiatives, with human capital widely regarded as foundational to Europe's competitive position in the global biotech </w:t>
      </w:r>
      <w:r w:rsidR="00CC4204" w:rsidRPr="7E49C426">
        <w:rPr>
          <w:rFonts w:eastAsia="Aptos"/>
        </w:rPr>
        <w:t>landscape.</w:t>
      </w:r>
      <w:r w:rsidRPr="7E49C426">
        <w:rPr>
          <w:rFonts w:eastAsia="Aptos"/>
        </w:rPr>
        <w:t xml:space="preserve"> Third-country research organizations align with EU institutions in calling for targeted investment in skills at the intersection of biotechnology, artificial intelligence, and data </w:t>
      </w:r>
      <w:r w:rsidR="00CC4204" w:rsidRPr="7E49C426">
        <w:rPr>
          <w:rFonts w:eastAsia="Aptos"/>
        </w:rPr>
        <w:t>science,</w:t>
      </w:r>
      <w:r w:rsidRPr="7E49C426">
        <w:rPr>
          <w:rFonts w:eastAsia="Aptos"/>
        </w:rPr>
        <w:t xml:space="preserve"> recognizing that future competitiveness will depend on mastery of these converging disciplines. Academia and research institutions place particular emphasis on skills development and talent retention, advocating for EU-level initiatives that support career mobility and foster interdisciplinary education bridging biotechnology with digital and engineering competencies. NGOs similarly stress the necessity for stronger skills infrastructure to underpin sectoral advancement. Companies and businesses highlight skills as a critical factor in 24 separate contributions, while business associations, through 14 dedicated submissions, call for comprehensive training programs in regulatory science, A</w:t>
      </w:r>
      <w:r>
        <w:t>I</w:t>
      </w:r>
      <w:r w:rsidRPr="7E49C426">
        <w:rPr>
          <w:rFonts w:eastAsia="Aptos"/>
        </w:rPr>
        <w:t xml:space="preserve"> applications, data management, and advanced biomanufacturing techniques, complemented by measures to attract and retain global </w:t>
      </w:r>
      <w:r w:rsidR="00CC4204" w:rsidRPr="7E49C426">
        <w:rPr>
          <w:rFonts w:eastAsia="Aptos"/>
        </w:rPr>
        <w:t>talent.</w:t>
      </w:r>
      <w:r w:rsidRPr="7E49C426">
        <w:rPr>
          <w:rFonts w:eastAsia="Aptos"/>
        </w:rPr>
        <w:t xml:space="preserve"> Third-country contributors mirror concerns raised within the EU-27, consistently emphasizing investment in skills as a core requirement for sustainable biotech </w:t>
      </w:r>
      <w:r w:rsidR="00CC4204" w:rsidRPr="7E49C426">
        <w:rPr>
          <w:rFonts w:eastAsia="Aptos"/>
        </w:rPr>
        <w:t>development.</w:t>
      </w:r>
    </w:p>
    <w:p w14:paraId="606D7115" w14:textId="449F39EF" w:rsidR="19D3CCE5" w:rsidRPr="009649A3" w:rsidDel="00055B83" w:rsidRDefault="19D3CCE5" w:rsidP="7E49C426">
      <w:pPr>
        <w:rPr>
          <w:rFonts w:eastAsia="Aptos"/>
        </w:rPr>
      </w:pPr>
      <w:r w:rsidRPr="7E49C426">
        <w:rPr>
          <w:rFonts w:eastAsia="Aptos"/>
        </w:rPr>
        <w:t>The PC provides validation of these insights, with stakeholders demonstrating strong alignment regarding the specific skills challenges confronting the EU workforce. The consultation reveals particularly acute shortages in financial and entrepreneurial skills (57</w:t>
      </w:r>
      <w:r w:rsidR="006856C2">
        <w:rPr>
          <w:rFonts w:eastAsia="Aptos"/>
        </w:rPr>
        <w:t>%</w:t>
      </w:r>
      <w:r w:rsidRPr="7E49C426">
        <w:rPr>
          <w:rFonts w:eastAsia="Aptos"/>
        </w:rPr>
        <w:t>, 263/464), vocational skills for biotechnology and biomanufacturing (53</w:t>
      </w:r>
      <w:r w:rsidR="006856C2">
        <w:rPr>
          <w:rFonts w:eastAsia="Aptos"/>
        </w:rPr>
        <w:t>%</w:t>
      </w:r>
      <w:r w:rsidRPr="7E49C426">
        <w:rPr>
          <w:rFonts w:eastAsia="Aptos"/>
        </w:rPr>
        <w:t>, 247/464), regulatory and quality assurance expertise (53</w:t>
      </w:r>
      <w:r w:rsidR="006856C2">
        <w:rPr>
          <w:rFonts w:eastAsia="Aptos"/>
        </w:rPr>
        <w:t>%</w:t>
      </w:r>
      <w:r w:rsidRPr="7E49C426">
        <w:rPr>
          <w:rFonts w:eastAsia="Aptos"/>
        </w:rPr>
        <w:t>, 244/464), and digital and data science competencies (45</w:t>
      </w:r>
      <w:r w:rsidR="006856C2">
        <w:rPr>
          <w:rFonts w:eastAsia="Aptos"/>
        </w:rPr>
        <w:t>%</w:t>
      </w:r>
      <w:r w:rsidRPr="7E49C426">
        <w:rPr>
          <w:rFonts w:eastAsia="Aptos"/>
        </w:rPr>
        <w:t>, 211/464). These findings underscore the breadth of skills gaps across both technical and managerial domains, suggesting that Europe's biotech sector faces multifaceted workforce challenges that extend beyond scientific competencies to include commercial and operational capabilities</w:t>
      </w:r>
      <w:r w:rsidR="00AF2C59">
        <w:rPr>
          <w:rFonts w:eastAsia="Aptos"/>
        </w:rPr>
        <w:t>.</w:t>
      </w:r>
    </w:p>
    <w:p w14:paraId="52D356AE" w14:textId="47A36EFF" w:rsidR="0062138B" w:rsidRPr="001713E4" w:rsidRDefault="60AC89B6" w:rsidP="004F48D9">
      <w:pPr>
        <w:rPr>
          <w:rFonts w:eastAsia="Aptos"/>
        </w:rPr>
      </w:pPr>
      <w:r w:rsidRPr="009649A3">
        <w:rPr>
          <w:rFonts w:eastAsia="Aptos"/>
        </w:rPr>
        <w:lastRenderedPageBreak/>
        <w:t>As part of the Landscape Study, a targeted workshop was organised, gathering EU institutions, industry associations, research infrastructures, universities, hospitals, training institutes, and individual companies, providing perspectives across the full biotechnology value chain. The workshop aimed to validate, prioritise, and add granularity to preliminary findings. Discussions highlighted shortages in specialised roles, limited hands-on industrial experience in higher education, and the need for scalable, competency-based training models, while emphasising EU-level opportunities modular lifelong learning, industry-academia collaboration, and shared training infrastructures as horizontal enablers.</w:t>
      </w:r>
    </w:p>
    <w:p w14:paraId="7F9B1A8A" w14:textId="77777777" w:rsidR="00E32966" w:rsidRDefault="00E32966">
      <w:pPr>
        <w:spacing w:after="200" w:line="276" w:lineRule="auto"/>
        <w:jc w:val="left"/>
        <w:rPr>
          <w:rFonts w:eastAsia="Times New Roman"/>
          <w:b/>
          <w:smallCaps/>
          <w:sz w:val="32"/>
          <w:szCs w:val="32"/>
        </w:rPr>
      </w:pPr>
      <w:r>
        <w:br w:type="page"/>
      </w:r>
    </w:p>
    <w:p w14:paraId="39C202C8" w14:textId="1B8605D9" w:rsidR="006B087E" w:rsidRDefault="006B087E" w:rsidP="00B35BA0">
      <w:pPr>
        <w:pStyle w:val="AnnexTitle"/>
      </w:pPr>
      <w:bookmarkStart w:id="84" w:name="_Toc224898301"/>
      <w:bookmarkStart w:id="85" w:name="_Toc225979079"/>
      <w:r w:rsidRPr="00DD0CE5">
        <w:lastRenderedPageBreak/>
        <w:t>Annex 3: Who is affected and how?</w:t>
      </w:r>
      <w:bookmarkEnd w:id="84"/>
      <w:bookmarkEnd w:id="85"/>
    </w:p>
    <w:p w14:paraId="62F17F15" w14:textId="77777777" w:rsidR="006B087E" w:rsidRPr="00DD0CE5" w:rsidRDefault="006B087E" w:rsidP="004570F2">
      <w:pPr>
        <w:pStyle w:val="Heading2"/>
        <w:numPr>
          <w:ilvl w:val="0"/>
          <w:numId w:val="530"/>
        </w:numPr>
      </w:pPr>
      <w:bookmarkStart w:id="86" w:name="_Toc220593615"/>
      <w:bookmarkStart w:id="87" w:name="_Toc220924763"/>
      <w:bookmarkStart w:id="88" w:name="_Toc220952048"/>
      <w:bookmarkStart w:id="89" w:name="_Toc222740600"/>
      <w:bookmarkStart w:id="90" w:name="_Toc222831783"/>
      <w:bookmarkStart w:id="91" w:name="_Toc224747250"/>
      <w:bookmarkStart w:id="92" w:name="_Toc224749720"/>
      <w:bookmarkStart w:id="93" w:name="_Toc225783190"/>
      <w:bookmarkStart w:id="94" w:name="_Toc225969768"/>
      <w:bookmarkStart w:id="95" w:name="_Toc225979080"/>
      <w:r w:rsidRPr="00DD0CE5">
        <w:t>Practical implications of the initiative</w:t>
      </w:r>
      <w:bookmarkEnd w:id="86"/>
      <w:bookmarkEnd w:id="87"/>
      <w:bookmarkEnd w:id="88"/>
      <w:bookmarkEnd w:id="89"/>
      <w:bookmarkEnd w:id="90"/>
      <w:bookmarkEnd w:id="91"/>
      <w:bookmarkEnd w:id="92"/>
      <w:bookmarkEnd w:id="93"/>
      <w:bookmarkEnd w:id="94"/>
      <w:bookmarkEnd w:id="95"/>
    </w:p>
    <w:p w14:paraId="688538A6" w14:textId="77777777" w:rsidR="0080175A" w:rsidRPr="00C167C4" w:rsidRDefault="0080175A" w:rsidP="0080175A">
      <w:pPr>
        <w:rPr>
          <w:b/>
          <w:bCs/>
          <w:lang w:val="en-IE"/>
        </w:rPr>
      </w:pPr>
      <w:r w:rsidRPr="00C167C4">
        <w:rPr>
          <w:b/>
          <w:bCs/>
        </w:rPr>
        <w:t>Businesses and the research community</w:t>
      </w:r>
      <w:r w:rsidRPr="00C167C4">
        <w:rPr>
          <w:b/>
          <w:bCs/>
          <w:lang w:val="en-IE"/>
        </w:rPr>
        <w:t> </w:t>
      </w:r>
    </w:p>
    <w:p w14:paraId="442FF7E0" w14:textId="79FE4937" w:rsidR="6483C2F3" w:rsidRDefault="196FF530" w:rsidP="043522AD">
      <w:pPr>
        <w:rPr>
          <w:rFonts w:eastAsia="Times New Roman"/>
          <w:b/>
          <w:bCs/>
        </w:rPr>
      </w:pPr>
      <w:r w:rsidRPr="043522AD">
        <w:rPr>
          <w:rFonts w:eastAsia="Times New Roman"/>
        </w:rPr>
        <w:t xml:space="preserve"> The proposed amendments to the </w:t>
      </w:r>
      <w:r w:rsidRPr="004570F2">
        <w:t xml:space="preserve">Clinical </w:t>
      </w:r>
      <w:r w:rsidRPr="043522AD">
        <w:rPr>
          <w:rFonts w:eastAsia="Times New Roman"/>
        </w:rPr>
        <w:t>Trials Regulation</w:t>
      </w:r>
      <w:r w:rsidR="5B86486D" w:rsidRPr="043522AD">
        <w:rPr>
          <w:rFonts w:eastAsia="Times New Roman"/>
        </w:rPr>
        <w:t xml:space="preserve"> shorten </w:t>
      </w:r>
      <w:r w:rsidRPr="043522AD">
        <w:rPr>
          <w:rFonts w:eastAsia="Times New Roman"/>
        </w:rPr>
        <w:t xml:space="preserve">clinical trial authorisation timelines from 106 days to 75 days, or to 47 days where no request for further information is issued. </w:t>
      </w:r>
      <w:r w:rsidR="27A68BD5" w:rsidRPr="043522AD">
        <w:rPr>
          <w:rFonts w:eastAsia="Times New Roman"/>
        </w:rPr>
        <w:t>They also simplify and streamline both the approval process and the conduct of clinical trials.</w:t>
      </w:r>
    </w:p>
    <w:p w14:paraId="0A6BA621" w14:textId="125B2CF8" w:rsidR="0080175A" w:rsidRPr="0080175A" w:rsidRDefault="0D7E2471" w:rsidP="4EC480EB">
      <w:pPr>
        <w:rPr>
          <w:rFonts w:eastAsia="Times New Roman"/>
          <w:lang w:val="en-IE"/>
        </w:rPr>
      </w:pPr>
      <w:r w:rsidRPr="4EC480EB">
        <w:rPr>
          <w:rFonts w:eastAsia="Times New Roman"/>
        </w:rPr>
        <w:t>Applying the Standard Unit Cost Model suggests that these efficienc</w:t>
      </w:r>
      <w:r w:rsidR="08D55D3C" w:rsidRPr="4EC480EB">
        <w:rPr>
          <w:rFonts w:eastAsia="Times New Roman"/>
        </w:rPr>
        <w:t>ies</w:t>
      </w:r>
      <w:r w:rsidRPr="4EC480EB">
        <w:rPr>
          <w:rFonts w:eastAsia="Times New Roman"/>
        </w:rPr>
        <w:t xml:space="preserve"> could cut administrative time—the period sponsors spend engaging with regulators—by 15–25%, equating to savings of EUR 2,700 to EUR 4,500 per multinational trial application. Such reductions in administrative costs would </w:t>
      </w:r>
      <w:r w:rsidRPr="009D7482">
        <w:rPr>
          <w:rFonts w:eastAsia="Times New Roman"/>
        </w:rPr>
        <w:t>particularly benefit</w:t>
      </w:r>
      <w:r w:rsidRPr="4EC480EB">
        <w:rPr>
          <w:rFonts w:eastAsia="Times New Roman"/>
        </w:rPr>
        <w:t xml:space="preserve"> SMEs, which face a disproportionately higher regulatory burden.</w:t>
      </w:r>
      <w:r w:rsidR="31031082">
        <w:t xml:space="preserve"> Electronic submission and digitalisation measures contribute a further EUR 112 to 225 million cumulatively over fifteen years.</w:t>
      </w:r>
      <w:r w:rsidR="31031082" w:rsidRPr="4EC480EB">
        <w:rPr>
          <w:lang w:val="en-IE"/>
        </w:rPr>
        <w:t> </w:t>
      </w:r>
    </w:p>
    <w:p w14:paraId="795AF34E" w14:textId="67A8E723" w:rsidR="0080175A" w:rsidRPr="0080175A" w:rsidRDefault="57D3B572" w:rsidP="4EC480EB">
      <w:pPr>
        <w:rPr>
          <w:rFonts w:eastAsia="Times New Roman"/>
          <w:color w:val="353332"/>
        </w:rPr>
      </w:pPr>
      <w:r w:rsidRPr="5D12D5A2">
        <w:rPr>
          <w:rFonts w:eastAsia="Times New Roman"/>
          <w:lang w:val="en-US"/>
        </w:rPr>
        <w:t xml:space="preserve">At an aggregated level considering </w:t>
      </w:r>
      <w:r w:rsidR="7BADEF75" w:rsidRPr="5D12D5A2">
        <w:rPr>
          <w:rFonts w:eastAsia="Times New Roman"/>
          <w:lang w:val="en-US"/>
        </w:rPr>
        <w:t>the total set of measures included in the Commission proposal,</w:t>
      </w:r>
      <w:r w:rsidR="7EDC3A3B" w:rsidRPr="5D12D5A2">
        <w:rPr>
          <w:rFonts w:eastAsia="Times New Roman"/>
          <w:lang w:val="en-US"/>
        </w:rPr>
        <w:t xml:space="preserve"> </w:t>
      </w:r>
      <w:r w:rsidR="2B959917" w:rsidRPr="009D7482">
        <w:rPr>
          <w:rFonts w:eastAsia="Times New Roman"/>
          <w:color w:val="353332"/>
        </w:rPr>
        <w:t xml:space="preserve">the economic impact of the Biotech Act’s </w:t>
      </w:r>
      <w:r w:rsidR="44DB1DDD" w:rsidRPr="5D12D5A2">
        <w:rPr>
          <w:rFonts w:eastAsia="Times New Roman"/>
          <w:color w:val="353332"/>
        </w:rPr>
        <w:t>reform for sponsors</w:t>
      </w:r>
      <w:r w:rsidR="2B959917" w:rsidRPr="009D7482">
        <w:rPr>
          <w:rFonts w:eastAsia="Times New Roman"/>
          <w:color w:val="353332"/>
        </w:rPr>
        <w:t xml:space="preserve"> can be approximated using current baseline data. Around 2,500 clinical trials are conducted annually in</w:t>
      </w:r>
      <w:r w:rsidR="4D5266C5" w:rsidRPr="5D12D5A2">
        <w:rPr>
          <w:rFonts w:eastAsia="Times New Roman"/>
          <w:color w:val="353332"/>
        </w:rPr>
        <w:t xml:space="preserve"> the EU</w:t>
      </w:r>
      <w:r w:rsidR="2B959917" w:rsidRPr="009D7482">
        <w:rPr>
          <w:rFonts w:eastAsia="Times New Roman"/>
          <w:color w:val="353332"/>
        </w:rPr>
        <w:t xml:space="preserve">, at an average cost of </w:t>
      </w:r>
      <w:r w:rsidR="2C186484" w:rsidRPr="5D12D5A2">
        <w:rPr>
          <w:rFonts w:eastAsia="Times New Roman"/>
          <w:color w:val="353332"/>
        </w:rPr>
        <w:t xml:space="preserve">EUR </w:t>
      </w:r>
      <w:r w:rsidR="2B959917" w:rsidRPr="009D7482">
        <w:rPr>
          <w:rFonts w:eastAsia="Times New Roman"/>
          <w:color w:val="353332"/>
        </w:rPr>
        <w:t>30–50 million</w:t>
      </w:r>
      <w:r w:rsidR="6AB020FA" w:rsidRPr="5D12D5A2">
        <w:rPr>
          <w:rFonts w:eastAsia="Times New Roman"/>
          <w:color w:val="353332"/>
        </w:rPr>
        <w:t xml:space="preserve"> per trial</w:t>
      </w:r>
      <w:r w:rsidR="2B959917" w:rsidRPr="009D7482">
        <w:rPr>
          <w:rFonts w:eastAsia="Times New Roman"/>
          <w:color w:val="353332"/>
        </w:rPr>
        <w:t xml:space="preserve"> and a duration of 2–2.5 years, implying total annual sponsor expenditure of roughly </w:t>
      </w:r>
      <w:r w:rsidR="20789DD0" w:rsidRPr="5D12D5A2">
        <w:rPr>
          <w:rFonts w:eastAsia="Times New Roman"/>
          <w:color w:val="353332"/>
        </w:rPr>
        <w:t xml:space="preserve">EUR </w:t>
      </w:r>
      <w:r w:rsidR="2B959917" w:rsidRPr="009D7482">
        <w:rPr>
          <w:rFonts w:eastAsia="Times New Roman"/>
          <w:color w:val="353332"/>
        </w:rPr>
        <w:t>30–62.5 billion. Streamlined approvals and reduced administrative burdens are expected to yield direct cost savings of about 5% (</w:t>
      </w:r>
      <w:r w:rsidR="413064FA" w:rsidRPr="5D12D5A2">
        <w:rPr>
          <w:rFonts w:eastAsia="Times New Roman"/>
          <w:color w:val="353332"/>
        </w:rPr>
        <w:t xml:space="preserve">EUR </w:t>
      </w:r>
      <w:r w:rsidR="2B959917" w:rsidRPr="009D7482">
        <w:rPr>
          <w:rFonts w:eastAsia="Times New Roman"/>
          <w:color w:val="353332"/>
        </w:rPr>
        <w:t>1.5–3.1 billion per year) and indirect savings of a similar order through faster technical execution</w:t>
      </w:r>
      <w:r w:rsidR="576A577C" w:rsidRPr="5D12D5A2">
        <w:rPr>
          <w:rFonts w:eastAsia="Times New Roman"/>
          <w:color w:val="353332"/>
        </w:rPr>
        <w:t xml:space="preserve"> </w:t>
      </w:r>
      <w:r w:rsidR="2B959917" w:rsidRPr="009D7482">
        <w:rPr>
          <w:rFonts w:eastAsia="Times New Roman"/>
          <w:color w:val="353332"/>
        </w:rPr>
        <w:t>(around a 0.1</w:t>
      </w:r>
      <w:r>
        <w:noBreakHyphen/>
      </w:r>
      <w:r w:rsidR="2B959917" w:rsidRPr="009D7482">
        <w:rPr>
          <w:rFonts w:eastAsia="Times New Roman"/>
          <w:color w:val="353332"/>
        </w:rPr>
        <w:t>year reduction in time</w:t>
      </w:r>
      <w:r>
        <w:noBreakHyphen/>
      </w:r>
      <w:r w:rsidR="2B959917" w:rsidRPr="009D7482">
        <w:rPr>
          <w:rFonts w:eastAsia="Times New Roman"/>
          <w:color w:val="353332"/>
        </w:rPr>
        <w:t>dependent costs)</w:t>
      </w:r>
      <w:r w:rsidR="1D047E3C" w:rsidRPr="5D12D5A2">
        <w:rPr>
          <w:rFonts w:eastAsia="Times New Roman"/>
          <w:color w:val="353332"/>
        </w:rPr>
        <w:t>.</w:t>
      </w:r>
    </w:p>
    <w:p w14:paraId="457ED9AA" w14:textId="0AE78C3A" w:rsidR="0080175A" w:rsidRPr="0080175A" w:rsidRDefault="1D047E3C" w:rsidP="0080175A">
      <w:pPr>
        <w:rPr>
          <w:lang w:val="en-IE"/>
        </w:rPr>
      </w:pPr>
      <w:r w:rsidRPr="4EC480EB">
        <w:rPr>
          <w:rFonts w:eastAsia="Times New Roman"/>
        </w:rPr>
        <w:t xml:space="preserve">Combined, these efficiencies could generate several billion euros in annual financial gains for sponsors, with </w:t>
      </w:r>
      <w:r w:rsidRPr="009D7482">
        <w:rPr>
          <w:rFonts w:eastAsia="Times New Roman"/>
        </w:rPr>
        <w:t xml:space="preserve">total savings potentially exceeding </w:t>
      </w:r>
      <w:r w:rsidR="1DCD03C3" w:rsidRPr="4EC480EB">
        <w:rPr>
          <w:rFonts w:eastAsia="Times New Roman"/>
        </w:rPr>
        <w:t xml:space="preserve">EUR </w:t>
      </w:r>
      <w:r w:rsidRPr="009D7482">
        <w:rPr>
          <w:rFonts w:eastAsia="Times New Roman"/>
        </w:rPr>
        <w:t xml:space="preserve">5 billion. </w:t>
      </w:r>
      <w:r w:rsidR="40C8D16E" w:rsidRPr="4EC480EB">
        <w:rPr>
          <w:rFonts w:eastAsia="Times New Roman"/>
        </w:rPr>
        <w:t>C</w:t>
      </w:r>
      <w:r w:rsidRPr="009D7482">
        <w:rPr>
          <w:rFonts w:eastAsia="Times New Roman"/>
        </w:rPr>
        <w:t>onsidering</w:t>
      </w:r>
      <w:r w:rsidRPr="009D7482">
        <w:rPr>
          <w:rFonts w:eastAsia="Times New Roman"/>
          <w:color w:val="353332"/>
        </w:rPr>
        <w:t xml:space="preserve"> </w:t>
      </w:r>
      <w:r w:rsidR="38A07119" w:rsidRPr="4EC480EB">
        <w:rPr>
          <w:rFonts w:eastAsia="Times New Roman"/>
          <w:color w:val="353332"/>
        </w:rPr>
        <w:t>a potential increase in the</w:t>
      </w:r>
      <w:r w:rsidRPr="009D7482">
        <w:rPr>
          <w:rFonts w:eastAsia="Times New Roman"/>
          <w:color w:val="353332"/>
        </w:rPr>
        <w:t xml:space="preserve"> number of trials, these gains would increase proportionally.</w:t>
      </w:r>
    </w:p>
    <w:p w14:paraId="5E3BA7B3" w14:textId="2CA4DAC5" w:rsidR="00FD5436" w:rsidRPr="009D7482" w:rsidRDefault="41D4D55A" w:rsidP="00FD5436">
      <w:pPr>
        <w:rPr>
          <w:lang w:val="en-US"/>
        </w:rPr>
      </w:pPr>
      <w:r>
        <w:t>The reforms are also expected to improve the EU's attractiveness for clinical research.</w:t>
      </w:r>
      <w:r w:rsidR="1458EF35">
        <w:t xml:space="preserve"> </w:t>
      </w:r>
      <w:r w:rsidR="373029C0" w:rsidRPr="009D7482">
        <w:rPr>
          <w:lang w:val="en-US"/>
        </w:rPr>
        <w:t xml:space="preserve">Current projections suggest that the number of clinical trials in the EU could </w:t>
      </w:r>
      <w:r w:rsidR="37DFC7FD" w:rsidRPr="043522AD">
        <w:rPr>
          <w:lang w:val="en-US"/>
        </w:rPr>
        <w:t>rise</w:t>
      </w:r>
      <w:r w:rsidR="373029C0" w:rsidRPr="009D7482">
        <w:rPr>
          <w:lang w:val="en-US"/>
        </w:rPr>
        <w:t xml:space="preserve"> between 1</w:t>
      </w:r>
      <w:r w:rsidR="029D7A8B" w:rsidRPr="043522AD">
        <w:rPr>
          <w:lang w:val="en-US"/>
        </w:rPr>
        <w:t>0</w:t>
      </w:r>
      <w:r w:rsidR="373029C0" w:rsidRPr="009D7482">
        <w:rPr>
          <w:lang w:val="en-US"/>
        </w:rPr>
        <w:t>% and 3</w:t>
      </w:r>
      <w:r w:rsidR="5E8A5480" w:rsidRPr="043522AD">
        <w:rPr>
          <w:lang w:val="en-US"/>
        </w:rPr>
        <w:t>0</w:t>
      </w:r>
      <w:r w:rsidR="373029C0" w:rsidRPr="009D7482">
        <w:rPr>
          <w:lang w:val="en-US"/>
        </w:rPr>
        <w:t>%, compared with the existing volume of trial applications. These estimates draw on two separate studies: one, based on sponsor survey data, forecasts a 32% increase, while the other</w:t>
      </w:r>
      <w:r w:rsidR="373029C0" w:rsidRPr="043522AD">
        <w:rPr>
          <w:lang w:val="en-US"/>
        </w:rPr>
        <w:t xml:space="preserve">, </w:t>
      </w:r>
      <w:r w:rsidR="373029C0" w:rsidRPr="009D7482">
        <w:rPr>
          <w:lang w:val="en-US"/>
        </w:rPr>
        <w:t>relying on limited empirical evidence</w:t>
      </w:r>
      <w:r w:rsidR="373029C0" w:rsidRPr="043522AD">
        <w:rPr>
          <w:lang w:val="en-US"/>
        </w:rPr>
        <w:t xml:space="preserve">, </w:t>
      </w:r>
      <w:r w:rsidR="373029C0" w:rsidRPr="009D7482">
        <w:rPr>
          <w:lang w:val="en-US"/>
        </w:rPr>
        <w:t xml:space="preserve">projects a more modest growth of </w:t>
      </w:r>
      <w:r w:rsidR="273F1D00" w:rsidRPr="043522AD">
        <w:rPr>
          <w:lang w:val="en-US"/>
        </w:rPr>
        <w:t>4</w:t>
      </w:r>
      <w:r w:rsidR="006856C2">
        <w:rPr>
          <w:lang w:val="en-US"/>
        </w:rPr>
        <w:t>%</w:t>
      </w:r>
      <w:r w:rsidR="373029C0" w:rsidRPr="009D7482">
        <w:rPr>
          <w:lang w:val="en-US"/>
        </w:rPr>
        <w:t xml:space="preserve"> to 16%</w:t>
      </w:r>
      <w:r w:rsidR="0080175A" w:rsidRPr="5DA36055">
        <w:rPr>
          <w:vertAlign w:val="superscript"/>
          <w:lang w:val="en-US"/>
        </w:rPr>
        <w:footnoteReference w:id="21"/>
      </w:r>
      <w:r w:rsidR="60F457EA" w:rsidRPr="009D7482">
        <w:rPr>
          <w:vertAlign w:val="superscript"/>
          <w:lang w:val="en-US"/>
        </w:rPr>
        <w:t>.</w:t>
      </w:r>
      <w:r w:rsidR="63CF0175" w:rsidRPr="043522AD">
        <w:rPr>
          <w:vertAlign w:val="superscript"/>
          <w:lang w:val="en-US"/>
        </w:rPr>
        <w:t xml:space="preserve"> </w:t>
      </w:r>
      <w:r w:rsidR="1896EEEB" w:rsidRPr="009D7482">
        <w:rPr>
          <w:lang w:val="en-US"/>
        </w:rPr>
        <w:t xml:space="preserve">The wide disparity in these estimates highlights the challenges in assessing </w:t>
      </w:r>
      <w:r w:rsidR="1896EEEB" w:rsidRPr="009D7482">
        <w:rPr>
          <w:lang w:val="en-US"/>
        </w:rPr>
        <w:lastRenderedPageBreak/>
        <w:t xml:space="preserve">the reform’s impact on clinical trial activity, given data </w:t>
      </w:r>
      <w:r w:rsidR="71C68E79" w:rsidRPr="043522AD">
        <w:rPr>
          <w:lang w:val="en-US"/>
        </w:rPr>
        <w:t>limitations,</w:t>
      </w:r>
      <w:r w:rsidR="1896EEEB" w:rsidRPr="009D7482">
        <w:rPr>
          <w:lang w:val="en-US"/>
        </w:rPr>
        <w:t xml:space="preserve"> and inherent uncertainties about future developments. To account for these constraints, the evaluation </w:t>
      </w:r>
      <w:r w:rsidR="1896EEEB" w:rsidRPr="043522AD">
        <w:rPr>
          <w:lang w:val="en-US"/>
        </w:rPr>
        <w:t xml:space="preserve">of the impact </w:t>
      </w:r>
      <w:r w:rsidR="1896EEEB" w:rsidRPr="009D7482">
        <w:rPr>
          <w:lang w:val="en-US"/>
        </w:rPr>
        <w:t>adopts a broad range of potential outcomes.</w:t>
      </w:r>
    </w:p>
    <w:p w14:paraId="2BE66C7F" w14:textId="39F1F942" w:rsidR="1964EB41" w:rsidRDefault="1964EB41" w:rsidP="4EC480EB">
      <w:pPr>
        <w:rPr>
          <w:rFonts w:eastAsia="Times New Roman"/>
          <w:lang w:val="en-IE"/>
        </w:rPr>
      </w:pPr>
      <w:r w:rsidRPr="4EC480EB">
        <w:rPr>
          <w:rFonts w:eastAsia="Times New Roman"/>
        </w:rPr>
        <w:t>Costs to sponsors are limited and front-loaded. One-off investments in harmonised standard operating procedures are not quantified but are expected to be absorbed within existing budgets. Sandbox participation introduces upfront overhead, though the net lifecycle direction is a reduction in burden. The proposed measures restructure conditions for new applications rather than imposing new obligations on active trials, limiting compliance exposure for sponsors with existing portfolios.</w:t>
      </w:r>
      <w:r w:rsidRPr="4EC480EB">
        <w:rPr>
          <w:rFonts w:eastAsia="Times New Roman"/>
          <w:lang w:val="en-IE"/>
        </w:rPr>
        <w:t> </w:t>
      </w:r>
    </w:p>
    <w:p w14:paraId="20F28048" w14:textId="77777777" w:rsidR="0080175A" w:rsidRPr="0080175A" w:rsidRDefault="0080175A" w:rsidP="0080175A">
      <w:pPr>
        <w:rPr>
          <w:i/>
          <w:iCs/>
          <w:lang w:val="en-IE"/>
        </w:rPr>
      </w:pPr>
      <w:r w:rsidRPr="0080175A">
        <w:rPr>
          <w:i/>
          <w:iCs/>
        </w:rPr>
        <w:t>SMEs and start-ups</w:t>
      </w:r>
      <w:r w:rsidRPr="0080175A">
        <w:rPr>
          <w:i/>
          <w:iCs/>
          <w:lang w:val="en-IE"/>
        </w:rPr>
        <w:t> </w:t>
      </w:r>
    </w:p>
    <w:p w14:paraId="12301B88" w14:textId="12F42269" w:rsidR="0080175A" w:rsidRPr="0080175A" w:rsidRDefault="0080175A" w:rsidP="0080175A">
      <w:pPr>
        <w:rPr>
          <w:lang w:val="en-IE"/>
        </w:rPr>
      </w:pPr>
      <w:r w:rsidRPr="0080175A">
        <w:t>SMEs and start-ups are disproportionately exposed to the current regulatory landscape: administrative expenses account for 11 to 29% of total clinical trial costs, and this burden falls proportionally harder on smaller entities with limited internal capacity. The</w:t>
      </w:r>
      <w:r w:rsidRPr="0080175A" w:rsidDel="00011502">
        <w:t xml:space="preserve"> </w:t>
      </w:r>
      <w:r w:rsidR="00011502">
        <w:t>proposed</w:t>
      </w:r>
      <w:r w:rsidRPr="0080175A">
        <w:t xml:space="preserve"> measures therefore carry a higher marginal value for this group than for large sponsors.</w:t>
      </w:r>
      <w:r w:rsidRPr="0080175A">
        <w:rPr>
          <w:lang w:val="en-IE"/>
        </w:rPr>
        <w:t> </w:t>
      </w:r>
    </w:p>
    <w:p w14:paraId="5A9CEDEC" w14:textId="16CA6CD5" w:rsidR="0080175A" w:rsidRPr="0080175A" w:rsidRDefault="0080175A" w:rsidP="0080175A">
      <w:pPr>
        <w:rPr>
          <w:lang w:val="en-IE"/>
        </w:rPr>
      </w:pPr>
      <w:r w:rsidRPr="0080175A">
        <w:t xml:space="preserve">Benefits operate through two channels. On ecosystem navigation, the EU Health Biotechnology Support Network provides a </w:t>
      </w:r>
      <w:r w:rsidR="00402FFB" w:rsidRPr="00402FFB">
        <w:t xml:space="preserve">dedicated support channel </w:t>
      </w:r>
      <w:r w:rsidRPr="0080175A">
        <w:t xml:space="preserve">for </w:t>
      </w:r>
      <w:r w:rsidR="00402FFB" w:rsidRPr="00402FFB">
        <w:t>health biotechnology innovator</w:t>
      </w:r>
      <w:r w:rsidR="00402FFB">
        <w:t>s as regards</w:t>
      </w:r>
      <w:r w:rsidRPr="0080175A">
        <w:t xml:space="preserve"> regulatory pathways, funding, and investor connections across EU27. Firms receiving comparable network support report 14 percentage points higher knowledge sharing and collaboration capability than unsupported firms (69</w:t>
      </w:r>
      <w:r w:rsidR="006856C2">
        <w:t>%</w:t>
      </w:r>
      <w:r w:rsidRPr="0080175A">
        <w:t> versus 55</w:t>
      </w:r>
      <w:r w:rsidR="006856C2">
        <w:t>%</w:t>
      </w:r>
      <w:r w:rsidRPr="0080175A">
        <w:t>). Articles 32 and 33 address a further structural barrier: 82</w:t>
      </w:r>
      <w:r w:rsidR="006856C2">
        <w:t>%</w:t>
      </w:r>
      <w:r w:rsidRPr="0080175A">
        <w:t> of SMEs cannot self-finance the validation infrastructure</w:t>
      </w:r>
      <w:r w:rsidR="00011502">
        <w:t xml:space="preserve"> </w:t>
      </w:r>
      <w:r w:rsidRPr="0080175A">
        <w:t>required</w:t>
      </w:r>
      <w:r w:rsidR="00011502">
        <w:t xml:space="preserve"> </w:t>
      </w:r>
      <w:r w:rsidRPr="0080175A">
        <w:t>for AI-enabled biotechnology development. At medium uptake, shared testing environments and data quality accelerators are expected to serve 1,100 to 3,400 companies and data users per year.</w:t>
      </w:r>
      <w:r w:rsidRPr="0080175A">
        <w:rPr>
          <w:lang w:val="en-IE"/>
        </w:rPr>
        <w:t> </w:t>
      </w:r>
    </w:p>
    <w:p w14:paraId="51605571" w14:textId="43254E13" w:rsidR="0080175A" w:rsidRPr="0080175A" w:rsidRDefault="0080175A" w:rsidP="0080175A">
      <w:pPr>
        <w:rPr>
          <w:lang w:val="en-IE"/>
        </w:rPr>
      </w:pPr>
      <w:r w:rsidRPr="0080175A">
        <w:t>On direct regulatory relief, the elimination of the</w:t>
      </w:r>
      <w:r w:rsidR="0090135C">
        <w:t xml:space="preserve"> </w:t>
      </w:r>
      <w:r w:rsidRPr="0080175A">
        <w:t>additional</w:t>
      </w:r>
      <w:r w:rsidR="0090135C">
        <w:t xml:space="preserve"> </w:t>
      </w:r>
      <w:r w:rsidRPr="0080175A">
        <w:t>50-day ATMP assessment period and the reduction of substantial modification timelines from 96 to 47 days</w:t>
      </w:r>
      <w:r w:rsidR="0090135C">
        <w:t xml:space="preserve"> </w:t>
      </w:r>
      <w:r w:rsidRPr="0080175A">
        <w:t>benefit</w:t>
      </w:r>
      <w:r w:rsidR="0090135C">
        <w:t xml:space="preserve"> </w:t>
      </w:r>
      <w:r w:rsidRPr="0080175A">
        <w:t>a developer base of which over 60</w:t>
      </w:r>
      <w:r w:rsidR="0090135C">
        <w:t xml:space="preserve"> </w:t>
      </w:r>
      <w:r w:rsidRPr="0080175A">
        <w:t>%</w:t>
      </w:r>
      <w:r w:rsidR="0090135C">
        <w:t xml:space="preserve"> </w:t>
      </w:r>
      <w:r w:rsidRPr="0080175A">
        <w:t>are SMEs. ERA exemptions for qualifying GMO-ATMPs remove a further 0.15 to 0.3 FTE-years per application. The harmonised AI guidance under Article 31 replaces bilateral EMA interactions currently valued at EUR 89,000 per qualification request and 160 to 250 days per interaction with freely accessible public guidance, a measure whose value is asymmetrically concentrated in smaller actors that cannot absorb bilateral engagement costs.</w:t>
      </w:r>
      <w:r w:rsidRPr="0080175A">
        <w:rPr>
          <w:lang w:val="en-IE"/>
        </w:rPr>
        <w:t> </w:t>
      </w:r>
    </w:p>
    <w:p w14:paraId="77BAC0AA" w14:textId="77777777" w:rsidR="0080175A" w:rsidRPr="0080175A" w:rsidRDefault="0080175A" w:rsidP="0080175A">
      <w:pPr>
        <w:rPr>
          <w:lang w:val="en-IE"/>
        </w:rPr>
      </w:pPr>
      <w:r w:rsidRPr="0080175A">
        <w:t>Costs to SMEs are limited by design. Strategic project participation is voluntary, and biosecurity compliance obligations fall on nucleic acid synthesis providers rather than the broader SME research and development population.</w:t>
      </w:r>
      <w:r w:rsidRPr="0080175A">
        <w:rPr>
          <w:lang w:val="en-IE"/>
        </w:rPr>
        <w:t> </w:t>
      </w:r>
    </w:p>
    <w:p w14:paraId="527E3A2F" w14:textId="77777777" w:rsidR="0080175A" w:rsidRPr="0080175A" w:rsidRDefault="0080175A" w:rsidP="0080175A">
      <w:pPr>
        <w:rPr>
          <w:i/>
          <w:iCs/>
          <w:lang w:val="en-IE"/>
        </w:rPr>
      </w:pPr>
      <w:r w:rsidRPr="0080175A">
        <w:rPr>
          <w:i/>
          <w:iCs/>
        </w:rPr>
        <w:t>Biosimilar developers</w:t>
      </w:r>
      <w:r w:rsidRPr="0080175A">
        <w:rPr>
          <w:i/>
          <w:iCs/>
          <w:lang w:val="en-IE"/>
        </w:rPr>
        <w:t> </w:t>
      </w:r>
    </w:p>
    <w:p w14:paraId="4F8B03CD" w14:textId="77777777" w:rsidR="0080175A" w:rsidRPr="0080175A" w:rsidRDefault="0080175A" w:rsidP="0080175A">
      <w:pPr>
        <w:rPr>
          <w:lang w:val="en-IE"/>
        </w:rPr>
      </w:pPr>
      <w:r w:rsidRPr="0080175A">
        <w:t>Biosimilar developers are affected by three intersecting mechanisms that do not all pull in the same direction.</w:t>
      </w:r>
      <w:r w:rsidRPr="0080175A">
        <w:rPr>
          <w:lang w:val="en-IE"/>
        </w:rPr>
        <w:t> </w:t>
      </w:r>
    </w:p>
    <w:p w14:paraId="231DAA70" w14:textId="58EFA523" w:rsidR="0080175A" w:rsidRPr="0080175A" w:rsidRDefault="00841A0B" w:rsidP="0080175A">
      <w:pPr>
        <w:rPr>
          <w:lang w:val="en-IE"/>
        </w:rPr>
      </w:pPr>
      <w:r>
        <w:rPr>
          <w:bCs/>
        </w:rPr>
        <w:t>F</w:t>
      </w:r>
      <w:r w:rsidR="00286F9F" w:rsidRPr="008842C4">
        <w:rPr>
          <w:bCs/>
        </w:rPr>
        <w:t>ollowing EMA guidelines</w:t>
      </w:r>
      <w:r>
        <w:rPr>
          <w:bCs/>
        </w:rPr>
        <w:t xml:space="preserve"> adoption</w:t>
      </w:r>
      <w:r w:rsidR="00286F9F" w:rsidRPr="008842C4">
        <w:rPr>
          <w:bCs/>
        </w:rPr>
        <w:t xml:space="preserve">, </w:t>
      </w:r>
      <w:r w:rsidR="00286F9F" w:rsidRPr="008842C4" w:rsidDel="009C09AF">
        <w:t>C</w:t>
      </w:r>
      <w:r w:rsidR="00286F9F" w:rsidRPr="008842C4">
        <w:t xml:space="preserve">omparative Efficacy Studies (CES) requirement </w:t>
      </w:r>
      <w:r w:rsidR="00F50A07">
        <w:t>may</w:t>
      </w:r>
      <w:r w:rsidR="000B491E">
        <w:t xml:space="preserve"> be</w:t>
      </w:r>
      <w:r w:rsidR="00286F9F" w:rsidRPr="008842C4">
        <w:t xml:space="preserve"> waived</w:t>
      </w:r>
      <w:r w:rsidR="00286F9F">
        <w:t xml:space="preserve"> for </w:t>
      </w:r>
      <w:r w:rsidR="00F67AB9" w:rsidRPr="008842C4">
        <w:t xml:space="preserve">biosimilar products where analytical similarity is comprehensively </w:t>
      </w:r>
      <w:r w:rsidR="00F67AB9" w:rsidRPr="008842C4">
        <w:lastRenderedPageBreak/>
        <w:t>demonstrated</w:t>
      </w:r>
      <w:r w:rsidR="009637EB">
        <w:t>.</w:t>
      </w:r>
      <w:r w:rsidR="00286F9F">
        <w:t xml:space="preserve"> </w:t>
      </w:r>
      <w:r w:rsidR="0080175A" w:rsidRPr="0080175A" w:rsidDel="00286F9F">
        <w:t>T</w:t>
      </w:r>
      <w:r w:rsidR="0080175A" w:rsidRPr="0080175A">
        <w:t xml:space="preserve">he CES removal </w:t>
      </w:r>
      <w:r w:rsidR="009637EB">
        <w:t xml:space="preserve">would </w:t>
      </w:r>
      <w:r w:rsidR="0080175A" w:rsidRPr="0080175A">
        <w:t xml:space="preserve">deliver the most economically significant relief, eliminating EUR 19 to 26 million in direct trial costs per product (20 to 30 per cent of total development expenditure for standard indications, up to 50 to 60 per cent for complex monoclonal antibody biosimilars) and shortening timelines by 12 to 24 months. Across 12 to 18 marketing authorisation applications per year where the tailored clinical package reform applies, aggregate annual savings are estimated at EUR 222 to 467 million. The competitive dimension is equally important: South Korea, the UK, the US, and Canada are all moving toward CES flexibility, and without this reform the EU </w:t>
      </w:r>
      <w:r w:rsidR="00750E04">
        <w:t xml:space="preserve">would </w:t>
      </w:r>
      <w:r w:rsidR="0080175A" w:rsidRPr="0080175A">
        <w:t>risk regulatory disadvantage. EU-</w:t>
      </w:r>
      <w:r w:rsidR="00227E6E">
        <w:t xml:space="preserve">based </w:t>
      </w:r>
      <w:r w:rsidR="0080175A" w:rsidRPr="0080175A">
        <w:t>companies currently hold approximately 49 per cent of EU biosimilar authorisations, a share under increasing pressure from South Korean and Indian developers. The strategic project framework reinforces these gains on the supply side, projecting stabilisation of the EU-</w:t>
      </w:r>
      <w:r w:rsidR="00335CF5">
        <w:t xml:space="preserve">based </w:t>
      </w:r>
      <w:r w:rsidR="00F94BA1">
        <w:t>companies</w:t>
      </w:r>
      <w:r w:rsidR="00335CF5" w:rsidRPr="0080175A">
        <w:t xml:space="preserve"> </w:t>
      </w:r>
      <w:r w:rsidR="0080175A" w:rsidRPr="0080175A">
        <w:t>share at 45 to 55 per cent through 2038 and mobilising EUR 0.9 to 7.6 billion in cumulative biosimilar manufacturing investment by 2038.</w:t>
      </w:r>
      <w:r w:rsidR="0080175A" w:rsidRPr="0080175A">
        <w:rPr>
          <w:lang w:val="en-IE"/>
        </w:rPr>
        <w:t> </w:t>
      </w:r>
    </w:p>
    <w:p w14:paraId="442051CB" w14:textId="7B97A5C1" w:rsidR="0080175A" w:rsidRPr="0080175A" w:rsidRDefault="0080175A" w:rsidP="0080175A">
      <w:pPr>
        <w:rPr>
          <w:lang w:val="en-IE"/>
        </w:rPr>
      </w:pPr>
      <w:r w:rsidRPr="0080175A">
        <w:t>The SPC extension works in the opposite direction. The</w:t>
      </w:r>
      <w:r w:rsidR="008F39FB">
        <w:t xml:space="preserve"> </w:t>
      </w:r>
      <w:r w:rsidRPr="0080175A">
        <w:t>additional</w:t>
      </w:r>
      <w:r w:rsidR="008F39FB">
        <w:t xml:space="preserve"> </w:t>
      </w:r>
      <w:r w:rsidRPr="0080175A">
        <w:t xml:space="preserve">year of originator exclusivity is estimated to reduce biosimilar gross profits by approximately EUR </w:t>
      </w:r>
      <w:r w:rsidR="00917D0F">
        <w:t>80</w:t>
      </w:r>
      <w:r w:rsidRPr="0080175A">
        <w:t xml:space="preserve"> million per qualifying medicine (sensitivity range EUR </w:t>
      </w:r>
      <w:r w:rsidR="004E53B3">
        <w:t>60</w:t>
      </w:r>
      <w:r w:rsidRPr="0080175A">
        <w:t xml:space="preserve"> to </w:t>
      </w:r>
      <w:r w:rsidR="004E53B3">
        <w:t>110</w:t>
      </w:r>
      <w:r w:rsidRPr="0080175A">
        <w:t xml:space="preserve"> million), or EUR </w:t>
      </w:r>
      <w:r w:rsidR="007B44E3">
        <w:t>240</w:t>
      </w:r>
      <w:r w:rsidRPr="0080175A">
        <w:t xml:space="preserve"> million annually at three qualifying medicines per year. Development programmes are unlikely to be abandoned over a one-year delay, but marginal programmes targeting smaller or more uncertain markets face a measurably reduced return on investment. The net balance across the two instruments is positive in aggregate, but the distributional effect varies depending on product class and the overlap between SPC-eligible originators and active biosimilar pipelines.</w:t>
      </w:r>
      <w:r w:rsidRPr="0080175A">
        <w:rPr>
          <w:lang w:val="en-IE"/>
        </w:rPr>
        <w:t> </w:t>
      </w:r>
    </w:p>
    <w:p w14:paraId="26EEC10C" w14:textId="77777777" w:rsidR="0080175A" w:rsidRPr="0080175A" w:rsidRDefault="0080175A" w:rsidP="0080175A">
      <w:pPr>
        <w:rPr>
          <w:lang w:val="en-IE"/>
        </w:rPr>
      </w:pPr>
      <w:r w:rsidRPr="0080175A">
        <w:t>Remaining costs to developers are limited to voluntary strategic project recognition, which entails preparation and reporting costs of one to two FTEs per project per year, equivalent to approximately one to two per cent of project value.</w:t>
      </w:r>
      <w:r w:rsidRPr="0080175A">
        <w:rPr>
          <w:lang w:val="en-IE"/>
        </w:rPr>
        <w:t> </w:t>
      </w:r>
    </w:p>
    <w:p w14:paraId="3070BD35" w14:textId="77777777" w:rsidR="0080175A" w:rsidRPr="0080175A" w:rsidRDefault="0080175A" w:rsidP="0080175A">
      <w:pPr>
        <w:rPr>
          <w:i/>
          <w:iCs/>
          <w:lang w:val="en-IE"/>
        </w:rPr>
      </w:pPr>
      <w:r w:rsidRPr="0080175A">
        <w:rPr>
          <w:i/>
          <w:iCs/>
        </w:rPr>
        <w:t>Originators and SPC-holding companies</w:t>
      </w:r>
      <w:r w:rsidRPr="0080175A">
        <w:rPr>
          <w:i/>
          <w:iCs/>
          <w:lang w:val="en-IE"/>
        </w:rPr>
        <w:t> </w:t>
      </w:r>
    </w:p>
    <w:p w14:paraId="7017578B" w14:textId="6BD98B8A" w:rsidR="0080175A" w:rsidRDefault="0080175A" w:rsidP="0080175A">
      <w:pPr>
        <w:rPr>
          <w:lang w:val="en-IE"/>
        </w:rPr>
      </w:pPr>
      <w:r w:rsidRPr="00EE1B77">
        <w:t xml:space="preserve">The SPC extension generates approximately EUR </w:t>
      </w:r>
      <w:r w:rsidR="00113ED0" w:rsidRPr="009649A3">
        <w:t>2</w:t>
      </w:r>
      <w:r w:rsidR="00113ED0">
        <w:t>30</w:t>
      </w:r>
      <w:r w:rsidR="00113ED0" w:rsidRPr="00EE1B77">
        <w:t xml:space="preserve"> </w:t>
      </w:r>
      <w:r w:rsidRPr="00EE1B77">
        <w:t>million in</w:t>
      </w:r>
      <w:r w:rsidR="006803E4">
        <w:t xml:space="preserve"> </w:t>
      </w:r>
      <w:r w:rsidRPr="00EE1B77">
        <w:t>additional</w:t>
      </w:r>
      <w:r w:rsidR="006803E4">
        <w:t xml:space="preserve"> </w:t>
      </w:r>
      <w:r w:rsidRPr="00EE1B77">
        <w:t xml:space="preserve">gross profit per qualifying medicine (sensitivity range EUR </w:t>
      </w:r>
      <w:r w:rsidR="00304A46" w:rsidRPr="009649A3">
        <w:t>140</w:t>
      </w:r>
      <w:r w:rsidRPr="00EE1B77">
        <w:t xml:space="preserve"> to </w:t>
      </w:r>
      <w:r w:rsidR="00304A46" w:rsidRPr="009649A3">
        <w:t>290</w:t>
      </w:r>
      <w:r w:rsidRPr="00EE1B77">
        <w:t xml:space="preserve"> million). </w:t>
      </w:r>
      <w:r w:rsidR="00804290">
        <w:t xml:space="preserve">With the measure </w:t>
      </w:r>
      <w:r w:rsidR="00E1500D">
        <w:t>being</w:t>
      </w:r>
      <w:r w:rsidR="00804290">
        <w:t xml:space="preserve"> relevant for about 3 medicines per year</w:t>
      </w:r>
      <w:r w:rsidRPr="00EE1B77">
        <w:t>, aggregate</w:t>
      </w:r>
      <w:r w:rsidR="00745E55">
        <w:t xml:space="preserve"> </w:t>
      </w:r>
      <w:r w:rsidRPr="00EE1B77">
        <w:t>additional</w:t>
      </w:r>
      <w:r w:rsidR="00745E55">
        <w:t xml:space="preserve"> </w:t>
      </w:r>
      <w:r w:rsidRPr="00EE1B77">
        <w:t xml:space="preserve">originator gross profit is estimated at approximately EUR </w:t>
      </w:r>
      <w:r w:rsidR="008500BE" w:rsidRPr="009649A3">
        <w:t>690</w:t>
      </w:r>
      <w:r w:rsidRPr="00EE1B77">
        <w:t xml:space="preserve"> million annually.</w:t>
      </w:r>
      <w:r w:rsidRPr="0080175A">
        <w:rPr>
          <w:lang w:val="en-IE"/>
        </w:rPr>
        <w:t> </w:t>
      </w:r>
    </w:p>
    <w:p w14:paraId="4A865FAA" w14:textId="2AD0D0BC" w:rsidR="0080175A" w:rsidRPr="0080175A" w:rsidRDefault="00E45961" w:rsidP="00AE3A0B">
      <w:pPr>
        <w:rPr>
          <w:lang w:val="en-IE"/>
        </w:rPr>
      </w:pPr>
      <w:r>
        <w:rPr>
          <w:rFonts w:eastAsia="Times New Roman"/>
          <w:noProof/>
          <w:color w:val="000000" w:themeColor="text1"/>
        </w:rPr>
        <w:t>According to EMA data from 2016 to 2025</w:t>
      </w:r>
      <w:r w:rsidR="00521C3E">
        <w:rPr>
          <w:rFonts w:eastAsia="Times New Roman"/>
          <w:noProof/>
          <w:color w:val="000000" w:themeColor="text1"/>
        </w:rPr>
        <w:t xml:space="preserve"> and assuming the proportion of SPC reliant medicines remain constant</w:t>
      </w:r>
      <w:r>
        <w:rPr>
          <w:rFonts w:eastAsia="Times New Roman"/>
          <w:noProof/>
          <w:color w:val="000000" w:themeColor="text1"/>
        </w:rPr>
        <w:t xml:space="preserve">, </w:t>
      </w:r>
      <w:r w:rsidRPr="00B94CAF">
        <w:rPr>
          <w:rFonts w:eastAsia="Times New Roman"/>
          <w:noProof/>
          <w:color w:val="000000" w:themeColor="text1"/>
        </w:rPr>
        <w:t xml:space="preserve">the </w:t>
      </w:r>
      <w:r>
        <w:rPr>
          <w:rFonts w:eastAsia="Times New Roman"/>
          <w:noProof/>
          <w:color w:val="000000" w:themeColor="text1"/>
        </w:rPr>
        <w:t xml:space="preserve">SPC </w:t>
      </w:r>
      <w:r w:rsidRPr="00B94CAF">
        <w:rPr>
          <w:rFonts w:eastAsia="Times New Roman"/>
          <w:noProof/>
          <w:color w:val="000000" w:themeColor="text1"/>
        </w:rPr>
        <w:t xml:space="preserve">extension could potentially be awarded to </w:t>
      </w:r>
      <w:r>
        <w:rPr>
          <w:rFonts w:eastAsia="Times New Roman"/>
          <w:noProof/>
          <w:color w:val="000000" w:themeColor="text1"/>
        </w:rPr>
        <w:t>4-</w:t>
      </w:r>
      <w:r w:rsidRPr="00B94CAF">
        <w:rPr>
          <w:rFonts w:eastAsia="Times New Roman"/>
          <w:noProof/>
          <w:color w:val="000000" w:themeColor="text1"/>
        </w:rPr>
        <w:t>5</w:t>
      </w:r>
      <w:r>
        <w:rPr>
          <w:rFonts w:eastAsia="Times New Roman"/>
          <w:noProof/>
          <w:color w:val="000000" w:themeColor="text1"/>
        </w:rPr>
        <w:t xml:space="preserve"> </w:t>
      </w:r>
      <w:r w:rsidRPr="00B94CAF">
        <w:rPr>
          <w:rFonts w:eastAsia="Times New Roman"/>
          <w:noProof/>
          <w:color w:val="000000" w:themeColor="text1"/>
        </w:rPr>
        <w:t>products</w:t>
      </w:r>
      <w:r>
        <w:rPr>
          <w:rFonts w:eastAsia="Times New Roman"/>
          <w:noProof/>
          <w:color w:val="000000" w:themeColor="text1"/>
        </w:rPr>
        <w:t xml:space="preserve"> </w:t>
      </w:r>
      <w:r w:rsidRPr="00B94CAF">
        <w:rPr>
          <w:rFonts w:eastAsia="Times New Roman"/>
          <w:noProof/>
          <w:color w:val="000000" w:themeColor="text1"/>
        </w:rPr>
        <w:t>annually (rather than 2-3)</w:t>
      </w:r>
      <w:r>
        <w:rPr>
          <w:rFonts w:eastAsia="Times New Roman"/>
          <w:noProof/>
          <w:color w:val="000000" w:themeColor="text1"/>
        </w:rPr>
        <w:t xml:space="preserve"> </w:t>
      </w:r>
      <w:r w:rsidRPr="00B94CAF">
        <w:rPr>
          <w:rFonts w:eastAsia="Times New Roman"/>
          <w:noProof/>
          <w:color w:val="000000" w:themeColor="text1"/>
        </w:rPr>
        <w:t>if developers change</w:t>
      </w:r>
      <w:r>
        <w:rPr>
          <w:rFonts w:eastAsia="Times New Roman"/>
          <w:noProof/>
          <w:color w:val="000000" w:themeColor="text1"/>
        </w:rPr>
        <w:t>d</w:t>
      </w:r>
      <w:r w:rsidRPr="00B94CAF">
        <w:rPr>
          <w:rFonts w:eastAsia="Times New Roman"/>
          <w:noProof/>
          <w:color w:val="000000" w:themeColor="text1"/>
        </w:rPr>
        <w:t xml:space="preserve"> </w:t>
      </w:r>
      <w:r>
        <w:rPr>
          <w:rFonts w:eastAsia="Times New Roman"/>
          <w:noProof/>
          <w:color w:val="000000" w:themeColor="text1"/>
        </w:rPr>
        <w:t xml:space="preserve">their </w:t>
      </w:r>
      <w:r w:rsidRPr="00B94CAF">
        <w:rPr>
          <w:rFonts w:eastAsia="Times New Roman"/>
          <w:noProof/>
          <w:color w:val="000000" w:themeColor="text1"/>
        </w:rPr>
        <w:t xml:space="preserve">behaviour in response to the </w:t>
      </w:r>
      <w:r w:rsidR="00DF0EAE">
        <w:rPr>
          <w:rFonts w:eastAsia="Times New Roman"/>
          <w:noProof/>
          <w:color w:val="000000" w:themeColor="text1"/>
        </w:rPr>
        <w:t xml:space="preserve"> “geographical” condition of the </w:t>
      </w:r>
      <w:r w:rsidRPr="00B94CAF">
        <w:rPr>
          <w:rFonts w:eastAsia="Times New Roman"/>
          <w:noProof/>
          <w:color w:val="000000" w:themeColor="text1"/>
        </w:rPr>
        <w:t>incentive</w:t>
      </w:r>
      <w:r w:rsidR="00DF0EAE" w:rsidRPr="00DF0EAE">
        <w:rPr>
          <w:rFonts w:eastAsia="Times New Roman"/>
          <w:noProof/>
          <w:color w:val="000000" w:themeColor="text1"/>
        </w:rPr>
        <w:t xml:space="preserve"> </w:t>
      </w:r>
      <w:r w:rsidR="00DF0EAE" w:rsidRPr="00D92C97">
        <w:rPr>
          <w:rFonts w:eastAsia="Times New Roman"/>
          <w:noProof/>
          <w:color w:val="000000" w:themeColor="text1"/>
        </w:rPr>
        <w:t xml:space="preserve">i.e. </w:t>
      </w:r>
      <w:r w:rsidR="00DF0EAE">
        <w:rPr>
          <w:rFonts w:eastAsia="Times New Roman"/>
          <w:noProof/>
          <w:color w:val="000000" w:themeColor="text1"/>
        </w:rPr>
        <w:t>conduct</w:t>
      </w:r>
      <w:r w:rsidR="00DF0EAE" w:rsidRPr="00D92C97">
        <w:rPr>
          <w:rFonts w:eastAsia="Times New Roman"/>
          <w:noProof/>
          <w:color w:val="000000" w:themeColor="text1"/>
        </w:rPr>
        <w:t xml:space="preserve"> </w:t>
      </w:r>
      <w:r w:rsidR="00DF0EAE">
        <w:rPr>
          <w:rFonts w:eastAsia="Times New Roman"/>
          <w:noProof/>
          <w:color w:val="000000" w:themeColor="text1"/>
        </w:rPr>
        <w:t>clinical trials</w:t>
      </w:r>
      <w:r w:rsidR="00DF0EAE" w:rsidRPr="00D92C97">
        <w:rPr>
          <w:rFonts w:eastAsia="Times New Roman"/>
          <w:noProof/>
          <w:color w:val="000000" w:themeColor="text1"/>
        </w:rPr>
        <w:t xml:space="preserve"> in more than one Member State and </w:t>
      </w:r>
      <w:r w:rsidR="00DF0EAE">
        <w:rPr>
          <w:rFonts w:eastAsia="Times New Roman"/>
          <w:noProof/>
          <w:color w:val="000000" w:themeColor="text1"/>
        </w:rPr>
        <w:t>part of</w:t>
      </w:r>
      <w:r w:rsidR="00DF0EAE" w:rsidRPr="00D92C97">
        <w:rPr>
          <w:rFonts w:eastAsia="Times New Roman"/>
          <w:noProof/>
          <w:color w:val="000000" w:themeColor="text1"/>
        </w:rPr>
        <w:t xml:space="preserve"> the production of the medicinal product in the EU. </w:t>
      </w:r>
      <w:r w:rsidR="00DF0EAE" w:rsidRPr="00B94CAF">
        <w:rPr>
          <w:rFonts w:eastAsia="Times New Roman"/>
          <w:noProof/>
          <w:color w:val="000000" w:themeColor="text1"/>
        </w:rPr>
        <w:t> </w:t>
      </w:r>
      <w:r w:rsidR="004413F7">
        <w:t xml:space="preserve"> </w:t>
      </w:r>
    </w:p>
    <w:p w14:paraId="2010D374" w14:textId="043E9279" w:rsidR="0080175A" w:rsidRDefault="0080175A" w:rsidP="0080175A">
      <w:r w:rsidRPr="0080175A">
        <w:t xml:space="preserve">The principal costs fall on biosimilar developers, payers, and patients through delayed competitive entry, addressed in the respective sections. The measure is explicitly redistributive, transferring value from follow-on developers and healthcare systems to originators </w:t>
      </w:r>
      <w:r w:rsidR="00A5376D">
        <w:t>while incentivising</w:t>
      </w:r>
      <w:r w:rsidRPr="0080175A">
        <w:t xml:space="preserve">  manufacturing and trial location. </w:t>
      </w:r>
    </w:p>
    <w:p w14:paraId="3D70FC9B" w14:textId="77777777" w:rsidR="00BC7A36" w:rsidRPr="0080175A" w:rsidRDefault="00BC7A36" w:rsidP="0080175A">
      <w:pPr>
        <w:rPr>
          <w:lang w:val="en-IE"/>
        </w:rPr>
      </w:pPr>
    </w:p>
    <w:p w14:paraId="408CC2B0" w14:textId="6F85DDDB" w:rsidR="0080175A" w:rsidRPr="0080175A" w:rsidRDefault="0080175A" w:rsidP="0080175A">
      <w:pPr>
        <w:rPr>
          <w:i/>
          <w:iCs/>
          <w:lang w:val="en-IE"/>
        </w:rPr>
      </w:pPr>
      <w:r w:rsidRPr="0080175A">
        <w:rPr>
          <w:i/>
          <w:iCs/>
        </w:rPr>
        <w:lastRenderedPageBreak/>
        <w:t>SoHO</w:t>
      </w:r>
      <w:r w:rsidR="004C4804">
        <w:rPr>
          <w:i/>
          <w:iCs/>
        </w:rPr>
        <w:t xml:space="preserve"> </w:t>
      </w:r>
      <w:r w:rsidRPr="0080175A">
        <w:rPr>
          <w:i/>
          <w:iCs/>
        </w:rPr>
        <w:t>entities and organ processing establishments</w:t>
      </w:r>
      <w:r w:rsidRPr="0080175A">
        <w:rPr>
          <w:i/>
          <w:iCs/>
          <w:lang w:val="en-IE"/>
        </w:rPr>
        <w:t> </w:t>
      </w:r>
    </w:p>
    <w:p w14:paraId="7315A098" w14:textId="4F546E7D" w:rsidR="0080175A" w:rsidRPr="0080175A" w:rsidRDefault="0080175A" w:rsidP="0080175A">
      <w:pPr>
        <w:rPr>
          <w:lang w:val="en-IE"/>
        </w:rPr>
      </w:pPr>
      <w:r w:rsidRPr="0080175A">
        <w:t>SoHO</w:t>
      </w:r>
      <w:r w:rsidR="004C4804">
        <w:t xml:space="preserve"> </w:t>
      </w:r>
      <w:r w:rsidRPr="0080175A">
        <w:t>entities using the regulatory sandbox face evidence generation costs of EUR 718,500 per year under the low scenario (six sandboxes per year) and EUR 4,790,000 per year under the high scenario (40 sandboxes per year), with per-case</w:t>
      </w:r>
      <w:r w:rsidR="004C4804">
        <w:t xml:space="preserve"> </w:t>
      </w:r>
      <w:r w:rsidRPr="0080175A">
        <w:t>costs comparable to high-risk</w:t>
      </w:r>
      <w:r w:rsidR="004C4804">
        <w:t xml:space="preserve"> </w:t>
      </w:r>
      <w:r w:rsidRPr="0080175A">
        <w:t>SoHO</w:t>
      </w:r>
      <w:r w:rsidR="004C4804">
        <w:t xml:space="preserve"> </w:t>
      </w:r>
      <w:r w:rsidRPr="0080175A">
        <w:t>authorisations at EUR 1,200 to 6,000 per patient. Medium-risk cases directed through the sandbox will incur higher costs than under the standard route. These costs are concentrated in a small subset of novel applications that would otherwise lack</w:t>
      </w:r>
      <w:r w:rsidR="0090135C">
        <w:t xml:space="preserve"> </w:t>
      </w:r>
      <w:r w:rsidRPr="0080175A">
        <w:t>a viable</w:t>
      </w:r>
      <w:r w:rsidR="0090135C">
        <w:t xml:space="preserve"> </w:t>
      </w:r>
      <w:r w:rsidRPr="0080175A">
        <w:t>pathway.</w:t>
      </w:r>
      <w:r w:rsidRPr="0080175A">
        <w:rPr>
          <w:lang w:val="en-IE"/>
        </w:rPr>
        <w:t> </w:t>
      </w:r>
    </w:p>
    <w:p w14:paraId="1FBECC13" w14:textId="77777777" w:rsidR="0080175A" w:rsidRPr="0080175A" w:rsidRDefault="0080175A" w:rsidP="0080175A">
      <w:pPr>
        <w:rPr>
          <w:lang w:val="en-IE"/>
        </w:rPr>
      </w:pPr>
      <w:r w:rsidRPr="0080175A">
        <w:t>For organ processing establishments, the authorisation framework introduces per-application costs of approximately EUR 11,500 for full authorisation and EUR 16,750 for conditional authorisation, with a weighted average of EUR 12,800 during the transition phase. At 60 to 145 applications across EU27 over 2029 to 2031, the aggregate transition-phase burden is EUR 768,000 to EUR 1,856,000, rising to a cumulative EUR 1.2 to 2.5 million by 2035. Establishments under conditional authorisation additionally face mandatory clinical outcome monitoring costs of approximately EUR 9,000 per monitoring plan per year, aggregating to EUR 405,000 to EUR 980,000 across EU27 over the transition phase.</w:t>
      </w:r>
      <w:r w:rsidRPr="0080175A">
        <w:rPr>
          <w:lang w:val="en-IE"/>
        </w:rPr>
        <w:t> </w:t>
      </w:r>
    </w:p>
    <w:p w14:paraId="75A7BB42" w14:textId="567E644D" w:rsidR="0080175A" w:rsidRPr="0080175A" w:rsidRDefault="0080175A" w:rsidP="0080175A">
      <w:pPr>
        <w:rPr>
          <w:lang w:val="en-IE"/>
        </w:rPr>
      </w:pPr>
      <w:r w:rsidRPr="0080175A">
        <w:t>These costs are</w:t>
      </w:r>
      <w:r w:rsidR="0090135C">
        <w:t xml:space="preserve"> </w:t>
      </w:r>
      <w:r w:rsidRPr="0080175A">
        <w:t>substantially outweighed</w:t>
      </w:r>
      <w:r w:rsidR="0090135C">
        <w:t xml:space="preserve"> </w:t>
      </w:r>
      <w:r w:rsidRPr="0080175A">
        <w:t>by the benefits. The authorisation regime is expected to generate 1,435 additional transplants per year by 2035, with 570 to 945 fewer organ discards annually. Total monetised benefits are estimated at EUR 443 to 695 million, comprising EUR 285 to 537 million in statistical lives saved from 248 to 311 cumulative waiting-list deaths averted over 2028 to 2035, and EUR 158 million in cumulative dialysis cost avoidance derived from the reduction in the dialysis-dependent population by 2035, attributable to additional kidney transplant recipients who would otherwise have remained on dialysis.</w:t>
      </w:r>
      <w:r w:rsidRPr="0080175A">
        <w:rPr>
          <w:lang w:val="en-IE"/>
        </w:rPr>
        <w:t> </w:t>
      </w:r>
    </w:p>
    <w:p w14:paraId="3EC7C252" w14:textId="77777777" w:rsidR="0080175A" w:rsidRPr="0080175A" w:rsidRDefault="0080175A" w:rsidP="0080175A">
      <w:pPr>
        <w:rPr>
          <w:i/>
          <w:iCs/>
          <w:lang w:val="en-IE"/>
        </w:rPr>
      </w:pPr>
      <w:r w:rsidRPr="0080175A">
        <w:rPr>
          <w:i/>
          <w:iCs/>
        </w:rPr>
        <w:t>GMM developers, veterinary medicine companies, and food chain operators</w:t>
      </w:r>
      <w:r w:rsidRPr="0080175A">
        <w:rPr>
          <w:i/>
          <w:iCs/>
          <w:lang w:val="en-IE"/>
        </w:rPr>
        <w:t> </w:t>
      </w:r>
    </w:p>
    <w:p w14:paraId="10769AA2" w14:textId="5802C951" w:rsidR="0080175A" w:rsidRPr="0080175A" w:rsidRDefault="0080175A" w:rsidP="0080175A">
      <w:pPr>
        <w:rPr>
          <w:lang w:val="en-IE"/>
        </w:rPr>
      </w:pPr>
      <w:r w:rsidRPr="0080175A">
        <w:t>The Act creates the most structurally transformative change for GMM developers: the introduction of</w:t>
      </w:r>
      <w:r w:rsidR="0090135C">
        <w:t xml:space="preserve"> </w:t>
      </w:r>
      <w:r w:rsidRPr="0080175A">
        <w:t>a viable</w:t>
      </w:r>
      <w:r w:rsidR="0090135C">
        <w:t xml:space="preserve"> </w:t>
      </w:r>
      <w:r w:rsidRPr="0080175A">
        <w:t>EU market authorisation pathway where none currently exists. The EU has zero authorised GMMs for deliberate release, a direct consequence of a regulatory framework designed for genetically modified plants and ill-suited to micro-organisms. The reform introduces a tailored, product-based pathway with an accelerated route for low-risk</w:t>
      </w:r>
      <w:r w:rsidR="0090135C">
        <w:t xml:space="preserve"> </w:t>
      </w:r>
      <w:r w:rsidRPr="0080175A">
        <w:t xml:space="preserve">GMMs, unlocking potential access to biofertilisation, biocontrol, bioremediation, and bioleaching sectors. These collectively represent a combined global market for microbial products of </w:t>
      </w:r>
      <w:r w:rsidR="00965A60">
        <w:t>EUR</w:t>
      </w:r>
      <w:r w:rsidRPr="0080175A" w:rsidDel="00965A60">
        <w:t xml:space="preserve"> </w:t>
      </w:r>
      <w:r w:rsidR="00965A60">
        <w:t>29.1</w:t>
      </w:r>
      <w:r w:rsidR="00965A60" w:rsidRPr="0080175A">
        <w:t xml:space="preserve"> </w:t>
      </w:r>
      <w:r w:rsidRPr="0080175A">
        <w:t xml:space="preserve">to </w:t>
      </w:r>
      <w:r w:rsidR="00965A60">
        <w:t>33.4</w:t>
      </w:r>
      <w:r w:rsidR="00965A60" w:rsidRPr="0080175A">
        <w:t xml:space="preserve"> </w:t>
      </w:r>
      <w:r w:rsidRPr="0080175A">
        <w:t>billion growing at 9 to 14</w:t>
      </w:r>
      <w:r w:rsidR="006856C2">
        <w:t>%</w:t>
      </w:r>
      <w:r w:rsidR="0090135C">
        <w:t xml:space="preserve"> </w:t>
      </w:r>
      <w:r w:rsidRPr="0080175A">
        <w:t>per year, though GMM-specific products constitute only an emerging share of these totals and the figures should be understood as indicative of the upper bound of commercial opportunity rather than immediately accessible demand.</w:t>
      </w:r>
      <w:r w:rsidRPr="0080175A">
        <w:rPr>
          <w:lang w:val="en-IE"/>
        </w:rPr>
        <w:t> </w:t>
      </w:r>
    </w:p>
    <w:p w14:paraId="31170056" w14:textId="77777777" w:rsidR="0080175A" w:rsidRPr="0080175A" w:rsidRDefault="0080175A" w:rsidP="0080175A">
      <w:pPr>
        <w:rPr>
          <w:lang w:val="en-IE"/>
        </w:rPr>
      </w:pPr>
      <w:r w:rsidRPr="0080175A">
        <w:t xml:space="preserve">For veterinary medicine companies, three measures deliver quantifiable gains. The single GMO pathway for VMPs removes 30 to 90 days per clinical trial application, eliminating 240 to 1,350 product-days of aggregate delay annually and generating cumulative administrative cost savings to 2040 estimated at EUR 5 to 14.5 million. Uniform handling of VMP variations not requiring assessment yields present-value savings of EUR 15 to 30 million to 2040 (central estimate EUR 22.5 million). The VMP sandbox creates an entirely </w:t>
      </w:r>
      <w:r w:rsidRPr="0080175A">
        <w:lastRenderedPageBreak/>
        <w:t>new pathway for innovative products outside existing categories, with utilisation expected at approximately one sandbox every five years; its primary value lies in pathway creation and investment signalling rather than immediate commercial volumes.</w:t>
      </w:r>
      <w:r w:rsidRPr="0080175A">
        <w:rPr>
          <w:lang w:val="en-IE"/>
        </w:rPr>
        <w:t> </w:t>
      </w:r>
    </w:p>
    <w:p w14:paraId="5A74A1A8" w14:textId="4018AFDB" w:rsidR="0080175A" w:rsidRDefault="0080175A" w:rsidP="0080175A">
      <w:pPr>
        <w:rPr>
          <w:lang w:val="en-IE"/>
        </w:rPr>
      </w:pPr>
      <w:r w:rsidRPr="0080175A">
        <w:t>Food chain operators</w:t>
      </w:r>
      <w:r w:rsidR="0090135C">
        <w:t xml:space="preserve"> </w:t>
      </w:r>
      <w:r w:rsidRPr="0080175A">
        <w:t>benefit</w:t>
      </w:r>
      <w:r w:rsidR="0090135C">
        <w:t xml:space="preserve"> </w:t>
      </w:r>
      <w:r w:rsidRPr="0080175A">
        <w:t>from the sandbox mechanism for pre-market testing of sustainable food production technologies, including GMO-containing products. The exclusion of novel foods from sandbox scope, whilst justified on grounds of scientific complexity and consumer sensitivities,</w:t>
      </w:r>
      <w:r w:rsidR="00F46F06">
        <w:t xml:space="preserve"> - as explained in Section 5.1.2 of the Staff Working Document</w:t>
      </w:r>
      <w:r w:rsidR="0090135C">
        <w:t xml:space="preserve"> </w:t>
      </w:r>
      <w:r w:rsidRPr="0080175A">
        <w:t>represents</w:t>
      </w:r>
      <w:r w:rsidR="0090135C">
        <w:t xml:space="preserve"> </w:t>
      </w:r>
      <w:r w:rsidRPr="0080175A">
        <w:t>a genuine constraint on the benefits available to this group and has been characterised by industry stakeholders as a missed opportunity.</w:t>
      </w:r>
      <w:r w:rsidRPr="0080175A">
        <w:rPr>
          <w:lang w:val="en-IE"/>
        </w:rPr>
        <w:t> </w:t>
      </w:r>
    </w:p>
    <w:p w14:paraId="476A8FA2" w14:textId="77777777" w:rsidR="0080175A" w:rsidRPr="0080175A" w:rsidRDefault="0080175A" w:rsidP="0080175A">
      <w:pPr>
        <w:rPr>
          <w:i/>
          <w:iCs/>
          <w:lang w:val="en-IE"/>
        </w:rPr>
      </w:pPr>
      <w:r w:rsidRPr="0080175A">
        <w:rPr>
          <w:i/>
          <w:iCs/>
        </w:rPr>
        <w:t>Sequence synthesis providers</w:t>
      </w:r>
      <w:r w:rsidRPr="0080175A">
        <w:rPr>
          <w:i/>
          <w:iCs/>
          <w:lang w:val="en-IE"/>
        </w:rPr>
        <w:t> </w:t>
      </w:r>
    </w:p>
    <w:p w14:paraId="5E151F61" w14:textId="0E1F3170" w:rsidR="0080175A" w:rsidRPr="0080175A" w:rsidRDefault="0080175A" w:rsidP="0080175A">
      <w:pPr>
        <w:rPr>
          <w:lang w:val="en-IE"/>
        </w:rPr>
      </w:pPr>
      <w:r w:rsidRPr="0080175A">
        <w:t>Providers of nucleic acid synthesis services face the most direct and quantifiable compliance burden under the biosecurity provisions. Mandatory sequence and legitimacy screening obligations impose direct annual compliance costs estimated at EUR 10.5 to 22.2 million per provider sector, comprising legitimacy screening (EUR 19 million in 2027 rising to EUR 34 million by 2036), sequence screening (EUR 1.6 million rising to EUR 2.8 million), and procedure introduction and regulatory adjustment costs (EUR 1.7 million rising to EUR 2.5 million). Customers and researchers face additional compliance costs of approximately EUR 16.4 million per year for documentation, procurement adjustments, and per-order verification. Indirect costs compound these figures: research chilling effects from concerns about order delays or rejections are estimated at EUR 97 million in 2027 rising to EUR 170 million by 2036, whilst productivity losses to providers from compliance intensity are estimated at EUR 8.6 to 24.8 million per year. Approximately 10</w:t>
      </w:r>
      <w:r w:rsidR="006856C2">
        <w:t>%</w:t>
      </w:r>
      <w:r w:rsidRPr="0080175A">
        <w:t> of researchers may shift to in-house synthesis at substantially higher per-order costs.</w:t>
      </w:r>
      <w:r w:rsidRPr="0080175A">
        <w:rPr>
          <w:lang w:val="en-IE"/>
        </w:rPr>
        <w:t> </w:t>
      </w:r>
    </w:p>
    <w:p w14:paraId="6B61AACC" w14:textId="4EFFBF22" w:rsidR="0080175A" w:rsidRPr="0080175A" w:rsidRDefault="0080175A" w:rsidP="0080175A">
      <w:pPr>
        <w:rPr>
          <w:lang w:val="en-IE"/>
        </w:rPr>
      </w:pPr>
      <w:r w:rsidRPr="0080175A">
        <w:t>These costs must be assessed against a strongly asymmetric benefit profile. The mandatory screening regime is estimated to prevent 35</w:t>
      </w:r>
      <w:r w:rsidR="006856C2">
        <w:t>%</w:t>
      </w:r>
      <w:r w:rsidR="0090135C">
        <w:t xml:space="preserve"> </w:t>
      </w:r>
      <w:r w:rsidRPr="0080175A">
        <w:t>of deliberate</w:t>
      </w:r>
      <w:r w:rsidR="0090135C">
        <w:t xml:space="preserve"> </w:t>
      </w:r>
      <w:r w:rsidRPr="0080175A">
        <w:t>bioattacks</w:t>
      </w:r>
      <w:r w:rsidR="0090135C">
        <w:t xml:space="preserve"> </w:t>
      </w:r>
      <w:r w:rsidRPr="0080175A">
        <w:t>and 86</w:t>
      </w:r>
      <w:r w:rsidR="0090135C">
        <w:t xml:space="preserve"> </w:t>
      </w:r>
      <w:r w:rsidRPr="0080175A">
        <w:t>%</w:t>
      </w:r>
      <w:r w:rsidR="0090135C">
        <w:t xml:space="preserve"> </w:t>
      </w:r>
      <w:r w:rsidRPr="0080175A">
        <w:t>of accidental release events, generating expected annual prevention benefits of EUR 2.9 billion in 2027 rising to EUR 5.5 billion by 2036. A further EUR 10 billion in future research value is preserved by averting the regulatory backlash that would follow a major biosecurity incident. The compliance burden, whilst material, represents well under one precent of the prevention benefits the regime is expected to deliver.</w:t>
      </w:r>
      <w:r w:rsidRPr="0080175A">
        <w:rPr>
          <w:lang w:val="en-IE"/>
        </w:rPr>
        <w:t> </w:t>
      </w:r>
    </w:p>
    <w:p w14:paraId="1CE236CB" w14:textId="77777777" w:rsidR="0080175A" w:rsidRPr="0080175A" w:rsidRDefault="0080175A" w:rsidP="0080175A">
      <w:pPr>
        <w:rPr>
          <w:i/>
          <w:iCs/>
          <w:lang w:val="en-IE"/>
        </w:rPr>
      </w:pPr>
      <w:r w:rsidRPr="0080175A">
        <w:rPr>
          <w:i/>
          <w:iCs/>
        </w:rPr>
        <w:t>Applicants for strategic and high-impact projects</w:t>
      </w:r>
      <w:r w:rsidRPr="0080175A">
        <w:rPr>
          <w:i/>
          <w:iCs/>
          <w:lang w:val="en-IE"/>
        </w:rPr>
        <w:t> </w:t>
      </w:r>
    </w:p>
    <w:p w14:paraId="2D5CC5C4" w14:textId="2B390B6C" w:rsidR="0080175A" w:rsidRPr="0080175A" w:rsidRDefault="0080175A" w:rsidP="0080175A">
      <w:pPr>
        <w:rPr>
          <w:lang w:val="en-IE"/>
        </w:rPr>
      </w:pPr>
      <w:r w:rsidRPr="0080175A">
        <w:t>Entities seeking recognition under either framework face preparation, submission, and ongoing reporting costs estimated at one to two FTEs per project per year, equivalent to</w:t>
      </w:r>
      <w:r w:rsidR="0090135C">
        <w:t xml:space="preserve"> </w:t>
      </w:r>
      <w:r w:rsidRPr="0080175A">
        <w:t>approximately one</w:t>
      </w:r>
      <w:r w:rsidR="0090135C">
        <w:t xml:space="preserve"> </w:t>
      </w:r>
      <w:r w:rsidRPr="0080175A">
        <w:t>to two</w:t>
      </w:r>
      <w:r w:rsidR="0090135C">
        <w:t xml:space="preserve"> </w:t>
      </w:r>
      <w:r w:rsidRPr="0080175A">
        <w:t>%</w:t>
      </w:r>
      <w:r w:rsidR="0090135C">
        <w:t xml:space="preserve"> </w:t>
      </w:r>
      <w:r w:rsidRPr="0080175A">
        <w:t xml:space="preserve">of total project value. In the most demanding governance configurations, worst-case participation costs </w:t>
      </w:r>
      <w:r w:rsidR="00C05057">
        <w:t xml:space="preserve">might </w:t>
      </w:r>
      <w:r w:rsidRPr="0080175A">
        <w:t>reach EUR 700,000 to 800,000 per firm (as an upper bound). Participation is entirely voluntary.</w:t>
      </w:r>
      <w:r w:rsidRPr="0080175A">
        <w:rPr>
          <w:lang w:val="en-IE"/>
        </w:rPr>
        <w:t> </w:t>
      </w:r>
    </w:p>
    <w:p w14:paraId="266DEC06" w14:textId="77777777" w:rsidR="00DB0F14" w:rsidRDefault="0080175A" w:rsidP="0080175A">
      <w:r w:rsidRPr="0080175A">
        <w:t>The returns are</w:t>
      </w:r>
      <w:r w:rsidR="0090135C">
        <w:t xml:space="preserve"> </w:t>
      </w:r>
      <w:r w:rsidRPr="0080175A">
        <w:t xml:space="preserve">substantial. The strategic project framework is expected to mobilise EUR 15 to 28 billion in total investment at medium uptake (60 to 70 projects), with the high-impact tier adding a further EUR 4 to 12 billion (12 to 15 projects), yielding a combined EUR 19 to 40 billion by 2038. Both frameworks additionally reduce permitting delay costs, with cumulative avoided delay-related capital costs estimated at EUR 265 million to </w:t>
      </w:r>
    </w:p>
    <w:p w14:paraId="5B1BB6A2" w14:textId="5265CCC8" w:rsidR="0080175A" w:rsidRPr="0080175A" w:rsidRDefault="0080175A" w:rsidP="0080175A">
      <w:pPr>
        <w:rPr>
          <w:lang w:val="en-IE"/>
        </w:rPr>
      </w:pPr>
      <w:r w:rsidRPr="0080175A">
        <w:lastRenderedPageBreak/>
        <w:t>EUR 1.16 billion by 2038 across the two tiers at medium uptake, concentrated in the most capital-intensive projects where schedule adherence directly affects bankability and time-to-revenue.</w:t>
      </w:r>
      <w:r w:rsidRPr="0080175A">
        <w:rPr>
          <w:lang w:val="en-IE"/>
        </w:rPr>
        <w:t> </w:t>
      </w:r>
    </w:p>
    <w:p w14:paraId="513A5B2A" w14:textId="604F3CC8" w:rsidR="0080175A" w:rsidRPr="00C167C4" w:rsidRDefault="0080175A" w:rsidP="0080175A">
      <w:pPr>
        <w:rPr>
          <w:b/>
          <w:bCs/>
          <w:lang w:val="en-IE"/>
        </w:rPr>
      </w:pPr>
      <w:r w:rsidRPr="00C167C4">
        <w:rPr>
          <w:b/>
          <w:bCs/>
        </w:rPr>
        <w:t>Public authorities</w:t>
      </w:r>
    </w:p>
    <w:p w14:paraId="46C82CD4" w14:textId="5ADBA144" w:rsidR="0080175A" w:rsidRPr="0080175A" w:rsidRDefault="0080175A" w:rsidP="0080175A">
      <w:pPr>
        <w:rPr>
          <w:i/>
          <w:iCs/>
          <w:lang w:val="en-IE"/>
        </w:rPr>
      </w:pPr>
      <w:r w:rsidRPr="0080175A">
        <w:rPr>
          <w:i/>
          <w:iCs/>
        </w:rPr>
        <w:t>European Medicines Agency</w:t>
      </w:r>
    </w:p>
    <w:p w14:paraId="086CA14D" w14:textId="1704EE1D" w:rsidR="0080175A" w:rsidRPr="0080175A" w:rsidRDefault="0080175A" w:rsidP="0080175A">
      <w:pPr>
        <w:rPr>
          <w:lang w:val="en-IE"/>
        </w:rPr>
      </w:pPr>
      <w:r w:rsidRPr="0080175A">
        <w:t xml:space="preserve">The </w:t>
      </w:r>
      <w:r w:rsidR="009B18BA">
        <w:t xml:space="preserve">proposed EU Biotech </w:t>
      </w:r>
      <w:r w:rsidRPr="0080175A">
        <w:t xml:space="preserve">Act </w:t>
      </w:r>
      <w:r w:rsidR="009B18BA">
        <w:t>w</w:t>
      </w:r>
      <w:r w:rsidR="00745E55">
        <w:t>ould</w:t>
      </w:r>
      <w:r w:rsidR="009B18BA">
        <w:t xml:space="preserve"> </w:t>
      </w:r>
      <w:r w:rsidRPr="0080175A">
        <w:t>generate a series of incremental workload increases for EMA, none of which are individually large. Finalisation of the biosimilar draft reflection paper into adopted guidance is estimated at 0.5 to 1.0 FTE-year as a one-off cost, with ongoing maintenance at 0.2 to 0.5 FTE-year. SPC eligibility verification introduces a maximum annual workload of 28 to 30 working days across the Agency, at approximately one working day per application. Lifecycle-wide AI guidance development under Article 31 requires one-off capacity building and training at Union and national levels, not yet quantified. For VMPs, adaptation of the Union Product Database to remove the approve/reject functionality for national competent authorities is estimated at EUR 150,000 to 300,000 for a </w:t>
      </w:r>
      <w:r w:rsidR="00EC5414" w:rsidRPr="0080175A">
        <w:t>three-to-six-month</w:t>
      </w:r>
      <w:r w:rsidRPr="0080175A">
        <w:t> IT engagement.</w:t>
      </w:r>
      <w:r w:rsidRPr="0080175A">
        <w:rPr>
          <w:lang w:val="en-IE"/>
        </w:rPr>
        <w:t> </w:t>
      </w:r>
    </w:p>
    <w:p w14:paraId="4A74CA1C" w14:textId="6719A82F" w:rsidR="0080175A" w:rsidRPr="0080175A" w:rsidRDefault="0080175A" w:rsidP="0080175A">
      <w:pPr>
        <w:rPr>
          <w:lang w:val="en-IE"/>
        </w:rPr>
      </w:pPr>
      <w:r w:rsidRPr="0080175A">
        <w:t>These costs are partially offset by two workload reductions. CHMP verification of sponsor declarations for qualifying GMO-ATMP clinical trial applications,</w:t>
      </w:r>
      <w:r w:rsidR="009B18BA">
        <w:t xml:space="preserve"> </w:t>
      </w:r>
      <w:r w:rsidRPr="0080175A">
        <w:t>submitted</w:t>
      </w:r>
      <w:r w:rsidR="009B18BA">
        <w:t xml:space="preserve"> </w:t>
      </w:r>
      <w:r w:rsidRPr="0080175A">
        <w:t>in place of full ERA dossiers, represents a net reduction in assessment workload</w:t>
      </w:r>
      <w:r w:rsidR="009B18BA">
        <w:t xml:space="preserve"> </w:t>
      </w:r>
      <w:r w:rsidRPr="0080175A">
        <w:t>relative</w:t>
      </w:r>
      <w:r w:rsidR="009B18BA">
        <w:t xml:space="preserve"> </w:t>
      </w:r>
      <w:r w:rsidRPr="0080175A">
        <w:t>to the baseline. Additionally, the CES removal for biosimilars reduces the number of multi-country Phase III trial authorisations requiring ethics committee review and GCP inspection oversight across Member States, easing NCA burden across the network. In aggregate, EMA's incremental costs under the Act are modest and absorbable within existing institutional capacity.</w:t>
      </w:r>
      <w:r w:rsidRPr="0080175A">
        <w:rPr>
          <w:lang w:val="en-IE"/>
        </w:rPr>
        <w:t> </w:t>
      </w:r>
    </w:p>
    <w:p w14:paraId="7D7A646B" w14:textId="77777777" w:rsidR="0080175A" w:rsidRPr="0080175A" w:rsidRDefault="0080175A" w:rsidP="0080175A">
      <w:pPr>
        <w:rPr>
          <w:i/>
          <w:iCs/>
          <w:lang w:val="en-IE"/>
        </w:rPr>
      </w:pPr>
      <w:r w:rsidRPr="0080175A">
        <w:rPr>
          <w:i/>
          <w:iCs/>
        </w:rPr>
        <w:t>National competent authorities</w:t>
      </w:r>
      <w:r w:rsidRPr="0080175A">
        <w:rPr>
          <w:i/>
          <w:iCs/>
          <w:lang w:val="en-IE"/>
        </w:rPr>
        <w:t> </w:t>
      </w:r>
    </w:p>
    <w:p w14:paraId="5B6B4B50" w14:textId="77777777" w:rsidR="0080175A" w:rsidRPr="0080175A" w:rsidRDefault="0080175A" w:rsidP="0080175A">
      <w:pPr>
        <w:rPr>
          <w:lang w:val="en-IE"/>
        </w:rPr>
      </w:pPr>
      <w:r w:rsidRPr="0080175A">
        <w:t>NCAs face new and expanded obligations across several distinct areas, the most significant of which is the biosecurity enforcement mandate. Member State enforcement and coordination costs for the biosecurity screening regime are estimated at approximately EUR 14 million per year in 2027, rising to EUR 21 million per year by 2036, requiring approximately three FTEs per Member State for policy coordination, reporting, and enforcement activities.</w:t>
      </w:r>
      <w:r w:rsidRPr="0080175A">
        <w:rPr>
          <w:lang w:val="en-IE"/>
        </w:rPr>
        <w:t> </w:t>
      </w:r>
    </w:p>
    <w:p w14:paraId="3E353260" w14:textId="77777777" w:rsidR="0080175A" w:rsidRPr="0080175A" w:rsidRDefault="0080175A" w:rsidP="0080175A">
      <w:pPr>
        <w:rPr>
          <w:lang w:val="en-IE"/>
        </w:rPr>
      </w:pPr>
      <w:r w:rsidRPr="0080175A">
        <w:t>For the strategic and high-impact project frameworks, steady-state staffing requirements for single points of contact range from 0.3 to 0.9 FTEs per Member State under low uptake, 0.7 to 1.8 FTEs under medium uptake, and 1.1 to 3.0 FTEs under high uptake. These are incremental rather than structural costs: in most Member States, existing authorities are expected to be designated rather than new structures created, with the primary burden concentrated in front-loaded process design and workload reallocation.</w:t>
      </w:r>
      <w:r w:rsidRPr="0080175A">
        <w:rPr>
          <w:lang w:val="en-IE"/>
        </w:rPr>
        <w:t> </w:t>
      </w:r>
    </w:p>
    <w:p w14:paraId="19DA5F73" w14:textId="3977E65E" w:rsidR="0080175A" w:rsidRPr="0080175A" w:rsidRDefault="0080175A" w:rsidP="0080175A">
      <w:pPr>
        <w:rPr>
          <w:lang w:val="en-IE"/>
        </w:rPr>
      </w:pPr>
      <w:r w:rsidRPr="0080175A">
        <w:t>SoHO</w:t>
      </w:r>
      <w:r w:rsidR="009B18BA">
        <w:t xml:space="preserve"> </w:t>
      </w:r>
      <w:r w:rsidRPr="0080175A">
        <w:t>sandbox supervision increases NCA workload materially on a per-case basis, with medium-risk sandbox cases requiring 75 to 94 person-days per case (EUR 22,575 to EUR 28,294, a 57 to 114</w:t>
      </w:r>
      <w:r w:rsidR="006856C2">
        <w:t>%</w:t>
      </w:r>
      <w:r w:rsidRPr="0080175A">
        <w:t> increase over standard authorisation) and high-risk cases 98 to 149 person-days (EUR 29,498 to EUR 44,849, a 10 to 63</w:t>
      </w:r>
      <w:r w:rsidR="006856C2">
        <w:t>%</w:t>
      </w:r>
      <w:r w:rsidRPr="0080175A">
        <w:t xml:space="preserve"> increase). Cross-Member State learning is assumed to offset these elevated unit costs over the medium term. For organ </w:t>
      </w:r>
      <w:r w:rsidRPr="0080175A">
        <w:lastRenderedPageBreak/>
        <w:t>processing, per-assessment costs are estimated at EUR 7,000 to EUR 10,000, with aggregate EU27 transition-phase assessment costs of EUR 420,000 to EUR 1,450,000 over 2029 to 2031, declining to EUR 60,000 to EUR 85,000 per year in steady state. Monitoring oversight for Track 2 conditional authorisations adds EUR 63,000 to EUR 216,000 per year during transition.</w:t>
      </w:r>
      <w:r w:rsidRPr="0080175A">
        <w:rPr>
          <w:lang w:val="en-IE"/>
        </w:rPr>
        <w:t> </w:t>
      </w:r>
    </w:p>
    <w:p w14:paraId="698C78B2" w14:textId="77777777" w:rsidR="0080175A" w:rsidRPr="0080175A" w:rsidRDefault="0080175A" w:rsidP="0080175A">
      <w:pPr>
        <w:rPr>
          <w:lang w:val="en-IE"/>
        </w:rPr>
      </w:pPr>
      <w:r w:rsidRPr="0080175A">
        <w:t>Finally, participation in the European Health Biotechnology Steering Group requires approximately two FTEs per Member State per year, and strategic ecosystem mapping data provision approximately 0.25 FTEs per year. These governance obligations are ongoing but modest relative to the biosecurity and sandbox functions.</w:t>
      </w:r>
      <w:r w:rsidRPr="0080175A">
        <w:rPr>
          <w:lang w:val="en-IE"/>
        </w:rPr>
        <w:t> </w:t>
      </w:r>
    </w:p>
    <w:p w14:paraId="4CFF2E2A" w14:textId="77777777" w:rsidR="0080175A" w:rsidRPr="0080175A" w:rsidRDefault="0080175A" w:rsidP="0080175A">
      <w:pPr>
        <w:rPr>
          <w:i/>
          <w:iCs/>
          <w:lang w:val="en-IE"/>
        </w:rPr>
      </w:pPr>
      <w:r w:rsidRPr="0080175A">
        <w:rPr>
          <w:i/>
          <w:iCs/>
        </w:rPr>
        <w:t>European Commission</w:t>
      </w:r>
      <w:r w:rsidRPr="0080175A">
        <w:rPr>
          <w:i/>
          <w:iCs/>
          <w:lang w:val="en-IE"/>
        </w:rPr>
        <w:t> </w:t>
      </w:r>
    </w:p>
    <w:p w14:paraId="749AD181" w14:textId="32DCD3C5" w:rsidR="0080175A" w:rsidRPr="0080175A" w:rsidRDefault="0080175A" w:rsidP="0080175A">
      <w:pPr>
        <w:rPr>
          <w:lang w:val="en-IE"/>
        </w:rPr>
      </w:pPr>
      <w:r w:rsidRPr="0080175A">
        <w:t>The Commission's recurring fiscal commitment under the Act is dominated by the biodefence and biosecurity components. Total annual operational costs of the combined biodefence surveillance system and biosecurity screening oversight are estimated at EUR 86 to 190 million per year across Union and Member State budgets, with the biodefence</w:t>
      </w:r>
      <w:r w:rsidR="009B18BA">
        <w:t xml:space="preserve"> </w:t>
      </w:r>
      <w:r w:rsidRPr="0080175A">
        <w:t>component</w:t>
      </w:r>
      <w:r w:rsidR="009B18BA">
        <w:t xml:space="preserve"> </w:t>
      </w:r>
      <w:r w:rsidRPr="0080175A">
        <w:t>alone accounting for EUR 46 million per year under Scenario 1 and EUR 110 million per year under Scenario 2. EU-level biosecurity coordination and oversight specifically is estimated at EUR 1.3 million per year in 2027 rising to EUR 1.9 million in the long term, corresponding to approximately 11 FTEs. These commitments should be read against EUR 2.9 to 5.5 billion in annual prevention benefits the two instruments are jointly expected to deliver.</w:t>
      </w:r>
      <w:r w:rsidRPr="0080175A">
        <w:rPr>
          <w:lang w:val="en-IE"/>
        </w:rPr>
        <w:t> </w:t>
      </w:r>
    </w:p>
    <w:p w14:paraId="7264304E" w14:textId="62035E10" w:rsidR="0080175A" w:rsidRPr="0080175A" w:rsidRDefault="0080175A" w:rsidP="0080175A">
      <w:pPr>
        <w:rPr>
          <w:lang w:val="en-IE"/>
        </w:rPr>
      </w:pPr>
      <w:r w:rsidRPr="0080175A">
        <w:t>Beyond biosecurity, Commission-level costs are more modest. Operating the Steering Group secretariat, conducting strategic mapping, and coordinating the Support Network requires approximately EUR 2.6 million annually, equivalent to EUR 18.4 million over the MFF period. EU-level supervision of high-impact strategic projects requires 1 to 3 FTEs under low uptake, 2.5 to 8 FTEs under medium uptake, and 5 to 15 FTEs under high uptake. Sandbox establishment under clinical trials and novel health products each require approximately EUR 4.3 million over approximately three years as an order-of-magnitude reference, with adopting implementing acts for VMP sandboxes</w:t>
      </w:r>
      <w:r w:rsidR="004709D0">
        <w:t xml:space="preserve"> </w:t>
      </w:r>
      <w:r w:rsidRPr="0080175A">
        <w:t>representing</w:t>
      </w:r>
      <w:r w:rsidR="004709D0">
        <w:t xml:space="preserve"> </w:t>
      </w:r>
      <w:r w:rsidRPr="0080175A">
        <w:t>an</w:t>
      </w:r>
      <w:r w:rsidR="004709D0">
        <w:t xml:space="preserve"> </w:t>
      </w:r>
      <w:r w:rsidRPr="0080175A">
        <w:t>additional</w:t>
      </w:r>
      <w:r w:rsidR="004709D0">
        <w:t xml:space="preserve"> </w:t>
      </w:r>
      <w:r w:rsidRPr="0080175A">
        <w:t>unquantified legislative workload over 2026 to 2040.</w:t>
      </w:r>
      <w:r w:rsidRPr="0080175A">
        <w:rPr>
          <w:lang w:val="en-IE"/>
        </w:rPr>
        <w:t> </w:t>
      </w:r>
    </w:p>
    <w:p w14:paraId="089E16A7" w14:textId="77777777" w:rsidR="0080175A" w:rsidRPr="00C167C4" w:rsidRDefault="0080175A" w:rsidP="0080175A">
      <w:pPr>
        <w:rPr>
          <w:b/>
          <w:bCs/>
          <w:lang w:val="en-IE"/>
        </w:rPr>
      </w:pPr>
      <w:r w:rsidRPr="00C167C4">
        <w:rPr>
          <w:b/>
          <w:bCs/>
        </w:rPr>
        <w:t>Citizens, patients, and consumers</w:t>
      </w:r>
      <w:r w:rsidRPr="00C167C4">
        <w:rPr>
          <w:b/>
          <w:bCs/>
          <w:lang w:val="en-IE"/>
        </w:rPr>
        <w:t> </w:t>
      </w:r>
    </w:p>
    <w:p w14:paraId="33D7B0F4" w14:textId="77777777" w:rsidR="0080175A" w:rsidRPr="0080175A" w:rsidRDefault="0080175A" w:rsidP="0080175A">
      <w:pPr>
        <w:rPr>
          <w:lang w:val="en-IE"/>
        </w:rPr>
      </w:pPr>
      <w:r w:rsidRPr="0080175A">
        <w:rPr>
          <w:b/>
          <w:bCs/>
        </w:rPr>
        <w:t>Earlier access to medicines</w:t>
      </w:r>
      <w:r w:rsidRPr="0080175A">
        <w:rPr>
          <w:lang w:val="en-IE"/>
        </w:rPr>
        <w:t> </w:t>
      </w:r>
    </w:p>
    <w:p w14:paraId="74AC4187" w14:textId="363C7A08" w:rsidR="0080175A" w:rsidRPr="0080175A" w:rsidRDefault="0080175A" w:rsidP="0080175A">
      <w:pPr>
        <w:rPr>
          <w:lang w:val="en-IE"/>
        </w:rPr>
      </w:pPr>
      <w:r w:rsidRPr="0080175A">
        <w:t>The acceleration of clinical trial authorisation procedures and the removal of the biosimilar CES requirement are expected to result in approximately 100 products reaching the market up to six months earlier than under the baseline, applying an approximate 8</w:t>
      </w:r>
      <w:r w:rsidR="006856C2">
        <w:t>%</w:t>
      </w:r>
      <w:r w:rsidR="00C42B23">
        <w:t xml:space="preserve"> </w:t>
      </w:r>
      <w:r w:rsidRPr="0080175A">
        <w:t>average launch rate to the 2,500 to 3,000 products tested annually in EU trials. ATMP procedural reforms are expected to accelerate access in high unmet-need areas, though patient-level quantification is not yet available.</w:t>
      </w:r>
      <w:r w:rsidRPr="0080175A">
        <w:rPr>
          <w:lang w:val="en-IE"/>
        </w:rPr>
        <w:t> </w:t>
      </w:r>
    </w:p>
    <w:p w14:paraId="0F5ABD6D" w14:textId="77777777" w:rsidR="0080175A" w:rsidRPr="0080175A" w:rsidRDefault="0080175A" w:rsidP="0080175A">
      <w:pPr>
        <w:rPr>
          <w:lang w:val="en-IE"/>
        </w:rPr>
      </w:pPr>
      <w:r w:rsidRPr="0080175A">
        <w:rPr>
          <w:b/>
          <w:bCs/>
        </w:rPr>
        <w:t>Organ transplantation</w:t>
      </w:r>
      <w:r w:rsidRPr="0080175A">
        <w:rPr>
          <w:lang w:val="en-IE"/>
        </w:rPr>
        <w:t> </w:t>
      </w:r>
    </w:p>
    <w:p w14:paraId="2721A8EF" w14:textId="4F1B973E" w:rsidR="0080175A" w:rsidRPr="0080175A" w:rsidRDefault="00C42B23" w:rsidP="0080175A">
      <w:pPr>
        <w:rPr>
          <w:lang w:val="en-IE"/>
        </w:rPr>
      </w:pPr>
      <w:r>
        <w:t>On the regulatory changes proposed</w:t>
      </w:r>
      <w:r w:rsidR="00A45649">
        <w:t xml:space="preserve"> to</w:t>
      </w:r>
      <w:r>
        <w:t xml:space="preserve"> </w:t>
      </w:r>
      <w:r w:rsidR="0080175A" w:rsidRPr="0080175A">
        <w:t>organ processing</w:t>
      </w:r>
      <w:r w:rsidR="00A45649">
        <w:t xml:space="preserve">, </w:t>
      </w:r>
      <w:r w:rsidR="0080175A" w:rsidRPr="0080175A" w:rsidDel="00C42B23">
        <w:t xml:space="preserve">the </w:t>
      </w:r>
      <w:r w:rsidR="0080175A" w:rsidRPr="0080175A">
        <w:t>moderate-scenario projection of 1,435</w:t>
      </w:r>
      <w:r w:rsidR="00A45649">
        <w:t xml:space="preserve"> </w:t>
      </w:r>
      <w:r w:rsidR="0080175A" w:rsidRPr="0080175A">
        <w:t>additional</w:t>
      </w:r>
      <w:r w:rsidR="00A45649">
        <w:t xml:space="preserve"> </w:t>
      </w:r>
      <w:r w:rsidR="0080175A" w:rsidRPr="0080175A">
        <w:t xml:space="preserve">transplants per year by 2035 translates into 57 to 72 fewer waiting-list </w:t>
      </w:r>
      <w:r w:rsidR="0080175A" w:rsidRPr="0080175A">
        <w:lastRenderedPageBreak/>
        <w:t>deaths annually, or 248 to 311 cumulative deaths averted over 2028 to 2035, valued at EUR 285 to 537 million. A further EUR 158 million in cumulative dialysis cost avoidance is attributable to approximately 3,295</w:t>
      </w:r>
      <w:r w:rsidR="00A45649">
        <w:t xml:space="preserve"> </w:t>
      </w:r>
      <w:r w:rsidR="0080175A" w:rsidRPr="0080175A">
        <w:t>additional</w:t>
      </w:r>
      <w:r w:rsidR="00A45649">
        <w:t xml:space="preserve"> </w:t>
      </w:r>
      <w:r w:rsidR="0080175A" w:rsidRPr="0080175A">
        <w:t>patients living with a functioning transplant by 2035 who would otherwise have</w:t>
      </w:r>
      <w:r w:rsidR="00A45649">
        <w:t xml:space="preserve"> </w:t>
      </w:r>
      <w:r w:rsidR="0080175A" w:rsidRPr="0080175A">
        <w:t>remained</w:t>
      </w:r>
      <w:r w:rsidR="00A45649">
        <w:t xml:space="preserve"> </w:t>
      </w:r>
      <w:r w:rsidR="0080175A" w:rsidRPr="0080175A">
        <w:t>on dialysis.</w:t>
      </w:r>
      <w:r w:rsidR="0080175A" w:rsidRPr="0080175A">
        <w:rPr>
          <w:lang w:val="en-IE"/>
        </w:rPr>
        <w:t> </w:t>
      </w:r>
    </w:p>
    <w:p w14:paraId="515AA45A" w14:textId="77777777" w:rsidR="0080175A" w:rsidRPr="0080175A" w:rsidRDefault="0080175A" w:rsidP="0080175A">
      <w:pPr>
        <w:rPr>
          <w:lang w:val="en-IE"/>
        </w:rPr>
      </w:pPr>
      <w:r w:rsidRPr="0080175A">
        <w:rPr>
          <w:b/>
          <w:bCs/>
        </w:rPr>
        <w:t>Patient access and the SPC extension trade-off</w:t>
      </w:r>
      <w:r w:rsidRPr="0080175A">
        <w:rPr>
          <w:lang w:val="en-IE"/>
        </w:rPr>
        <w:t> </w:t>
      </w:r>
    </w:p>
    <w:p w14:paraId="1D5FEE22" w14:textId="54111E8F" w:rsidR="0080175A" w:rsidRPr="0080175A" w:rsidRDefault="621FE20B" w:rsidP="0080175A">
      <w:pPr>
        <w:rPr>
          <w:lang w:val="en-IE"/>
        </w:rPr>
      </w:pPr>
      <w:r>
        <w:t xml:space="preserve">The SPC extension </w:t>
      </w:r>
      <w:r w:rsidR="1705C4E5">
        <w:t xml:space="preserve">entails </w:t>
      </w:r>
      <w:r>
        <w:t>a direct and quantifiable cost on patients and payers. The</w:t>
      </w:r>
      <w:r w:rsidR="5F15C271">
        <w:t xml:space="preserve"> </w:t>
      </w:r>
      <w:r>
        <w:t>additional</w:t>
      </w:r>
      <w:r w:rsidR="5F15C271">
        <w:t xml:space="preserve"> </w:t>
      </w:r>
      <w:r>
        <w:t xml:space="preserve">year of originator exclusivity delays biosimilar competition, </w:t>
      </w:r>
      <w:r w:rsidR="2408E227">
        <w:t xml:space="preserve">resulting in </w:t>
      </w:r>
      <w:r>
        <w:t>a combined social cost of approximately EUR 20</w:t>
      </w:r>
      <w:r w:rsidR="2E673FE6">
        <w:t>5</w:t>
      </w:r>
      <w:r>
        <w:t xml:space="preserve"> million per qualifying medicine (range EUR 1</w:t>
      </w:r>
      <w:r w:rsidR="1CB78B8A">
        <w:t>40</w:t>
      </w:r>
      <w:r>
        <w:t xml:space="preserve"> to 2</w:t>
      </w:r>
      <w:r w:rsidR="1CB78B8A">
        <w:t>90</w:t>
      </w:r>
      <w:r>
        <w:t xml:space="preserve"> million),</w:t>
      </w:r>
      <w:r w:rsidR="5F15C271">
        <w:t xml:space="preserve"> </w:t>
      </w:r>
      <w:r>
        <w:t>comprising</w:t>
      </w:r>
      <w:r w:rsidR="5F15C271">
        <w:t xml:space="preserve"> </w:t>
      </w:r>
      <w:r>
        <w:t>EUR 135 million in delayed patient access value and EUR 7</w:t>
      </w:r>
      <w:r w:rsidR="13A6FC9D">
        <w:t>0</w:t>
      </w:r>
      <w:r>
        <w:t xml:space="preserve"> million in direct payer expenditure. At three</w:t>
      </w:r>
      <w:r w:rsidR="0080175A" w:rsidDel="621FE20B">
        <w:t xml:space="preserve"> </w:t>
      </w:r>
      <w:r>
        <w:t>medicines per year, aggregate annual social costs amount to approximately EUR 6</w:t>
      </w:r>
      <w:r w:rsidR="17DD2914">
        <w:t>15</w:t>
      </w:r>
      <w:r>
        <w:t xml:space="preserve"> million. </w:t>
      </w:r>
      <w:r w:rsidR="29348813">
        <w:t>The cost is driven primarily by the delay in the expansion of patient coverage rather than by direct price effects: coverage expands upon loss of protection, and the main social cost of the extension therefore consists in the temporary postponement of this expansion.</w:t>
      </w:r>
      <w:r>
        <w:t xml:space="preserve"> </w:t>
      </w:r>
    </w:p>
    <w:p w14:paraId="043F553D" w14:textId="77777777" w:rsidR="0080175A" w:rsidRPr="0080175A" w:rsidRDefault="0080175A" w:rsidP="0080175A">
      <w:pPr>
        <w:rPr>
          <w:lang w:val="en-IE"/>
        </w:rPr>
      </w:pPr>
      <w:r w:rsidRPr="0080175A">
        <w:rPr>
          <w:b/>
          <w:bCs/>
        </w:rPr>
        <w:t>Biosecurity and public safety</w:t>
      </w:r>
      <w:r w:rsidRPr="0080175A">
        <w:rPr>
          <w:lang w:val="en-IE"/>
        </w:rPr>
        <w:t> </w:t>
      </w:r>
    </w:p>
    <w:p w14:paraId="0CB5B232" w14:textId="762ED276" w:rsidR="0080175A" w:rsidRPr="0080175A" w:rsidRDefault="27D84F36" w:rsidP="0080175A">
      <w:pPr>
        <w:rPr>
          <w:lang w:val="en-IE"/>
        </w:rPr>
      </w:pPr>
      <w:r>
        <w:t xml:space="preserve">RAND (2025) estimates </w:t>
      </w:r>
      <w:r w:rsidR="40F0B420">
        <w:t xml:space="preserve">that mandatory NA synthesis screening </w:t>
      </w:r>
      <w:r w:rsidR="0080175A">
        <w:t>prevent</w:t>
      </w:r>
      <w:r w:rsidR="12565C3E">
        <w:t>s</w:t>
      </w:r>
      <w:r w:rsidR="0080175A" w:rsidRPr="0080175A">
        <w:t xml:space="preserve"> 35</w:t>
      </w:r>
      <w:r w:rsidR="006856C2">
        <w:t>%</w:t>
      </w:r>
      <w:r w:rsidR="00A45649">
        <w:t xml:space="preserve"> </w:t>
      </w:r>
      <w:r w:rsidR="0080175A" w:rsidRPr="0080175A">
        <w:t>of deliberate</w:t>
      </w:r>
      <w:r w:rsidR="00A45649">
        <w:t xml:space="preserve"> </w:t>
      </w:r>
      <w:r w:rsidR="0080175A" w:rsidRPr="0080175A">
        <w:t>bioattacks</w:t>
      </w:r>
      <w:r w:rsidR="00A45649">
        <w:t xml:space="preserve"> </w:t>
      </w:r>
      <w:r w:rsidR="0080175A" w:rsidRPr="0080175A">
        <w:t>and 86</w:t>
      </w:r>
      <w:r w:rsidR="006856C2">
        <w:t>%</w:t>
      </w:r>
      <w:r w:rsidR="00A45649">
        <w:t xml:space="preserve"> </w:t>
      </w:r>
      <w:r w:rsidR="0080175A" w:rsidRPr="0080175A">
        <w:t>of accidental release events, generating expected annual prevention benefits of EUR 2.9 billion in 2027 rising to EUR 5.5 billion by 2036. A further EUR 10 billion in future research value is preserved by averting the regulatory backlash that would follow a major biosecurity incident.</w:t>
      </w:r>
      <w:r w:rsidR="0080175A" w:rsidRPr="0080175A">
        <w:rPr>
          <w:lang w:val="en-IE"/>
        </w:rPr>
        <w:t> </w:t>
      </w:r>
    </w:p>
    <w:p w14:paraId="3181E203" w14:textId="77777777" w:rsidR="0080175A" w:rsidRPr="0080175A" w:rsidRDefault="0080175A" w:rsidP="0080175A">
      <w:pPr>
        <w:rPr>
          <w:lang w:val="en-IE"/>
        </w:rPr>
      </w:pPr>
      <w:r w:rsidRPr="0080175A">
        <w:rPr>
          <w:b/>
          <w:bCs/>
        </w:rPr>
        <w:t>Consumer and environmental interests</w:t>
      </w:r>
      <w:r w:rsidRPr="0080175A">
        <w:rPr>
          <w:lang w:val="en-IE"/>
        </w:rPr>
        <w:t> </w:t>
      </w:r>
    </w:p>
    <w:p w14:paraId="5EC84941" w14:textId="3DE18282" w:rsidR="0080175A" w:rsidRPr="0080175A" w:rsidRDefault="0080175A" w:rsidP="0080175A">
      <w:pPr>
        <w:rPr>
          <w:lang w:val="en-IE"/>
        </w:rPr>
      </w:pPr>
      <w:r w:rsidRPr="0080175A">
        <w:t>Consumers benefit indirectly from the long-term competitive effects of a stronger EU biosimilar market supporting pricing pressure at patent expiry, and from sustainable food production technologies enabled through the food law sandbox. Environmental gains materialise through GMM applications in biofertilisation, biocontrol, and bioremediation, and through expanded veterinary biotech vaccine uptake supporting antimicrobial resistance reduction targets. A 10</w:t>
      </w:r>
      <w:r w:rsidR="00A45649">
        <w:t xml:space="preserve"> </w:t>
      </w:r>
      <w:r w:rsidRPr="0080175A">
        <w:t>%</w:t>
      </w:r>
      <w:r w:rsidR="00A45649">
        <w:t xml:space="preserve"> </w:t>
      </w:r>
      <w:r w:rsidRPr="0080175A">
        <w:t>reduction in livestock disease levels is empirically associated with an 800 million tonne reduction in GHG emissions, equivalent to the annual emissions of 117 million Europeans. No direct costs are</w:t>
      </w:r>
      <w:r w:rsidR="00C36F8E">
        <w:t xml:space="preserve"> </w:t>
      </w:r>
      <w:r w:rsidRPr="0080175A">
        <w:t>anticipated</w:t>
      </w:r>
      <w:r w:rsidR="00C36F8E">
        <w:t xml:space="preserve"> </w:t>
      </w:r>
      <w:r w:rsidRPr="0080175A">
        <w:t>for ordinary consumers beyond the payer-side cost of the SPC extension, which manifests primarily through public health system expenditure.</w:t>
      </w:r>
      <w:r w:rsidRPr="0080175A">
        <w:rPr>
          <w:lang w:val="en-IE"/>
        </w:rPr>
        <w:t> </w:t>
      </w:r>
    </w:p>
    <w:p w14:paraId="5C5DE094" w14:textId="77777777" w:rsidR="0080175A" w:rsidRPr="00D2252C" w:rsidRDefault="0080175A" w:rsidP="00E71499"/>
    <w:p w14:paraId="0231D343" w14:textId="77777777" w:rsidR="005B3222" w:rsidRDefault="005B3222" w:rsidP="00AD3A59">
      <w:pPr>
        <w:pStyle w:val="Heading2"/>
        <w:numPr>
          <w:ilvl w:val="0"/>
          <w:numId w:val="310"/>
        </w:numPr>
        <w:sectPr w:rsidR="005B3222" w:rsidSect="00E5568D">
          <w:headerReference w:type="even" r:id="rId18"/>
          <w:headerReference w:type="default" r:id="rId19"/>
          <w:footerReference w:type="even" r:id="rId20"/>
          <w:footerReference w:type="default" r:id="rId21"/>
          <w:headerReference w:type="first" r:id="rId22"/>
          <w:footerReference w:type="first" r:id="rId23"/>
          <w:pgSz w:w="11906" w:h="16838"/>
          <w:pgMar w:top="1021" w:right="1701" w:bottom="1021" w:left="1588" w:header="601" w:footer="1077" w:gutter="0"/>
          <w:cols w:space="720"/>
          <w:titlePg/>
        </w:sectPr>
      </w:pPr>
      <w:bookmarkStart w:id="96" w:name="_Toc220593616"/>
      <w:bookmarkStart w:id="97" w:name="_Toc220924764"/>
      <w:bookmarkStart w:id="98" w:name="_Toc220952049"/>
      <w:bookmarkStart w:id="99" w:name="_Toc222740601"/>
      <w:bookmarkStart w:id="100" w:name="_Toc222831784"/>
      <w:bookmarkStart w:id="101" w:name="_Toc224747251"/>
      <w:bookmarkStart w:id="102" w:name="_Toc224749721"/>
      <w:bookmarkStart w:id="103" w:name="_Toc225783191"/>
    </w:p>
    <w:p w14:paraId="55F3E287" w14:textId="77777777" w:rsidR="00236A2A" w:rsidRDefault="00236A2A" w:rsidP="004570F2">
      <w:pPr>
        <w:pStyle w:val="Heading2"/>
        <w:numPr>
          <w:ilvl w:val="0"/>
          <w:numId w:val="530"/>
        </w:numPr>
        <w:sectPr w:rsidR="00236A2A" w:rsidSect="00E5568D">
          <w:headerReference w:type="default" r:id="rId24"/>
          <w:footerReference w:type="default" r:id="rId25"/>
          <w:headerReference w:type="first" r:id="rId26"/>
          <w:footerReference w:type="first" r:id="rId27"/>
          <w:type w:val="continuous"/>
          <w:pgSz w:w="11906" w:h="16838"/>
          <w:pgMar w:top="1021" w:right="1701" w:bottom="1021" w:left="1588" w:header="601" w:footer="1077" w:gutter="0"/>
          <w:cols w:space="720"/>
          <w:titlePg/>
        </w:sectPr>
      </w:pPr>
      <w:bookmarkStart w:id="104" w:name="_Toc225969769"/>
      <w:bookmarkStart w:id="105" w:name="_Toc225979081"/>
    </w:p>
    <w:p w14:paraId="6CF91DC8" w14:textId="69410203" w:rsidR="006B087E" w:rsidRPr="009649A3" w:rsidRDefault="006B087E" w:rsidP="004570F2">
      <w:pPr>
        <w:pStyle w:val="Heading2"/>
        <w:numPr>
          <w:ilvl w:val="0"/>
          <w:numId w:val="530"/>
        </w:numPr>
      </w:pPr>
      <w:r w:rsidRPr="00DD0CE5">
        <w:lastRenderedPageBreak/>
        <w:t>Summary of costs and benefits</w:t>
      </w:r>
      <w:bookmarkEnd w:id="96"/>
      <w:bookmarkEnd w:id="97"/>
      <w:bookmarkEnd w:id="98"/>
      <w:bookmarkEnd w:id="99"/>
      <w:bookmarkEnd w:id="100"/>
      <w:bookmarkEnd w:id="101"/>
      <w:bookmarkEnd w:id="102"/>
      <w:bookmarkEnd w:id="103"/>
      <w:bookmarkEnd w:id="104"/>
      <w:bookmarkEnd w:id="105"/>
    </w:p>
    <w:tbl>
      <w:tblPr>
        <w:tblStyle w:val="CV12"/>
        <w:tblW w:w="15237" w:type="dxa"/>
        <w:tblInd w:w="-510"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131"/>
        <w:gridCol w:w="4727"/>
        <w:gridCol w:w="7379"/>
      </w:tblGrid>
      <w:tr w:rsidR="00D610CD" w:rsidRPr="00D658D7" w14:paraId="5DE254D7" w14:textId="77777777" w:rsidTr="004570F2">
        <w:tc>
          <w:tcPr>
            <w:tcW w:w="15237" w:type="dxa"/>
            <w:gridSpan w:val="3"/>
            <w:tcBorders>
              <w:top w:val="double" w:sz="4" w:space="0" w:color="auto"/>
              <w:bottom w:val="single" w:sz="4" w:space="0" w:color="auto"/>
            </w:tcBorders>
            <w:shd w:val="clear" w:color="auto" w:fill="C6D9F1" w:themeFill="text2" w:themeFillTint="33"/>
          </w:tcPr>
          <w:p w14:paraId="4A0C88A1" w14:textId="7E0E96E9" w:rsidR="00D610CD" w:rsidRPr="00D658D7" w:rsidRDefault="00D610CD">
            <w:pPr>
              <w:spacing w:after="0"/>
              <w:rPr>
                <w:b/>
                <w:sz w:val="20"/>
              </w:rPr>
            </w:pPr>
            <w:r w:rsidRPr="00D658D7">
              <w:rPr>
                <w:b/>
                <w:sz w:val="20"/>
              </w:rPr>
              <w:t xml:space="preserve">I. Overview of Benefits (total for all provisions) </w:t>
            </w:r>
          </w:p>
        </w:tc>
      </w:tr>
      <w:tr w:rsidR="00BB182A" w:rsidRPr="00D658D7" w14:paraId="071EF2DC" w14:textId="77777777" w:rsidTr="00FF6493">
        <w:tc>
          <w:tcPr>
            <w:tcW w:w="0" w:type="auto"/>
            <w:tcBorders>
              <w:top w:val="single" w:sz="4" w:space="0" w:color="auto"/>
            </w:tcBorders>
            <w:shd w:val="clear" w:color="auto" w:fill="C6D9F1" w:themeFill="text2" w:themeFillTint="33"/>
          </w:tcPr>
          <w:p w14:paraId="4EDD9977" w14:textId="77777777" w:rsidR="00D610CD" w:rsidRPr="00D658D7" w:rsidRDefault="00D610CD">
            <w:pPr>
              <w:spacing w:after="0"/>
              <w:jc w:val="center"/>
              <w:rPr>
                <w:b/>
                <w:i/>
                <w:sz w:val="20"/>
              </w:rPr>
            </w:pPr>
            <w:r w:rsidRPr="00D658D7">
              <w:rPr>
                <w:b/>
                <w:i/>
                <w:sz w:val="20"/>
              </w:rPr>
              <w:t>Description</w:t>
            </w:r>
          </w:p>
        </w:tc>
        <w:tc>
          <w:tcPr>
            <w:tcW w:w="0" w:type="auto"/>
            <w:tcBorders>
              <w:top w:val="single" w:sz="4" w:space="0" w:color="auto"/>
            </w:tcBorders>
            <w:shd w:val="clear" w:color="auto" w:fill="C6D9F1" w:themeFill="text2" w:themeFillTint="33"/>
          </w:tcPr>
          <w:p w14:paraId="26555082" w14:textId="77777777" w:rsidR="00D610CD" w:rsidRPr="00D658D7" w:rsidRDefault="00D610CD">
            <w:pPr>
              <w:spacing w:after="0"/>
              <w:jc w:val="center"/>
              <w:rPr>
                <w:b/>
                <w:i/>
                <w:sz w:val="20"/>
              </w:rPr>
            </w:pPr>
            <w:r w:rsidRPr="00D658D7">
              <w:rPr>
                <w:b/>
                <w:i/>
                <w:sz w:val="20"/>
              </w:rPr>
              <w:t>Amount</w:t>
            </w:r>
          </w:p>
        </w:tc>
        <w:tc>
          <w:tcPr>
            <w:tcW w:w="7379" w:type="dxa"/>
            <w:tcBorders>
              <w:top w:val="single" w:sz="4" w:space="0" w:color="auto"/>
            </w:tcBorders>
            <w:shd w:val="clear" w:color="auto" w:fill="C6D9F1" w:themeFill="text2" w:themeFillTint="33"/>
            <w:tcMar>
              <w:top w:w="57" w:type="dxa"/>
              <w:left w:w="57" w:type="dxa"/>
              <w:bottom w:w="57" w:type="dxa"/>
              <w:right w:w="57" w:type="dxa"/>
            </w:tcMar>
          </w:tcPr>
          <w:p w14:paraId="31FE62BE" w14:textId="77777777" w:rsidR="00D610CD" w:rsidRPr="00D658D7" w:rsidRDefault="00D610CD">
            <w:pPr>
              <w:spacing w:after="0"/>
              <w:jc w:val="center"/>
              <w:rPr>
                <w:b/>
                <w:i/>
                <w:sz w:val="20"/>
              </w:rPr>
            </w:pPr>
            <w:r w:rsidRPr="00D658D7">
              <w:rPr>
                <w:b/>
                <w:i/>
                <w:sz w:val="20"/>
              </w:rPr>
              <w:t>Comments</w:t>
            </w:r>
          </w:p>
        </w:tc>
      </w:tr>
      <w:tr w:rsidR="00D610CD" w:rsidRPr="00D658D7" w14:paraId="41DFC6A6" w14:textId="77777777" w:rsidTr="004570F2">
        <w:tc>
          <w:tcPr>
            <w:tcW w:w="15237" w:type="dxa"/>
            <w:gridSpan w:val="3"/>
            <w:tcBorders>
              <w:top w:val="double" w:sz="4" w:space="0" w:color="auto"/>
            </w:tcBorders>
            <w:shd w:val="clear" w:color="auto" w:fill="F2F2F2" w:themeFill="background1" w:themeFillShade="F2"/>
          </w:tcPr>
          <w:p w14:paraId="4957A19C" w14:textId="47987965" w:rsidR="00D610CD" w:rsidRPr="00D658D7" w:rsidRDefault="00D610CD">
            <w:pPr>
              <w:spacing w:after="0"/>
              <w:jc w:val="center"/>
              <w:rPr>
                <w:b/>
                <w:i/>
                <w:sz w:val="20"/>
              </w:rPr>
            </w:pPr>
            <w:r w:rsidRPr="00D658D7">
              <w:rPr>
                <w:b/>
                <w:i/>
                <w:sz w:val="20"/>
              </w:rPr>
              <w:t>Direct benefits</w:t>
            </w:r>
          </w:p>
        </w:tc>
      </w:tr>
      <w:tr w:rsidR="001514E0" w:rsidRPr="00D658D7" w14:paraId="58A82FC9" w14:textId="77777777" w:rsidTr="004570F2">
        <w:tc>
          <w:tcPr>
            <w:tcW w:w="0" w:type="auto"/>
            <w:tcBorders>
              <w:top w:val="double" w:sz="4" w:space="0" w:color="auto"/>
              <w:bottom w:val="single" w:sz="4" w:space="0" w:color="auto"/>
            </w:tcBorders>
          </w:tcPr>
          <w:p w14:paraId="40D49423" w14:textId="77777777" w:rsidR="00D610CD" w:rsidRPr="00D658D7" w:rsidRDefault="00D610CD">
            <w:pPr>
              <w:rPr>
                <w:sz w:val="20"/>
              </w:rPr>
            </w:pPr>
            <w:r w:rsidRPr="00D658D7">
              <w:rPr>
                <w:sz w:val="20"/>
              </w:rPr>
              <w:t>Elimination/reduction of duplicative regulatory obligations across intersecting/overlapping legal frameworks</w:t>
            </w:r>
          </w:p>
        </w:tc>
        <w:tc>
          <w:tcPr>
            <w:tcW w:w="0" w:type="auto"/>
            <w:tcBorders>
              <w:top w:val="double" w:sz="4" w:space="0" w:color="auto"/>
              <w:bottom w:val="single" w:sz="4" w:space="0" w:color="auto"/>
            </w:tcBorders>
            <w:tcMar>
              <w:top w:w="57" w:type="dxa"/>
              <w:left w:w="57" w:type="dxa"/>
              <w:bottom w:w="57" w:type="dxa"/>
              <w:right w:w="57" w:type="dxa"/>
            </w:tcMar>
          </w:tcPr>
          <w:p w14:paraId="3643E7A5" w14:textId="44D1E9FA" w:rsidR="00D610CD" w:rsidRPr="00D658D7" w:rsidRDefault="00D610CD">
            <w:pPr>
              <w:spacing w:after="0"/>
              <w:rPr>
                <w:sz w:val="20"/>
              </w:rPr>
            </w:pPr>
            <w:r w:rsidRPr="00D658D7">
              <w:rPr>
                <w:sz w:val="20"/>
              </w:rPr>
              <w:t>EUR 5.2–5.5 b</w:t>
            </w:r>
            <w:r w:rsidR="004570A1" w:rsidRPr="00D658D7">
              <w:rPr>
                <w:sz w:val="20"/>
              </w:rPr>
              <w:t>illio</w:t>
            </w:r>
            <w:r w:rsidRPr="00D658D7">
              <w:rPr>
                <w:sz w:val="20"/>
              </w:rPr>
              <w:t>n/y</w:t>
            </w:r>
            <w:r w:rsidR="00A45649">
              <w:rPr>
                <w:sz w:val="20"/>
              </w:rPr>
              <w:t>ea</w:t>
            </w:r>
            <w:r w:rsidRPr="00D658D7">
              <w:rPr>
                <w:sz w:val="20"/>
              </w:rPr>
              <w:t>r</w:t>
            </w:r>
          </w:p>
          <w:p w14:paraId="661A721E" w14:textId="67EB3302" w:rsidR="00D610CD" w:rsidRPr="00D658D7" w:rsidRDefault="00D610CD">
            <w:pPr>
              <w:spacing w:after="0"/>
              <w:rPr>
                <w:sz w:val="20"/>
              </w:rPr>
            </w:pPr>
            <w:r w:rsidRPr="00D658D7">
              <w:rPr>
                <w:sz w:val="20"/>
              </w:rPr>
              <w:t>Combined annual savings (clinical trials + biosimilars)</w:t>
            </w:r>
          </w:p>
          <w:p w14:paraId="1F98C630" w14:textId="77777777" w:rsidR="00D610CD" w:rsidRPr="00D658D7" w:rsidRDefault="00D610CD">
            <w:pPr>
              <w:spacing w:after="0"/>
              <w:rPr>
                <w:sz w:val="20"/>
              </w:rPr>
            </w:pPr>
          </w:p>
          <w:p w14:paraId="42F7D862" w14:textId="77777777" w:rsidR="00D610CD" w:rsidRPr="00D658D7" w:rsidRDefault="00D610CD">
            <w:pPr>
              <w:spacing w:after="0"/>
              <w:rPr>
                <w:sz w:val="20"/>
              </w:rPr>
            </w:pPr>
          </w:p>
          <w:p w14:paraId="3935033D" w14:textId="74A479A9" w:rsidR="00D610CD" w:rsidRPr="00D658D7" w:rsidRDefault="00D610CD">
            <w:pPr>
              <w:spacing w:after="0"/>
              <w:rPr>
                <w:sz w:val="20"/>
              </w:rPr>
            </w:pPr>
            <w:r w:rsidRPr="00D658D7">
              <w:rPr>
                <w:sz w:val="20"/>
              </w:rPr>
              <w:t>EUR 2,700–4,500</w:t>
            </w:r>
          </w:p>
          <w:p w14:paraId="5993B0D8" w14:textId="77777777" w:rsidR="00D610CD" w:rsidRDefault="00D610CD">
            <w:pPr>
              <w:spacing w:after="0"/>
              <w:rPr>
                <w:sz w:val="20"/>
              </w:rPr>
            </w:pPr>
            <w:r w:rsidRPr="00D658D7">
              <w:rPr>
                <w:sz w:val="20"/>
              </w:rPr>
              <w:t>Per multinational trial (SCM; admin costs only)</w:t>
            </w:r>
          </w:p>
          <w:p w14:paraId="41CA1A9E" w14:textId="438251C6" w:rsidR="00D610CD" w:rsidRPr="00D658D7" w:rsidRDefault="00DF63D4">
            <w:pPr>
              <w:spacing w:after="0"/>
              <w:rPr>
                <w:sz w:val="20"/>
              </w:rPr>
            </w:pPr>
            <w:r w:rsidRPr="00936578">
              <w:rPr>
                <w:sz w:val="20"/>
              </w:rPr>
              <w:t>~EUR 2.8–4.7 m</w:t>
            </w:r>
            <w:r w:rsidR="001E0FCD">
              <w:rPr>
                <w:sz w:val="20"/>
              </w:rPr>
              <w:t>illion</w:t>
            </w:r>
            <w:r w:rsidRPr="00936578">
              <w:rPr>
                <w:sz w:val="20"/>
              </w:rPr>
              <w:t>/y</w:t>
            </w:r>
            <w:r w:rsidR="005060FD">
              <w:rPr>
                <w:sz w:val="20"/>
              </w:rPr>
              <w:t>ea</w:t>
            </w:r>
            <w:r w:rsidRPr="00936578">
              <w:rPr>
                <w:sz w:val="20"/>
              </w:rPr>
              <w:t>r aggregate (derived: ~1,050 multinational trials/y</w:t>
            </w:r>
            <w:r w:rsidR="00493194">
              <w:rPr>
                <w:sz w:val="20"/>
              </w:rPr>
              <w:t>ea</w:t>
            </w:r>
            <w:r w:rsidRPr="00936578">
              <w:rPr>
                <w:sz w:val="20"/>
              </w:rPr>
              <w:t>r × per-trial saving</w:t>
            </w:r>
            <w:r>
              <w:rPr>
                <w:sz w:val="20"/>
              </w:rPr>
              <w:t>)</w:t>
            </w:r>
          </w:p>
        </w:tc>
        <w:tc>
          <w:tcPr>
            <w:tcW w:w="7379" w:type="dxa"/>
            <w:tcBorders>
              <w:top w:val="double" w:sz="4" w:space="0" w:color="auto"/>
              <w:bottom w:val="single" w:sz="4" w:space="0" w:color="auto"/>
            </w:tcBorders>
            <w:tcMar>
              <w:top w:w="57" w:type="dxa"/>
              <w:left w:w="57" w:type="dxa"/>
              <w:bottom w:w="57" w:type="dxa"/>
              <w:right w:w="57" w:type="dxa"/>
            </w:tcMar>
          </w:tcPr>
          <w:p w14:paraId="016C08FA" w14:textId="4409F450" w:rsidR="00D610CD" w:rsidRPr="00D658D7" w:rsidRDefault="00D610CD">
            <w:pPr>
              <w:spacing w:after="0"/>
              <w:rPr>
                <w:sz w:val="20"/>
              </w:rPr>
            </w:pPr>
            <w:r w:rsidRPr="00D658D7">
              <w:rPr>
                <w:sz w:val="20"/>
              </w:rPr>
              <w:t>The EUR 5.2–5.5 b</w:t>
            </w:r>
            <w:r w:rsidR="004570A1" w:rsidRPr="00D658D7">
              <w:rPr>
                <w:sz w:val="20"/>
              </w:rPr>
              <w:t>illio</w:t>
            </w:r>
            <w:r w:rsidRPr="00D658D7">
              <w:rPr>
                <w:sz w:val="20"/>
              </w:rPr>
              <w:t>n/y</w:t>
            </w:r>
            <w:r w:rsidR="00A45649">
              <w:rPr>
                <w:sz w:val="20"/>
              </w:rPr>
              <w:t>ea</w:t>
            </w:r>
            <w:r w:rsidRPr="00D658D7">
              <w:rPr>
                <w:sz w:val="20"/>
              </w:rPr>
              <w:t xml:space="preserve">r figure covers these annualised streams: </w:t>
            </w:r>
          </w:p>
          <w:p w14:paraId="28A10FAD" w14:textId="7127C188" w:rsidR="00D610CD" w:rsidRPr="00D658D7" w:rsidRDefault="00D610CD" w:rsidP="00D610CD">
            <w:pPr>
              <w:pStyle w:val="ListParagraph"/>
              <w:numPr>
                <w:ilvl w:val="0"/>
                <w:numId w:val="473"/>
              </w:numPr>
              <w:rPr>
                <w:sz w:val="20"/>
              </w:rPr>
            </w:pPr>
            <w:r w:rsidRPr="00D658D7">
              <w:rPr>
                <w:sz w:val="20"/>
              </w:rPr>
              <w:t>clinical trial reform (EUR 1.5–3.1 b</w:t>
            </w:r>
            <w:r w:rsidR="004570A1" w:rsidRPr="00D658D7">
              <w:rPr>
                <w:sz w:val="20"/>
              </w:rPr>
              <w:t>illio</w:t>
            </w:r>
            <w:r w:rsidRPr="00D658D7">
              <w:rPr>
                <w:sz w:val="20"/>
              </w:rPr>
              <w:t>n/y</w:t>
            </w:r>
            <w:r w:rsidR="00A45649">
              <w:rPr>
                <w:sz w:val="20"/>
              </w:rPr>
              <w:t>ea</w:t>
            </w:r>
            <w:r w:rsidRPr="00D658D7">
              <w:rPr>
                <w:sz w:val="20"/>
              </w:rPr>
              <w:t>r in direct sponsor savings, ~5%; aggregate indirect savings raise the total to &gt;EUR 5 b</w:t>
            </w:r>
            <w:r w:rsidR="004570A1" w:rsidRPr="00D658D7">
              <w:rPr>
                <w:sz w:val="20"/>
              </w:rPr>
              <w:t>illio</w:t>
            </w:r>
            <w:r w:rsidRPr="00D658D7">
              <w:rPr>
                <w:sz w:val="20"/>
              </w:rPr>
              <w:t>n/y</w:t>
            </w:r>
            <w:r w:rsidR="00A45649">
              <w:rPr>
                <w:sz w:val="20"/>
              </w:rPr>
              <w:t>ea</w:t>
            </w:r>
            <w:r w:rsidRPr="00D658D7">
              <w:rPr>
                <w:sz w:val="20"/>
              </w:rPr>
              <w:t xml:space="preserve">r) </w:t>
            </w:r>
          </w:p>
          <w:p w14:paraId="45E323CF" w14:textId="1D386C41" w:rsidR="00D610CD" w:rsidRPr="00D658D7" w:rsidRDefault="00D610CD" w:rsidP="00D610CD">
            <w:pPr>
              <w:pStyle w:val="ListParagraph"/>
              <w:numPr>
                <w:ilvl w:val="0"/>
                <w:numId w:val="473"/>
              </w:numPr>
              <w:rPr>
                <w:sz w:val="20"/>
              </w:rPr>
            </w:pPr>
            <w:r w:rsidRPr="00D658D7">
              <w:rPr>
                <w:sz w:val="20"/>
              </w:rPr>
              <w:t>the VMP single GMO pathway removes EUR 5–14.5 m</w:t>
            </w:r>
            <w:r w:rsidR="004570A1" w:rsidRPr="00D658D7">
              <w:rPr>
                <w:sz w:val="20"/>
              </w:rPr>
              <w:t>illion</w:t>
            </w:r>
            <w:r w:rsidRPr="00D658D7">
              <w:rPr>
                <w:sz w:val="20"/>
              </w:rPr>
              <w:t xml:space="preserve"> in cumulative administrative costs to 2040</w:t>
            </w:r>
          </w:p>
          <w:p w14:paraId="35E197E0" w14:textId="75AF89E2" w:rsidR="00D610CD" w:rsidRPr="00D658D7" w:rsidRDefault="00D610CD" w:rsidP="00D610CD">
            <w:pPr>
              <w:pStyle w:val="ListParagraph"/>
              <w:numPr>
                <w:ilvl w:val="0"/>
                <w:numId w:val="473"/>
              </w:numPr>
              <w:rPr>
                <w:sz w:val="20"/>
              </w:rPr>
            </w:pPr>
            <w:r w:rsidRPr="00D658D7">
              <w:rPr>
                <w:sz w:val="20"/>
              </w:rPr>
              <w:t>biosimilar CES rationalisation (EUR 222–467 m</w:t>
            </w:r>
            <w:r w:rsidR="004570A1" w:rsidRPr="00D658D7">
              <w:rPr>
                <w:sz w:val="20"/>
              </w:rPr>
              <w:t>illion</w:t>
            </w:r>
            <w:r w:rsidRPr="00D658D7">
              <w:rPr>
                <w:sz w:val="20"/>
              </w:rPr>
              <w:t>/y</w:t>
            </w:r>
            <w:r w:rsidR="00A45649">
              <w:rPr>
                <w:sz w:val="20"/>
              </w:rPr>
              <w:t>ea</w:t>
            </w:r>
            <w:r w:rsidRPr="00D658D7">
              <w:rPr>
                <w:sz w:val="20"/>
              </w:rPr>
              <w:t>r across 12–18 MAAs/y</w:t>
            </w:r>
            <w:r w:rsidR="00A45649">
              <w:rPr>
                <w:sz w:val="20"/>
              </w:rPr>
              <w:t>ea</w:t>
            </w:r>
            <w:r w:rsidRPr="00D658D7">
              <w:rPr>
                <w:sz w:val="20"/>
              </w:rPr>
              <w:t>r)</w:t>
            </w:r>
          </w:p>
          <w:p w14:paraId="2A8C3C1A" w14:textId="268EF323" w:rsidR="00D610CD" w:rsidRPr="00D658D7" w:rsidRDefault="00D610CD" w:rsidP="00D610CD">
            <w:pPr>
              <w:pStyle w:val="ListParagraph"/>
              <w:numPr>
                <w:ilvl w:val="0"/>
                <w:numId w:val="473"/>
              </w:numPr>
              <w:rPr>
                <w:sz w:val="20"/>
              </w:rPr>
            </w:pPr>
            <w:r w:rsidRPr="00D658D7">
              <w:rPr>
                <w:sz w:val="20"/>
              </w:rPr>
              <w:t>electronic submission and digitalisation measures yield EUR 112–225 m</w:t>
            </w:r>
            <w:r w:rsidR="004570A1" w:rsidRPr="00D658D7">
              <w:rPr>
                <w:sz w:val="20"/>
              </w:rPr>
              <w:t>illion</w:t>
            </w:r>
            <w:r w:rsidRPr="00D658D7">
              <w:rPr>
                <w:sz w:val="20"/>
              </w:rPr>
              <w:t xml:space="preserve"> cumulatively over 15 years (~EUR 7.5–15 m</w:t>
            </w:r>
            <w:r w:rsidR="004570A1" w:rsidRPr="00D658D7">
              <w:rPr>
                <w:sz w:val="20"/>
              </w:rPr>
              <w:t>illion</w:t>
            </w:r>
            <w:r w:rsidRPr="00D658D7">
              <w:rPr>
                <w:sz w:val="20"/>
              </w:rPr>
              <w:t>/y</w:t>
            </w:r>
            <w:r w:rsidR="00A45649">
              <w:rPr>
                <w:sz w:val="20"/>
              </w:rPr>
              <w:t>ea</w:t>
            </w:r>
            <w:r w:rsidRPr="00D658D7">
              <w:rPr>
                <w:sz w:val="20"/>
              </w:rPr>
              <w:t xml:space="preserve">r annualised. </w:t>
            </w:r>
          </w:p>
          <w:p w14:paraId="60EA6F1C" w14:textId="77777777" w:rsidR="00D610CD" w:rsidRPr="00D658D7" w:rsidRDefault="00D610CD">
            <w:pPr>
              <w:spacing w:after="0"/>
              <w:rPr>
                <w:sz w:val="20"/>
              </w:rPr>
            </w:pPr>
            <w:r w:rsidRPr="00D658D7">
              <w:rPr>
                <w:sz w:val="20"/>
              </w:rPr>
              <w:t xml:space="preserve">Three further components are additional to this figure but presented on different units: </w:t>
            </w:r>
          </w:p>
          <w:p w14:paraId="1CB571D2" w14:textId="5B8239BA" w:rsidR="00D610CD" w:rsidRPr="00D658D7" w:rsidRDefault="00D610CD" w:rsidP="00D610CD">
            <w:pPr>
              <w:pStyle w:val="ListParagraph"/>
              <w:numPr>
                <w:ilvl w:val="0"/>
                <w:numId w:val="474"/>
              </w:numPr>
              <w:rPr>
                <w:sz w:val="20"/>
              </w:rPr>
            </w:pPr>
            <w:r w:rsidRPr="00D658D7">
              <w:rPr>
                <w:sz w:val="20"/>
              </w:rPr>
              <w:t>the SCM-derived per-trial saving of EUR 2,700–4,500 (15–25</w:t>
            </w:r>
            <w:r w:rsidR="006856C2">
              <w:rPr>
                <w:sz w:val="20"/>
              </w:rPr>
              <w:t>%</w:t>
            </w:r>
            <w:r w:rsidRPr="00D658D7">
              <w:rPr>
                <w:sz w:val="20"/>
              </w:rPr>
              <w:t xml:space="preserve"> reduction in sponsor administrative costs per multinational trial through reduced staff time). </w:t>
            </w:r>
          </w:p>
          <w:p w14:paraId="77DC474C" w14:textId="77777777" w:rsidR="00D610CD" w:rsidRPr="00D658D7" w:rsidRDefault="00D610CD" w:rsidP="00D610CD">
            <w:pPr>
              <w:pStyle w:val="ListParagraph"/>
              <w:numPr>
                <w:ilvl w:val="0"/>
                <w:numId w:val="474"/>
              </w:numPr>
              <w:rPr>
                <w:sz w:val="20"/>
              </w:rPr>
            </w:pPr>
            <w:r w:rsidRPr="00D658D7">
              <w:rPr>
                <w:sz w:val="20"/>
                <w:szCs w:val="20"/>
              </w:rPr>
              <w:t>ATMP reforms additionally remove 0.15–0.3 FTE-years per CTA.</w:t>
            </w:r>
          </w:p>
        </w:tc>
      </w:tr>
      <w:tr w:rsidR="00D610CD" w:rsidRPr="00D658D7" w14:paraId="44A3264F" w14:textId="77777777" w:rsidTr="004570F2">
        <w:tc>
          <w:tcPr>
            <w:tcW w:w="0" w:type="auto"/>
            <w:tcBorders>
              <w:top w:val="single" w:sz="4" w:space="0" w:color="auto"/>
              <w:bottom w:val="single" w:sz="4" w:space="0" w:color="auto"/>
            </w:tcBorders>
          </w:tcPr>
          <w:p w14:paraId="473E118E" w14:textId="77777777" w:rsidR="00D610CD" w:rsidRPr="00D658D7" w:rsidRDefault="00D610CD">
            <w:pPr>
              <w:spacing w:after="0"/>
              <w:rPr>
                <w:sz w:val="20"/>
              </w:rPr>
            </w:pPr>
            <w:r w:rsidRPr="00D658D7">
              <w:rPr>
                <w:sz w:val="20"/>
              </w:rPr>
              <w:t>Reduction of regulatory fragmentation across Member States</w:t>
            </w:r>
          </w:p>
        </w:tc>
        <w:tc>
          <w:tcPr>
            <w:tcW w:w="0" w:type="auto"/>
            <w:tcBorders>
              <w:top w:val="single" w:sz="4" w:space="0" w:color="auto"/>
              <w:bottom w:val="single" w:sz="4" w:space="0" w:color="auto"/>
            </w:tcBorders>
            <w:tcMar>
              <w:top w:w="57" w:type="dxa"/>
              <w:left w:w="57" w:type="dxa"/>
              <w:bottom w:w="57" w:type="dxa"/>
              <w:right w:w="57" w:type="dxa"/>
            </w:tcMar>
          </w:tcPr>
          <w:p w14:paraId="33343EC4" w14:textId="77777777" w:rsidR="00D610CD" w:rsidRPr="00D658D7" w:rsidRDefault="00D610CD">
            <w:pPr>
              <w:spacing w:after="0"/>
              <w:rPr>
                <w:sz w:val="20"/>
              </w:rPr>
            </w:pPr>
            <w:r w:rsidRPr="00D658D7">
              <w:rPr>
                <w:sz w:val="20"/>
              </w:rPr>
              <w:t>Qualitative</w:t>
            </w:r>
          </w:p>
        </w:tc>
        <w:tc>
          <w:tcPr>
            <w:tcW w:w="7379" w:type="dxa"/>
            <w:tcBorders>
              <w:top w:val="single" w:sz="4" w:space="0" w:color="auto"/>
              <w:bottom w:val="single" w:sz="4" w:space="0" w:color="auto"/>
            </w:tcBorders>
            <w:tcMar>
              <w:top w:w="57" w:type="dxa"/>
              <w:left w:w="57" w:type="dxa"/>
              <w:bottom w:w="57" w:type="dxa"/>
              <w:right w:w="57" w:type="dxa"/>
            </w:tcMar>
          </w:tcPr>
          <w:p w14:paraId="7658B84C" w14:textId="77777777" w:rsidR="00D610CD" w:rsidRPr="00D658D7" w:rsidRDefault="00D610CD">
            <w:pPr>
              <w:spacing w:after="0"/>
              <w:rPr>
                <w:sz w:val="20"/>
              </w:rPr>
            </w:pPr>
            <w:r w:rsidRPr="00D658D7">
              <w:rPr>
                <w:sz w:val="20"/>
              </w:rPr>
              <w:t xml:space="preserve">Harmonised templates, single GMO pathways for VMPs, shared infrastructure, and the EU Support Network reduce Member State divergence in risk classification, product categorisation, and procedural interpretation. </w:t>
            </w:r>
          </w:p>
        </w:tc>
      </w:tr>
      <w:tr w:rsidR="00D610CD" w:rsidRPr="00D658D7" w14:paraId="5729733A" w14:textId="77777777" w:rsidTr="004570F2">
        <w:tc>
          <w:tcPr>
            <w:tcW w:w="0" w:type="auto"/>
            <w:tcBorders>
              <w:top w:val="single" w:sz="4" w:space="0" w:color="auto"/>
              <w:bottom w:val="single" w:sz="4" w:space="0" w:color="auto"/>
            </w:tcBorders>
          </w:tcPr>
          <w:p w14:paraId="4201715A" w14:textId="77777777" w:rsidR="00D610CD" w:rsidRPr="00D658D7" w:rsidRDefault="00D610CD">
            <w:pPr>
              <w:spacing w:after="0"/>
              <w:rPr>
                <w:sz w:val="20"/>
              </w:rPr>
            </w:pPr>
            <w:r w:rsidRPr="00D658D7">
              <w:rPr>
                <w:sz w:val="20"/>
              </w:rPr>
              <w:t>Enhanced predictability and legal certainty in permitting and project development</w:t>
            </w:r>
          </w:p>
        </w:tc>
        <w:tc>
          <w:tcPr>
            <w:tcW w:w="0" w:type="auto"/>
            <w:tcBorders>
              <w:top w:val="single" w:sz="4" w:space="0" w:color="auto"/>
              <w:bottom w:val="single" w:sz="4" w:space="0" w:color="auto"/>
            </w:tcBorders>
            <w:tcMar>
              <w:top w:w="57" w:type="dxa"/>
              <w:left w:w="57" w:type="dxa"/>
              <w:bottom w:w="57" w:type="dxa"/>
              <w:right w:w="57" w:type="dxa"/>
            </w:tcMar>
          </w:tcPr>
          <w:p w14:paraId="4C665C91" w14:textId="38792F58" w:rsidR="00D610CD" w:rsidRPr="00D658D7" w:rsidRDefault="00D610CD">
            <w:pPr>
              <w:spacing w:after="0"/>
              <w:rPr>
                <w:sz w:val="20"/>
              </w:rPr>
            </w:pPr>
            <w:r w:rsidRPr="00D658D7">
              <w:rPr>
                <w:sz w:val="20"/>
              </w:rPr>
              <w:t>EUR 265 m</w:t>
            </w:r>
            <w:r w:rsidR="004570A1" w:rsidRPr="00D658D7">
              <w:rPr>
                <w:sz w:val="20"/>
              </w:rPr>
              <w:t>illion</w:t>
            </w:r>
            <w:r w:rsidRPr="00D658D7">
              <w:rPr>
                <w:sz w:val="20"/>
              </w:rPr>
              <w:t xml:space="preserve"> – 1.16 b</w:t>
            </w:r>
            <w:r w:rsidR="004570A1" w:rsidRPr="00D658D7">
              <w:rPr>
                <w:sz w:val="20"/>
              </w:rPr>
              <w:t>illio</w:t>
            </w:r>
            <w:r w:rsidRPr="00D658D7">
              <w:rPr>
                <w:sz w:val="20"/>
              </w:rPr>
              <w:t>n</w:t>
            </w:r>
          </w:p>
          <w:p w14:paraId="2DDD2D69" w14:textId="77777777" w:rsidR="00D610CD" w:rsidRDefault="00D610CD">
            <w:pPr>
              <w:spacing w:after="0"/>
              <w:rPr>
                <w:sz w:val="20"/>
              </w:rPr>
            </w:pPr>
            <w:r w:rsidRPr="00D658D7">
              <w:rPr>
                <w:sz w:val="20"/>
              </w:rPr>
              <w:t>Combined avoided delay costs (medium uptake, to 2038)</w:t>
            </w:r>
          </w:p>
          <w:p w14:paraId="0DF9FC79" w14:textId="4902E4AE" w:rsidR="00D610CD" w:rsidRPr="00D658D7" w:rsidRDefault="1E964F37">
            <w:pPr>
              <w:spacing w:after="0"/>
              <w:rPr>
                <w:sz w:val="20"/>
              </w:rPr>
            </w:pPr>
            <w:r w:rsidRPr="5DA36055">
              <w:rPr>
                <w:sz w:val="20"/>
                <w:szCs w:val="20"/>
              </w:rPr>
              <w:t>~EUR 22–97 m</w:t>
            </w:r>
            <w:r w:rsidR="3936824F" w:rsidRPr="5DA36055">
              <w:rPr>
                <w:sz w:val="20"/>
                <w:szCs w:val="20"/>
              </w:rPr>
              <w:t xml:space="preserve">illion </w:t>
            </w:r>
            <w:r w:rsidRPr="5DA36055">
              <w:rPr>
                <w:sz w:val="20"/>
                <w:szCs w:val="20"/>
              </w:rPr>
              <w:t>/y</w:t>
            </w:r>
            <w:r w:rsidR="3936824F" w:rsidRPr="5DA36055">
              <w:rPr>
                <w:sz w:val="20"/>
                <w:szCs w:val="20"/>
              </w:rPr>
              <w:t>ea</w:t>
            </w:r>
            <w:r w:rsidRPr="5DA36055">
              <w:rPr>
                <w:sz w:val="20"/>
                <w:szCs w:val="20"/>
              </w:rPr>
              <w:t>r simple annual average</w:t>
            </w:r>
            <w:r w:rsidR="00402AB8">
              <w:rPr>
                <w:rStyle w:val="FootnoteReference"/>
                <w:sz w:val="20"/>
              </w:rPr>
              <w:footnoteReference w:id="22"/>
            </w:r>
          </w:p>
        </w:tc>
        <w:tc>
          <w:tcPr>
            <w:tcW w:w="7379" w:type="dxa"/>
            <w:tcBorders>
              <w:top w:val="single" w:sz="4" w:space="0" w:color="auto"/>
              <w:bottom w:val="single" w:sz="4" w:space="0" w:color="auto"/>
            </w:tcBorders>
            <w:tcMar>
              <w:top w:w="57" w:type="dxa"/>
              <w:left w:w="57" w:type="dxa"/>
              <w:bottom w:w="57" w:type="dxa"/>
              <w:right w:w="57" w:type="dxa"/>
            </w:tcMar>
          </w:tcPr>
          <w:p w14:paraId="4A57609C" w14:textId="2D7A4948" w:rsidR="00D610CD" w:rsidRPr="00D658D7" w:rsidRDefault="00D610CD">
            <w:pPr>
              <w:rPr>
                <w:sz w:val="20"/>
              </w:rPr>
            </w:pPr>
            <w:r w:rsidRPr="00D658D7">
              <w:rPr>
                <w:sz w:val="20"/>
              </w:rPr>
              <w:t>Strategic project recognition (60–70 projects, medium uptake) and high-impact flagship tier (12–15 projects) together yield EUR 265 m</w:t>
            </w:r>
            <w:r w:rsidR="00674444" w:rsidRPr="00D658D7">
              <w:rPr>
                <w:sz w:val="20"/>
              </w:rPr>
              <w:t>illion</w:t>
            </w:r>
            <w:r w:rsidRPr="00D658D7">
              <w:rPr>
                <w:sz w:val="20"/>
              </w:rPr>
              <w:t xml:space="preserve"> – 1.16 b</w:t>
            </w:r>
            <w:r w:rsidR="00674444" w:rsidRPr="00D658D7">
              <w:rPr>
                <w:sz w:val="20"/>
              </w:rPr>
              <w:t>illio</w:t>
            </w:r>
            <w:r w:rsidRPr="00D658D7">
              <w:rPr>
                <w:sz w:val="20"/>
              </w:rPr>
              <w:t xml:space="preserve">n in avoided permitting delay costs by 2038. </w:t>
            </w:r>
          </w:p>
          <w:p w14:paraId="1522126C" w14:textId="77777777" w:rsidR="00D610CD" w:rsidRPr="00D658D7" w:rsidRDefault="00D610CD">
            <w:pPr>
              <w:rPr>
                <w:sz w:val="20"/>
              </w:rPr>
            </w:pPr>
            <w:r w:rsidRPr="00D658D7">
              <w:rPr>
                <w:sz w:val="20"/>
              </w:rPr>
              <w:t>Converts an opaque, variable permitting landscape into a bounded, time-limited pathway, directly improving the bankability of industrial-scale deployments and creates a structured "investability" channel that previously did not exist.</w:t>
            </w:r>
          </w:p>
        </w:tc>
      </w:tr>
      <w:tr w:rsidR="00D610CD" w:rsidRPr="00D658D7" w14:paraId="6269A32C" w14:textId="77777777" w:rsidTr="004570F2">
        <w:tc>
          <w:tcPr>
            <w:tcW w:w="0" w:type="auto"/>
            <w:tcBorders>
              <w:top w:val="single" w:sz="4" w:space="0" w:color="auto"/>
              <w:bottom w:val="single" w:sz="4" w:space="0" w:color="auto"/>
            </w:tcBorders>
          </w:tcPr>
          <w:p w14:paraId="6C366889" w14:textId="77777777" w:rsidR="00D610CD" w:rsidRPr="00D658D7" w:rsidRDefault="00D610CD">
            <w:pPr>
              <w:spacing w:after="0"/>
              <w:rPr>
                <w:sz w:val="20"/>
              </w:rPr>
            </w:pPr>
            <w:r w:rsidRPr="00D658D7">
              <w:rPr>
                <w:sz w:val="20"/>
              </w:rPr>
              <w:lastRenderedPageBreak/>
              <w:t>Streamlined authorisation procedures and compressed timelines in clinical development</w:t>
            </w:r>
          </w:p>
        </w:tc>
        <w:tc>
          <w:tcPr>
            <w:tcW w:w="0" w:type="auto"/>
            <w:tcBorders>
              <w:top w:val="single" w:sz="4" w:space="0" w:color="auto"/>
              <w:bottom w:val="single" w:sz="4" w:space="0" w:color="auto"/>
            </w:tcBorders>
            <w:tcMar>
              <w:top w:w="57" w:type="dxa"/>
              <w:left w:w="57" w:type="dxa"/>
              <w:bottom w:w="57" w:type="dxa"/>
              <w:right w:w="57" w:type="dxa"/>
            </w:tcMar>
          </w:tcPr>
          <w:p w14:paraId="7E554242" w14:textId="77777777" w:rsidR="00D610CD" w:rsidRPr="00D658D7" w:rsidRDefault="00D610CD">
            <w:pPr>
              <w:spacing w:after="0"/>
              <w:rPr>
                <w:sz w:val="20"/>
              </w:rPr>
            </w:pPr>
            <w:r w:rsidRPr="00D658D7">
              <w:rPr>
                <w:sz w:val="20"/>
              </w:rPr>
              <w:t>106 → 75 days (47 without RFI)</w:t>
            </w:r>
          </w:p>
          <w:p w14:paraId="27DBCCCC" w14:textId="6845776B" w:rsidR="00D610CD" w:rsidRPr="00D658D7" w:rsidRDefault="00D610CD">
            <w:pPr>
              <w:spacing w:after="0"/>
              <w:rPr>
                <w:sz w:val="20"/>
              </w:rPr>
            </w:pPr>
            <w:r w:rsidRPr="00D658D7">
              <w:rPr>
                <w:sz w:val="20"/>
              </w:rPr>
              <w:t>EUR 1.5–3.1 b</w:t>
            </w:r>
            <w:r w:rsidR="00674444" w:rsidRPr="00D658D7">
              <w:rPr>
                <w:sz w:val="20"/>
              </w:rPr>
              <w:t>illio</w:t>
            </w:r>
            <w:r w:rsidRPr="00D658D7">
              <w:rPr>
                <w:sz w:val="20"/>
              </w:rPr>
              <w:t>n/y</w:t>
            </w:r>
            <w:r w:rsidR="00A45649">
              <w:rPr>
                <w:sz w:val="20"/>
              </w:rPr>
              <w:t>ea</w:t>
            </w:r>
            <w:r w:rsidRPr="00D658D7">
              <w:rPr>
                <w:sz w:val="20"/>
              </w:rPr>
              <w:t>r direct sponsor savings (~5</w:t>
            </w:r>
            <w:r w:rsidR="006856C2">
              <w:rPr>
                <w:sz w:val="20"/>
              </w:rPr>
              <w:t>%</w:t>
            </w:r>
            <w:r w:rsidRPr="00D658D7">
              <w:rPr>
                <w:sz w:val="20"/>
              </w:rPr>
              <w:t>)</w:t>
            </w:r>
          </w:p>
          <w:p w14:paraId="364C7A76" w14:textId="4C03401A" w:rsidR="00D610CD" w:rsidRPr="00D658D7" w:rsidRDefault="00D610CD">
            <w:pPr>
              <w:spacing w:after="0"/>
              <w:rPr>
                <w:sz w:val="20"/>
              </w:rPr>
            </w:pPr>
            <w:r w:rsidRPr="00D658D7">
              <w:rPr>
                <w:sz w:val="20"/>
              </w:rPr>
              <w:t>Aggregate savings potentially exceeding EUR 5 b</w:t>
            </w:r>
            <w:r w:rsidR="00674444" w:rsidRPr="00D658D7">
              <w:rPr>
                <w:sz w:val="20"/>
              </w:rPr>
              <w:t>illio</w:t>
            </w:r>
            <w:r w:rsidRPr="00D658D7">
              <w:rPr>
                <w:sz w:val="20"/>
              </w:rPr>
              <w:t>n/y</w:t>
            </w:r>
            <w:r w:rsidR="00A45649">
              <w:rPr>
                <w:sz w:val="20"/>
              </w:rPr>
              <w:t>ea</w:t>
            </w:r>
            <w:r w:rsidRPr="00D658D7">
              <w:rPr>
                <w:sz w:val="20"/>
              </w:rPr>
              <w:t>r</w:t>
            </w:r>
          </w:p>
          <w:p w14:paraId="2F02DE3B" w14:textId="77777777" w:rsidR="00D610CD" w:rsidRPr="00D658D7" w:rsidRDefault="00D610CD">
            <w:pPr>
              <w:spacing w:after="0"/>
              <w:rPr>
                <w:sz w:val="20"/>
              </w:rPr>
            </w:pPr>
          </w:p>
          <w:p w14:paraId="1C143D5A" w14:textId="77777777" w:rsidR="00D610CD" w:rsidRPr="00D658D7" w:rsidRDefault="00D610CD">
            <w:pPr>
              <w:spacing w:after="0"/>
              <w:rPr>
                <w:sz w:val="20"/>
              </w:rPr>
            </w:pPr>
          </w:p>
        </w:tc>
        <w:tc>
          <w:tcPr>
            <w:tcW w:w="7379" w:type="dxa"/>
            <w:tcBorders>
              <w:top w:val="single" w:sz="4" w:space="0" w:color="auto"/>
              <w:bottom w:val="single" w:sz="4" w:space="0" w:color="auto"/>
            </w:tcBorders>
            <w:tcMar>
              <w:top w:w="57" w:type="dxa"/>
              <w:left w:w="57" w:type="dxa"/>
              <w:bottom w:w="57" w:type="dxa"/>
              <w:right w:w="57" w:type="dxa"/>
            </w:tcMar>
          </w:tcPr>
          <w:p w14:paraId="4F8256D9" w14:textId="77777777" w:rsidR="00D610CD" w:rsidRPr="00D658D7" w:rsidRDefault="00D610CD">
            <w:pPr>
              <w:rPr>
                <w:sz w:val="20"/>
              </w:rPr>
            </w:pPr>
            <w:r w:rsidRPr="00D658D7">
              <w:rPr>
                <w:sz w:val="20"/>
              </w:rPr>
              <w:t xml:space="preserve">Clinical trial authorisation timeline compressed from 106 to 75 days (47 without RFI), with harmonised templates and parallel modification submissions. </w:t>
            </w:r>
          </w:p>
          <w:p w14:paraId="564AA2AA" w14:textId="3048CD3A" w:rsidR="00D610CD" w:rsidRPr="00D658D7" w:rsidRDefault="00D610CD">
            <w:pPr>
              <w:rPr>
                <w:sz w:val="20"/>
              </w:rPr>
            </w:pPr>
            <w:r w:rsidRPr="00D658D7">
              <w:rPr>
                <w:sz w:val="20"/>
              </w:rPr>
              <w:t>Direct cost savings of ~5</w:t>
            </w:r>
            <w:r w:rsidR="006856C2">
              <w:rPr>
                <w:sz w:val="20"/>
              </w:rPr>
              <w:t>%</w:t>
            </w:r>
            <w:r w:rsidRPr="00D658D7">
              <w:rPr>
                <w:sz w:val="20"/>
              </w:rPr>
              <w:t xml:space="preserve"> of annual EU sponsor expenditure yield EUR 1.5–3.1 b</w:t>
            </w:r>
            <w:r w:rsidR="00674444" w:rsidRPr="00D658D7">
              <w:rPr>
                <w:sz w:val="20"/>
              </w:rPr>
              <w:t>illio</w:t>
            </w:r>
            <w:r w:rsidRPr="00D658D7">
              <w:rPr>
                <w:sz w:val="20"/>
              </w:rPr>
              <w:t>n/y</w:t>
            </w:r>
            <w:r w:rsidR="00A45649">
              <w:rPr>
                <w:sz w:val="20"/>
              </w:rPr>
              <w:t>ea</w:t>
            </w:r>
            <w:r w:rsidRPr="00D658D7">
              <w:rPr>
                <w:sz w:val="20"/>
              </w:rPr>
              <w:t>r; indirect savings through faster technical execution raise the aggregate to potentially above EUR 5 bn/y</w:t>
            </w:r>
            <w:r w:rsidR="00A45649">
              <w:rPr>
                <w:sz w:val="20"/>
              </w:rPr>
              <w:t>ea</w:t>
            </w:r>
            <w:r w:rsidRPr="00D658D7">
              <w:rPr>
                <w:sz w:val="20"/>
              </w:rPr>
              <w:t xml:space="preserve">r. </w:t>
            </w:r>
          </w:p>
          <w:p w14:paraId="084F39D0" w14:textId="73F5F0A6" w:rsidR="00D610CD" w:rsidRPr="00D658D7" w:rsidRDefault="00D610CD">
            <w:pPr>
              <w:rPr>
                <w:sz w:val="20"/>
              </w:rPr>
            </w:pPr>
            <w:r w:rsidRPr="00D658D7">
              <w:rPr>
                <w:sz w:val="20"/>
              </w:rPr>
              <w:t>Electronic submission saves EUR 112–225 m</w:t>
            </w:r>
            <w:r w:rsidR="00674444" w:rsidRPr="00D658D7">
              <w:rPr>
                <w:sz w:val="20"/>
              </w:rPr>
              <w:t>illion</w:t>
            </w:r>
            <w:r w:rsidRPr="00D658D7">
              <w:rPr>
                <w:sz w:val="20"/>
              </w:rPr>
              <w:t xml:space="preserve"> over 15 years.</w:t>
            </w:r>
          </w:p>
        </w:tc>
      </w:tr>
      <w:tr w:rsidR="00D610CD" w:rsidRPr="00D658D7" w14:paraId="3F29C0B1" w14:textId="77777777" w:rsidTr="004570F2">
        <w:tc>
          <w:tcPr>
            <w:tcW w:w="0" w:type="auto"/>
            <w:tcBorders>
              <w:top w:val="single" w:sz="4" w:space="0" w:color="auto"/>
              <w:bottom w:val="single" w:sz="4" w:space="0" w:color="auto"/>
            </w:tcBorders>
          </w:tcPr>
          <w:p w14:paraId="09A5BB2F" w14:textId="77777777" w:rsidR="00D610CD" w:rsidRPr="00D658D7" w:rsidRDefault="00D610CD">
            <w:pPr>
              <w:spacing w:after="0"/>
              <w:rPr>
                <w:sz w:val="20"/>
              </w:rPr>
            </w:pPr>
            <w:r w:rsidRPr="00D658D7">
              <w:rPr>
                <w:sz w:val="20"/>
              </w:rPr>
              <w:t>Streamlined risk assessment processes</w:t>
            </w:r>
          </w:p>
        </w:tc>
        <w:tc>
          <w:tcPr>
            <w:tcW w:w="0" w:type="auto"/>
            <w:tcBorders>
              <w:top w:val="single" w:sz="4" w:space="0" w:color="auto"/>
              <w:bottom w:val="single" w:sz="4" w:space="0" w:color="auto"/>
            </w:tcBorders>
            <w:tcMar>
              <w:top w:w="57" w:type="dxa"/>
              <w:left w:w="57" w:type="dxa"/>
              <w:bottom w:w="57" w:type="dxa"/>
              <w:right w:w="57" w:type="dxa"/>
            </w:tcMar>
          </w:tcPr>
          <w:p w14:paraId="360AB8A4" w14:textId="77777777" w:rsidR="00D610CD" w:rsidRPr="00D658D7" w:rsidRDefault="00D610CD">
            <w:pPr>
              <w:spacing w:after="0"/>
              <w:rPr>
                <w:sz w:val="20"/>
              </w:rPr>
            </w:pPr>
            <w:r w:rsidRPr="00D658D7">
              <w:rPr>
                <w:sz w:val="20"/>
              </w:rPr>
              <w:t>12–24 months shorter per product (biosimilars)</w:t>
            </w:r>
          </w:p>
          <w:p w14:paraId="28CCB5ED" w14:textId="06E031F2" w:rsidR="005051A3" w:rsidRPr="00D658D7" w:rsidRDefault="005051A3">
            <w:pPr>
              <w:spacing w:after="0"/>
              <w:rPr>
                <w:sz w:val="20"/>
              </w:rPr>
            </w:pPr>
            <w:r>
              <w:rPr>
                <w:sz w:val="20"/>
              </w:rPr>
              <w:t>(monetised annual figure already accounted for under the first benefit)</w:t>
            </w:r>
          </w:p>
          <w:p w14:paraId="545A38C1" w14:textId="77777777" w:rsidR="00D610CD" w:rsidRPr="00D658D7" w:rsidRDefault="00D610CD">
            <w:pPr>
              <w:spacing w:after="0"/>
              <w:rPr>
                <w:sz w:val="20"/>
              </w:rPr>
            </w:pPr>
          </w:p>
          <w:p w14:paraId="24402167" w14:textId="77777777" w:rsidR="00D610CD" w:rsidRPr="00D658D7" w:rsidRDefault="00D610CD">
            <w:pPr>
              <w:spacing w:after="0"/>
              <w:rPr>
                <w:sz w:val="20"/>
              </w:rPr>
            </w:pPr>
            <w:r w:rsidRPr="00D658D7">
              <w:rPr>
                <w:sz w:val="20"/>
              </w:rPr>
              <w:t>50-day assessment period eliminated; modification timelines cut from 96 to 47 days (ATMPs)</w:t>
            </w:r>
          </w:p>
          <w:p w14:paraId="4B4E255D" w14:textId="77777777" w:rsidR="00D610CD" w:rsidRPr="00D658D7" w:rsidRDefault="00D610CD">
            <w:pPr>
              <w:spacing w:after="0"/>
              <w:rPr>
                <w:sz w:val="20"/>
              </w:rPr>
            </w:pPr>
          </w:p>
          <w:p w14:paraId="0FFC3C6D" w14:textId="77777777" w:rsidR="00D610CD" w:rsidRPr="00D658D7" w:rsidRDefault="00D610CD">
            <w:pPr>
              <w:spacing w:after="0"/>
              <w:rPr>
                <w:sz w:val="20"/>
              </w:rPr>
            </w:pPr>
            <w:r w:rsidRPr="00D658D7">
              <w:rPr>
                <w:sz w:val="20"/>
              </w:rPr>
              <w:t>0.15–0.3 FTE-years per CTA removed (ATMPs)</w:t>
            </w:r>
          </w:p>
          <w:p w14:paraId="5AA6DAB1" w14:textId="77777777" w:rsidR="00D610CD" w:rsidRPr="00D658D7" w:rsidRDefault="00D610CD">
            <w:pPr>
              <w:spacing w:after="0"/>
              <w:rPr>
                <w:sz w:val="20"/>
              </w:rPr>
            </w:pPr>
          </w:p>
          <w:p w14:paraId="4E20A1E0" w14:textId="77777777" w:rsidR="00D610CD" w:rsidRPr="00D658D7" w:rsidRDefault="00D610CD">
            <w:pPr>
              <w:spacing w:after="0"/>
              <w:rPr>
                <w:sz w:val="20"/>
              </w:rPr>
            </w:pPr>
            <w:r w:rsidRPr="00D658D7">
              <w:rPr>
                <w:sz w:val="20"/>
              </w:rPr>
              <w:t>30–90 days per CTA removed (VMPs)</w:t>
            </w:r>
          </w:p>
          <w:p w14:paraId="54EEE597" w14:textId="77777777" w:rsidR="00D610CD" w:rsidRPr="00D658D7" w:rsidRDefault="00D610CD">
            <w:pPr>
              <w:spacing w:after="0"/>
              <w:rPr>
                <w:sz w:val="20"/>
              </w:rPr>
            </w:pPr>
          </w:p>
          <w:p w14:paraId="6BEABC2D" w14:textId="227AB2EA" w:rsidR="00D610CD" w:rsidRPr="00D658D7" w:rsidRDefault="00D610CD">
            <w:pPr>
              <w:spacing w:after="0"/>
              <w:rPr>
                <w:sz w:val="20"/>
              </w:rPr>
            </w:pPr>
            <w:r w:rsidRPr="00D658D7">
              <w:rPr>
                <w:sz w:val="20"/>
              </w:rPr>
              <w:t>EUR 22.5 m</w:t>
            </w:r>
            <w:r w:rsidR="004C5410" w:rsidRPr="00D658D7">
              <w:rPr>
                <w:sz w:val="20"/>
              </w:rPr>
              <w:t>illion</w:t>
            </w:r>
            <w:r w:rsidRPr="00D658D7">
              <w:rPr>
                <w:sz w:val="20"/>
              </w:rPr>
              <w:t xml:space="preserve"> PV savings, central estimate (EUR 15–30 m</w:t>
            </w:r>
            <w:r w:rsidR="004C5410" w:rsidRPr="00D658D7">
              <w:rPr>
                <w:sz w:val="20"/>
              </w:rPr>
              <w:t>illion</w:t>
            </w:r>
            <w:r w:rsidRPr="00D658D7">
              <w:rPr>
                <w:sz w:val="20"/>
              </w:rPr>
              <w:t xml:space="preserve"> range) (VMP variations, to 2040)</w:t>
            </w:r>
            <w:r w:rsidR="002C45F7">
              <w:rPr>
                <w:sz w:val="20"/>
              </w:rPr>
              <w:t xml:space="preserve">. </w:t>
            </w:r>
            <w:r w:rsidR="002C45F7" w:rsidRPr="001B6101">
              <w:rPr>
                <w:sz w:val="20"/>
              </w:rPr>
              <w:t>The central annual saving in the base year is approximately EUR 1.46 m</w:t>
            </w:r>
            <w:r w:rsidR="002C45F7">
              <w:rPr>
                <w:sz w:val="20"/>
              </w:rPr>
              <w:t>illion</w:t>
            </w:r>
            <w:r w:rsidR="002C45F7" w:rsidRPr="001B6101">
              <w:rPr>
                <w:sz w:val="20"/>
              </w:rPr>
              <w:t>/y</w:t>
            </w:r>
            <w:r w:rsidR="00220A45">
              <w:rPr>
                <w:sz w:val="20"/>
              </w:rPr>
              <w:t>ea</w:t>
            </w:r>
            <w:r w:rsidR="002C45F7" w:rsidRPr="001B6101">
              <w:rPr>
                <w:sz w:val="20"/>
              </w:rPr>
              <w:t>r rising to EUR 3.07 m</w:t>
            </w:r>
            <w:r w:rsidR="00220A45">
              <w:rPr>
                <w:sz w:val="20"/>
              </w:rPr>
              <w:t>illion</w:t>
            </w:r>
            <w:r w:rsidR="002C45F7" w:rsidRPr="001B6101">
              <w:rPr>
                <w:sz w:val="20"/>
              </w:rPr>
              <w:t>/y</w:t>
            </w:r>
            <w:r w:rsidR="00220A45">
              <w:rPr>
                <w:sz w:val="20"/>
              </w:rPr>
              <w:t>ea</w:t>
            </w:r>
            <w:r w:rsidR="002C45F7" w:rsidRPr="001B6101">
              <w:rPr>
                <w:sz w:val="20"/>
              </w:rPr>
              <w:t>r by 2040.</w:t>
            </w:r>
          </w:p>
        </w:tc>
        <w:tc>
          <w:tcPr>
            <w:tcW w:w="7379" w:type="dxa"/>
            <w:tcBorders>
              <w:top w:val="single" w:sz="4" w:space="0" w:color="auto"/>
              <w:bottom w:val="single" w:sz="4" w:space="0" w:color="auto"/>
            </w:tcBorders>
            <w:tcMar>
              <w:top w:w="57" w:type="dxa"/>
              <w:left w:w="57" w:type="dxa"/>
              <w:bottom w:w="57" w:type="dxa"/>
              <w:right w:w="57" w:type="dxa"/>
            </w:tcMar>
          </w:tcPr>
          <w:p w14:paraId="274200E3" w14:textId="53336CA7" w:rsidR="00D610CD" w:rsidRPr="00D658D7" w:rsidRDefault="00D610CD">
            <w:pPr>
              <w:rPr>
                <w:sz w:val="20"/>
              </w:rPr>
            </w:pPr>
            <w:r w:rsidRPr="00D658D7">
              <w:rPr>
                <w:sz w:val="20"/>
              </w:rPr>
              <w:t>Biosimilar CES removal shortens development by 12–24 months and removes EUR 19–26 m in direct trial costs per product (representing 20–50</w:t>
            </w:r>
            <w:r w:rsidR="006856C2">
              <w:rPr>
                <w:sz w:val="20"/>
              </w:rPr>
              <w:t>%</w:t>
            </w:r>
            <w:r w:rsidRPr="00D658D7">
              <w:rPr>
                <w:sz w:val="20"/>
              </w:rPr>
              <w:t xml:space="preserve"> of total development expenditure depending on molecule complexity), with the timeline reduction enabling developers to start later in the originator's market protection period and reducing commercial risk. </w:t>
            </w:r>
          </w:p>
          <w:p w14:paraId="2A28C5BB" w14:textId="77777777" w:rsidR="00D610CD" w:rsidRPr="00D658D7" w:rsidRDefault="00D610CD">
            <w:pPr>
              <w:rPr>
                <w:sz w:val="20"/>
              </w:rPr>
            </w:pPr>
            <w:r w:rsidRPr="00D658D7">
              <w:rPr>
                <w:sz w:val="20"/>
              </w:rPr>
              <w:t xml:space="preserve">For ATMPs, the elimination of the additional 50-day assessment period and the reduction of substantial modification timelines from 96 to 47 days are the principal procedural gains; </w:t>
            </w:r>
          </w:p>
          <w:p w14:paraId="7936526C" w14:textId="77777777" w:rsidR="00D610CD" w:rsidRPr="00D658D7" w:rsidRDefault="00D610CD">
            <w:pPr>
              <w:rPr>
                <w:sz w:val="20"/>
              </w:rPr>
            </w:pPr>
            <w:r w:rsidRPr="00D658D7">
              <w:rPr>
                <w:sz w:val="20"/>
              </w:rPr>
              <w:t xml:space="preserve">ERA exemptions for qualifying GMO-ATMPs additionally remove 0.15–0.3 FTE-years per CTA in administrative burden, concentrated in regulatory affairs and project management functions, with benefits disproportionately accruing to the SME-dominated developer base. </w:t>
            </w:r>
          </w:p>
          <w:p w14:paraId="340501FB" w14:textId="7B7D102F" w:rsidR="00D610CD" w:rsidRPr="00D658D7" w:rsidRDefault="00D610CD">
            <w:pPr>
              <w:rPr>
                <w:sz w:val="20"/>
              </w:rPr>
            </w:pPr>
            <w:r w:rsidRPr="00D658D7">
              <w:rPr>
                <w:sz w:val="20"/>
              </w:rPr>
              <w:t>For VMPs containing GMOs, the single regulatory pathway removes 30–90 days per CTA (240–1,350 product-days of delay eliminated annually at current pipeline volumes; EUR 5–14.5 m</w:t>
            </w:r>
            <w:r w:rsidR="00674444" w:rsidRPr="00D658D7">
              <w:rPr>
                <w:sz w:val="20"/>
              </w:rPr>
              <w:t>illion</w:t>
            </w:r>
            <w:r w:rsidRPr="00D658D7">
              <w:rPr>
                <w:sz w:val="20"/>
              </w:rPr>
              <w:t xml:space="preserve"> in cumulative administrative cost savings to 2040). The uniform handling regime for VMP variations not requiring assessment yields a further EUR 22.5 m</w:t>
            </w:r>
            <w:r w:rsidR="00913B0C" w:rsidRPr="00D658D7">
              <w:rPr>
                <w:sz w:val="20"/>
              </w:rPr>
              <w:t>illion</w:t>
            </w:r>
            <w:r w:rsidRPr="00D658D7">
              <w:rPr>
                <w:sz w:val="20"/>
              </w:rPr>
              <w:t xml:space="preserve"> in present-value savings to 2040 (range EUR 15–30 m</w:t>
            </w:r>
            <w:r w:rsidR="004C5410" w:rsidRPr="00D658D7">
              <w:rPr>
                <w:sz w:val="20"/>
              </w:rPr>
              <w:t>illion</w:t>
            </w:r>
            <w:r w:rsidRPr="00D658D7">
              <w:rPr>
                <w:sz w:val="20"/>
              </w:rPr>
              <w:t>), derived from a 10–20</w:t>
            </w:r>
            <w:r w:rsidR="006856C2">
              <w:rPr>
                <w:sz w:val="20"/>
              </w:rPr>
              <w:t>%</w:t>
            </w:r>
            <w:r w:rsidRPr="00D658D7">
              <w:rPr>
                <w:sz w:val="20"/>
              </w:rPr>
              <w:t xml:space="preserve"> efficiency gain on VNRA processing workload applied across the sector.</w:t>
            </w:r>
          </w:p>
        </w:tc>
      </w:tr>
      <w:tr w:rsidR="00D610CD" w:rsidRPr="00D658D7" w14:paraId="532941EB" w14:textId="77777777" w:rsidTr="004570F2">
        <w:tc>
          <w:tcPr>
            <w:tcW w:w="0" w:type="auto"/>
            <w:tcBorders>
              <w:top w:val="single" w:sz="4" w:space="0" w:color="auto"/>
              <w:bottom w:val="single" w:sz="4" w:space="0" w:color="auto"/>
            </w:tcBorders>
          </w:tcPr>
          <w:p w14:paraId="3FD21D38" w14:textId="77777777" w:rsidR="00D610CD" w:rsidRPr="00D658D7" w:rsidRDefault="00D610CD">
            <w:pPr>
              <w:spacing w:after="0"/>
              <w:rPr>
                <w:sz w:val="20"/>
              </w:rPr>
            </w:pPr>
            <w:r w:rsidRPr="00D658D7">
              <w:rPr>
                <w:sz w:val="20"/>
              </w:rPr>
              <w:t>Anchoring late-stage investment and scale-up activity in the EU</w:t>
            </w:r>
          </w:p>
        </w:tc>
        <w:tc>
          <w:tcPr>
            <w:tcW w:w="0" w:type="auto"/>
            <w:tcBorders>
              <w:top w:val="single" w:sz="4" w:space="0" w:color="auto"/>
              <w:bottom w:val="single" w:sz="4" w:space="0" w:color="auto"/>
            </w:tcBorders>
            <w:tcMar>
              <w:top w:w="57" w:type="dxa"/>
              <w:left w:w="57" w:type="dxa"/>
              <w:bottom w:w="57" w:type="dxa"/>
              <w:right w:w="57" w:type="dxa"/>
            </w:tcMar>
          </w:tcPr>
          <w:p w14:paraId="7AB7BBCA" w14:textId="07E2E013" w:rsidR="00D610CD" w:rsidRPr="00D658D7" w:rsidRDefault="00D610CD">
            <w:pPr>
              <w:spacing w:after="0"/>
              <w:rPr>
                <w:sz w:val="20"/>
              </w:rPr>
            </w:pPr>
            <w:r w:rsidRPr="00D658D7">
              <w:rPr>
                <w:sz w:val="20"/>
              </w:rPr>
              <w:t>EUR 19–40 b</w:t>
            </w:r>
            <w:r w:rsidR="00913B0C" w:rsidRPr="00D658D7">
              <w:rPr>
                <w:sz w:val="20"/>
              </w:rPr>
              <w:t>illio</w:t>
            </w:r>
            <w:r w:rsidRPr="00D658D7">
              <w:rPr>
                <w:sz w:val="20"/>
              </w:rPr>
              <w:t>n</w:t>
            </w:r>
          </w:p>
          <w:p w14:paraId="75AC3B67" w14:textId="64082011" w:rsidR="00D610CD" w:rsidRPr="00D658D7" w:rsidRDefault="00B1E2E8">
            <w:pPr>
              <w:spacing w:after="0"/>
              <w:rPr>
                <w:sz w:val="20"/>
              </w:rPr>
            </w:pPr>
            <w:r w:rsidRPr="5DA36055">
              <w:rPr>
                <w:sz w:val="20"/>
                <w:szCs w:val="20"/>
              </w:rPr>
              <w:t>Total investment mobilised by 2038 (project frameworks)</w:t>
            </w:r>
            <w:r w:rsidR="1D13BEB0" w:rsidRPr="5DA36055">
              <w:rPr>
                <w:sz w:val="20"/>
                <w:szCs w:val="20"/>
              </w:rPr>
              <w:t xml:space="preserve"> ~EUR 1.6–3.3 b</w:t>
            </w:r>
            <w:r w:rsidR="3AA0A0D7" w:rsidRPr="5DA36055">
              <w:rPr>
                <w:sz w:val="20"/>
                <w:szCs w:val="20"/>
              </w:rPr>
              <w:t>illio</w:t>
            </w:r>
            <w:r w:rsidR="1D13BEB0" w:rsidRPr="5DA36055">
              <w:rPr>
                <w:sz w:val="20"/>
                <w:szCs w:val="20"/>
              </w:rPr>
              <w:t>n/y</w:t>
            </w:r>
            <w:r w:rsidR="3AA0A0D7" w:rsidRPr="5DA36055">
              <w:rPr>
                <w:sz w:val="20"/>
                <w:szCs w:val="20"/>
              </w:rPr>
              <w:t>ea</w:t>
            </w:r>
            <w:r w:rsidR="1D13BEB0" w:rsidRPr="5DA36055">
              <w:rPr>
                <w:sz w:val="20"/>
                <w:szCs w:val="20"/>
              </w:rPr>
              <w:t>r annual average</w:t>
            </w:r>
            <w:r w:rsidR="00337E2B">
              <w:rPr>
                <w:rStyle w:val="FootnoteReference"/>
                <w:sz w:val="20"/>
              </w:rPr>
              <w:footnoteReference w:id="23"/>
            </w:r>
          </w:p>
          <w:p w14:paraId="6B6FC48B" w14:textId="77777777" w:rsidR="00D610CD" w:rsidRPr="00D658D7" w:rsidRDefault="00D610CD">
            <w:pPr>
              <w:spacing w:after="0"/>
              <w:rPr>
                <w:sz w:val="20"/>
              </w:rPr>
            </w:pPr>
          </w:p>
          <w:p w14:paraId="39D3F884" w14:textId="25BAFC44" w:rsidR="00D610CD" w:rsidRPr="004570F2" w:rsidRDefault="00D610CD">
            <w:pPr>
              <w:spacing w:after="0"/>
              <w:rPr>
                <w:sz w:val="20"/>
              </w:rPr>
            </w:pPr>
            <w:r w:rsidRPr="004570F2">
              <w:rPr>
                <w:sz w:val="20"/>
              </w:rPr>
              <w:lastRenderedPageBreak/>
              <w:t xml:space="preserve">EUR 10 </w:t>
            </w:r>
            <w:r w:rsidRPr="00D658D7">
              <w:rPr>
                <w:sz w:val="20"/>
              </w:rPr>
              <w:t>b</w:t>
            </w:r>
            <w:r w:rsidR="009E2064" w:rsidRPr="00D658D7">
              <w:rPr>
                <w:sz w:val="20"/>
              </w:rPr>
              <w:t>illio</w:t>
            </w:r>
            <w:r w:rsidRPr="00D658D7">
              <w:rPr>
                <w:sz w:val="20"/>
              </w:rPr>
              <w:t>n</w:t>
            </w:r>
            <w:r w:rsidRPr="004570F2">
              <w:rPr>
                <w:sz w:val="20"/>
              </w:rPr>
              <w:t xml:space="preserve"> mobilised in 2026–2027 (BioTechEU / InvestEU)</w:t>
            </w:r>
          </w:p>
          <w:p w14:paraId="13F1A8B6" w14:textId="77777777" w:rsidR="00D610CD" w:rsidRPr="004570F2" w:rsidRDefault="00D610CD">
            <w:pPr>
              <w:spacing w:after="0"/>
              <w:rPr>
                <w:sz w:val="20"/>
              </w:rPr>
            </w:pPr>
          </w:p>
          <w:p w14:paraId="38E20FE8" w14:textId="0856A5B7" w:rsidR="00D610CD" w:rsidRPr="00D658D7" w:rsidRDefault="00D610CD">
            <w:pPr>
              <w:spacing w:after="0"/>
              <w:rPr>
                <w:sz w:val="20"/>
              </w:rPr>
            </w:pPr>
            <w:r w:rsidRPr="00D658D7">
              <w:rPr>
                <w:sz w:val="20"/>
              </w:rPr>
              <w:t xml:space="preserve">EUR </w:t>
            </w:r>
            <w:r w:rsidR="00113ED0">
              <w:rPr>
                <w:sz w:val="20"/>
              </w:rPr>
              <w:t>230</w:t>
            </w:r>
            <w:r w:rsidR="00113ED0" w:rsidRPr="00D658D7">
              <w:rPr>
                <w:sz w:val="20"/>
              </w:rPr>
              <w:t xml:space="preserve"> </w:t>
            </w:r>
            <w:r w:rsidRPr="00D658D7">
              <w:rPr>
                <w:sz w:val="20"/>
              </w:rPr>
              <w:t>m</w:t>
            </w:r>
            <w:r w:rsidR="002308EA" w:rsidRPr="00D658D7">
              <w:rPr>
                <w:sz w:val="20"/>
              </w:rPr>
              <w:t>illion</w:t>
            </w:r>
            <w:r w:rsidRPr="00D658D7">
              <w:rPr>
                <w:sz w:val="20"/>
              </w:rPr>
              <w:t>/y</w:t>
            </w:r>
            <w:r w:rsidR="00A45649">
              <w:rPr>
                <w:sz w:val="20"/>
              </w:rPr>
              <w:t>ea</w:t>
            </w:r>
            <w:r w:rsidRPr="00D658D7">
              <w:rPr>
                <w:sz w:val="20"/>
              </w:rPr>
              <w:t>r additional originator gross profit per qualifying SPC medicine</w:t>
            </w:r>
          </w:p>
        </w:tc>
        <w:tc>
          <w:tcPr>
            <w:tcW w:w="7379" w:type="dxa"/>
            <w:tcBorders>
              <w:top w:val="single" w:sz="4" w:space="0" w:color="auto"/>
              <w:bottom w:val="single" w:sz="4" w:space="0" w:color="auto"/>
            </w:tcBorders>
            <w:tcMar>
              <w:top w:w="57" w:type="dxa"/>
              <w:left w:w="57" w:type="dxa"/>
              <w:bottom w:w="57" w:type="dxa"/>
              <w:right w:w="57" w:type="dxa"/>
            </w:tcMar>
          </w:tcPr>
          <w:p w14:paraId="5388FD30" w14:textId="77777777" w:rsidR="00D610CD" w:rsidRPr="00D658D7" w:rsidRDefault="00D610CD">
            <w:pPr>
              <w:spacing w:after="0"/>
              <w:rPr>
                <w:sz w:val="20"/>
              </w:rPr>
            </w:pPr>
            <w:r w:rsidRPr="00D658D7">
              <w:rPr>
                <w:sz w:val="20"/>
              </w:rPr>
              <w:lastRenderedPageBreak/>
              <w:t>Investment mobilised:</w:t>
            </w:r>
          </w:p>
          <w:p w14:paraId="49660656" w14:textId="09CA72DC" w:rsidR="00D610CD" w:rsidRPr="00D658D7" w:rsidRDefault="00D610CD" w:rsidP="00D610CD">
            <w:pPr>
              <w:pStyle w:val="ListParagraph"/>
              <w:numPr>
                <w:ilvl w:val="0"/>
                <w:numId w:val="475"/>
              </w:numPr>
              <w:rPr>
                <w:sz w:val="20"/>
              </w:rPr>
            </w:pPr>
            <w:r w:rsidRPr="00D658D7">
              <w:rPr>
                <w:sz w:val="20"/>
              </w:rPr>
              <w:t>Strategic project framework: EUR 15–28 b</w:t>
            </w:r>
            <w:r w:rsidR="009E2064" w:rsidRPr="00D658D7">
              <w:rPr>
                <w:sz w:val="20"/>
              </w:rPr>
              <w:t>illio</w:t>
            </w:r>
            <w:r w:rsidRPr="00D658D7">
              <w:rPr>
                <w:sz w:val="20"/>
              </w:rPr>
              <w:t xml:space="preserve">n (medium uptake, 60–70 projects). </w:t>
            </w:r>
          </w:p>
          <w:p w14:paraId="6A0DDA4C" w14:textId="36A50C7B" w:rsidR="00D610CD" w:rsidRPr="00D658D7" w:rsidRDefault="00D610CD" w:rsidP="00D610CD">
            <w:pPr>
              <w:pStyle w:val="ListParagraph"/>
              <w:numPr>
                <w:ilvl w:val="0"/>
                <w:numId w:val="475"/>
              </w:numPr>
              <w:rPr>
                <w:sz w:val="20"/>
              </w:rPr>
            </w:pPr>
            <w:r w:rsidRPr="00D658D7">
              <w:rPr>
                <w:sz w:val="20"/>
              </w:rPr>
              <w:t>High-impact flagships: EUR 4–12 b</w:t>
            </w:r>
            <w:r w:rsidR="009E2064" w:rsidRPr="00D658D7">
              <w:rPr>
                <w:sz w:val="20"/>
              </w:rPr>
              <w:t>illio</w:t>
            </w:r>
            <w:r w:rsidRPr="00D658D7">
              <w:rPr>
                <w:sz w:val="20"/>
              </w:rPr>
              <w:t xml:space="preserve">n (medium uptake, 12–15 projects). </w:t>
            </w:r>
          </w:p>
          <w:p w14:paraId="307C7345" w14:textId="74DCAB1D" w:rsidR="00D610CD" w:rsidRPr="00D658D7" w:rsidRDefault="00D610CD" w:rsidP="00D610CD">
            <w:pPr>
              <w:pStyle w:val="ListParagraph"/>
              <w:numPr>
                <w:ilvl w:val="0"/>
                <w:numId w:val="475"/>
              </w:numPr>
              <w:rPr>
                <w:sz w:val="20"/>
              </w:rPr>
            </w:pPr>
            <w:r w:rsidRPr="00D658D7">
              <w:rPr>
                <w:sz w:val="20"/>
              </w:rPr>
              <w:lastRenderedPageBreak/>
              <w:t>Combined EUR 19–40 b</w:t>
            </w:r>
            <w:r w:rsidR="009E2064" w:rsidRPr="00D658D7">
              <w:rPr>
                <w:sz w:val="20"/>
              </w:rPr>
              <w:t>illio</w:t>
            </w:r>
            <w:r w:rsidRPr="00D658D7">
              <w:rPr>
                <w:sz w:val="20"/>
              </w:rPr>
              <w:t xml:space="preserve">n by 2038. </w:t>
            </w:r>
          </w:p>
          <w:p w14:paraId="315EF9DB" w14:textId="77777777" w:rsidR="00D610CD" w:rsidRPr="00D658D7" w:rsidRDefault="00D610CD">
            <w:pPr>
              <w:rPr>
                <w:sz w:val="20"/>
              </w:rPr>
            </w:pPr>
            <w:r w:rsidRPr="00D658D7">
              <w:rPr>
                <w:sz w:val="20"/>
              </w:rPr>
              <w:t xml:space="preserve">Pending full establishment, the BioTechEU initiative under the current MFF and InvestEU programme will mobilise up to EUR 10 bn in biotechnology investments in 2026–2027. </w:t>
            </w:r>
          </w:p>
          <w:p w14:paraId="23A40D98" w14:textId="509D6EF8" w:rsidR="00D610CD" w:rsidRPr="00D658D7" w:rsidRDefault="00D610CD">
            <w:pPr>
              <w:spacing w:after="0"/>
              <w:rPr>
                <w:sz w:val="20"/>
              </w:rPr>
            </w:pPr>
            <w:r w:rsidRPr="00D658D7">
              <w:rPr>
                <w:sz w:val="20"/>
              </w:rPr>
              <w:t xml:space="preserve">Additionally, the SPC extension, operating via a distinct IP </w:t>
            </w:r>
            <w:r w:rsidR="00620977">
              <w:rPr>
                <w:sz w:val="20"/>
              </w:rPr>
              <w:t xml:space="preserve">protection </w:t>
            </w:r>
            <w:r w:rsidRPr="00D658D7">
              <w:rPr>
                <w:sz w:val="20"/>
              </w:rPr>
              <w:t xml:space="preserve">mechanism rather than project recognition or financing instruments, generates: </w:t>
            </w:r>
          </w:p>
          <w:p w14:paraId="67AA3B2F" w14:textId="70F83CDE" w:rsidR="00D610CD" w:rsidRPr="00D658D7" w:rsidRDefault="00D610CD" w:rsidP="00D610CD">
            <w:pPr>
              <w:pStyle w:val="ListParagraph"/>
              <w:numPr>
                <w:ilvl w:val="0"/>
                <w:numId w:val="476"/>
              </w:numPr>
              <w:rPr>
                <w:sz w:val="20"/>
              </w:rPr>
            </w:pPr>
            <w:r w:rsidRPr="00D658D7">
              <w:rPr>
                <w:sz w:val="20"/>
              </w:rPr>
              <w:t xml:space="preserve">an estimated EUR </w:t>
            </w:r>
            <w:r w:rsidR="00113ED0" w:rsidRPr="00D658D7">
              <w:rPr>
                <w:sz w:val="20"/>
              </w:rPr>
              <w:t>2</w:t>
            </w:r>
            <w:r w:rsidR="00113ED0">
              <w:rPr>
                <w:sz w:val="20"/>
              </w:rPr>
              <w:t>30</w:t>
            </w:r>
            <w:r w:rsidR="00113ED0" w:rsidRPr="00D658D7">
              <w:rPr>
                <w:sz w:val="20"/>
              </w:rPr>
              <w:t xml:space="preserve"> </w:t>
            </w:r>
            <w:r w:rsidRPr="00D658D7">
              <w:rPr>
                <w:sz w:val="20"/>
              </w:rPr>
              <w:t>m</w:t>
            </w:r>
            <w:r w:rsidR="009E2064" w:rsidRPr="00D658D7">
              <w:rPr>
                <w:sz w:val="20"/>
              </w:rPr>
              <w:t>illion</w:t>
            </w:r>
            <w:r w:rsidRPr="00D658D7">
              <w:rPr>
                <w:sz w:val="20"/>
              </w:rPr>
              <w:t xml:space="preserve"> in additional originator gross profit per </w:t>
            </w:r>
            <w:r w:rsidR="00D31BFB" w:rsidRPr="00D658D7">
              <w:rPr>
                <w:sz w:val="20"/>
              </w:rPr>
              <w:t xml:space="preserve"> </w:t>
            </w:r>
            <w:r w:rsidRPr="00D658D7">
              <w:rPr>
                <w:sz w:val="20"/>
              </w:rPr>
              <w:t>medicine</w:t>
            </w:r>
            <w:r w:rsidR="001310DC">
              <w:rPr>
                <w:sz w:val="20"/>
              </w:rPr>
              <w:t xml:space="preserve"> benefitting from the incentive</w:t>
            </w:r>
            <w:r w:rsidRPr="00D658D7">
              <w:rPr>
                <w:sz w:val="20"/>
              </w:rPr>
              <w:t xml:space="preserve"> per year (sensitivity range EUR </w:t>
            </w:r>
            <w:r w:rsidR="006F28F5" w:rsidRPr="00D658D7">
              <w:rPr>
                <w:sz w:val="20"/>
              </w:rPr>
              <w:t>140</w:t>
            </w:r>
            <w:r w:rsidRPr="00D658D7">
              <w:rPr>
                <w:sz w:val="20"/>
              </w:rPr>
              <w:t>–</w:t>
            </w:r>
            <w:r w:rsidR="006F28F5" w:rsidRPr="00D658D7">
              <w:rPr>
                <w:sz w:val="20"/>
              </w:rPr>
              <w:t>290</w:t>
            </w:r>
            <w:r w:rsidR="002308EA" w:rsidRPr="00D658D7">
              <w:rPr>
                <w:sz w:val="20"/>
              </w:rPr>
              <w:t xml:space="preserve"> </w:t>
            </w:r>
            <w:r w:rsidRPr="00D658D7">
              <w:rPr>
                <w:sz w:val="20"/>
              </w:rPr>
              <w:t>m</w:t>
            </w:r>
            <w:r w:rsidR="002308EA" w:rsidRPr="00D658D7">
              <w:rPr>
                <w:sz w:val="20"/>
              </w:rPr>
              <w:t>illion</w:t>
            </w:r>
            <w:r w:rsidRPr="00D658D7">
              <w:rPr>
                <w:sz w:val="20"/>
              </w:rPr>
              <w:t xml:space="preserve">), </w:t>
            </w:r>
          </w:p>
          <w:p w14:paraId="08AD7868" w14:textId="1DFEFD72" w:rsidR="00D610CD" w:rsidRPr="00D658D7" w:rsidRDefault="00D610CD" w:rsidP="00D610CD">
            <w:pPr>
              <w:pStyle w:val="ListParagraph"/>
              <w:numPr>
                <w:ilvl w:val="0"/>
                <w:numId w:val="476"/>
              </w:numPr>
              <w:rPr>
                <w:sz w:val="20"/>
              </w:rPr>
            </w:pPr>
            <w:r w:rsidRPr="00D658D7">
              <w:rPr>
                <w:sz w:val="20"/>
              </w:rPr>
              <w:t xml:space="preserve">corresponding to approximately EUR </w:t>
            </w:r>
            <w:r w:rsidR="00A0156B" w:rsidRPr="00D658D7">
              <w:rPr>
                <w:sz w:val="20"/>
              </w:rPr>
              <w:t>690</w:t>
            </w:r>
            <w:r w:rsidRPr="00D658D7">
              <w:rPr>
                <w:sz w:val="20"/>
              </w:rPr>
              <w:t xml:space="preserve"> m</w:t>
            </w:r>
            <w:r w:rsidR="002308EA" w:rsidRPr="00D658D7">
              <w:rPr>
                <w:sz w:val="20"/>
              </w:rPr>
              <w:t>illion</w:t>
            </w:r>
            <w:r w:rsidRPr="00D658D7">
              <w:rPr>
                <w:sz w:val="20"/>
              </w:rPr>
              <w:t>/y</w:t>
            </w:r>
            <w:r w:rsidR="00A45649">
              <w:rPr>
                <w:sz w:val="20"/>
              </w:rPr>
              <w:t>ea</w:t>
            </w:r>
            <w:r w:rsidRPr="00D658D7">
              <w:rPr>
                <w:sz w:val="20"/>
              </w:rPr>
              <w:t>r in aggregate at an average of three medicines per year.</w:t>
            </w:r>
          </w:p>
          <w:p w14:paraId="01F0EAB4" w14:textId="757F9D87" w:rsidR="00D610CD" w:rsidRPr="00D658D7" w:rsidRDefault="00D610CD" w:rsidP="00D610CD">
            <w:pPr>
              <w:pStyle w:val="ListParagraph"/>
              <w:numPr>
                <w:ilvl w:val="0"/>
                <w:numId w:val="476"/>
              </w:numPr>
              <w:rPr>
                <w:sz w:val="20"/>
              </w:rPr>
            </w:pPr>
            <w:r w:rsidRPr="00D658D7">
              <w:rPr>
                <w:sz w:val="20"/>
              </w:rPr>
              <w:t>the associated combined payer expenditure and monetised cost of delayed patient access amounts to approximately EUR 20</w:t>
            </w:r>
            <w:r w:rsidR="00A0156B" w:rsidRPr="00D658D7">
              <w:rPr>
                <w:sz w:val="20"/>
              </w:rPr>
              <w:t>5</w:t>
            </w:r>
            <w:r w:rsidRPr="00D658D7">
              <w:rPr>
                <w:sz w:val="20"/>
              </w:rPr>
              <w:t xml:space="preserve"> m</w:t>
            </w:r>
            <w:r w:rsidR="002308EA" w:rsidRPr="00D658D7">
              <w:rPr>
                <w:sz w:val="20"/>
              </w:rPr>
              <w:t>illion</w:t>
            </w:r>
            <w:r w:rsidRPr="00D658D7">
              <w:rPr>
                <w:sz w:val="20"/>
              </w:rPr>
              <w:t xml:space="preserve"> per medicine (EUR 6</w:t>
            </w:r>
            <w:r w:rsidR="00A0156B" w:rsidRPr="00D658D7">
              <w:rPr>
                <w:sz w:val="20"/>
              </w:rPr>
              <w:t>15</w:t>
            </w:r>
            <w:r w:rsidRPr="00D658D7">
              <w:rPr>
                <w:sz w:val="20"/>
              </w:rPr>
              <w:t xml:space="preserve"> m</w:t>
            </w:r>
            <w:r w:rsidR="002308EA" w:rsidRPr="00D658D7">
              <w:rPr>
                <w:sz w:val="20"/>
              </w:rPr>
              <w:t>illion</w:t>
            </w:r>
            <w:r w:rsidRPr="00D658D7">
              <w:rPr>
                <w:sz w:val="20"/>
              </w:rPr>
              <w:t>/y</w:t>
            </w:r>
            <w:r w:rsidR="00A45649">
              <w:rPr>
                <w:sz w:val="20"/>
              </w:rPr>
              <w:t>ea</w:t>
            </w:r>
            <w:r w:rsidRPr="00D658D7">
              <w:rPr>
                <w:sz w:val="20"/>
              </w:rPr>
              <w:t xml:space="preserve">r in aggregate at three medicines). </w:t>
            </w:r>
          </w:p>
          <w:p w14:paraId="1268A25B" w14:textId="68FC5B29" w:rsidR="00D610CD" w:rsidRPr="00D658D7" w:rsidRDefault="00D610CD" w:rsidP="00D610CD">
            <w:pPr>
              <w:pStyle w:val="ListParagraph"/>
              <w:numPr>
                <w:ilvl w:val="0"/>
                <w:numId w:val="476"/>
              </w:numPr>
              <w:rPr>
                <w:sz w:val="20"/>
              </w:rPr>
            </w:pPr>
            <w:r w:rsidRPr="00D658D7">
              <w:rPr>
                <w:sz w:val="20"/>
              </w:rPr>
              <w:t xml:space="preserve">if developer behaviour changes in response to the incentive, up to five products per year could </w:t>
            </w:r>
            <w:r w:rsidR="0012786C">
              <w:rPr>
                <w:sz w:val="20"/>
              </w:rPr>
              <w:t>benefit from the incentive rather than</w:t>
            </w:r>
            <w:r w:rsidR="0079510F" w:rsidRPr="00D658D7" w:rsidDel="0012786C">
              <w:rPr>
                <w:sz w:val="20"/>
              </w:rPr>
              <w:t xml:space="preserve"> </w:t>
            </w:r>
            <w:r w:rsidR="0079510F" w:rsidRPr="00D658D7">
              <w:rPr>
                <w:sz w:val="20"/>
              </w:rPr>
              <w:t>up to 3</w:t>
            </w:r>
            <w:r w:rsidRPr="00D658D7">
              <w:rPr>
                <w:sz w:val="20"/>
              </w:rPr>
              <w:t>.</w:t>
            </w:r>
          </w:p>
        </w:tc>
      </w:tr>
      <w:tr w:rsidR="00D610CD" w:rsidRPr="00D658D7" w14:paraId="3F12DD27" w14:textId="77777777" w:rsidTr="004570F2">
        <w:tc>
          <w:tcPr>
            <w:tcW w:w="0" w:type="auto"/>
            <w:tcBorders>
              <w:top w:val="single" w:sz="4" w:space="0" w:color="auto"/>
              <w:bottom w:val="single" w:sz="4" w:space="0" w:color="auto"/>
            </w:tcBorders>
          </w:tcPr>
          <w:p w14:paraId="70D2C270" w14:textId="77777777" w:rsidR="00D610CD" w:rsidRPr="00D658D7" w:rsidRDefault="00D610CD">
            <w:pPr>
              <w:spacing w:after="0"/>
              <w:rPr>
                <w:sz w:val="20"/>
              </w:rPr>
            </w:pPr>
            <w:r w:rsidRPr="00D658D7">
              <w:rPr>
                <w:sz w:val="20"/>
              </w:rPr>
              <w:lastRenderedPageBreak/>
              <w:t>Strengthening the EU's global competitive position in biosimilars</w:t>
            </w:r>
          </w:p>
        </w:tc>
        <w:tc>
          <w:tcPr>
            <w:tcW w:w="0" w:type="auto"/>
            <w:tcBorders>
              <w:top w:val="single" w:sz="4" w:space="0" w:color="auto"/>
              <w:bottom w:val="single" w:sz="4" w:space="0" w:color="auto"/>
            </w:tcBorders>
            <w:tcMar>
              <w:top w:w="57" w:type="dxa"/>
              <w:left w:w="57" w:type="dxa"/>
              <w:bottom w:w="57" w:type="dxa"/>
              <w:right w:w="57" w:type="dxa"/>
            </w:tcMar>
          </w:tcPr>
          <w:p w14:paraId="607A3C5F" w14:textId="34422C4E" w:rsidR="00D610CD" w:rsidRPr="00D658D7" w:rsidRDefault="00D610CD">
            <w:pPr>
              <w:spacing w:after="0"/>
              <w:rPr>
                <w:sz w:val="20"/>
              </w:rPr>
            </w:pPr>
            <w:r w:rsidRPr="00D658D7">
              <w:rPr>
                <w:sz w:val="20"/>
              </w:rPr>
              <w:t>45–55</w:t>
            </w:r>
            <w:r w:rsidR="006856C2">
              <w:rPr>
                <w:sz w:val="20"/>
              </w:rPr>
              <w:t>%</w:t>
            </w:r>
          </w:p>
          <w:p w14:paraId="4C6AE1C0" w14:textId="69AA8234" w:rsidR="00D610CD" w:rsidRPr="00D658D7" w:rsidRDefault="00D610CD">
            <w:pPr>
              <w:spacing w:after="0"/>
              <w:rPr>
                <w:sz w:val="20"/>
              </w:rPr>
            </w:pPr>
            <w:r w:rsidRPr="00D658D7">
              <w:rPr>
                <w:sz w:val="20"/>
              </w:rPr>
              <w:t>EU-</w:t>
            </w:r>
            <w:r w:rsidR="00D43566">
              <w:rPr>
                <w:sz w:val="20"/>
              </w:rPr>
              <w:t>based</w:t>
            </w:r>
            <w:r w:rsidR="00D43566" w:rsidRPr="00D658D7">
              <w:rPr>
                <w:sz w:val="20"/>
              </w:rPr>
              <w:t xml:space="preserve"> </w:t>
            </w:r>
            <w:r w:rsidRPr="00D658D7">
              <w:rPr>
                <w:sz w:val="20"/>
              </w:rPr>
              <w:t>share of biosimilar MAs maintained</w:t>
            </w:r>
          </w:p>
          <w:p w14:paraId="3B636967" w14:textId="4D51E4E0" w:rsidR="00D610CD" w:rsidRPr="00D658D7" w:rsidRDefault="00D610CD">
            <w:pPr>
              <w:spacing w:after="0"/>
              <w:rPr>
                <w:sz w:val="20"/>
              </w:rPr>
            </w:pPr>
            <w:r w:rsidRPr="00D658D7">
              <w:rPr>
                <w:sz w:val="20"/>
              </w:rPr>
              <w:t>(vs projected 40–50</w:t>
            </w:r>
            <w:r w:rsidR="006856C2">
              <w:rPr>
                <w:sz w:val="20"/>
              </w:rPr>
              <w:t>%</w:t>
            </w:r>
            <w:r w:rsidRPr="00D658D7">
              <w:rPr>
                <w:sz w:val="20"/>
              </w:rPr>
              <w:t xml:space="preserve"> without intervention)</w:t>
            </w:r>
          </w:p>
          <w:p w14:paraId="6FCF6869" w14:textId="77777777" w:rsidR="00D610CD" w:rsidRPr="00D658D7" w:rsidRDefault="00D610CD">
            <w:pPr>
              <w:spacing w:after="0"/>
              <w:rPr>
                <w:sz w:val="20"/>
              </w:rPr>
            </w:pPr>
          </w:p>
          <w:p w14:paraId="02E575BD" w14:textId="77777777" w:rsidR="00D610CD" w:rsidRPr="00D658D7" w:rsidRDefault="00D610CD">
            <w:pPr>
              <w:spacing w:after="0"/>
              <w:rPr>
                <w:sz w:val="20"/>
              </w:rPr>
            </w:pPr>
            <w:r w:rsidRPr="00D658D7">
              <w:rPr>
                <w:sz w:val="20"/>
              </w:rPr>
              <w:t xml:space="preserve">12–24 months faster market entry per product </w:t>
            </w:r>
          </w:p>
        </w:tc>
        <w:tc>
          <w:tcPr>
            <w:tcW w:w="7379" w:type="dxa"/>
            <w:tcBorders>
              <w:top w:val="single" w:sz="4" w:space="0" w:color="auto"/>
              <w:bottom w:val="single" w:sz="4" w:space="0" w:color="auto"/>
            </w:tcBorders>
            <w:tcMar>
              <w:top w:w="57" w:type="dxa"/>
              <w:left w:w="57" w:type="dxa"/>
              <w:bottom w:w="57" w:type="dxa"/>
              <w:right w:w="57" w:type="dxa"/>
            </w:tcMar>
          </w:tcPr>
          <w:p w14:paraId="37E29539" w14:textId="355B5DE1" w:rsidR="00D610CD" w:rsidRPr="00D658D7" w:rsidRDefault="00D610CD">
            <w:pPr>
              <w:rPr>
                <w:sz w:val="20"/>
              </w:rPr>
            </w:pPr>
            <w:r w:rsidRPr="00D658D7">
              <w:rPr>
                <w:sz w:val="20"/>
              </w:rPr>
              <w:t>Without intervention, the EU-</w:t>
            </w:r>
            <w:r w:rsidR="00D43566">
              <w:rPr>
                <w:sz w:val="20"/>
              </w:rPr>
              <w:t>b</w:t>
            </w:r>
            <w:r w:rsidR="00A3232C">
              <w:rPr>
                <w:sz w:val="20"/>
              </w:rPr>
              <w:t>ased</w:t>
            </w:r>
            <w:r w:rsidR="00D43566" w:rsidRPr="00D658D7">
              <w:rPr>
                <w:sz w:val="20"/>
              </w:rPr>
              <w:t xml:space="preserve"> </w:t>
            </w:r>
            <w:r w:rsidRPr="00D658D7">
              <w:rPr>
                <w:sz w:val="20"/>
              </w:rPr>
              <w:t>share of biosimilar MAs is projected to fall from 49</w:t>
            </w:r>
            <w:r w:rsidR="006856C2">
              <w:rPr>
                <w:sz w:val="20"/>
              </w:rPr>
              <w:t>%</w:t>
            </w:r>
            <w:r w:rsidRPr="00D658D7">
              <w:rPr>
                <w:sz w:val="20"/>
              </w:rPr>
              <w:t xml:space="preserve"> (2025) to 40–50</w:t>
            </w:r>
            <w:r w:rsidR="006856C2">
              <w:rPr>
                <w:sz w:val="20"/>
              </w:rPr>
              <w:t>%</w:t>
            </w:r>
            <w:r w:rsidRPr="00D658D7">
              <w:rPr>
                <w:sz w:val="20"/>
              </w:rPr>
              <w:t xml:space="preserve"> as manufacturing migrates to Asia and competitor jurisdictions accelerate their own regulatory streamlining. </w:t>
            </w:r>
          </w:p>
          <w:p w14:paraId="0A838314" w14:textId="2093EA75" w:rsidR="00D610CD" w:rsidRPr="00D658D7" w:rsidRDefault="00D610CD">
            <w:pPr>
              <w:rPr>
                <w:sz w:val="20"/>
              </w:rPr>
            </w:pPr>
            <w:r w:rsidRPr="00D658D7">
              <w:rPr>
                <w:sz w:val="20"/>
              </w:rPr>
              <w:t xml:space="preserve">CES removal </w:t>
            </w:r>
            <w:r w:rsidR="00A3232C">
              <w:rPr>
                <w:sz w:val="20"/>
              </w:rPr>
              <w:t xml:space="preserve">would </w:t>
            </w:r>
            <w:r w:rsidRPr="00D658D7">
              <w:rPr>
                <w:sz w:val="20"/>
              </w:rPr>
              <w:t xml:space="preserve">arrest this decline by reducing the cost threshold for EU-based biosimilar development, accelerating market entry by 12–24 months per product and enabling EU developers to respond more quickly to patent </w:t>
            </w:r>
            <w:r w:rsidR="002308EA" w:rsidRPr="00D658D7">
              <w:rPr>
                <w:sz w:val="20"/>
              </w:rPr>
              <w:t>expires</w:t>
            </w:r>
            <w:r w:rsidRPr="00D658D7">
              <w:rPr>
                <w:sz w:val="20"/>
              </w:rPr>
              <w:t xml:space="preserve">. </w:t>
            </w:r>
          </w:p>
          <w:p w14:paraId="724858CD" w14:textId="77777777" w:rsidR="00D610CD" w:rsidRPr="00D658D7" w:rsidRDefault="00D610CD">
            <w:pPr>
              <w:rPr>
                <w:sz w:val="20"/>
              </w:rPr>
            </w:pPr>
            <w:r w:rsidRPr="00D658D7">
              <w:rPr>
                <w:sz w:val="20"/>
              </w:rPr>
              <w:t xml:space="preserve">Strategic project eligibility for biosimilar manufacturing reinforces this effect on the supply side by improving the bankability of EU-based biomanufacturing deployments. </w:t>
            </w:r>
          </w:p>
          <w:p w14:paraId="5C8395B3" w14:textId="043A3B75" w:rsidR="00D610CD" w:rsidRPr="00D658D7" w:rsidRDefault="00D610CD">
            <w:pPr>
              <w:rPr>
                <w:sz w:val="20"/>
              </w:rPr>
            </w:pPr>
            <w:r w:rsidRPr="00D658D7">
              <w:rPr>
                <w:sz w:val="20"/>
              </w:rPr>
              <w:t xml:space="preserve">Together these measures </w:t>
            </w:r>
            <w:r w:rsidR="00BB3238">
              <w:rPr>
                <w:sz w:val="20"/>
              </w:rPr>
              <w:t>ca</w:t>
            </w:r>
            <w:r w:rsidR="00AC05D1">
              <w:rPr>
                <w:sz w:val="20"/>
              </w:rPr>
              <w:t>n contribute to</w:t>
            </w:r>
            <w:r w:rsidRPr="00D658D7">
              <w:rPr>
                <w:sz w:val="20"/>
              </w:rPr>
              <w:t xml:space="preserve"> stabilise the EU-</w:t>
            </w:r>
            <w:r w:rsidR="00BB3238">
              <w:rPr>
                <w:sz w:val="20"/>
              </w:rPr>
              <w:t>based company</w:t>
            </w:r>
            <w:r w:rsidR="00BB3238" w:rsidRPr="00D658D7">
              <w:rPr>
                <w:sz w:val="20"/>
              </w:rPr>
              <w:t xml:space="preserve"> </w:t>
            </w:r>
            <w:r w:rsidRPr="00D658D7">
              <w:rPr>
                <w:sz w:val="20"/>
              </w:rPr>
              <w:t>share at 45–55</w:t>
            </w:r>
            <w:r w:rsidR="006856C2">
              <w:rPr>
                <w:sz w:val="20"/>
              </w:rPr>
              <w:t>%</w:t>
            </w:r>
          </w:p>
        </w:tc>
      </w:tr>
      <w:tr w:rsidR="00D610CD" w:rsidRPr="00D658D7" w14:paraId="055E6109" w14:textId="77777777" w:rsidTr="004570F2">
        <w:tc>
          <w:tcPr>
            <w:tcW w:w="0" w:type="auto"/>
            <w:tcBorders>
              <w:top w:val="single" w:sz="4" w:space="0" w:color="auto"/>
              <w:bottom w:val="single" w:sz="4" w:space="0" w:color="auto"/>
            </w:tcBorders>
          </w:tcPr>
          <w:p w14:paraId="51BAF4F0" w14:textId="77777777" w:rsidR="00D610CD" w:rsidRPr="00D658D7" w:rsidRDefault="00D610CD">
            <w:pPr>
              <w:spacing w:after="0"/>
              <w:rPr>
                <w:sz w:val="20"/>
              </w:rPr>
            </w:pPr>
            <w:r w:rsidRPr="00D658D7">
              <w:rPr>
                <w:sz w:val="20"/>
              </w:rPr>
              <w:t>Improving the EU's attractiveness as a location for commercial clinical research</w:t>
            </w:r>
          </w:p>
        </w:tc>
        <w:tc>
          <w:tcPr>
            <w:tcW w:w="0" w:type="auto"/>
            <w:tcBorders>
              <w:top w:val="single" w:sz="4" w:space="0" w:color="auto"/>
              <w:bottom w:val="single" w:sz="4" w:space="0" w:color="auto"/>
            </w:tcBorders>
            <w:tcMar>
              <w:top w:w="57" w:type="dxa"/>
              <w:left w:w="57" w:type="dxa"/>
              <w:bottom w:w="57" w:type="dxa"/>
              <w:right w:w="57" w:type="dxa"/>
            </w:tcMar>
          </w:tcPr>
          <w:p w14:paraId="0C5377E1" w14:textId="3B0FBBE2" w:rsidR="00D610CD" w:rsidRPr="00D658D7" w:rsidRDefault="00D610CD">
            <w:pPr>
              <w:spacing w:after="0"/>
              <w:rPr>
                <w:sz w:val="20"/>
              </w:rPr>
            </w:pPr>
            <w:r w:rsidRPr="00D658D7">
              <w:rPr>
                <w:sz w:val="20"/>
              </w:rPr>
              <w:t>350–700 additional trials over 3–4 years (domestic scenario; 4–8</w:t>
            </w:r>
            <w:r w:rsidR="006856C2">
              <w:rPr>
                <w:sz w:val="20"/>
              </w:rPr>
              <w:t>%</w:t>
            </w:r>
            <w:r w:rsidRPr="00D658D7">
              <w:rPr>
                <w:sz w:val="20"/>
              </w:rPr>
              <w:t xml:space="preserve"> increase)</w:t>
            </w:r>
          </w:p>
          <w:p w14:paraId="792A9A4C" w14:textId="77777777" w:rsidR="00D610CD" w:rsidRPr="00D658D7" w:rsidRDefault="00D610CD">
            <w:pPr>
              <w:spacing w:after="0"/>
              <w:rPr>
                <w:sz w:val="20"/>
              </w:rPr>
            </w:pPr>
          </w:p>
          <w:p w14:paraId="12863494" w14:textId="77777777" w:rsidR="00913713" w:rsidRPr="00D658D7" w:rsidRDefault="00913713">
            <w:pPr>
              <w:spacing w:after="0"/>
              <w:rPr>
                <w:sz w:val="20"/>
              </w:rPr>
            </w:pPr>
          </w:p>
          <w:p w14:paraId="704A3E2C" w14:textId="77777777" w:rsidR="00C809AA" w:rsidRPr="00D658D7" w:rsidRDefault="00C809AA">
            <w:pPr>
              <w:spacing w:after="0"/>
              <w:rPr>
                <w:sz w:val="20"/>
              </w:rPr>
            </w:pPr>
          </w:p>
          <w:p w14:paraId="726E5236" w14:textId="49079CF8" w:rsidR="00D610CD" w:rsidRPr="00D658D7" w:rsidRDefault="00D610CD">
            <w:pPr>
              <w:spacing w:after="0"/>
              <w:rPr>
                <w:sz w:val="20"/>
              </w:rPr>
            </w:pPr>
            <w:r w:rsidRPr="00D658D7">
              <w:rPr>
                <w:sz w:val="20"/>
              </w:rPr>
              <w:t>Up to 700–1,400 additional trials (relocation scenario; 6–16</w:t>
            </w:r>
            <w:r w:rsidR="006856C2">
              <w:rPr>
                <w:sz w:val="20"/>
              </w:rPr>
              <w:t>%</w:t>
            </w:r>
            <w:r w:rsidRPr="00D658D7">
              <w:rPr>
                <w:sz w:val="20"/>
              </w:rPr>
              <w:t xml:space="preserve"> increase)</w:t>
            </w:r>
          </w:p>
          <w:p w14:paraId="0D54E485" w14:textId="77777777" w:rsidR="00D610CD" w:rsidRPr="00D658D7" w:rsidRDefault="00D610CD">
            <w:pPr>
              <w:spacing w:after="0"/>
              <w:rPr>
                <w:sz w:val="20"/>
              </w:rPr>
            </w:pPr>
          </w:p>
          <w:p w14:paraId="79478E09" w14:textId="77777777" w:rsidR="00C809AA" w:rsidRDefault="00C809AA">
            <w:pPr>
              <w:spacing w:after="0"/>
              <w:rPr>
                <w:sz w:val="20"/>
              </w:rPr>
            </w:pPr>
          </w:p>
          <w:p w14:paraId="4C122800" w14:textId="77777777" w:rsidR="00C809AA" w:rsidRPr="00D658D7" w:rsidRDefault="00C809AA">
            <w:pPr>
              <w:spacing w:after="0"/>
              <w:rPr>
                <w:sz w:val="20"/>
              </w:rPr>
            </w:pPr>
          </w:p>
          <w:p w14:paraId="0CCF8262" w14:textId="090A1497" w:rsidR="00D610CD" w:rsidRPr="00D658D7" w:rsidRDefault="00E77D9E">
            <w:pPr>
              <w:spacing w:after="0"/>
              <w:rPr>
                <w:sz w:val="20"/>
              </w:rPr>
            </w:pPr>
            <w:r>
              <w:rPr>
                <w:sz w:val="20"/>
              </w:rPr>
              <w:t>14 prod</w:t>
            </w:r>
            <w:r w:rsidR="001A3EBC">
              <w:rPr>
                <w:sz w:val="20"/>
              </w:rPr>
              <w:t xml:space="preserve">ucts from 2016-2025 </w:t>
            </w:r>
            <w:r w:rsidR="001A3EBC" w:rsidRPr="00D658D7">
              <w:rPr>
                <w:sz w:val="20"/>
              </w:rPr>
              <w:t>identified as marginal cases</w:t>
            </w:r>
            <w:r w:rsidR="001A3EBC">
              <w:rPr>
                <w:sz w:val="20"/>
              </w:rPr>
              <w:t xml:space="preserve"> for conducting multi country clinical trial</w:t>
            </w:r>
            <w:r w:rsidR="00A917DD">
              <w:rPr>
                <w:sz w:val="20"/>
              </w:rPr>
              <w:t xml:space="preserve">s in Europe </w:t>
            </w:r>
            <w:r w:rsidR="00104BB7" w:rsidRPr="00D658D7">
              <w:rPr>
                <w:sz w:val="20"/>
              </w:rPr>
              <w:t>(SPC extension conditional incentive)</w:t>
            </w:r>
          </w:p>
          <w:p w14:paraId="0FC9A8B2" w14:textId="77777777" w:rsidR="00D610CD" w:rsidRPr="00D658D7" w:rsidRDefault="00D610CD">
            <w:pPr>
              <w:spacing w:after="0"/>
              <w:rPr>
                <w:sz w:val="20"/>
              </w:rPr>
            </w:pPr>
          </w:p>
          <w:p w14:paraId="6EA6C2A1" w14:textId="300ED6AC" w:rsidR="00D610CD" w:rsidRPr="00D658D7" w:rsidRDefault="00D610CD">
            <w:pPr>
              <w:spacing w:after="0"/>
              <w:rPr>
                <w:sz w:val="20"/>
              </w:rPr>
            </w:pPr>
          </w:p>
        </w:tc>
        <w:tc>
          <w:tcPr>
            <w:tcW w:w="7379" w:type="dxa"/>
            <w:tcBorders>
              <w:top w:val="single" w:sz="4" w:space="0" w:color="auto"/>
              <w:bottom w:val="single" w:sz="4" w:space="0" w:color="auto"/>
            </w:tcBorders>
            <w:tcMar>
              <w:top w:w="57" w:type="dxa"/>
              <w:left w:w="57" w:type="dxa"/>
              <w:bottom w:w="57" w:type="dxa"/>
              <w:right w:w="57" w:type="dxa"/>
            </w:tcMar>
          </w:tcPr>
          <w:p w14:paraId="0E857C6C" w14:textId="2ADF5C34" w:rsidR="00D610CD" w:rsidRPr="00D658D7" w:rsidRDefault="00D610CD">
            <w:pPr>
              <w:rPr>
                <w:sz w:val="20"/>
              </w:rPr>
            </w:pPr>
            <w:r w:rsidRPr="00D658D7">
              <w:rPr>
                <w:sz w:val="20"/>
              </w:rPr>
              <w:lastRenderedPageBreak/>
              <w:t xml:space="preserve">If the Act enters into force swiftly, a one-off domestic increase of 4–8% over 3–4 years is considered feasible, yielding 350–700 additional trials; The average economic activity </w:t>
            </w:r>
            <w:r w:rsidRPr="00D658D7">
              <w:rPr>
                <w:sz w:val="20"/>
              </w:rPr>
              <w:lastRenderedPageBreak/>
              <w:t>value associated with this scenario is EUR 40–80 m</w:t>
            </w:r>
            <w:r w:rsidR="003E6896" w:rsidRPr="00D658D7">
              <w:rPr>
                <w:sz w:val="20"/>
              </w:rPr>
              <w:t>illion</w:t>
            </w:r>
            <w:r w:rsidRPr="00D658D7">
              <w:rPr>
                <w:sz w:val="20"/>
              </w:rPr>
              <w:t>/y</w:t>
            </w:r>
            <w:r w:rsidR="00A45649">
              <w:rPr>
                <w:sz w:val="20"/>
              </w:rPr>
              <w:t>ea</w:t>
            </w:r>
            <w:r w:rsidRPr="00D658D7">
              <w:rPr>
                <w:sz w:val="20"/>
              </w:rPr>
              <w:t>r and broader economic spillovers are estimated at EUR 316–695 m</w:t>
            </w:r>
            <w:r w:rsidR="003E6896" w:rsidRPr="00D658D7">
              <w:rPr>
                <w:sz w:val="20"/>
              </w:rPr>
              <w:t>illion</w:t>
            </w:r>
            <w:r w:rsidRPr="00D658D7">
              <w:rPr>
                <w:sz w:val="20"/>
              </w:rPr>
              <w:t>/y</w:t>
            </w:r>
            <w:r w:rsidR="00A45649">
              <w:rPr>
                <w:sz w:val="20"/>
              </w:rPr>
              <w:t>ea</w:t>
            </w:r>
            <w:r w:rsidRPr="00D658D7">
              <w:rPr>
                <w:sz w:val="20"/>
              </w:rPr>
              <w:t xml:space="preserve">r. </w:t>
            </w:r>
          </w:p>
          <w:p w14:paraId="3202FE4C" w14:textId="3690A481" w:rsidR="00D610CD" w:rsidRPr="00D658D7" w:rsidRDefault="00D610CD">
            <w:pPr>
              <w:rPr>
                <w:sz w:val="20"/>
              </w:rPr>
            </w:pPr>
            <w:r w:rsidRPr="00D658D7">
              <w:rPr>
                <w:sz w:val="20"/>
              </w:rPr>
              <w:t>If relocation effects also materialise, total additional trials could reach 700–1,400, though this depends on factors beyond regulation including HTA and reimbursement conditions. The average economic activity value associated with this scenario is EUR 80–160 m</w:t>
            </w:r>
            <w:r w:rsidR="003E6896" w:rsidRPr="00D658D7">
              <w:rPr>
                <w:sz w:val="20"/>
              </w:rPr>
              <w:t>illion</w:t>
            </w:r>
            <w:r w:rsidRPr="00D658D7">
              <w:rPr>
                <w:sz w:val="20"/>
              </w:rPr>
              <w:t>/y</w:t>
            </w:r>
            <w:r w:rsidR="00A45649">
              <w:rPr>
                <w:sz w:val="20"/>
              </w:rPr>
              <w:t>ea</w:t>
            </w:r>
            <w:r w:rsidRPr="00D658D7">
              <w:rPr>
                <w:sz w:val="20"/>
              </w:rPr>
              <w:t>r and broader economic spillovers are estimated at EUR 630–1,400 m</w:t>
            </w:r>
            <w:r w:rsidR="003E6896" w:rsidRPr="00D658D7">
              <w:rPr>
                <w:sz w:val="20"/>
              </w:rPr>
              <w:t>illion</w:t>
            </w:r>
            <w:r w:rsidRPr="00D658D7">
              <w:rPr>
                <w:sz w:val="20"/>
              </w:rPr>
              <w:t>/y</w:t>
            </w:r>
            <w:r w:rsidR="00A45649">
              <w:rPr>
                <w:sz w:val="20"/>
              </w:rPr>
              <w:t>ea</w:t>
            </w:r>
            <w:r w:rsidRPr="00D658D7">
              <w:rPr>
                <w:sz w:val="20"/>
              </w:rPr>
              <w:t>r.</w:t>
            </w:r>
          </w:p>
          <w:p w14:paraId="37E272E4" w14:textId="5886EFD7" w:rsidR="00D610CD" w:rsidRPr="00D658D7" w:rsidRDefault="00D610CD">
            <w:pPr>
              <w:rPr>
                <w:sz w:val="20"/>
              </w:rPr>
            </w:pPr>
            <w:r w:rsidRPr="00D658D7">
              <w:rPr>
                <w:sz w:val="20"/>
              </w:rPr>
              <w:t xml:space="preserve">Additionally, the SPC extension is expected to influence trial location at the margin: </w:t>
            </w:r>
            <w:r w:rsidR="004F3B99">
              <w:rPr>
                <w:sz w:val="20"/>
              </w:rPr>
              <w:t xml:space="preserve">between 2016-2025, </w:t>
            </w:r>
            <w:r w:rsidRPr="00D658D7">
              <w:rPr>
                <w:sz w:val="20"/>
              </w:rPr>
              <w:t>of 10</w:t>
            </w:r>
            <w:r w:rsidR="00424CE5">
              <w:rPr>
                <w:sz w:val="20"/>
              </w:rPr>
              <w:t>0</w:t>
            </w:r>
            <w:r w:rsidRPr="00D658D7">
              <w:rPr>
                <w:sz w:val="20"/>
              </w:rPr>
              <w:t xml:space="preserve"> products within scope of the eligibility incentive, </w:t>
            </w:r>
            <w:r w:rsidR="0099703B">
              <w:rPr>
                <w:sz w:val="20"/>
              </w:rPr>
              <w:t xml:space="preserve">14 </w:t>
            </w:r>
            <w:r w:rsidRPr="00D658D7">
              <w:rPr>
                <w:sz w:val="20"/>
              </w:rPr>
              <w:t xml:space="preserve">met all conditions except the multi-Member State trial requirement, </w:t>
            </w:r>
            <w:r w:rsidR="00D47704">
              <w:rPr>
                <w:sz w:val="20"/>
              </w:rPr>
              <w:t>representing the marginal case for developers to modify their behaviour in response to the incentive and conduct part of their clinical trials for marketing authorisation in more than 2 EU MS</w:t>
            </w:r>
            <w:r w:rsidRPr="00D658D7">
              <w:rPr>
                <w:sz w:val="20"/>
              </w:rPr>
              <w:t>.</w:t>
            </w:r>
          </w:p>
        </w:tc>
      </w:tr>
      <w:tr w:rsidR="00D610CD" w:rsidRPr="00D658D7" w14:paraId="4771B8DB" w14:textId="77777777" w:rsidTr="004570F2">
        <w:tc>
          <w:tcPr>
            <w:tcW w:w="0" w:type="auto"/>
            <w:tcBorders>
              <w:top w:val="single" w:sz="4" w:space="0" w:color="auto"/>
              <w:bottom w:val="single" w:sz="4" w:space="0" w:color="auto"/>
            </w:tcBorders>
          </w:tcPr>
          <w:p w14:paraId="10BD3F55" w14:textId="77777777" w:rsidR="00D610CD" w:rsidRPr="00D658D7" w:rsidRDefault="00D610CD">
            <w:pPr>
              <w:spacing w:after="0"/>
              <w:rPr>
                <w:sz w:val="20"/>
              </w:rPr>
            </w:pPr>
            <w:r w:rsidRPr="00D658D7">
              <w:rPr>
                <w:sz w:val="20"/>
              </w:rPr>
              <w:lastRenderedPageBreak/>
              <w:t>Enabling innovation and supporting new market entrants through regulatory sandboxes</w:t>
            </w:r>
          </w:p>
        </w:tc>
        <w:tc>
          <w:tcPr>
            <w:tcW w:w="0" w:type="auto"/>
            <w:tcBorders>
              <w:top w:val="single" w:sz="4" w:space="0" w:color="auto"/>
              <w:bottom w:val="single" w:sz="4" w:space="0" w:color="auto"/>
            </w:tcBorders>
            <w:tcMar>
              <w:top w:w="57" w:type="dxa"/>
              <w:left w:w="57" w:type="dxa"/>
              <w:bottom w:w="57" w:type="dxa"/>
              <w:right w:w="57" w:type="dxa"/>
            </w:tcMar>
          </w:tcPr>
          <w:p w14:paraId="47336809" w14:textId="4BABFC8C" w:rsidR="00D610CD" w:rsidRPr="00D658D7" w:rsidRDefault="00D610CD">
            <w:pPr>
              <w:spacing w:after="0"/>
              <w:rPr>
                <w:sz w:val="20"/>
              </w:rPr>
            </w:pPr>
            <w:r w:rsidRPr="00D658D7">
              <w:rPr>
                <w:sz w:val="20"/>
              </w:rPr>
              <w:t>6–40 SOHO sandboxes established per year (90–250 eligible cases/y</w:t>
            </w:r>
            <w:r w:rsidR="00A45649">
              <w:rPr>
                <w:sz w:val="20"/>
              </w:rPr>
              <w:t>ea</w:t>
            </w:r>
            <w:r w:rsidRPr="00D658D7">
              <w:rPr>
                <w:sz w:val="20"/>
              </w:rPr>
              <w:t>r; 7–16% acceptance rate)</w:t>
            </w:r>
          </w:p>
          <w:p w14:paraId="1A2AF80A" w14:textId="77777777" w:rsidR="00D610CD" w:rsidRPr="00D658D7" w:rsidRDefault="00D610CD">
            <w:pPr>
              <w:spacing w:after="0"/>
              <w:rPr>
                <w:sz w:val="20"/>
              </w:rPr>
            </w:pPr>
          </w:p>
          <w:p w14:paraId="7D7A5825" w14:textId="200460DA" w:rsidR="00D610CD" w:rsidRPr="00D658D7" w:rsidRDefault="00D610CD">
            <w:pPr>
              <w:spacing w:after="0"/>
              <w:rPr>
                <w:sz w:val="20"/>
              </w:rPr>
            </w:pPr>
            <w:r w:rsidRPr="00D658D7">
              <w:rPr>
                <w:sz w:val="20"/>
              </w:rPr>
              <w:t>40</w:t>
            </w:r>
            <w:r w:rsidR="006856C2">
              <w:rPr>
                <w:sz w:val="20"/>
              </w:rPr>
              <w:t>%</w:t>
            </w:r>
            <w:r w:rsidRPr="00D658D7">
              <w:rPr>
                <w:sz w:val="20"/>
              </w:rPr>
              <w:t xml:space="preserve"> shorter time from regulator engagement to market authorisation </w:t>
            </w:r>
          </w:p>
          <w:p w14:paraId="59946C57" w14:textId="77777777" w:rsidR="00D610CD" w:rsidRPr="00D658D7" w:rsidRDefault="00D610CD">
            <w:pPr>
              <w:spacing w:after="0"/>
              <w:rPr>
                <w:sz w:val="20"/>
              </w:rPr>
            </w:pPr>
          </w:p>
          <w:p w14:paraId="2E0D2AD6" w14:textId="77777777" w:rsidR="00D610CD" w:rsidRPr="00D658D7" w:rsidRDefault="00D610CD">
            <w:pPr>
              <w:spacing w:after="0"/>
              <w:rPr>
                <w:sz w:val="20"/>
              </w:rPr>
            </w:pPr>
          </w:p>
        </w:tc>
        <w:tc>
          <w:tcPr>
            <w:tcW w:w="7379" w:type="dxa"/>
            <w:tcBorders>
              <w:top w:val="single" w:sz="4" w:space="0" w:color="auto"/>
              <w:bottom w:val="single" w:sz="4" w:space="0" w:color="auto"/>
            </w:tcBorders>
            <w:tcMar>
              <w:top w:w="57" w:type="dxa"/>
              <w:left w:w="57" w:type="dxa"/>
              <w:bottom w:w="57" w:type="dxa"/>
              <w:right w:w="57" w:type="dxa"/>
            </w:tcMar>
          </w:tcPr>
          <w:p w14:paraId="4A31166E" w14:textId="35C27433" w:rsidR="00D610CD" w:rsidRPr="00D658D7" w:rsidRDefault="00D610CD">
            <w:pPr>
              <w:rPr>
                <w:sz w:val="20"/>
              </w:rPr>
            </w:pPr>
            <w:r w:rsidRPr="00D658D7">
              <w:rPr>
                <w:sz w:val="20"/>
              </w:rPr>
              <w:t>For SOHO, sandbox-eligible cases are estimated to represent 5–10</w:t>
            </w:r>
            <w:r w:rsidR="006856C2">
              <w:rPr>
                <w:sz w:val="20"/>
              </w:rPr>
              <w:t>%</w:t>
            </w:r>
            <w:r w:rsidRPr="00D658D7">
              <w:rPr>
                <w:sz w:val="20"/>
              </w:rPr>
              <w:t xml:space="preserve"> of overall SOHO activities, corresponding to 90–250 eligible cases per year; given observed acceptance rates of 7–16</w:t>
            </w:r>
            <w:r w:rsidR="006856C2">
              <w:rPr>
                <w:sz w:val="20"/>
              </w:rPr>
              <w:t>%</w:t>
            </w:r>
            <w:r w:rsidRPr="00D658D7">
              <w:rPr>
                <w:sz w:val="20"/>
              </w:rPr>
              <w:t xml:space="preserve"> in comparable sandbox regimes, between 6 and 40 sandboxes are expected to be established per year.</w:t>
            </w:r>
          </w:p>
          <w:p w14:paraId="583646C3" w14:textId="7FF09780" w:rsidR="00D610CD" w:rsidRPr="00D658D7" w:rsidRDefault="00D610CD">
            <w:pPr>
              <w:rPr>
                <w:sz w:val="20"/>
              </w:rPr>
            </w:pPr>
            <w:r w:rsidRPr="00D658D7">
              <w:rPr>
                <w:sz w:val="20"/>
              </w:rPr>
              <w:t>Evidence from FinTech sandboxes indicates participants achieve on average 40</w:t>
            </w:r>
            <w:r w:rsidR="006856C2">
              <w:rPr>
                <w:sz w:val="20"/>
              </w:rPr>
              <w:t>%</w:t>
            </w:r>
            <w:r w:rsidRPr="00D658D7">
              <w:rPr>
                <w:sz w:val="20"/>
              </w:rPr>
              <w:t xml:space="preserve"> shorter time from engagement with the regulator to market authorisation than comparable firms using standard processes; analogous gains are expected in SOHO though not yet quantifiable against a baseline given the absence of comparable EU precedent. </w:t>
            </w:r>
          </w:p>
          <w:p w14:paraId="354587A6" w14:textId="77777777" w:rsidR="00D610CD" w:rsidRPr="00D658D7" w:rsidRDefault="00D610CD">
            <w:pPr>
              <w:rPr>
                <w:sz w:val="20"/>
              </w:rPr>
            </w:pPr>
            <w:r w:rsidRPr="00D658D7">
              <w:rPr>
                <w:sz w:val="20"/>
              </w:rPr>
              <w:t xml:space="preserve">For VMPs, the baseline is zero as no EU-level veterinary sandbox currently exists; the measure therefore creates an entirely new pathway rather than improving an existing one. </w:t>
            </w:r>
          </w:p>
        </w:tc>
      </w:tr>
      <w:tr w:rsidR="00D610CD" w:rsidRPr="00D658D7" w14:paraId="5E2A8E55" w14:textId="77777777" w:rsidTr="004570F2">
        <w:tc>
          <w:tcPr>
            <w:tcW w:w="0" w:type="auto"/>
            <w:tcBorders>
              <w:top w:val="single" w:sz="4" w:space="0" w:color="auto"/>
              <w:bottom w:val="single" w:sz="4" w:space="0" w:color="auto"/>
            </w:tcBorders>
          </w:tcPr>
          <w:p w14:paraId="70CD8352" w14:textId="77777777" w:rsidR="00D610CD" w:rsidRPr="00D658D7" w:rsidRDefault="00D610CD">
            <w:pPr>
              <w:spacing w:after="0"/>
              <w:rPr>
                <w:sz w:val="20"/>
              </w:rPr>
            </w:pPr>
            <w:r w:rsidRPr="00D658D7">
              <w:rPr>
                <w:sz w:val="20"/>
              </w:rPr>
              <w:t>Accelerating the translation of research into clinical and commercial development</w:t>
            </w:r>
          </w:p>
        </w:tc>
        <w:tc>
          <w:tcPr>
            <w:tcW w:w="0" w:type="auto"/>
            <w:tcBorders>
              <w:top w:val="single" w:sz="4" w:space="0" w:color="auto"/>
              <w:bottom w:val="single" w:sz="4" w:space="0" w:color="auto"/>
            </w:tcBorders>
            <w:tcMar>
              <w:top w:w="57" w:type="dxa"/>
              <w:left w:w="57" w:type="dxa"/>
              <w:bottom w:w="57" w:type="dxa"/>
              <w:right w:w="57" w:type="dxa"/>
            </w:tcMar>
          </w:tcPr>
          <w:p w14:paraId="1733D1DC" w14:textId="4BF0F492" w:rsidR="00D610CD" w:rsidRPr="00D658D7" w:rsidRDefault="00D610CD">
            <w:pPr>
              <w:spacing w:after="0"/>
              <w:rPr>
                <w:sz w:val="20"/>
              </w:rPr>
            </w:pPr>
            <w:r w:rsidRPr="00D658D7">
              <w:rPr>
                <w:sz w:val="20"/>
              </w:rPr>
              <w:t>4–40 additional CTAs/y</w:t>
            </w:r>
            <w:r w:rsidR="00A45649">
              <w:rPr>
                <w:sz w:val="20"/>
              </w:rPr>
              <w:t>ea</w:t>
            </w:r>
            <w:r w:rsidRPr="00D658D7">
              <w:rPr>
                <w:sz w:val="20"/>
              </w:rPr>
              <w:t>r (low to high uptake via high-impact infrastructure)</w:t>
            </w:r>
          </w:p>
          <w:p w14:paraId="3A069C25" w14:textId="77777777" w:rsidR="00D610CD" w:rsidRPr="00D658D7" w:rsidRDefault="00D610CD">
            <w:pPr>
              <w:spacing w:after="0"/>
              <w:rPr>
                <w:sz w:val="20"/>
              </w:rPr>
            </w:pPr>
          </w:p>
          <w:p w14:paraId="2AA10C43" w14:textId="77777777" w:rsidR="00D610CD" w:rsidRPr="00D658D7" w:rsidRDefault="00D610CD">
            <w:pPr>
              <w:spacing w:after="0"/>
              <w:rPr>
                <w:sz w:val="20"/>
              </w:rPr>
            </w:pPr>
            <w:r w:rsidRPr="00D658D7">
              <w:rPr>
                <w:sz w:val="20"/>
              </w:rPr>
              <w:t>60–600 firms served annually (low to high uptake via high-impact infrastructure)</w:t>
            </w:r>
          </w:p>
          <w:p w14:paraId="7F60317D" w14:textId="77777777" w:rsidR="00D610CD" w:rsidRPr="00D658D7" w:rsidRDefault="00D610CD">
            <w:pPr>
              <w:spacing w:after="0"/>
              <w:rPr>
                <w:sz w:val="20"/>
              </w:rPr>
            </w:pPr>
          </w:p>
          <w:p w14:paraId="28578FBC" w14:textId="75E3749B" w:rsidR="00D610CD" w:rsidRPr="00D658D7" w:rsidRDefault="00021BBF">
            <w:pPr>
              <w:spacing w:after="0"/>
              <w:rPr>
                <w:sz w:val="20"/>
              </w:rPr>
            </w:pPr>
            <w:r>
              <w:rPr>
                <w:sz w:val="20"/>
              </w:rPr>
              <w:lastRenderedPageBreak/>
              <w:t>24</w:t>
            </w:r>
            <w:r w:rsidRPr="00D658D7">
              <w:rPr>
                <w:sz w:val="20"/>
              </w:rPr>
              <w:t xml:space="preserve"> </w:t>
            </w:r>
            <w:r w:rsidR="00D610CD" w:rsidRPr="00D658D7">
              <w:rPr>
                <w:sz w:val="20"/>
              </w:rPr>
              <w:t>products</w:t>
            </w:r>
            <w:r w:rsidR="00F0487B">
              <w:rPr>
                <w:sz w:val="20"/>
              </w:rPr>
              <w:t xml:space="preserve"> from 2016 -2025</w:t>
            </w:r>
            <w:r w:rsidR="00D610CD" w:rsidRPr="00D658D7">
              <w:rPr>
                <w:sz w:val="20"/>
              </w:rPr>
              <w:t xml:space="preserve"> identified as marginal cases for EU manufacturing step inclusion (SPC extension conditional incentive)</w:t>
            </w:r>
          </w:p>
        </w:tc>
        <w:tc>
          <w:tcPr>
            <w:tcW w:w="7379" w:type="dxa"/>
            <w:tcBorders>
              <w:top w:val="single" w:sz="4" w:space="0" w:color="auto"/>
              <w:bottom w:val="single" w:sz="4" w:space="0" w:color="auto"/>
            </w:tcBorders>
            <w:tcMar>
              <w:top w:w="57" w:type="dxa"/>
              <w:left w:w="57" w:type="dxa"/>
              <w:bottom w:w="57" w:type="dxa"/>
              <w:right w:w="57" w:type="dxa"/>
            </w:tcMar>
          </w:tcPr>
          <w:p w14:paraId="4231D492" w14:textId="77777777" w:rsidR="00D610CD" w:rsidRPr="00D658D7" w:rsidRDefault="00D610CD">
            <w:pPr>
              <w:rPr>
                <w:sz w:val="20"/>
              </w:rPr>
            </w:pPr>
            <w:r w:rsidRPr="00D658D7">
              <w:rPr>
                <w:sz w:val="20"/>
              </w:rPr>
              <w:lastRenderedPageBreak/>
              <w:t xml:space="preserve">High-impact infrastructure uptake scenarios assume 2 projects with shared late-stage translation capability under low uptake, 4–6 under medium, and 8–10 under high, driving the CTA and firms-served ranges proportionally. </w:t>
            </w:r>
          </w:p>
          <w:p w14:paraId="0CB4C480" w14:textId="454C6AD4" w:rsidR="00D610CD" w:rsidRPr="00D658D7" w:rsidRDefault="00D610CD">
            <w:pPr>
              <w:rPr>
                <w:sz w:val="20"/>
              </w:rPr>
            </w:pPr>
            <w:r w:rsidRPr="00D658D7">
              <w:rPr>
                <w:sz w:val="20"/>
              </w:rPr>
              <w:t>The 60</w:t>
            </w:r>
            <w:r w:rsidR="006856C2">
              <w:rPr>
                <w:sz w:val="20"/>
              </w:rPr>
              <w:t>%</w:t>
            </w:r>
            <w:r w:rsidRPr="00D658D7">
              <w:rPr>
                <w:sz w:val="20"/>
              </w:rPr>
              <w:t xml:space="preserve"> SME share is consistent across all uptake scenarios. </w:t>
            </w:r>
          </w:p>
          <w:p w14:paraId="0DE325B7" w14:textId="31FD49E8" w:rsidR="00D610CD" w:rsidRPr="00D658D7" w:rsidRDefault="00D610CD">
            <w:pPr>
              <w:rPr>
                <w:sz w:val="20"/>
              </w:rPr>
            </w:pPr>
            <w:r w:rsidRPr="00D658D7">
              <w:rPr>
                <w:sz w:val="20"/>
              </w:rPr>
              <w:t xml:space="preserve">The </w:t>
            </w:r>
            <w:r w:rsidR="00EE2083">
              <w:rPr>
                <w:sz w:val="20"/>
              </w:rPr>
              <w:t>24</w:t>
            </w:r>
            <w:r w:rsidRPr="00D658D7">
              <w:rPr>
                <w:sz w:val="20"/>
              </w:rPr>
              <w:t xml:space="preserve">-product SPC manufacturing effect reflects products meeting all other eligibility conditions except an EU-based manufacturing step at time of approval; the incentive is </w:t>
            </w:r>
            <w:r w:rsidRPr="00D658D7">
              <w:rPr>
                <w:sz w:val="20"/>
              </w:rPr>
              <w:lastRenderedPageBreak/>
              <w:t>expected to influence incremental production network decisions at the margin, not drive fundamental manufacturing relocation.</w:t>
            </w:r>
          </w:p>
        </w:tc>
      </w:tr>
      <w:tr w:rsidR="00D610CD" w:rsidRPr="00D658D7" w14:paraId="400250DF" w14:textId="77777777" w:rsidTr="004570F2">
        <w:tc>
          <w:tcPr>
            <w:tcW w:w="0" w:type="auto"/>
            <w:tcBorders>
              <w:top w:val="single" w:sz="4" w:space="0" w:color="auto"/>
              <w:bottom w:val="single" w:sz="4" w:space="0" w:color="auto"/>
            </w:tcBorders>
          </w:tcPr>
          <w:p w14:paraId="21A33D34" w14:textId="77777777" w:rsidR="00D610CD" w:rsidRPr="00D658D7" w:rsidRDefault="00D610CD">
            <w:pPr>
              <w:spacing w:after="0"/>
              <w:rPr>
                <w:sz w:val="20"/>
              </w:rPr>
            </w:pPr>
            <w:r w:rsidRPr="00D658D7">
              <w:rPr>
                <w:sz w:val="20"/>
              </w:rPr>
              <w:lastRenderedPageBreak/>
              <w:t>Building the enabling infrastructure for AI-driven biotechnology innovation</w:t>
            </w:r>
          </w:p>
        </w:tc>
        <w:tc>
          <w:tcPr>
            <w:tcW w:w="0" w:type="auto"/>
            <w:tcBorders>
              <w:top w:val="single" w:sz="4" w:space="0" w:color="auto"/>
              <w:bottom w:val="single" w:sz="4" w:space="0" w:color="auto"/>
            </w:tcBorders>
            <w:tcMar>
              <w:top w:w="57" w:type="dxa"/>
              <w:left w:w="57" w:type="dxa"/>
              <w:bottom w:w="57" w:type="dxa"/>
              <w:right w:w="57" w:type="dxa"/>
            </w:tcMar>
          </w:tcPr>
          <w:p w14:paraId="0E6FC411" w14:textId="77777777" w:rsidR="00D610CD" w:rsidRPr="00D658D7" w:rsidRDefault="00D610CD">
            <w:pPr>
              <w:spacing w:after="0"/>
              <w:rPr>
                <w:sz w:val="20"/>
              </w:rPr>
            </w:pPr>
            <w:r w:rsidRPr="00D658D7">
              <w:rPr>
                <w:sz w:val="20"/>
              </w:rPr>
              <w:t xml:space="preserve">EUR 89,000 per EMA qualification request replaced by free public guidance; </w:t>
            </w:r>
          </w:p>
          <w:p w14:paraId="70C18149" w14:textId="77777777" w:rsidR="00D610CD" w:rsidRPr="00D658D7" w:rsidRDefault="00D610CD">
            <w:pPr>
              <w:spacing w:after="0"/>
              <w:rPr>
                <w:sz w:val="20"/>
              </w:rPr>
            </w:pPr>
          </w:p>
          <w:p w14:paraId="4A89C7CD" w14:textId="77777777" w:rsidR="00D610CD" w:rsidRPr="00D658D7" w:rsidRDefault="00D610CD">
            <w:pPr>
              <w:spacing w:after="0"/>
              <w:rPr>
                <w:sz w:val="20"/>
              </w:rPr>
            </w:pPr>
            <w:r w:rsidRPr="00D658D7">
              <w:rPr>
                <w:sz w:val="20"/>
              </w:rPr>
              <w:t>160–250 days saved per interaction (Article 31)</w:t>
            </w:r>
          </w:p>
          <w:p w14:paraId="22C2EE19" w14:textId="77777777" w:rsidR="00D610CD" w:rsidRPr="00D658D7" w:rsidRDefault="00D610CD">
            <w:pPr>
              <w:spacing w:after="0"/>
              <w:rPr>
                <w:sz w:val="20"/>
              </w:rPr>
            </w:pPr>
          </w:p>
          <w:p w14:paraId="2B34FAC4" w14:textId="40F54466" w:rsidR="00D610CD" w:rsidRPr="00D658D7" w:rsidRDefault="00D610CD">
            <w:pPr>
              <w:spacing w:after="0"/>
              <w:rPr>
                <w:sz w:val="20"/>
              </w:rPr>
            </w:pPr>
            <w:r w:rsidRPr="00D658D7">
              <w:rPr>
                <w:sz w:val="20"/>
              </w:rPr>
              <w:t>120–495 companies and data users/y</w:t>
            </w:r>
            <w:r w:rsidR="00A45649">
              <w:rPr>
                <w:sz w:val="20"/>
              </w:rPr>
              <w:t>ea</w:t>
            </w:r>
            <w:r w:rsidRPr="00D658D7">
              <w:rPr>
                <w:sz w:val="20"/>
              </w:rPr>
              <w:t>r (low uptake); 1,100–3,400/y</w:t>
            </w:r>
            <w:r w:rsidR="00A45649">
              <w:rPr>
                <w:sz w:val="20"/>
              </w:rPr>
              <w:t>ea</w:t>
            </w:r>
            <w:r w:rsidRPr="00D658D7">
              <w:rPr>
                <w:sz w:val="20"/>
              </w:rPr>
              <w:t>r (medium uptake); 4,250–12,600/y</w:t>
            </w:r>
            <w:r w:rsidR="00A45649">
              <w:rPr>
                <w:sz w:val="20"/>
              </w:rPr>
              <w:t>ea</w:t>
            </w:r>
            <w:r w:rsidRPr="00D658D7">
              <w:rPr>
                <w:sz w:val="20"/>
              </w:rPr>
              <w:t>r (high uptake) (Articles 32 and 33)</w:t>
            </w:r>
          </w:p>
          <w:p w14:paraId="2A850832" w14:textId="77777777" w:rsidR="00D610CD" w:rsidRPr="00D658D7" w:rsidRDefault="00D610CD">
            <w:pPr>
              <w:spacing w:after="0"/>
              <w:rPr>
                <w:sz w:val="20"/>
              </w:rPr>
            </w:pPr>
          </w:p>
          <w:p w14:paraId="4C983B95" w14:textId="32E7A227" w:rsidR="00D610CD" w:rsidRPr="00D658D7" w:rsidRDefault="00B1E2E8">
            <w:pPr>
              <w:spacing w:after="0"/>
              <w:rPr>
                <w:sz w:val="20"/>
              </w:rPr>
            </w:pPr>
            <w:r w:rsidRPr="5DA36055">
              <w:rPr>
                <w:sz w:val="20"/>
                <w:szCs w:val="20"/>
              </w:rPr>
              <w:t>EUR 85–205 m</w:t>
            </w:r>
            <w:r w:rsidR="49DD781F" w:rsidRPr="5DA36055">
              <w:rPr>
                <w:sz w:val="20"/>
                <w:szCs w:val="20"/>
              </w:rPr>
              <w:t>illion</w:t>
            </w:r>
            <w:r w:rsidRPr="5DA36055">
              <w:rPr>
                <w:sz w:val="20"/>
                <w:szCs w:val="20"/>
              </w:rPr>
              <w:t xml:space="preserve"> cumulative CAPEX (low); EUR 650 m</w:t>
            </w:r>
            <w:r w:rsidR="49DD781F" w:rsidRPr="5DA36055">
              <w:rPr>
                <w:sz w:val="20"/>
                <w:szCs w:val="20"/>
              </w:rPr>
              <w:t>illion</w:t>
            </w:r>
            <w:r w:rsidRPr="5DA36055">
              <w:rPr>
                <w:sz w:val="20"/>
                <w:szCs w:val="20"/>
              </w:rPr>
              <w:t xml:space="preserve"> – 1.3 b</w:t>
            </w:r>
            <w:r w:rsidR="49DD781F" w:rsidRPr="5DA36055">
              <w:rPr>
                <w:sz w:val="20"/>
                <w:szCs w:val="20"/>
              </w:rPr>
              <w:t>illio</w:t>
            </w:r>
            <w:r w:rsidRPr="5DA36055">
              <w:rPr>
                <w:sz w:val="20"/>
                <w:szCs w:val="20"/>
              </w:rPr>
              <w:t>n (medium); EUR 2.4–7.2 b</w:t>
            </w:r>
            <w:r w:rsidR="49DD781F" w:rsidRPr="5DA36055">
              <w:rPr>
                <w:sz w:val="20"/>
                <w:szCs w:val="20"/>
              </w:rPr>
              <w:t>illio</w:t>
            </w:r>
            <w:r w:rsidRPr="5DA36055">
              <w:rPr>
                <w:sz w:val="20"/>
                <w:szCs w:val="20"/>
              </w:rPr>
              <w:t>n (high) over 5–</w:t>
            </w:r>
            <w:r w:rsidR="0BC761AF" w:rsidRPr="5DA36055">
              <w:rPr>
                <w:sz w:val="20"/>
                <w:szCs w:val="20"/>
              </w:rPr>
              <w:t>15-year</w:t>
            </w:r>
            <w:r w:rsidRPr="5DA36055">
              <w:rPr>
                <w:sz w:val="20"/>
                <w:szCs w:val="20"/>
              </w:rPr>
              <w:t xml:space="preserve"> build-out period</w:t>
            </w:r>
            <w:r w:rsidR="2720EF0D" w:rsidRPr="5DA36055">
              <w:rPr>
                <w:sz w:val="20"/>
                <w:szCs w:val="20"/>
              </w:rPr>
              <w:t>. Annualised CAPEX during build-out: EUR 17–41 million/year (low); EUR 65–130 million/year (medium); EUR 160–480 million/year (high)</w:t>
            </w:r>
            <w:r w:rsidR="00BE084E">
              <w:rPr>
                <w:rStyle w:val="FootnoteReference"/>
                <w:sz w:val="20"/>
              </w:rPr>
              <w:footnoteReference w:id="24"/>
            </w:r>
          </w:p>
        </w:tc>
        <w:tc>
          <w:tcPr>
            <w:tcW w:w="7379" w:type="dxa"/>
            <w:tcBorders>
              <w:top w:val="single" w:sz="4" w:space="0" w:color="auto"/>
              <w:bottom w:val="single" w:sz="4" w:space="0" w:color="auto"/>
            </w:tcBorders>
            <w:tcMar>
              <w:top w:w="57" w:type="dxa"/>
              <w:left w:w="57" w:type="dxa"/>
              <w:bottom w:w="57" w:type="dxa"/>
              <w:right w:w="57" w:type="dxa"/>
            </w:tcMar>
          </w:tcPr>
          <w:p w14:paraId="07329FAB" w14:textId="77777777" w:rsidR="00D610CD" w:rsidRPr="00D658D7" w:rsidRDefault="00D610CD">
            <w:pPr>
              <w:rPr>
                <w:sz w:val="20"/>
              </w:rPr>
            </w:pPr>
            <w:r w:rsidRPr="00D658D7">
              <w:rPr>
                <w:sz w:val="20"/>
              </w:rPr>
              <w:t xml:space="preserve">Article 31 harmonised AI guidance replaces costly one-off bilateral EMA interactions (currently EUR 89,000 per qualification request and 160–250 days per interaction) with a single publicly accessible reference point, disproportionately benefiting SMEs and academic developers. </w:t>
            </w:r>
          </w:p>
          <w:p w14:paraId="3C24231C" w14:textId="77777777" w:rsidR="00D610CD" w:rsidRPr="00D658D7" w:rsidRDefault="00D610CD">
            <w:pPr>
              <w:spacing w:after="0"/>
              <w:rPr>
                <w:sz w:val="20"/>
              </w:rPr>
            </w:pPr>
            <w:r w:rsidRPr="00D658D7">
              <w:rPr>
                <w:sz w:val="20"/>
              </w:rPr>
              <w:t xml:space="preserve">Articles 32 and 33 establish shared testing environments and data quality accelerators across three uptake scenarios, serving: </w:t>
            </w:r>
          </w:p>
          <w:p w14:paraId="5163C7A8" w14:textId="7B446FAE" w:rsidR="00D610CD" w:rsidRPr="00D658D7" w:rsidRDefault="00D610CD" w:rsidP="00D610CD">
            <w:pPr>
              <w:pStyle w:val="ListParagraph"/>
              <w:numPr>
                <w:ilvl w:val="0"/>
                <w:numId w:val="477"/>
              </w:numPr>
              <w:rPr>
                <w:sz w:val="20"/>
              </w:rPr>
            </w:pPr>
            <w:r w:rsidRPr="00D658D7">
              <w:rPr>
                <w:sz w:val="20"/>
              </w:rPr>
              <w:t>120–495 companies and data users/y</w:t>
            </w:r>
            <w:r w:rsidR="00A45649">
              <w:rPr>
                <w:sz w:val="20"/>
              </w:rPr>
              <w:t>ea</w:t>
            </w:r>
            <w:r w:rsidRPr="00D658D7">
              <w:rPr>
                <w:sz w:val="20"/>
              </w:rPr>
              <w:t xml:space="preserve">r (low; 2–3 environments and 2–3 accelerators), </w:t>
            </w:r>
          </w:p>
          <w:p w14:paraId="7BEF53BD" w14:textId="0B7D6B4A" w:rsidR="00D610CD" w:rsidRPr="00D658D7" w:rsidRDefault="00D610CD" w:rsidP="00D610CD">
            <w:pPr>
              <w:pStyle w:val="ListParagraph"/>
              <w:numPr>
                <w:ilvl w:val="0"/>
                <w:numId w:val="477"/>
              </w:numPr>
              <w:rPr>
                <w:sz w:val="20"/>
              </w:rPr>
            </w:pPr>
            <w:r w:rsidRPr="00D658D7">
              <w:rPr>
                <w:sz w:val="20"/>
              </w:rPr>
              <w:t>1,100–3,400/y</w:t>
            </w:r>
            <w:r w:rsidR="00A45649">
              <w:rPr>
                <w:sz w:val="20"/>
              </w:rPr>
              <w:t>ea</w:t>
            </w:r>
            <w:r w:rsidRPr="00D658D7">
              <w:rPr>
                <w:sz w:val="20"/>
              </w:rPr>
              <w:t xml:space="preserve">r (medium; 5–8 each), and </w:t>
            </w:r>
          </w:p>
          <w:p w14:paraId="276C8674" w14:textId="658999C6" w:rsidR="00D610CD" w:rsidRPr="00D658D7" w:rsidRDefault="00D610CD" w:rsidP="00D610CD">
            <w:pPr>
              <w:pStyle w:val="ListParagraph"/>
              <w:numPr>
                <w:ilvl w:val="0"/>
                <w:numId w:val="477"/>
              </w:numPr>
              <w:rPr>
                <w:sz w:val="20"/>
              </w:rPr>
            </w:pPr>
            <w:r w:rsidRPr="00D658D7">
              <w:rPr>
                <w:sz w:val="20"/>
              </w:rPr>
              <w:t>4,250–12,600/y</w:t>
            </w:r>
            <w:r w:rsidR="00A45649">
              <w:rPr>
                <w:sz w:val="20"/>
              </w:rPr>
              <w:t>ea</w:t>
            </w:r>
            <w:r w:rsidRPr="00D658D7">
              <w:rPr>
                <w:sz w:val="20"/>
              </w:rPr>
              <w:t xml:space="preserve">r (high; 10–15 each). </w:t>
            </w:r>
          </w:p>
          <w:p w14:paraId="096ECF4F" w14:textId="7FAF79EC" w:rsidR="00D610CD" w:rsidRPr="00D658D7" w:rsidRDefault="00D610CD">
            <w:pPr>
              <w:rPr>
                <w:sz w:val="20"/>
              </w:rPr>
            </w:pPr>
            <w:r w:rsidRPr="00D658D7">
              <w:rPr>
                <w:sz w:val="20"/>
              </w:rPr>
              <w:t>Total CAPEX ranges from EUR 85–205 m</w:t>
            </w:r>
            <w:r w:rsidR="003B6F8E" w:rsidRPr="00D658D7">
              <w:rPr>
                <w:sz w:val="20"/>
              </w:rPr>
              <w:t>illion</w:t>
            </w:r>
            <w:r w:rsidRPr="00D658D7">
              <w:rPr>
                <w:sz w:val="20"/>
              </w:rPr>
              <w:t xml:space="preserve"> (low) to EUR 650 m</w:t>
            </w:r>
            <w:r w:rsidR="003E6896" w:rsidRPr="00D658D7">
              <w:rPr>
                <w:sz w:val="20"/>
              </w:rPr>
              <w:t>illion</w:t>
            </w:r>
            <w:r w:rsidRPr="00D658D7">
              <w:rPr>
                <w:sz w:val="20"/>
              </w:rPr>
              <w:t xml:space="preserve"> – 1.3 b</w:t>
            </w:r>
            <w:r w:rsidR="003E6896" w:rsidRPr="00D658D7">
              <w:rPr>
                <w:sz w:val="20"/>
              </w:rPr>
              <w:t>illio</w:t>
            </w:r>
            <w:r w:rsidRPr="00D658D7">
              <w:rPr>
                <w:sz w:val="20"/>
              </w:rPr>
              <w:t>n (medium) to EUR 2.4–7.2 b</w:t>
            </w:r>
            <w:r w:rsidR="003E6896" w:rsidRPr="00D658D7">
              <w:rPr>
                <w:sz w:val="20"/>
              </w:rPr>
              <w:t>illio</w:t>
            </w:r>
            <w:r w:rsidRPr="00D658D7">
              <w:rPr>
                <w:sz w:val="20"/>
              </w:rPr>
              <w:t xml:space="preserve">n (high) over the project build-out period. </w:t>
            </w:r>
          </w:p>
          <w:p w14:paraId="7B13C1E4" w14:textId="77777777" w:rsidR="00D610CD" w:rsidRPr="00D658D7" w:rsidRDefault="00D610CD">
            <w:pPr>
              <w:rPr>
                <w:sz w:val="20"/>
              </w:rPr>
            </w:pPr>
            <w:r w:rsidRPr="00D658D7">
              <w:rPr>
                <w:sz w:val="20"/>
              </w:rPr>
              <w:t>Direct employment: 160–420 FTE (low) to 1,000–2,640 FTE (medium) to 3,300–7,500 FTE (high).</w:t>
            </w:r>
          </w:p>
        </w:tc>
      </w:tr>
      <w:tr w:rsidR="001514E0" w:rsidRPr="00D658D7" w14:paraId="105D511F" w14:textId="77777777" w:rsidTr="004570F2">
        <w:tc>
          <w:tcPr>
            <w:tcW w:w="0" w:type="auto"/>
            <w:tcBorders>
              <w:top w:val="single" w:sz="4" w:space="0" w:color="auto"/>
              <w:bottom w:val="double" w:sz="4" w:space="0" w:color="auto"/>
            </w:tcBorders>
          </w:tcPr>
          <w:p w14:paraId="33E55D65" w14:textId="77777777" w:rsidR="00D610CD" w:rsidRPr="00D658D7" w:rsidRDefault="00D610CD">
            <w:pPr>
              <w:spacing w:after="0"/>
              <w:rPr>
                <w:sz w:val="20"/>
              </w:rPr>
            </w:pPr>
            <w:r w:rsidRPr="00D658D7">
              <w:rPr>
                <w:sz w:val="20"/>
              </w:rPr>
              <w:t>Mitigating biosecurity risks arising from the wider accessibility of biotechnologies</w:t>
            </w:r>
          </w:p>
        </w:tc>
        <w:tc>
          <w:tcPr>
            <w:tcW w:w="0" w:type="auto"/>
            <w:tcBorders>
              <w:top w:val="single" w:sz="4" w:space="0" w:color="auto"/>
              <w:bottom w:val="double" w:sz="4" w:space="0" w:color="auto"/>
            </w:tcBorders>
            <w:tcMar>
              <w:top w:w="57" w:type="dxa"/>
              <w:left w:w="57" w:type="dxa"/>
              <w:bottom w:w="57" w:type="dxa"/>
              <w:right w:w="57" w:type="dxa"/>
            </w:tcMar>
          </w:tcPr>
          <w:p w14:paraId="013CB221" w14:textId="1D65AD30" w:rsidR="00D610CD" w:rsidRPr="00D658D7" w:rsidRDefault="00D610CD">
            <w:pPr>
              <w:spacing w:after="0"/>
              <w:rPr>
                <w:sz w:val="20"/>
              </w:rPr>
            </w:pPr>
            <w:r w:rsidRPr="00D658D7">
              <w:rPr>
                <w:sz w:val="20"/>
              </w:rPr>
              <w:t>EUR 2.9 b</w:t>
            </w:r>
            <w:r w:rsidR="003E6896" w:rsidRPr="00D658D7">
              <w:rPr>
                <w:sz w:val="20"/>
              </w:rPr>
              <w:t>illio</w:t>
            </w:r>
            <w:r w:rsidRPr="00D658D7">
              <w:rPr>
                <w:sz w:val="20"/>
              </w:rPr>
              <w:t>n expected benefits (2027): EUR 1.8 b</w:t>
            </w:r>
            <w:r w:rsidR="003E6896" w:rsidRPr="00D658D7">
              <w:rPr>
                <w:sz w:val="20"/>
              </w:rPr>
              <w:t>illio</w:t>
            </w:r>
            <w:r w:rsidRPr="00D658D7">
              <w:rPr>
                <w:sz w:val="20"/>
              </w:rPr>
              <w:t>n attack prevention + EUR 1.2 b</w:t>
            </w:r>
            <w:r w:rsidR="003E6896" w:rsidRPr="00D658D7">
              <w:rPr>
                <w:sz w:val="20"/>
              </w:rPr>
              <w:t>illio</w:t>
            </w:r>
            <w:r w:rsidRPr="00D658D7">
              <w:rPr>
                <w:sz w:val="20"/>
              </w:rPr>
              <w:t>n accident prevention</w:t>
            </w:r>
          </w:p>
          <w:p w14:paraId="108A4594" w14:textId="77777777" w:rsidR="00D610CD" w:rsidRPr="00D658D7" w:rsidRDefault="00D610CD">
            <w:pPr>
              <w:spacing w:after="0"/>
              <w:rPr>
                <w:sz w:val="20"/>
              </w:rPr>
            </w:pPr>
          </w:p>
          <w:p w14:paraId="239BEAFA" w14:textId="78744895" w:rsidR="00D610CD" w:rsidRPr="00D658D7" w:rsidRDefault="00D610CD">
            <w:pPr>
              <w:spacing w:after="0"/>
              <w:rPr>
                <w:sz w:val="20"/>
              </w:rPr>
            </w:pPr>
            <w:r w:rsidRPr="00D658D7">
              <w:rPr>
                <w:sz w:val="20"/>
              </w:rPr>
              <w:t>EUR 5.5 b</w:t>
            </w:r>
            <w:r w:rsidR="003E6896" w:rsidRPr="00D658D7">
              <w:rPr>
                <w:sz w:val="20"/>
              </w:rPr>
              <w:t>illio</w:t>
            </w:r>
            <w:r w:rsidRPr="00D658D7">
              <w:rPr>
                <w:sz w:val="20"/>
              </w:rPr>
              <w:t>n by 2036: EUR 2.9 b</w:t>
            </w:r>
            <w:r w:rsidR="003E6896" w:rsidRPr="00D658D7">
              <w:rPr>
                <w:sz w:val="20"/>
              </w:rPr>
              <w:t>illio</w:t>
            </w:r>
            <w:r w:rsidRPr="00D658D7">
              <w:rPr>
                <w:sz w:val="20"/>
              </w:rPr>
              <w:t>n attack prevention + EUR 2.7 b</w:t>
            </w:r>
            <w:r w:rsidR="003E6896" w:rsidRPr="00D658D7">
              <w:rPr>
                <w:sz w:val="20"/>
              </w:rPr>
              <w:t>illio</w:t>
            </w:r>
            <w:r w:rsidRPr="00D658D7">
              <w:rPr>
                <w:sz w:val="20"/>
              </w:rPr>
              <w:t>n accident prevention</w:t>
            </w:r>
          </w:p>
          <w:p w14:paraId="2F923E3E" w14:textId="77777777" w:rsidR="00D610CD" w:rsidRPr="00D658D7" w:rsidRDefault="00D610CD">
            <w:pPr>
              <w:spacing w:after="0"/>
              <w:rPr>
                <w:sz w:val="20"/>
              </w:rPr>
            </w:pPr>
          </w:p>
          <w:p w14:paraId="186AA24F" w14:textId="5943418E" w:rsidR="00D610CD" w:rsidRPr="00D658D7" w:rsidRDefault="00D610CD">
            <w:pPr>
              <w:spacing w:after="0"/>
              <w:rPr>
                <w:sz w:val="20"/>
              </w:rPr>
            </w:pPr>
            <w:r w:rsidRPr="00D658D7">
              <w:rPr>
                <w:sz w:val="20"/>
              </w:rPr>
              <w:t>35</w:t>
            </w:r>
            <w:r w:rsidR="006856C2">
              <w:rPr>
                <w:sz w:val="20"/>
              </w:rPr>
              <w:t>%</w:t>
            </w:r>
            <w:r w:rsidRPr="00D658D7">
              <w:rPr>
                <w:sz w:val="20"/>
              </w:rPr>
              <w:t xml:space="preserve"> deliberate attacks prevented; 86</w:t>
            </w:r>
            <w:r w:rsidR="006856C2">
              <w:rPr>
                <w:sz w:val="20"/>
              </w:rPr>
              <w:t>%</w:t>
            </w:r>
            <w:r w:rsidRPr="00D658D7">
              <w:rPr>
                <w:sz w:val="20"/>
              </w:rPr>
              <w:t xml:space="preserve"> accidental releases prevented</w:t>
            </w:r>
          </w:p>
          <w:p w14:paraId="4DE1815C" w14:textId="77777777" w:rsidR="00D610CD" w:rsidRPr="00D658D7" w:rsidRDefault="00D610CD">
            <w:pPr>
              <w:spacing w:after="0"/>
              <w:rPr>
                <w:sz w:val="20"/>
              </w:rPr>
            </w:pPr>
          </w:p>
          <w:p w14:paraId="5F2C81A5" w14:textId="0436C027" w:rsidR="00D610CD" w:rsidRPr="00D658D7" w:rsidRDefault="00D610CD">
            <w:pPr>
              <w:spacing w:after="0"/>
              <w:rPr>
                <w:sz w:val="20"/>
              </w:rPr>
            </w:pPr>
            <w:r w:rsidRPr="00D658D7">
              <w:rPr>
                <w:sz w:val="20"/>
              </w:rPr>
              <w:t>EUR 10 b</w:t>
            </w:r>
            <w:r w:rsidR="003E6896" w:rsidRPr="00D658D7">
              <w:rPr>
                <w:sz w:val="20"/>
              </w:rPr>
              <w:t>illio</w:t>
            </w:r>
            <w:r w:rsidRPr="00D658D7">
              <w:rPr>
                <w:sz w:val="20"/>
              </w:rPr>
              <w:t xml:space="preserve">n avoided future research value </w:t>
            </w:r>
          </w:p>
        </w:tc>
        <w:tc>
          <w:tcPr>
            <w:tcW w:w="7379" w:type="dxa"/>
            <w:tcBorders>
              <w:top w:val="single" w:sz="4" w:space="0" w:color="auto"/>
              <w:bottom w:val="double" w:sz="4" w:space="0" w:color="auto"/>
            </w:tcBorders>
            <w:tcMar>
              <w:top w:w="57" w:type="dxa"/>
              <w:left w:w="57" w:type="dxa"/>
              <w:bottom w:w="57" w:type="dxa"/>
              <w:right w:w="57" w:type="dxa"/>
            </w:tcMar>
          </w:tcPr>
          <w:p w14:paraId="49768995" w14:textId="69627484" w:rsidR="00D610CD" w:rsidRPr="00D658D7" w:rsidRDefault="00D610CD">
            <w:pPr>
              <w:rPr>
                <w:sz w:val="20"/>
              </w:rPr>
            </w:pPr>
            <w:r w:rsidRPr="00D658D7">
              <w:rPr>
                <w:sz w:val="20"/>
              </w:rPr>
              <w:t>Benefits split: EUR 1.8 b</w:t>
            </w:r>
            <w:r w:rsidR="003E6896" w:rsidRPr="00D658D7">
              <w:rPr>
                <w:sz w:val="20"/>
              </w:rPr>
              <w:t>illio</w:t>
            </w:r>
            <w:r w:rsidRPr="00D658D7">
              <w:rPr>
                <w:sz w:val="20"/>
              </w:rPr>
              <w:t>n (attack prevention) + EUR 1.2 b</w:t>
            </w:r>
            <w:r w:rsidR="003E6896" w:rsidRPr="00D658D7">
              <w:rPr>
                <w:sz w:val="20"/>
              </w:rPr>
              <w:t>illio</w:t>
            </w:r>
            <w:r w:rsidRPr="00D658D7">
              <w:rPr>
                <w:sz w:val="20"/>
              </w:rPr>
              <w:t>n (accident prevention) = EUR 2.9 b</w:t>
            </w:r>
            <w:r w:rsidR="003E6896" w:rsidRPr="00D658D7">
              <w:rPr>
                <w:sz w:val="20"/>
              </w:rPr>
              <w:t>illio</w:t>
            </w:r>
            <w:r w:rsidRPr="00D658D7">
              <w:rPr>
                <w:sz w:val="20"/>
              </w:rPr>
              <w:t>n in 2027; rising to EUR 2.9 b</w:t>
            </w:r>
            <w:r w:rsidR="003E6896" w:rsidRPr="00D658D7">
              <w:rPr>
                <w:sz w:val="20"/>
              </w:rPr>
              <w:t>illio</w:t>
            </w:r>
            <w:r w:rsidRPr="00D658D7">
              <w:rPr>
                <w:sz w:val="20"/>
              </w:rPr>
              <w:t>n + EUR 2.7 b</w:t>
            </w:r>
            <w:r w:rsidR="003E6896" w:rsidRPr="00D658D7">
              <w:rPr>
                <w:sz w:val="20"/>
              </w:rPr>
              <w:t>illio</w:t>
            </w:r>
            <w:r w:rsidRPr="00D658D7">
              <w:rPr>
                <w:sz w:val="20"/>
              </w:rPr>
              <w:t>n = EUR 5.5 b</w:t>
            </w:r>
            <w:r w:rsidR="003E6896" w:rsidRPr="00D658D7">
              <w:rPr>
                <w:sz w:val="20"/>
              </w:rPr>
              <w:t>illio</w:t>
            </w:r>
            <w:r w:rsidRPr="00D658D7">
              <w:rPr>
                <w:sz w:val="20"/>
              </w:rPr>
              <w:t xml:space="preserve">n </w:t>
            </w:r>
            <w:r w:rsidR="00A2775F">
              <w:rPr>
                <w:sz w:val="20"/>
              </w:rPr>
              <w:t>in</w:t>
            </w:r>
            <w:r w:rsidR="00A2775F" w:rsidRPr="00D658D7">
              <w:rPr>
                <w:sz w:val="20"/>
              </w:rPr>
              <w:t xml:space="preserve"> </w:t>
            </w:r>
            <w:r w:rsidRPr="00D658D7">
              <w:rPr>
                <w:sz w:val="20"/>
              </w:rPr>
              <w:t xml:space="preserve">2036, reflecting increased screening coverage over time. </w:t>
            </w:r>
          </w:p>
          <w:p w14:paraId="6388EF85" w14:textId="4AA88E37" w:rsidR="00D610CD" w:rsidRPr="00D658D7" w:rsidRDefault="00D610CD">
            <w:pPr>
              <w:rPr>
                <w:sz w:val="20"/>
              </w:rPr>
            </w:pPr>
            <w:r w:rsidRPr="00D658D7">
              <w:rPr>
                <w:sz w:val="20"/>
              </w:rPr>
              <w:t>The 35</w:t>
            </w:r>
            <w:r w:rsidR="006856C2">
              <w:rPr>
                <w:sz w:val="20"/>
              </w:rPr>
              <w:t>%</w:t>
            </w:r>
            <w:r w:rsidRPr="00D658D7">
              <w:rPr>
                <w:sz w:val="20"/>
              </w:rPr>
              <w:t xml:space="preserve"> attack prevention rate reflects that malicious actors can still order through non-EU suppliers; the 86</w:t>
            </w:r>
            <w:r w:rsidR="006856C2">
              <w:rPr>
                <w:sz w:val="20"/>
              </w:rPr>
              <w:t>%</w:t>
            </w:r>
            <w:r w:rsidRPr="00D658D7">
              <w:rPr>
                <w:sz w:val="20"/>
              </w:rPr>
              <w:t xml:space="preserve"> accident prevention rate reflects near-complete coverage of accidental misuse pathways. </w:t>
            </w:r>
          </w:p>
          <w:p w14:paraId="45941541" w14:textId="24F832B9" w:rsidR="006D4F43" w:rsidRPr="00D658D7" w:rsidRDefault="00FC5F41">
            <w:pPr>
              <w:rPr>
                <w:sz w:val="20"/>
              </w:rPr>
            </w:pPr>
            <w:r>
              <w:rPr>
                <w:sz w:val="20"/>
              </w:rPr>
              <w:t>_</w:t>
            </w:r>
          </w:p>
          <w:p w14:paraId="2D6199B4" w14:textId="15CEBE85" w:rsidR="00D610CD" w:rsidRDefault="00D610CD">
            <w:pPr>
              <w:rPr>
                <w:sz w:val="20"/>
              </w:rPr>
            </w:pPr>
            <w:r w:rsidRPr="00D658D7">
              <w:rPr>
                <w:sz w:val="20"/>
              </w:rPr>
              <w:lastRenderedPageBreak/>
              <w:t>The EUR 10 b</w:t>
            </w:r>
            <w:r w:rsidR="003E6896" w:rsidRPr="00D658D7">
              <w:rPr>
                <w:sz w:val="20"/>
              </w:rPr>
              <w:t>illio</w:t>
            </w:r>
            <w:r w:rsidRPr="00D658D7">
              <w:rPr>
                <w:sz w:val="20"/>
              </w:rPr>
              <w:t>n avoided research value represents RAND's estimate of lost future research value from a regulatory backlash following a major biosecurity event.</w:t>
            </w:r>
          </w:p>
          <w:p w14:paraId="661D629F" w14:textId="28F9A0C1" w:rsidR="00FF6493" w:rsidRPr="00D658D7" w:rsidRDefault="00FF6493">
            <w:pPr>
              <w:rPr>
                <w:sz w:val="20"/>
              </w:rPr>
            </w:pPr>
          </w:p>
        </w:tc>
      </w:tr>
      <w:tr w:rsidR="00D610CD" w:rsidRPr="00D658D7" w14:paraId="2FC2FEE7" w14:textId="77777777" w:rsidTr="004570F2">
        <w:tc>
          <w:tcPr>
            <w:tcW w:w="15237" w:type="dxa"/>
            <w:gridSpan w:val="3"/>
            <w:shd w:val="clear" w:color="auto" w:fill="F2F2F2" w:themeFill="background1" w:themeFillShade="F2"/>
          </w:tcPr>
          <w:p w14:paraId="66FDC031" w14:textId="77777777" w:rsidR="00D610CD" w:rsidRPr="00D658D7" w:rsidRDefault="00D610CD">
            <w:pPr>
              <w:spacing w:after="0"/>
              <w:jc w:val="center"/>
              <w:rPr>
                <w:b/>
                <w:i/>
                <w:sz w:val="20"/>
              </w:rPr>
            </w:pPr>
            <w:r w:rsidRPr="00D658D7">
              <w:rPr>
                <w:b/>
                <w:i/>
                <w:sz w:val="20"/>
              </w:rPr>
              <w:lastRenderedPageBreak/>
              <w:t>Indirect benefits</w:t>
            </w:r>
          </w:p>
        </w:tc>
      </w:tr>
      <w:tr w:rsidR="00D610CD" w:rsidRPr="00D658D7" w14:paraId="07BB5C5A" w14:textId="77777777" w:rsidTr="004570F2">
        <w:tc>
          <w:tcPr>
            <w:tcW w:w="0" w:type="auto"/>
            <w:tcBorders>
              <w:top w:val="double" w:sz="4" w:space="0" w:color="auto"/>
            </w:tcBorders>
          </w:tcPr>
          <w:p w14:paraId="66B9BB5B" w14:textId="77777777" w:rsidR="00D610CD" w:rsidRPr="00D658D7" w:rsidRDefault="00D610CD">
            <w:pPr>
              <w:rPr>
                <w:sz w:val="20"/>
              </w:rPr>
            </w:pPr>
            <w:r w:rsidRPr="00D658D7">
              <w:rPr>
                <w:sz w:val="20"/>
              </w:rPr>
              <w:t>Earlier and broader patient access to biotechnology-derived treatments</w:t>
            </w:r>
          </w:p>
        </w:tc>
        <w:tc>
          <w:tcPr>
            <w:tcW w:w="0" w:type="auto"/>
            <w:tcBorders>
              <w:top w:val="double" w:sz="4" w:space="0" w:color="auto"/>
            </w:tcBorders>
            <w:tcMar>
              <w:top w:w="57" w:type="dxa"/>
              <w:left w:w="57" w:type="dxa"/>
              <w:bottom w:w="57" w:type="dxa"/>
              <w:right w:w="57" w:type="dxa"/>
            </w:tcMar>
          </w:tcPr>
          <w:p w14:paraId="7E559149" w14:textId="77777777" w:rsidR="00D610CD" w:rsidRPr="00D658D7" w:rsidRDefault="00D610CD">
            <w:pPr>
              <w:rPr>
                <w:sz w:val="20"/>
              </w:rPr>
            </w:pPr>
            <w:r w:rsidRPr="00D658D7">
              <w:rPr>
                <w:sz w:val="20"/>
              </w:rPr>
              <w:t>~100 products reaching market up to 6 months earlier</w:t>
            </w:r>
          </w:p>
          <w:p w14:paraId="33B387B2" w14:textId="376FBD86" w:rsidR="00D610CD" w:rsidRPr="00D658D7" w:rsidRDefault="00D610CD">
            <w:pPr>
              <w:rPr>
                <w:sz w:val="20"/>
              </w:rPr>
            </w:pPr>
            <w:r w:rsidRPr="00D658D7">
              <w:rPr>
                <w:sz w:val="20"/>
              </w:rPr>
              <w:t>1,435 additional transplants/y</w:t>
            </w:r>
            <w:r w:rsidR="00A45649">
              <w:rPr>
                <w:sz w:val="20"/>
              </w:rPr>
              <w:t>ea</w:t>
            </w:r>
            <w:r w:rsidRPr="00D658D7">
              <w:rPr>
                <w:sz w:val="20"/>
              </w:rPr>
              <w:t>r by 2035</w:t>
            </w:r>
          </w:p>
          <w:p w14:paraId="096979FB" w14:textId="5E991E8D" w:rsidR="00D610CD" w:rsidRPr="00D658D7" w:rsidRDefault="00D610CD">
            <w:pPr>
              <w:rPr>
                <w:sz w:val="20"/>
              </w:rPr>
            </w:pPr>
            <w:r w:rsidRPr="00D658D7">
              <w:rPr>
                <w:sz w:val="20"/>
              </w:rPr>
              <w:t>57–72 waiting-list deaths averted/y</w:t>
            </w:r>
            <w:r w:rsidR="00A45649">
              <w:rPr>
                <w:sz w:val="20"/>
              </w:rPr>
              <w:t>ea</w:t>
            </w:r>
            <w:r w:rsidRPr="00D658D7">
              <w:rPr>
                <w:sz w:val="20"/>
              </w:rPr>
              <w:t>r by 2035; 248–311 cumulatively (2028–2035); valued at EUR 285–537 m</w:t>
            </w:r>
            <w:r w:rsidR="003E6896" w:rsidRPr="00D658D7">
              <w:rPr>
                <w:sz w:val="20"/>
              </w:rPr>
              <w:t>illion</w:t>
            </w:r>
          </w:p>
          <w:p w14:paraId="2E793C25" w14:textId="3335F55E" w:rsidR="00D610CD" w:rsidRPr="004570F2" w:rsidRDefault="00D610CD">
            <w:pPr>
              <w:rPr>
                <w:sz w:val="20"/>
              </w:rPr>
            </w:pPr>
            <w:r w:rsidRPr="004570F2">
              <w:rPr>
                <w:sz w:val="20"/>
              </w:rPr>
              <w:t xml:space="preserve">EUR 158 </w:t>
            </w:r>
            <w:r w:rsidRPr="00F15523">
              <w:rPr>
                <w:sz w:val="20"/>
              </w:rPr>
              <w:t>m</w:t>
            </w:r>
            <w:r w:rsidR="003E6896" w:rsidRPr="00F15523">
              <w:rPr>
                <w:sz w:val="20"/>
              </w:rPr>
              <w:t>illion</w:t>
            </w:r>
            <w:r w:rsidRPr="004570F2">
              <w:rPr>
                <w:sz w:val="20"/>
              </w:rPr>
              <w:t xml:space="preserve"> cumulative dialysis cost avoidance (2028–2035)</w:t>
            </w:r>
            <w:r w:rsidR="006B26AD" w:rsidRPr="00F15523">
              <w:rPr>
                <w:sz w:val="20"/>
              </w:rPr>
              <w:t> ; ; EUR 19.75 million/year average.</w:t>
            </w:r>
          </w:p>
          <w:p w14:paraId="7C05267D" w14:textId="2C0807DD" w:rsidR="00D610CD" w:rsidRPr="00D658D7" w:rsidRDefault="00D610CD">
            <w:pPr>
              <w:rPr>
                <w:sz w:val="20"/>
              </w:rPr>
            </w:pPr>
            <w:r w:rsidRPr="00D658D7">
              <w:rPr>
                <w:sz w:val="20"/>
              </w:rPr>
              <w:t>EUR 443–695 m</w:t>
            </w:r>
            <w:r w:rsidR="003E6896" w:rsidRPr="00D658D7">
              <w:rPr>
                <w:sz w:val="20"/>
              </w:rPr>
              <w:t>illion</w:t>
            </w:r>
            <w:r w:rsidRPr="00D658D7">
              <w:rPr>
                <w:sz w:val="20"/>
              </w:rPr>
              <w:t xml:space="preserve"> total monetised benefit (EUR 285–537 m</w:t>
            </w:r>
            <w:r w:rsidR="003E6896" w:rsidRPr="00D658D7">
              <w:rPr>
                <w:sz w:val="20"/>
              </w:rPr>
              <w:t>illion</w:t>
            </w:r>
            <w:r w:rsidRPr="00D658D7">
              <w:rPr>
                <w:sz w:val="20"/>
              </w:rPr>
              <w:t xml:space="preserve"> + EUR 158 m</w:t>
            </w:r>
            <w:r w:rsidR="003E6896" w:rsidRPr="00D658D7">
              <w:rPr>
                <w:sz w:val="20"/>
              </w:rPr>
              <w:t>illion</w:t>
            </w:r>
            <w:r w:rsidRPr="00D658D7">
              <w:rPr>
                <w:sz w:val="20"/>
              </w:rPr>
              <w:t>)</w:t>
            </w:r>
            <w:r w:rsidR="003D0D58">
              <w:rPr>
                <w:sz w:val="20"/>
              </w:rPr>
              <w:t>; EUR 55 – 87 million/year average.</w:t>
            </w:r>
          </w:p>
        </w:tc>
        <w:tc>
          <w:tcPr>
            <w:tcW w:w="7379" w:type="dxa"/>
            <w:tcBorders>
              <w:top w:val="double" w:sz="4" w:space="0" w:color="auto"/>
            </w:tcBorders>
            <w:tcMar>
              <w:top w:w="57" w:type="dxa"/>
              <w:left w:w="57" w:type="dxa"/>
              <w:bottom w:w="57" w:type="dxa"/>
              <w:right w:w="57" w:type="dxa"/>
            </w:tcMar>
          </w:tcPr>
          <w:p w14:paraId="6CA27B73" w14:textId="4B2279C2" w:rsidR="00D610CD" w:rsidRPr="00D658D7" w:rsidRDefault="00D610CD">
            <w:pPr>
              <w:rPr>
                <w:sz w:val="20"/>
              </w:rPr>
            </w:pPr>
            <w:r w:rsidRPr="00D658D7">
              <w:rPr>
                <w:sz w:val="20"/>
              </w:rPr>
              <w:t>Clinical trials reform: ~8</w:t>
            </w:r>
            <w:r w:rsidR="006856C2">
              <w:rPr>
                <w:sz w:val="20"/>
              </w:rPr>
              <w:t>%</w:t>
            </w:r>
            <w:r w:rsidRPr="00D658D7">
              <w:rPr>
                <w:sz w:val="20"/>
              </w:rPr>
              <w:t xml:space="preserve"> average launch rate applied to 2,500–3,000 products tested annually yields ~100 products potentially reaching market up to 6 months earlier. </w:t>
            </w:r>
          </w:p>
          <w:p w14:paraId="3066D64D" w14:textId="77777777" w:rsidR="00D610CD" w:rsidRPr="00D658D7" w:rsidRDefault="00D610CD">
            <w:pPr>
              <w:rPr>
                <w:sz w:val="20"/>
              </w:rPr>
            </w:pPr>
            <w:r w:rsidRPr="00D658D7">
              <w:rPr>
                <w:sz w:val="20"/>
              </w:rPr>
              <w:t>ATMP reforms expected to accelerate access in high-unmet-need areas, however not quantified.</w:t>
            </w:r>
          </w:p>
          <w:p w14:paraId="7438149F" w14:textId="04A5E477" w:rsidR="00D610CD" w:rsidRPr="00D658D7" w:rsidRDefault="00D610CD">
            <w:pPr>
              <w:rPr>
                <w:sz w:val="20"/>
              </w:rPr>
            </w:pPr>
            <w:r w:rsidRPr="00D658D7">
              <w:rPr>
                <w:sz w:val="20"/>
              </w:rPr>
              <w:t>Organ processing: 1,435 additional transplants/y</w:t>
            </w:r>
            <w:r w:rsidR="00A45649">
              <w:rPr>
                <w:sz w:val="20"/>
              </w:rPr>
              <w:t>ea</w:t>
            </w:r>
            <w:r w:rsidRPr="00D658D7">
              <w:rPr>
                <w:sz w:val="20"/>
              </w:rPr>
              <w:t>r by 2035 (approximately 847 kidney, 357 liver, 99 lung) derived from a moderate-scenario 1.5–2.5 percentage point reduction in the all-organ discard rate; set against a baseline waiting list of 52,488 patients and 3,366 waiting-list deaths annually (6.4</w:t>
            </w:r>
            <w:r w:rsidR="006856C2">
              <w:rPr>
                <w:sz w:val="20"/>
              </w:rPr>
              <w:t>%</w:t>
            </w:r>
            <w:r w:rsidRPr="00D658D7">
              <w:rPr>
                <w:sz w:val="20"/>
              </w:rPr>
              <w:t xml:space="preserve"> annual mortality rate). </w:t>
            </w:r>
          </w:p>
          <w:p w14:paraId="267C10FF" w14:textId="6B3A6CAA" w:rsidR="00D610CD" w:rsidRPr="00D658D7" w:rsidRDefault="00D610CD">
            <w:pPr>
              <w:rPr>
                <w:sz w:val="20"/>
              </w:rPr>
            </w:pPr>
            <w:r w:rsidRPr="00D658D7">
              <w:rPr>
                <w:sz w:val="20"/>
              </w:rPr>
              <w:t>570–945 fewer organ discards/y</w:t>
            </w:r>
            <w:r w:rsidR="00A45649">
              <w:rPr>
                <w:sz w:val="20"/>
              </w:rPr>
              <w:t>ea</w:t>
            </w:r>
            <w:r w:rsidRPr="00D658D7">
              <w:rPr>
                <w:sz w:val="20"/>
              </w:rPr>
              <w:t xml:space="preserve">r by 2035. </w:t>
            </w:r>
          </w:p>
          <w:p w14:paraId="00A4DC95" w14:textId="11BA12C7" w:rsidR="00D610CD" w:rsidRPr="00D658D7" w:rsidRDefault="00D610CD">
            <w:pPr>
              <w:rPr>
                <w:sz w:val="20"/>
              </w:rPr>
            </w:pPr>
            <w:r w:rsidRPr="00D658D7">
              <w:rPr>
                <w:sz w:val="20"/>
              </w:rPr>
              <w:t>Deaths averted: 57–72/y</w:t>
            </w:r>
            <w:r w:rsidR="00A45649">
              <w:rPr>
                <w:sz w:val="20"/>
              </w:rPr>
              <w:t>ea</w:t>
            </w:r>
            <w:r w:rsidRPr="00D658D7">
              <w:rPr>
                <w:sz w:val="20"/>
              </w:rPr>
              <w:t>r applying a conservative 4–5</w:t>
            </w:r>
            <w:r w:rsidR="006856C2">
              <w:rPr>
                <w:sz w:val="20"/>
              </w:rPr>
              <w:t>%</w:t>
            </w:r>
            <w:r w:rsidRPr="00D658D7">
              <w:rPr>
                <w:sz w:val="20"/>
              </w:rPr>
              <w:t xml:space="preserve"> marginal mortality rate to marginal transplant recipients; 248–311 cumulative over 2028–2035, valued at EUR 285–537 m</w:t>
            </w:r>
            <w:r w:rsidR="003E6896" w:rsidRPr="00D658D7">
              <w:rPr>
                <w:sz w:val="20"/>
              </w:rPr>
              <w:t>illion</w:t>
            </w:r>
            <w:r w:rsidRPr="00D658D7">
              <w:rPr>
                <w:sz w:val="20"/>
              </w:rPr>
              <w:t xml:space="preserve">. </w:t>
            </w:r>
          </w:p>
          <w:p w14:paraId="4FAF00B7" w14:textId="2A6F0E32" w:rsidR="00D610CD" w:rsidRPr="00D658D7" w:rsidRDefault="00D610CD">
            <w:pPr>
              <w:rPr>
                <w:sz w:val="20"/>
              </w:rPr>
            </w:pPr>
            <w:r w:rsidRPr="00D658D7">
              <w:rPr>
                <w:sz w:val="20"/>
              </w:rPr>
              <w:t>Dialysis cost avoidance: EUR 158 m</w:t>
            </w:r>
            <w:r w:rsidR="003E6896" w:rsidRPr="00D658D7">
              <w:rPr>
                <w:sz w:val="20"/>
              </w:rPr>
              <w:t>illion</w:t>
            </w:r>
            <w:r w:rsidRPr="00D658D7">
              <w:rPr>
                <w:sz w:val="20"/>
              </w:rPr>
              <w:t xml:space="preserve"> cumulative (2028–2035), based on ~3,295 additional patients living with a functioning transplant by 2035. </w:t>
            </w:r>
          </w:p>
        </w:tc>
      </w:tr>
      <w:tr w:rsidR="00D610CD" w:rsidRPr="00D658D7" w14:paraId="27B981FD" w14:textId="77777777" w:rsidTr="004570F2">
        <w:tc>
          <w:tcPr>
            <w:tcW w:w="0" w:type="auto"/>
          </w:tcPr>
          <w:p w14:paraId="39D2AEE7" w14:textId="77777777" w:rsidR="00D610CD" w:rsidRPr="00D658D7" w:rsidRDefault="00D610CD">
            <w:pPr>
              <w:spacing w:after="0"/>
              <w:rPr>
                <w:sz w:val="20"/>
              </w:rPr>
            </w:pPr>
            <w:r w:rsidRPr="00D658D7">
              <w:rPr>
                <w:sz w:val="20"/>
              </w:rPr>
              <w:t>Strengthening supply chain resilience for essential biotechnology medicines</w:t>
            </w:r>
          </w:p>
        </w:tc>
        <w:tc>
          <w:tcPr>
            <w:tcW w:w="0" w:type="auto"/>
            <w:tcMar>
              <w:top w:w="57" w:type="dxa"/>
              <w:left w:w="57" w:type="dxa"/>
              <w:bottom w:w="57" w:type="dxa"/>
              <w:right w:w="57" w:type="dxa"/>
            </w:tcMar>
          </w:tcPr>
          <w:p w14:paraId="628CB553" w14:textId="77777777" w:rsidR="00D610CD" w:rsidRPr="00D658D7" w:rsidRDefault="00D610CD">
            <w:pPr>
              <w:spacing w:after="0"/>
              <w:rPr>
                <w:sz w:val="20"/>
              </w:rPr>
            </w:pPr>
            <w:r w:rsidRPr="00D658D7">
              <w:rPr>
                <w:sz w:val="20"/>
              </w:rPr>
              <w:t>8–60 capacity-relevant EU biomanufacturing deployments by 2038 (low: 8–15; medium: 18–35; high: 30–60)</w:t>
            </w:r>
          </w:p>
          <w:p w14:paraId="4B151016" w14:textId="77777777" w:rsidR="00D610CD" w:rsidRPr="00D658D7" w:rsidRDefault="00D610CD">
            <w:pPr>
              <w:spacing w:after="0"/>
              <w:rPr>
                <w:sz w:val="20"/>
              </w:rPr>
            </w:pPr>
          </w:p>
          <w:p w14:paraId="0216FB28" w14:textId="77777777" w:rsidR="00D610CD" w:rsidRPr="00D658D7" w:rsidRDefault="00D610CD">
            <w:pPr>
              <w:spacing w:after="0"/>
              <w:rPr>
                <w:sz w:val="20"/>
              </w:rPr>
            </w:pPr>
            <w:r w:rsidRPr="00D658D7">
              <w:rPr>
                <w:sz w:val="20"/>
              </w:rPr>
              <w:t>Of which 1–10 biosimilar-specific manufacturing deployments (low: 1–2; medium: 3–5; high: 5–10)</w:t>
            </w:r>
          </w:p>
          <w:p w14:paraId="46ADD4DE" w14:textId="77777777" w:rsidR="00D610CD" w:rsidRPr="00D658D7" w:rsidRDefault="00D610CD">
            <w:pPr>
              <w:spacing w:after="0"/>
              <w:rPr>
                <w:sz w:val="20"/>
              </w:rPr>
            </w:pPr>
          </w:p>
          <w:p w14:paraId="15CC305B" w14:textId="36E0AFD9" w:rsidR="00D610CD" w:rsidRPr="00D658D7" w:rsidRDefault="00D610CD">
            <w:pPr>
              <w:spacing w:after="0"/>
              <w:rPr>
                <w:sz w:val="20"/>
              </w:rPr>
            </w:pPr>
            <w:r w:rsidRPr="00D658D7">
              <w:rPr>
                <w:sz w:val="20"/>
              </w:rPr>
              <w:lastRenderedPageBreak/>
              <w:t>EUR 0.9–7.6 b</w:t>
            </w:r>
            <w:r w:rsidR="00842B4F" w:rsidRPr="00D658D7">
              <w:rPr>
                <w:sz w:val="20"/>
              </w:rPr>
              <w:t>illio</w:t>
            </w:r>
            <w:r w:rsidRPr="00D658D7">
              <w:rPr>
                <w:sz w:val="20"/>
              </w:rPr>
              <w:t>n cumulative investment in biosimilar manufacturing by 2038 (low to high uptake)</w:t>
            </w:r>
            <w:r w:rsidR="00AA4117">
              <w:rPr>
                <w:sz w:val="20"/>
              </w:rPr>
              <w:t>; on average EUR 75 – 633 million/year.</w:t>
            </w:r>
          </w:p>
        </w:tc>
        <w:tc>
          <w:tcPr>
            <w:tcW w:w="7379" w:type="dxa"/>
            <w:tcMar>
              <w:top w:w="57" w:type="dxa"/>
              <w:left w:w="57" w:type="dxa"/>
              <w:bottom w:w="57" w:type="dxa"/>
              <w:right w:w="57" w:type="dxa"/>
            </w:tcMar>
          </w:tcPr>
          <w:p w14:paraId="5567C629" w14:textId="2697FEB2" w:rsidR="00D610CD" w:rsidRPr="00D658D7" w:rsidRDefault="00D610CD">
            <w:pPr>
              <w:rPr>
                <w:sz w:val="20"/>
              </w:rPr>
            </w:pPr>
            <w:r w:rsidRPr="00D658D7">
              <w:rPr>
                <w:sz w:val="20"/>
              </w:rPr>
              <w:lastRenderedPageBreak/>
              <w:t>Strategic project framework delivers 8–15 (low), 18–35 (medium), and 30–60 (high) capacity-relevant EU-based biomanufacturing deployments by 2038, assuming approximately 30–50</w:t>
            </w:r>
            <w:r w:rsidR="006856C2">
              <w:rPr>
                <w:sz w:val="20"/>
              </w:rPr>
              <w:t>%</w:t>
            </w:r>
            <w:r w:rsidRPr="00D658D7">
              <w:rPr>
                <w:sz w:val="20"/>
              </w:rPr>
              <w:t xml:space="preserve"> of recognised projects translate into capacity-relevant outputs. </w:t>
            </w:r>
          </w:p>
          <w:p w14:paraId="0929E817" w14:textId="64C6DE30" w:rsidR="00D610CD" w:rsidRPr="00D658D7" w:rsidRDefault="00D610CD">
            <w:pPr>
              <w:rPr>
                <w:sz w:val="20"/>
              </w:rPr>
            </w:pPr>
            <w:r w:rsidRPr="00D658D7">
              <w:rPr>
                <w:sz w:val="20"/>
              </w:rPr>
              <w:t>Biosimilar manufacturing constitutes a distinct subset: 1–2 (low), 3–5 (medium), and 5–10 (high) capacity-relevant biosimilar deployments, mobilising EUR 0.9–7.6 b</w:t>
            </w:r>
            <w:r w:rsidR="004570A1" w:rsidRPr="00D658D7">
              <w:rPr>
                <w:sz w:val="20"/>
              </w:rPr>
              <w:t>illio</w:t>
            </w:r>
            <w:r w:rsidRPr="00D658D7">
              <w:rPr>
                <w:sz w:val="20"/>
              </w:rPr>
              <w:t>n in cumulative investment by 2038.</w:t>
            </w:r>
          </w:p>
        </w:tc>
      </w:tr>
      <w:tr w:rsidR="00D610CD" w:rsidRPr="00D658D7" w14:paraId="5FBC4990" w14:textId="77777777" w:rsidTr="004570F2">
        <w:tc>
          <w:tcPr>
            <w:tcW w:w="0" w:type="auto"/>
          </w:tcPr>
          <w:p w14:paraId="12BC9344" w14:textId="77777777" w:rsidR="00D610CD" w:rsidRPr="00D658D7" w:rsidRDefault="00D610CD">
            <w:pPr>
              <w:spacing w:after="0"/>
              <w:rPr>
                <w:sz w:val="20"/>
              </w:rPr>
            </w:pPr>
            <w:r w:rsidRPr="00D658D7">
              <w:rPr>
                <w:sz w:val="20"/>
              </w:rPr>
              <w:t>Environmental and sustainability benefits</w:t>
            </w:r>
          </w:p>
        </w:tc>
        <w:tc>
          <w:tcPr>
            <w:tcW w:w="0" w:type="auto"/>
            <w:tcMar>
              <w:top w:w="57" w:type="dxa"/>
              <w:left w:w="57" w:type="dxa"/>
              <w:bottom w:w="57" w:type="dxa"/>
              <w:right w:w="57" w:type="dxa"/>
            </w:tcMar>
          </w:tcPr>
          <w:p w14:paraId="676A4EB3" w14:textId="0A362884" w:rsidR="00D610CD" w:rsidRPr="00D658D7" w:rsidRDefault="00842B4F">
            <w:pPr>
              <w:spacing w:after="0"/>
              <w:rPr>
                <w:sz w:val="20"/>
              </w:rPr>
            </w:pPr>
            <w:r w:rsidRPr="00D658D7">
              <w:rPr>
                <w:sz w:val="20"/>
              </w:rPr>
              <w:t>EUR</w:t>
            </w:r>
            <w:r w:rsidR="00D610CD" w:rsidRPr="00D658D7">
              <w:rPr>
                <w:sz w:val="20"/>
              </w:rPr>
              <w:t xml:space="preserve"> </w:t>
            </w:r>
            <w:r w:rsidRPr="00D658D7">
              <w:rPr>
                <w:sz w:val="20"/>
              </w:rPr>
              <w:t>29.1 billion</w:t>
            </w:r>
            <w:r w:rsidR="00D610CD" w:rsidRPr="00D658D7">
              <w:rPr>
                <w:sz w:val="20"/>
              </w:rPr>
              <w:t>+ combined microbial market across biofertilisation, biocontrol, bioremediation, bioleaching (9–14</w:t>
            </w:r>
            <w:r w:rsidR="006856C2">
              <w:rPr>
                <w:sz w:val="20"/>
              </w:rPr>
              <w:t>%</w:t>
            </w:r>
            <w:r w:rsidR="00D610CD" w:rsidRPr="00D658D7">
              <w:rPr>
                <w:sz w:val="20"/>
              </w:rPr>
              <w:t>/y</w:t>
            </w:r>
            <w:r w:rsidR="00A45649">
              <w:rPr>
                <w:sz w:val="20"/>
              </w:rPr>
              <w:t>ea</w:t>
            </w:r>
            <w:r w:rsidR="00D610CD" w:rsidRPr="00D658D7">
              <w:rPr>
                <w:sz w:val="20"/>
              </w:rPr>
              <w:t>r growth; GMM-specific share not separately quantified; currently zero EU authorisations for GMM deliberate release)</w:t>
            </w:r>
          </w:p>
          <w:p w14:paraId="745A0F4D" w14:textId="77777777" w:rsidR="00D610CD" w:rsidRPr="00D658D7" w:rsidRDefault="00D610CD">
            <w:pPr>
              <w:spacing w:after="0"/>
              <w:rPr>
                <w:sz w:val="20"/>
              </w:rPr>
            </w:pPr>
          </w:p>
          <w:p w14:paraId="3E09FADA" w14:textId="2030C506" w:rsidR="00D610CD" w:rsidRPr="00D658D7" w:rsidRDefault="00D610CD">
            <w:pPr>
              <w:spacing w:after="0"/>
              <w:rPr>
                <w:sz w:val="20"/>
              </w:rPr>
            </w:pPr>
            <w:r w:rsidRPr="00D658D7">
              <w:rPr>
                <w:sz w:val="20"/>
              </w:rPr>
              <w:t>800 m</w:t>
            </w:r>
            <w:r w:rsidR="00DA6C5B" w:rsidRPr="00D658D7">
              <w:rPr>
                <w:sz w:val="20"/>
              </w:rPr>
              <w:t>illion</w:t>
            </w:r>
            <w:r w:rsidRPr="00D658D7">
              <w:rPr>
                <w:sz w:val="20"/>
              </w:rPr>
              <w:t xml:space="preserve"> tonnes potential GHG reduction (10</w:t>
            </w:r>
            <w:r w:rsidR="006856C2">
              <w:rPr>
                <w:sz w:val="20"/>
              </w:rPr>
              <w:t>%</w:t>
            </w:r>
            <w:r w:rsidRPr="00D658D7">
              <w:rPr>
                <w:sz w:val="20"/>
              </w:rPr>
              <w:t xml:space="preserve"> livestock disease reduction via biotech vaccines). Equivalent to annual emissions of 117 m</w:t>
            </w:r>
            <w:r w:rsidR="00A125C6" w:rsidRPr="00D658D7">
              <w:rPr>
                <w:sz w:val="20"/>
              </w:rPr>
              <w:t xml:space="preserve">illion </w:t>
            </w:r>
            <w:r w:rsidRPr="00D658D7">
              <w:rPr>
                <w:sz w:val="20"/>
              </w:rPr>
              <w:t>Europeans</w:t>
            </w:r>
          </w:p>
        </w:tc>
        <w:tc>
          <w:tcPr>
            <w:tcW w:w="7379" w:type="dxa"/>
            <w:tcMar>
              <w:top w:w="57" w:type="dxa"/>
              <w:left w:w="57" w:type="dxa"/>
              <w:bottom w:w="57" w:type="dxa"/>
              <w:right w:w="57" w:type="dxa"/>
            </w:tcMar>
          </w:tcPr>
          <w:p w14:paraId="1FE95D08" w14:textId="135160AA" w:rsidR="00D610CD" w:rsidRPr="00D658D7" w:rsidRDefault="00D610CD">
            <w:pPr>
              <w:rPr>
                <w:sz w:val="20"/>
              </w:rPr>
            </w:pPr>
            <w:r w:rsidRPr="00D658D7">
              <w:rPr>
                <w:sz w:val="20"/>
              </w:rPr>
              <w:t>GMM regulatory reform unlocks market access across four application sectors: biofertilisation (USD 1.38–3.1 b</w:t>
            </w:r>
            <w:r w:rsidR="004570A1" w:rsidRPr="00D658D7">
              <w:rPr>
                <w:sz w:val="20"/>
              </w:rPr>
              <w:t>illio</w:t>
            </w:r>
            <w:r w:rsidRPr="00D658D7">
              <w:rPr>
                <w:sz w:val="20"/>
              </w:rPr>
              <w:t>n; 10.9–12.8</w:t>
            </w:r>
            <w:r w:rsidR="006856C2">
              <w:rPr>
                <w:sz w:val="20"/>
              </w:rPr>
              <w:t>%</w:t>
            </w:r>
            <w:r w:rsidRPr="00D658D7">
              <w:rPr>
                <w:sz w:val="20"/>
              </w:rPr>
              <w:t xml:space="preserve"> CAGR), biocontrol (USD 6.5 b</w:t>
            </w:r>
            <w:r w:rsidR="004570A1" w:rsidRPr="00D658D7">
              <w:rPr>
                <w:sz w:val="20"/>
              </w:rPr>
              <w:t>illio</w:t>
            </w:r>
            <w:r w:rsidRPr="00D658D7">
              <w:rPr>
                <w:sz w:val="20"/>
              </w:rPr>
              <w:t>n; 14.3</w:t>
            </w:r>
            <w:r w:rsidR="006856C2">
              <w:rPr>
                <w:sz w:val="20"/>
              </w:rPr>
              <w:t>%</w:t>
            </w:r>
            <w:r w:rsidRPr="00D658D7">
              <w:rPr>
                <w:sz w:val="20"/>
              </w:rPr>
              <w:t xml:space="preserve"> CAGR), bioremediation (USD 16.45–18.08 bn; 9.93–13.0</w:t>
            </w:r>
            <w:r w:rsidR="006856C2">
              <w:rPr>
                <w:sz w:val="20"/>
              </w:rPr>
              <w:t>%</w:t>
            </w:r>
            <w:r w:rsidRPr="00D658D7">
              <w:rPr>
                <w:sz w:val="20"/>
              </w:rPr>
              <w:t xml:space="preserve"> CAGR), and bioleaching (USD 10.14–11.19 b</w:t>
            </w:r>
            <w:r w:rsidR="004570A1" w:rsidRPr="00D658D7">
              <w:rPr>
                <w:sz w:val="20"/>
              </w:rPr>
              <w:t>illio</w:t>
            </w:r>
            <w:r w:rsidRPr="00D658D7">
              <w:rPr>
                <w:sz w:val="20"/>
              </w:rPr>
              <w:t>n; 8.9–9.06</w:t>
            </w:r>
            <w:r w:rsidR="006856C2">
              <w:rPr>
                <w:sz w:val="20"/>
              </w:rPr>
              <w:t>%</w:t>
            </w:r>
            <w:r w:rsidRPr="00D658D7">
              <w:rPr>
                <w:sz w:val="20"/>
              </w:rPr>
              <w:t xml:space="preserve"> CAGR) - combined USD 34–39 b</w:t>
            </w:r>
            <w:r w:rsidR="004570A1" w:rsidRPr="00D658D7">
              <w:rPr>
                <w:sz w:val="20"/>
              </w:rPr>
              <w:t>illio</w:t>
            </w:r>
            <w:r w:rsidRPr="00D658D7">
              <w:rPr>
                <w:sz w:val="20"/>
              </w:rPr>
              <w:t xml:space="preserve">n. The EU currently has zero authorised GMMs for deliberate release. </w:t>
            </w:r>
          </w:p>
          <w:p w14:paraId="56A2BB98" w14:textId="361D9FDB" w:rsidR="00D610CD" w:rsidRPr="00D658D7" w:rsidRDefault="00D610CD">
            <w:pPr>
              <w:rPr>
                <w:sz w:val="20"/>
              </w:rPr>
            </w:pPr>
            <w:r w:rsidRPr="00D658D7">
              <w:rPr>
                <w:sz w:val="20"/>
              </w:rPr>
              <w:t xml:space="preserve">Veterinary biotech vaccine uptake enabled by VMP reform supports the EU's target of halving antimicrobial sales by </w:t>
            </w:r>
            <w:r w:rsidR="00A64CDA" w:rsidRPr="00D658D7">
              <w:rPr>
                <w:sz w:val="20"/>
              </w:rPr>
              <w:t>2030.</w:t>
            </w:r>
            <w:r w:rsidRPr="00D658D7">
              <w:rPr>
                <w:sz w:val="20"/>
              </w:rPr>
              <w:t xml:space="preserve"> </w:t>
            </w:r>
          </w:p>
          <w:p w14:paraId="3C039F32" w14:textId="33F60B36" w:rsidR="00D610CD" w:rsidRPr="00D658D7" w:rsidRDefault="00D610CD">
            <w:pPr>
              <w:rPr>
                <w:sz w:val="20"/>
              </w:rPr>
            </w:pPr>
            <w:r w:rsidRPr="00D658D7">
              <w:rPr>
                <w:sz w:val="20"/>
              </w:rPr>
              <w:t>10</w:t>
            </w:r>
            <w:r w:rsidR="006856C2">
              <w:rPr>
                <w:sz w:val="20"/>
              </w:rPr>
              <w:t>%</w:t>
            </w:r>
            <w:r w:rsidRPr="00D658D7">
              <w:rPr>
                <w:sz w:val="20"/>
              </w:rPr>
              <w:t xml:space="preserve"> reduction in livestock disease levels is empirically associated with an 800 m tonne GHG decrease, equivalent to the annual emissions of 117 m</w:t>
            </w:r>
            <w:r w:rsidR="00A125C6" w:rsidRPr="00D658D7">
              <w:rPr>
                <w:sz w:val="20"/>
              </w:rPr>
              <w:t>illion</w:t>
            </w:r>
            <w:r w:rsidRPr="00D658D7">
              <w:rPr>
                <w:sz w:val="20"/>
              </w:rPr>
              <w:t xml:space="preserve"> Europeans. </w:t>
            </w:r>
          </w:p>
          <w:p w14:paraId="71FF06FF" w14:textId="77777777" w:rsidR="00D610CD" w:rsidRPr="00D658D7" w:rsidRDefault="00D610CD">
            <w:pPr>
              <w:rPr>
                <w:sz w:val="20"/>
              </w:rPr>
            </w:pPr>
            <w:r w:rsidRPr="00D658D7">
              <w:rPr>
                <w:sz w:val="20"/>
              </w:rPr>
              <w:t>Food chain sandbox creates structured pathways for pre-market testing of sustainable food production technologies across all stages of production, processing and distribution, food contact materials, and GMO-containing products.</w:t>
            </w:r>
          </w:p>
        </w:tc>
      </w:tr>
      <w:tr w:rsidR="00D610CD" w:rsidRPr="00D658D7" w14:paraId="6E8AA4F1" w14:textId="77777777" w:rsidTr="004570F2">
        <w:tc>
          <w:tcPr>
            <w:tcW w:w="0" w:type="auto"/>
            <w:tcBorders>
              <w:bottom w:val="double" w:sz="4" w:space="0" w:color="auto"/>
            </w:tcBorders>
          </w:tcPr>
          <w:p w14:paraId="555F0CED" w14:textId="77777777" w:rsidR="00D610CD" w:rsidRPr="00D658D7" w:rsidRDefault="00D610CD">
            <w:pPr>
              <w:spacing w:after="0"/>
              <w:rPr>
                <w:sz w:val="20"/>
              </w:rPr>
            </w:pPr>
            <w:r w:rsidRPr="00D658D7">
              <w:rPr>
                <w:sz w:val="20"/>
              </w:rPr>
              <w:t>Ecosystem-level coordination and connectivity infrastructure</w:t>
            </w:r>
          </w:p>
        </w:tc>
        <w:tc>
          <w:tcPr>
            <w:tcW w:w="0" w:type="auto"/>
            <w:tcBorders>
              <w:bottom w:val="double" w:sz="4" w:space="0" w:color="auto"/>
            </w:tcBorders>
            <w:tcMar>
              <w:top w:w="57" w:type="dxa"/>
              <w:left w:w="57" w:type="dxa"/>
              <w:bottom w:w="57" w:type="dxa"/>
              <w:right w:w="57" w:type="dxa"/>
            </w:tcMar>
          </w:tcPr>
          <w:p w14:paraId="3A7FC45A" w14:textId="77777777" w:rsidR="00D610CD" w:rsidRPr="00D658D7" w:rsidRDefault="00D610CD">
            <w:pPr>
              <w:spacing w:after="0"/>
              <w:rPr>
                <w:sz w:val="20"/>
              </w:rPr>
            </w:pPr>
            <w:r w:rsidRPr="00D658D7">
              <w:rPr>
                <w:sz w:val="20"/>
              </w:rPr>
              <w:t>Qualitative; functions as a cross-cutting enabler of all other interventions</w:t>
            </w:r>
          </w:p>
          <w:p w14:paraId="529C8BE2" w14:textId="77777777" w:rsidR="00D610CD" w:rsidRPr="00D658D7" w:rsidRDefault="00D610CD">
            <w:pPr>
              <w:spacing w:after="0"/>
              <w:rPr>
                <w:sz w:val="20"/>
              </w:rPr>
            </w:pPr>
          </w:p>
          <w:p w14:paraId="5AAF391D" w14:textId="77777777" w:rsidR="00D610CD" w:rsidRPr="00D658D7" w:rsidRDefault="00D610CD">
            <w:pPr>
              <w:spacing w:after="0"/>
              <w:rPr>
                <w:sz w:val="20"/>
              </w:rPr>
            </w:pPr>
            <w:r w:rsidRPr="00D658D7">
              <w:rPr>
                <w:sz w:val="20"/>
              </w:rPr>
              <w:t>14 pp higher knowledge sharing and collaboration capability for firms receiving network support vs unsupported firms</w:t>
            </w:r>
          </w:p>
        </w:tc>
        <w:tc>
          <w:tcPr>
            <w:tcW w:w="7379" w:type="dxa"/>
            <w:tcBorders>
              <w:bottom w:val="double" w:sz="4" w:space="0" w:color="auto"/>
            </w:tcBorders>
            <w:tcMar>
              <w:top w:w="57" w:type="dxa"/>
              <w:left w:w="57" w:type="dxa"/>
              <w:bottom w:w="57" w:type="dxa"/>
              <w:right w:w="57" w:type="dxa"/>
            </w:tcMar>
          </w:tcPr>
          <w:p w14:paraId="0F2EE97A" w14:textId="77777777" w:rsidR="00D610CD" w:rsidRPr="00D658D7" w:rsidRDefault="00D610CD">
            <w:pPr>
              <w:rPr>
                <w:sz w:val="20"/>
              </w:rPr>
            </w:pPr>
            <w:r w:rsidRPr="00D658D7">
              <w:rPr>
                <w:sz w:val="20"/>
              </w:rPr>
              <w:t xml:space="preserve">Four interconnected mechanisms underpin uptake of all substantive reforms: </w:t>
            </w:r>
          </w:p>
          <w:p w14:paraId="15BF9BEE" w14:textId="77777777" w:rsidR="00D610CD" w:rsidRPr="00D658D7" w:rsidRDefault="00D610CD" w:rsidP="00D610CD">
            <w:pPr>
              <w:pStyle w:val="ListParagraph"/>
              <w:numPr>
                <w:ilvl w:val="0"/>
                <w:numId w:val="478"/>
              </w:numPr>
              <w:rPr>
                <w:sz w:val="20"/>
              </w:rPr>
            </w:pPr>
            <w:r w:rsidRPr="00D658D7">
              <w:rPr>
                <w:sz w:val="20"/>
              </w:rPr>
              <w:t xml:space="preserve">The EU Health Biotechnology Support Network is a single entry point for SMEs and start-ups to navigate regulatory pathways, access funding and scaling-up resources, and connect with investors across EU27; </w:t>
            </w:r>
          </w:p>
          <w:p w14:paraId="72CDAC2F" w14:textId="77777777" w:rsidR="00D610CD" w:rsidRPr="00D658D7" w:rsidRDefault="00D610CD" w:rsidP="00D610CD">
            <w:pPr>
              <w:pStyle w:val="ListParagraph"/>
              <w:numPr>
                <w:ilvl w:val="0"/>
                <w:numId w:val="478"/>
              </w:numPr>
              <w:rPr>
                <w:sz w:val="20"/>
              </w:rPr>
            </w:pPr>
            <w:r w:rsidRPr="00D658D7">
              <w:rPr>
                <w:sz w:val="20"/>
              </w:rPr>
              <w:t xml:space="preserve">Networks of health biotechnology clusters for cross-border collaboration, infrastructure access, and knowledge transfer; </w:t>
            </w:r>
          </w:p>
          <w:p w14:paraId="57538627" w14:textId="77777777" w:rsidR="00D610CD" w:rsidRPr="00D658D7" w:rsidRDefault="00D610CD" w:rsidP="00D610CD">
            <w:pPr>
              <w:pStyle w:val="ListParagraph"/>
              <w:numPr>
                <w:ilvl w:val="0"/>
                <w:numId w:val="478"/>
              </w:numPr>
              <w:rPr>
                <w:sz w:val="20"/>
              </w:rPr>
            </w:pPr>
            <w:r w:rsidRPr="00D658D7">
              <w:rPr>
                <w:sz w:val="20"/>
              </w:rPr>
              <w:t xml:space="preserve">The European Health Biotechnology Steering Group for strategic coordination between Member States and the Commission; and </w:t>
            </w:r>
          </w:p>
          <w:p w14:paraId="3A4E6268" w14:textId="77777777" w:rsidR="00D610CD" w:rsidRPr="00D658D7" w:rsidRDefault="00D610CD" w:rsidP="00D610CD">
            <w:pPr>
              <w:pStyle w:val="ListParagraph"/>
              <w:numPr>
                <w:ilvl w:val="0"/>
                <w:numId w:val="478"/>
              </w:numPr>
              <w:rPr>
                <w:sz w:val="20"/>
              </w:rPr>
            </w:pPr>
            <w:r w:rsidRPr="00D658D7">
              <w:rPr>
                <w:sz w:val="20"/>
              </w:rPr>
              <w:t xml:space="preserve">strategic mapping of the Union's biotechnology ecosystem for evidence base covering industrial capacity, infrastructure, capital access, and skills gaps informing all other measures. </w:t>
            </w:r>
          </w:p>
          <w:p w14:paraId="6C21FA42" w14:textId="0118EBF7" w:rsidR="00D610CD" w:rsidRPr="00D658D7" w:rsidRDefault="00D610CD">
            <w:r w:rsidRPr="00D658D7">
              <w:rPr>
                <w:sz w:val="20"/>
                <w:szCs w:val="20"/>
              </w:rPr>
              <w:lastRenderedPageBreak/>
              <w:t>EEN benchmark: firms receiving network support report 14 pp higher knowledge sharing and collaboration capability than unsupported firms (69</w:t>
            </w:r>
            <w:r w:rsidR="006856C2">
              <w:rPr>
                <w:sz w:val="20"/>
                <w:szCs w:val="20"/>
              </w:rPr>
              <w:t>%</w:t>
            </w:r>
            <w:r w:rsidRPr="00D658D7">
              <w:rPr>
                <w:sz w:val="20"/>
                <w:szCs w:val="20"/>
              </w:rPr>
              <w:t xml:space="preserve"> vs 55</w:t>
            </w:r>
            <w:r w:rsidR="006856C2">
              <w:rPr>
                <w:sz w:val="20"/>
                <w:szCs w:val="20"/>
              </w:rPr>
              <w:t>%</w:t>
            </w:r>
            <w:r w:rsidRPr="00D658D7">
              <w:rPr>
                <w:sz w:val="20"/>
                <w:szCs w:val="20"/>
              </w:rPr>
              <w:t>).</w:t>
            </w:r>
          </w:p>
        </w:tc>
      </w:tr>
    </w:tbl>
    <w:p w14:paraId="160221DB" w14:textId="77777777" w:rsidR="00170CD7" w:rsidRDefault="00170CD7" w:rsidP="00170CD7">
      <w:pPr>
        <w:rPr>
          <w:i/>
          <w:sz w:val="20"/>
        </w:rPr>
      </w:pPr>
    </w:p>
    <w:tbl>
      <w:tblPr>
        <w:tblStyle w:val="CV12"/>
        <w:tblW w:w="15237" w:type="dxa"/>
        <w:tblInd w:w="-510"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055"/>
        <w:gridCol w:w="5103"/>
        <w:gridCol w:w="8079"/>
      </w:tblGrid>
      <w:tr w:rsidR="00F32838" w:rsidRPr="00DD0CE5" w14:paraId="35DCDF41" w14:textId="77777777" w:rsidTr="00FF6493">
        <w:tc>
          <w:tcPr>
            <w:tcW w:w="15237" w:type="dxa"/>
            <w:gridSpan w:val="3"/>
            <w:tcBorders>
              <w:top w:val="double" w:sz="4" w:space="0" w:color="auto"/>
              <w:bottom w:val="single" w:sz="4" w:space="0" w:color="auto"/>
            </w:tcBorders>
            <w:shd w:val="clear" w:color="auto" w:fill="C6D9F1" w:themeFill="text2" w:themeFillTint="33"/>
          </w:tcPr>
          <w:p w14:paraId="6AD98554" w14:textId="170BD97E" w:rsidR="00170CD7" w:rsidRPr="00DD0CE5" w:rsidRDefault="00453ED2">
            <w:pPr>
              <w:spacing w:after="0"/>
              <w:rPr>
                <w:b/>
                <w:sz w:val="20"/>
              </w:rPr>
            </w:pPr>
            <w:r w:rsidRPr="00D658D7">
              <w:rPr>
                <w:b/>
                <w:sz w:val="20"/>
              </w:rPr>
              <w:t xml:space="preserve">I. Overview of Benefits </w:t>
            </w:r>
            <w:r>
              <w:rPr>
                <w:b/>
                <w:sz w:val="20"/>
              </w:rPr>
              <w:t>(</w:t>
            </w:r>
            <w:r w:rsidR="0073570B">
              <w:rPr>
                <w:b/>
                <w:sz w:val="20"/>
              </w:rPr>
              <w:t>Totals</w:t>
            </w:r>
            <w:r>
              <w:rPr>
                <w:b/>
                <w:sz w:val="20"/>
              </w:rPr>
              <w:t>)</w:t>
            </w:r>
          </w:p>
        </w:tc>
      </w:tr>
      <w:tr w:rsidR="008C1907" w:rsidRPr="00DD0CE5" w14:paraId="2787D35E" w14:textId="77777777" w:rsidTr="00FF6493">
        <w:tc>
          <w:tcPr>
            <w:tcW w:w="2055" w:type="dxa"/>
            <w:tcBorders>
              <w:top w:val="single" w:sz="4" w:space="0" w:color="auto"/>
            </w:tcBorders>
            <w:shd w:val="clear" w:color="auto" w:fill="C6D9F1" w:themeFill="text2" w:themeFillTint="33"/>
          </w:tcPr>
          <w:p w14:paraId="756D7E47" w14:textId="77777777" w:rsidR="00170CD7" w:rsidRPr="00DD0CE5" w:rsidRDefault="00170CD7">
            <w:pPr>
              <w:spacing w:after="0"/>
              <w:jc w:val="center"/>
              <w:rPr>
                <w:b/>
                <w:i/>
                <w:sz w:val="20"/>
              </w:rPr>
            </w:pPr>
            <w:r>
              <w:rPr>
                <w:b/>
                <w:i/>
                <w:sz w:val="20"/>
              </w:rPr>
              <w:t>Amount</w:t>
            </w:r>
          </w:p>
        </w:tc>
        <w:tc>
          <w:tcPr>
            <w:tcW w:w="5103" w:type="dxa"/>
            <w:tcBorders>
              <w:top w:val="single" w:sz="4" w:space="0" w:color="auto"/>
            </w:tcBorders>
            <w:shd w:val="clear" w:color="auto" w:fill="C6D9F1" w:themeFill="text2" w:themeFillTint="33"/>
          </w:tcPr>
          <w:p w14:paraId="04925671" w14:textId="77777777" w:rsidR="00170CD7" w:rsidRPr="00DD0CE5" w:rsidRDefault="00170CD7">
            <w:pPr>
              <w:spacing w:after="0"/>
              <w:jc w:val="center"/>
              <w:rPr>
                <w:b/>
                <w:i/>
                <w:sz w:val="20"/>
              </w:rPr>
            </w:pPr>
            <w:r>
              <w:rPr>
                <w:b/>
                <w:i/>
                <w:sz w:val="20"/>
              </w:rPr>
              <w:t>Components</w:t>
            </w:r>
          </w:p>
        </w:tc>
        <w:tc>
          <w:tcPr>
            <w:tcW w:w="8079" w:type="dxa"/>
            <w:tcBorders>
              <w:top w:val="single" w:sz="4" w:space="0" w:color="auto"/>
            </w:tcBorders>
            <w:shd w:val="clear" w:color="auto" w:fill="C6D9F1" w:themeFill="text2" w:themeFillTint="33"/>
            <w:tcMar>
              <w:top w:w="57" w:type="dxa"/>
              <w:left w:w="57" w:type="dxa"/>
              <w:bottom w:w="57" w:type="dxa"/>
              <w:right w:w="57" w:type="dxa"/>
            </w:tcMar>
          </w:tcPr>
          <w:p w14:paraId="7D0AEF36" w14:textId="77777777" w:rsidR="00170CD7" w:rsidRPr="00DD0CE5" w:rsidRDefault="00170CD7">
            <w:pPr>
              <w:spacing w:after="0"/>
              <w:jc w:val="center"/>
              <w:rPr>
                <w:b/>
                <w:i/>
                <w:sz w:val="20"/>
              </w:rPr>
            </w:pPr>
            <w:r w:rsidRPr="00DD0CE5">
              <w:rPr>
                <w:b/>
                <w:i/>
                <w:sz w:val="20"/>
              </w:rPr>
              <w:t>Comments</w:t>
            </w:r>
          </w:p>
        </w:tc>
      </w:tr>
      <w:tr w:rsidR="00170CD7" w:rsidRPr="00DD0CE5" w14:paraId="30853DB9" w14:textId="77777777" w:rsidTr="00FF6493">
        <w:tc>
          <w:tcPr>
            <w:tcW w:w="15237" w:type="dxa"/>
            <w:gridSpan w:val="3"/>
            <w:tcBorders>
              <w:top w:val="double" w:sz="4" w:space="0" w:color="auto"/>
            </w:tcBorders>
            <w:shd w:val="clear" w:color="auto" w:fill="F2F2F2" w:themeFill="background1" w:themeFillShade="F2"/>
          </w:tcPr>
          <w:p w14:paraId="20C49498" w14:textId="77777777" w:rsidR="00170CD7" w:rsidRPr="00DD0CE5" w:rsidRDefault="00170CD7">
            <w:pPr>
              <w:spacing w:after="0"/>
              <w:jc w:val="center"/>
              <w:rPr>
                <w:b/>
                <w:bCs/>
                <w:i/>
                <w:iCs/>
                <w:sz w:val="20"/>
                <w:szCs w:val="20"/>
              </w:rPr>
            </w:pPr>
            <w:r w:rsidRPr="466982C0">
              <w:rPr>
                <w:b/>
                <w:bCs/>
                <w:i/>
                <w:iCs/>
                <w:sz w:val="20"/>
                <w:szCs w:val="20"/>
              </w:rPr>
              <w:t>Direct benefits</w:t>
            </w:r>
          </w:p>
        </w:tc>
      </w:tr>
      <w:tr w:rsidR="00170CD7" w:rsidRPr="00E10CD9" w14:paraId="56067BC3" w14:textId="77777777" w:rsidTr="00FF6493">
        <w:tc>
          <w:tcPr>
            <w:tcW w:w="2055" w:type="dxa"/>
            <w:tcBorders>
              <w:top w:val="double" w:sz="4" w:space="0" w:color="auto"/>
              <w:bottom w:val="single" w:sz="4" w:space="0" w:color="auto"/>
            </w:tcBorders>
          </w:tcPr>
          <w:p w14:paraId="029DA605" w14:textId="34E338FA" w:rsidR="00170CD7" w:rsidRPr="00DD0CE5" w:rsidRDefault="00170CD7">
            <w:pPr>
              <w:rPr>
                <w:sz w:val="20"/>
              </w:rPr>
            </w:pPr>
            <w:r w:rsidRPr="004B3EA7">
              <w:rPr>
                <w:sz w:val="20"/>
              </w:rPr>
              <w:t>~EUR 8.3–11.</w:t>
            </w:r>
            <w:r>
              <w:rPr>
                <w:sz w:val="20"/>
              </w:rPr>
              <w:t>3</w:t>
            </w:r>
            <w:r w:rsidRPr="004B3EA7">
              <w:rPr>
                <w:sz w:val="20"/>
              </w:rPr>
              <w:t xml:space="preserve"> b</w:t>
            </w:r>
            <w:r w:rsidR="0073570B">
              <w:rPr>
                <w:sz w:val="20"/>
              </w:rPr>
              <w:t>illio</w:t>
            </w:r>
            <w:r w:rsidRPr="004B3EA7">
              <w:rPr>
                <w:sz w:val="20"/>
              </w:rPr>
              <w:t>n/</w:t>
            </w:r>
            <w:r w:rsidR="0073570B">
              <w:rPr>
                <w:sz w:val="20"/>
              </w:rPr>
              <w:t>year</w:t>
            </w:r>
          </w:p>
        </w:tc>
        <w:tc>
          <w:tcPr>
            <w:tcW w:w="5103" w:type="dxa"/>
            <w:tcBorders>
              <w:top w:val="double" w:sz="4" w:space="0" w:color="auto"/>
              <w:bottom w:val="single" w:sz="4" w:space="0" w:color="auto"/>
            </w:tcBorders>
            <w:tcMar>
              <w:top w:w="57" w:type="dxa"/>
              <w:left w:w="57" w:type="dxa"/>
              <w:bottom w:w="57" w:type="dxa"/>
              <w:right w:w="57" w:type="dxa"/>
            </w:tcMar>
          </w:tcPr>
          <w:p w14:paraId="74F6D00D" w14:textId="68F5C8AB" w:rsidR="00170CD7" w:rsidRPr="004B3EA7" w:rsidRDefault="00170CD7">
            <w:pPr>
              <w:spacing w:after="0"/>
              <w:rPr>
                <w:sz w:val="20"/>
              </w:rPr>
            </w:pPr>
            <w:r w:rsidRPr="004B3EA7">
              <w:rPr>
                <w:sz w:val="20"/>
              </w:rPr>
              <w:t>Duplication removal savings: EUR 5.2–5.5 b</w:t>
            </w:r>
            <w:r w:rsidR="0073570B">
              <w:rPr>
                <w:sz w:val="20"/>
              </w:rPr>
              <w:t>illio</w:t>
            </w:r>
            <w:r w:rsidRPr="004B3EA7">
              <w:rPr>
                <w:sz w:val="20"/>
              </w:rPr>
              <w:t>n/y</w:t>
            </w:r>
            <w:r w:rsidR="0073570B">
              <w:rPr>
                <w:sz w:val="20"/>
              </w:rPr>
              <w:t>ea</w:t>
            </w:r>
            <w:r w:rsidRPr="004B3EA7">
              <w:rPr>
                <w:sz w:val="20"/>
              </w:rPr>
              <w:t>r</w:t>
            </w:r>
          </w:p>
          <w:p w14:paraId="3B987272" w14:textId="75B943C5" w:rsidR="00170CD7" w:rsidRPr="004B3EA7" w:rsidRDefault="00170CD7">
            <w:pPr>
              <w:spacing w:after="0"/>
              <w:rPr>
                <w:sz w:val="20"/>
              </w:rPr>
            </w:pPr>
            <w:r w:rsidRPr="004B3EA7">
              <w:rPr>
                <w:sz w:val="20"/>
              </w:rPr>
              <w:t>VMP procedural savings: ~EUR 1.5–</w:t>
            </w:r>
            <w:r>
              <w:rPr>
                <w:sz w:val="20"/>
              </w:rPr>
              <w:t>3.1</w:t>
            </w:r>
            <w:r w:rsidRPr="004B3EA7">
              <w:rPr>
                <w:sz w:val="20"/>
              </w:rPr>
              <w:t xml:space="preserve"> m</w:t>
            </w:r>
            <w:r w:rsidR="0073570B">
              <w:rPr>
                <w:sz w:val="20"/>
              </w:rPr>
              <w:t>illion</w:t>
            </w:r>
            <w:r w:rsidRPr="004B3EA7">
              <w:rPr>
                <w:sz w:val="20"/>
              </w:rPr>
              <w:t>/</w:t>
            </w:r>
            <w:r w:rsidR="0073570B">
              <w:rPr>
                <w:sz w:val="20"/>
              </w:rPr>
              <w:t>year</w:t>
            </w:r>
          </w:p>
          <w:p w14:paraId="626B4339" w14:textId="34523721" w:rsidR="00170CD7" w:rsidRPr="004B3EA7" w:rsidRDefault="00170CD7">
            <w:pPr>
              <w:spacing w:after="0"/>
              <w:rPr>
                <w:sz w:val="20"/>
              </w:rPr>
            </w:pPr>
            <w:r w:rsidRPr="004B3EA7">
              <w:rPr>
                <w:sz w:val="20"/>
              </w:rPr>
              <w:t>Permitting predictability: ~EUR 22–97 m</w:t>
            </w:r>
            <w:r w:rsidR="0073570B">
              <w:rPr>
                <w:sz w:val="20"/>
              </w:rPr>
              <w:t>illion</w:t>
            </w:r>
            <w:r w:rsidRPr="004B3EA7">
              <w:rPr>
                <w:sz w:val="20"/>
              </w:rPr>
              <w:t>/</w:t>
            </w:r>
            <w:r w:rsidR="0073570B">
              <w:rPr>
                <w:sz w:val="20"/>
              </w:rPr>
              <w:t>year</w:t>
            </w:r>
          </w:p>
          <w:p w14:paraId="72EFA641" w14:textId="2CDB4616" w:rsidR="00170CD7" w:rsidRPr="00DD0CE5" w:rsidRDefault="00170CD7">
            <w:pPr>
              <w:spacing w:after="0"/>
              <w:rPr>
                <w:sz w:val="20"/>
              </w:rPr>
            </w:pPr>
            <w:r w:rsidRPr="004B3EA7">
              <w:rPr>
                <w:sz w:val="20"/>
              </w:rPr>
              <w:t xml:space="preserve">Biosecurity screening: EUR 2.9–5.5 </w:t>
            </w:r>
            <w:r w:rsidR="0073570B">
              <w:rPr>
                <w:sz w:val="20"/>
              </w:rPr>
              <w:t>billion</w:t>
            </w:r>
            <w:r w:rsidRPr="004B3EA7">
              <w:rPr>
                <w:sz w:val="20"/>
              </w:rPr>
              <w:t>/</w:t>
            </w:r>
            <w:r w:rsidR="0073570B">
              <w:rPr>
                <w:sz w:val="20"/>
              </w:rPr>
              <w:t>year</w:t>
            </w:r>
          </w:p>
        </w:tc>
        <w:tc>
          <w:tcPr>
            <w:tcW w:w="8079" w:type="dxa"/>
            <w:tcBorders>
              <w:top w:val="double" w:sz="4" w:space="0" w:color="auto"/>
              <w:bottom w:val="single" w:sz="4" w:space="0" w:color="auto"/>
            </w:tcBorders>
            <w:tcMar>
              <w:top w:w="57" w:type="dxa"/>
              <w:left w:w="57" w:type="dxa"/>
              <w:bottom w:w="57" w:type="dxa"/>
              <w:right w:w="57" w:type="dxa"/>
            </w:tcMar>
          </w:tcPr>
          <w:p w14:paraId="6EC9FD47" w14:textId="30DD9436" w:rsidR="00170CD7" w:rsidRPr="004B3EA7" w:rsidRDefault="00170CD7">
            <w:pPr>
              <w:rPr>
                <w:sz w:val="20"/>
              </w:rPr>
            </w:pPr>
            <w:r w:rsidRPr="004B3EA7">
              <w:rPr>
                <w:sz w:val="20"/>
              </w:rPr>
              <w:t xml:space="preserve">Sum of directly quantified annual benefit figures drawn from </w:t>
            </w:r>
            <w:r>
              <w:rPr>
                <w:sz w:val="20"/>
              </w:rPr>
              <w:t>intervention-level</w:t>
            </w:r>
            <w:r w:rsidRPr="004B3EA7">
              <w:rPr>
                <w:sz w:val="20"/>
              </w:rPr>
              <w:t xml:space="preserve"> assessment </w:t>
            </w:r>
            <w:r w:rsidR="00C478DE">
              <w:rPr>
                <w:sz w:val="20"/>
              </w:rPr>
              <w:t xml:space="preserve">of </w:t>
            </w:r>
            <w:r w:rsidRPr="004B3EA7">
              <w:rPr>
                <w:sz w:val="20"/>
              </w:rPr>
              <w:t xml:space="preserve">impacts. . The EUR 10 </w:t>
            </w:r>
            <w:r w:rsidR="0073570B">
              <w:rPr>
                <w:sz w:val="20"/>
              </w:rPr>
              <w:t>billion</w:t>
            </w:r>
            <w:r w:rsidRPr="004B3EA7">
              <w:rPr>
                <w:sz w:val="20"/>
              </w:rPr>
              <w:t xml:space="preserve"> biosecurity avoided research value is also excluded from the annual total as it represents a one-off expected loss avoided rather than an annual flow, and is therefore not additive to annual benefit figures. All figures are subject to uptake, implementation, and market conditions as described in the </w:t>
            </w:r>
            <w:r>
              <w:rPr>
                <w:sz w:val="20"/>
              </w:rPr>
              <w:t>benefits table</w:t>
            </w:r>
            <w:r w:rsidRPr="004B3EA7">
              <w:rPr>
                <w:sz w:val="20"/>
              </w:rPr>
              <w:t xml:space="preserve"> above.</w:t>
            </w:r>
          </w:p>
        </w:tc>
      </w:tr>
      <w:tr w:rsidR="00170CD7" w:rsidRPr="00DD0CE5" w14:paraId="5112411B" w14:textId="77777777" w:rsidTr="00FF6493">
        <w:tc>
          <w:tcPr>
            <w:tcW w:w="15237" w:type="dxa"/>
            <w:gridSpan w:val="3"/>
            <w:tcBorders>
              <w:top w:val="double" w:sz="4" w:space="0" w:color="auto"/>
            </w:tcBorders>
            <w:shd w:val="clear" w:color="auto" w:fill="F2F2F2" w:themeFill="background1" w:themeFillShade="F2"/>
          </w:tcPr>
          <w:p w14:paraId="51C6C221" w14:textId="77777777" w:rsidR="00170CD7" w:rsidRPr="00DD0CE5" w:rsidRDefault="00170CD7">
            <w:pPr>
              <w:spacing w:after="0"/>
              <w:jc w:val="center"/>
              <w:rPr>
                <w:b/>
                <w:bCs/>
                <w:i/>
                <w:iCs/>
                <w:sz w:val="20"/>
                <w:szCs w:val="20"/>
              </w:rPr>
            </w:pPr>
            <w:r>
              <w:rPr>
                <w:b/>
                <w:bCs/>
                <w:i/>
                <w:iCs/>
                <w:sz w:val="20"/>
                <w:szCs w:val="20"/>
              </w:rPr>
              <w:t>Ind</w:t>
            </w:r>
            <w:r w:rsidRPr="466982C0">
              <w:rPr>
                <w:b/>
                <w:bCs/>
                <w:i/>
                <w:iCs/>
                <w:sz w:val="20"/>
                <w:szCs w:val="20"/>
              </w:rPr>
              <w:t>irect benefits</w:t>
            </w:r>
          </w:p>
        </w:tc>
      </w:tr>
      <w:tr w:rsidR="00170CD7" w:rsidRPr="00E10CD9" w14:paraId="0D429C88" w14:textId="77777777" w:rsidTr="00FF6493">
        <w:tc>
          <w:tcPr>
            <w:tcW w:w="2055" w:type="dxa"/>
            <w:tcBorders>
              <w:top w:val="double" w:sz="4" w:space="0" w:color="auto"/>
              <w:bottom w:val="single" w:sz="4" w:space="0" w:color="auto"/>
            </w:tcBorders>
          </w:tcPr>
          <w:p w14:paraId="44588FD6" w14:textId="66E94AC0" w:rsidR="00170CD7" w:rsidRPr="00DD0CE5" w:rsidRDefault="00170CD7">
            <w:pPr>
              <w:rPr>
                <w:sz w:val="20"/>
              </w:rPr>
            </w:pPr>
            <w:r w:rsidRPr="006A7DB4">
              <w:rPr>
                <w:sz w:val="20"/>
              </w:rPr>
              <w:t>~EUR 55–87 m</w:t>
            </w:r>
            <w:r w:rsidR="0073570B">
              <w:rPr>
                <w:sz w:val="20"/>
              </w:rPr>
              <w:t>illion</w:t>
            </w:r>
            <w:r w:rsidRPr="006A7DB4">
              <w:rPr>
                <w:sz w:val="20"/>
              </w:rPr>
              <w:t>/</w:t>
            </w:r>
            <w:r w:rsidR="0073570B">
              <w:rPr>
                <w:sz w:val="20"/>
              </w:rPr>
              <w:t>year</w:t>
            </w:r>
            <w:r w:rsidRPr="006A7DB4">
              <w:rPr>
                <w:sz w:val="20"/>
              </w:rPr>
              <w:t xml:space="preserve"> </w:t>
            </w:r>
          </w:p>
        </w:tc>
        <w:tc>
          <w:tcPr>
            <w:tcW w:w="5103" w:type="dxa"/>
            <w:tcBorders>
              <w:top w:val="double" w:sz="4" w:space="0" w:color="auto"/>
              <w:bottom w:val="single" w:sz="4" w:space="0" w:color="auto"/>
            </w:tcBorders>
            <w:tcMar>
              <w:top w:w="57" w:type="dxa"/>
              <w:left w:w="57" w:type="dxa"/>
              <w:bottom w:w="57" w:type="dxa"/>
              <w:right w:w="57" w:type="dxa"/>
            </w:tcMar>
          </w:tcPr>
          <w:p w14:paraId="1492D538" w14:textId="459891FE" w:rsidR="00170CD7" w:rsidRPr="00DD0CE5" w:rsidRDefault="00170CD7">
            <w:pPr>
              <w:spacing w:after="0"/>
              <w:rPr>
                <w:sz w:val="20"/>
              </w:rPr>
            </w:pPr>
            <w:r w:rsidRPr="006A7DB4">
              <w:rPr>
                <w:sz w:val="20"/>
              </w:rPr>
              <w:t>Patient access monetised benefits: EUR 55–87 m</w:t>
            </w:r>
            <w:r w:rsidR="0073570B">
              <w:rPr>
                <w:sz w:val="20"/>
              </w:rPr>
              <w:t>illion</w:t>
            </w:r>
            <w:r w:rsidRPr="006A7DB4">
              <w:rPr>
                <w:sz w:val="20"/>
              </w:rPr>
              <w:t>/</w:t>
            </w:r>
            <w:r w:rsidR="0073570B">
              <w:rPr>
                <w:sz w:val="20"/>
              </w:rPr>
              <w:t>year</w:t>
            </w:r>
            <w:r w:rsidRPr="006A7DB4">
              <w:rPr>
                <w:sz w:val="20"/>
              </w:rPr>
              <w:t xml:space="preserve"> average (EUR 443–695 m</w:t>
            </w:r>
            <w:r w:rsidR="00B8162E">
              <w:rPr>
                <w:sz w:val="20"/>
              </w:rPr>
              <w:t>illion</w:t>
            </w:r>
            <w:r w:rsidRPr="006A7DB4">
              <w:rPr>
                <w:sz w:val="20"/>
              </w:rPr>
              <w:t xml:space="preserve"> cumulative 2028–2035)</w:t>
            </w:r>
          </w:p>
        </w:tc>
        <w:tc>
          <w:tcPr>
            <w:tcW w:w="8079" w:type="dxa"/>
            <w:tcBorders>
              <w:top w:val="double" w:sz="4" w:space="0" w:color="auto"/>
              <w:bottom w:val="single" w:sz="4" w:space="0" w:color="auto"/>
            </w:tcBorders>
            <w:tcMar>
              <w:top w:w="57" w:type="dxa"/>
              <w:left w:w="57" w:type="dxa"/>
              <w:bottom w:w="57" w:type="dxa"/>
              <w:right w:w="57" w:type="dxa"/>
            </w:tcMar>
          </w:tcPr>
          <w:p w14:paraId="600A7BF7" w14:textId="77777777" w:rsidR="00170CD7" w:rsidRPr="006A7DB4" w:rsidRDefault="00170CD7">
            <w:pPr>
              <w:rPr>
                <w:sz w:val="20"/>
              </w:rPr>
            </w:pPr>
            <w:r w:rsidRPr="006A7DB4">
              <w:rPr>
                <w:sz w:val="20"/>
              </w:rPr>
              <w:t>Covers organ processing reforms only (VSL valuation of deaths averted + dialysis cost avoidance). Clinical trial and ATMP patient access effects are not separately</w:t>
            </w:r>
            <w:r>
              <w:rPr>
                <w:sz w:val="20"/>
              </w:rPr>
              <w:t xml:space="preserve"> monetised</w:t>
            </w:r>
            <w:r w:rsidRPr="006A7DB4">
              <w:rPr>
                <w:sz w:val="20"/>
              </w:rPr>
              <w:t xml:space="preserve">. Supply chain resilience benefits are not directly monetised </w:t>
            </w:r>
            <w:r>
              <w:rPr>
                <w:sz w:val="20"/>
              </w:rPr>
              <w:t>as</w:t>
            </w:r>
            <w:r w:rsidRPr="006A7DB4">
              <w:rPr>
                <w:sz w:val="20"/>
              </w:rPr>
              <w:t xml:space="preserve"> deployment counts and investment figures serve as proxies only. Environmental and ecosystem benefits are qualitative.</w:t>
            </w:r>
          </w:p>
        </w:tc>
      </w:tr>
    </w:tbl>
    <w:p w14:paraId="3B762D38" w14:textId="44D2081F" w:rsidR="00801268" w:rsidRDefault="00801268" w:rsidP="000E3086">
      <w:pPr>
        <w:rPr>
          <w:i/>
          <w:sz w:val="20"/>
        </w:rPr>
      </w:pPr>
    </w:p>
    <w:p w14:paraId="662BCD7A" w14:textId="77777777" w:rsidR="00A81955" w:rsidRDefault="00A81955" w:rsidP="000E3086">
      <w:pPr>
        <w:rPr>
          <w:i/>
          <w:sz w:val="20"/>
        </w:rPr>
      </w:pPr>
    </w:p>
    <w:p w14:paraId="3CB06ACB" w14:textId="77777777" w:rsidR="00A81955" w:rsidRDefault="00A81955" w:rsidP="000E3086">
      <w:pPr>
        <w:rPr>
          <w:i/>
          <w:sz w:val="20"/>
        </w:rPr>
      </w:pPr>
    </w:p>
    <w:p w14:paraId="7467E67B" w14:textId="77777777" w:rsidR="00A81955" w:rsidRDefault="00A81955" w:rsidP="000E3086">
      <w:pPr>
        <w:rPr>
          <w:i/>
          <w:sz w:val="20"/>
        </w:rPr>
      </w:pPr>
    </w:p>
    <w:p w14:paraId="653FE354" w14:textId="77777777" w:rsidR="008B77E2" w:rsidRDefault="008B77E2" w:rsidP="000E3086">
      <w:pPr>
        <w:rPr>
          <w:i/>
          <w:sz w:val="20"/>
        </w:rPr>
      </w:pPr>
    </w:p>
    <w:p w14:paraId="16187DA7" w14:textId="77777777" w:rsidR="00A81955" w:rsidRPr="00DD0CE5" w:rsidRDefault="00A81955" w:rsidP="000E3086">
      <w:pPr>
        <w:rPr>
          <w:i/>
          <w:sz w:val="20"/>
        </w:rPr>
      </w:pPr>
    </w:p>
    <w:tbl>
      <w:tblPr>
        <w:tblStyle w:val="CV11"/>
        <w:tblW w:w="15237" w:type="dxa"/>
        <w:tblInd w:w="-510"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73"/>
        <w:gridCol w:w="1339"/>
        <w:gridCol w:w="549"/>
        <w:gridCol w:w="1905"/>
        <w:gridCol w:w="2555"/>
        <w:gridCol w:w="2415"/>
        <w:gridCol w:w="2156"/>
        <w:gridCol w:w="3645"/>
      </w:tblGrid>
      <w:tr w:rsidR="00611DA5" w:rsidRPr="00D658D7" w14:paraId="2F4B77E7" w14:textId="77777777" w:rsidTr="004570F2">
        <w:tc>
          <w:tcPr>
            <w:tcW w:w="15237" w:type="dxa"/>
            <w:gridSpan w:val="8"/>
            <w:shd w:val="clear" w:color="auto" w:fill="B7D4EF"/>
            <w:tcMar>
              <w:top w:w="57" w:type="dxa"/>
              <w:left w:w="57" w:type="dxa"/>
              <w:bottom w:w="57" w:type="dxa"/>
              <w:right w:w="57" w:type="dxa"/>
            </w:tcMar>
          </w:tcPr>
          <w:p w14:paraId="143423BB" w14:textId="382A861C" w:rsidR="00611DA5" w:rsidRPr="00D658D7" w:rsidRDefault="00611DA5">
            <w:pPr>
              <w:spacing w:after="0"/>
              <w:rPr>
                <w:b/>
                <w:sz w:val="20"/>
                <w:szCs w:val="20"/>
              </w:rPr>
            </w:pPr>
            <w:r w:rsidRPr="00D658D7">
              <w:rPr>
                <w:b/>
                <w:sz w:val="20"/>
                <w:szCs w:val="20"/>
              </w:rPr>
              <w:lastRenderedPageBreak/>
              <w:t xml:space="preserve">II. Overview of costs </w:t>
            </w:r>
          </w:p>
        </w:tc>
      </w:tr>
      <w:tr w:rsidR="00BB182A" w:rsidRPr="00D658D7" w14:paraId="5356AEBF" w14:textId="77777777" w:rsidTr="00FF6493">
        <w:tc>
          <w:tcPr>
            <w:tcW w:w="2012" w:type="dxa"/>
            <w:gridSpan w:val="2"/>
            <w:tcBorders>
              <w:top w:val="double" w:sz="4" w:space="0" w:color="auto"/>
              <w:right w:val="double" w:sz="4" w:space="0" w:color="auto"/>
              <w:tl2br w:val="double" w:sz="4" w:space="0" w:color="auto"/>
            </w:tcBorders>
            <w:tcMar>
              <w:top w:w="57" w:type="dxa"/>
              <w:left w:w="57" w:type="dxa"/>
              <w:bottom w:w="57" w:type="dxa"/>
              <w:right w:w="57" w:type="dxa"/>
            </w:tcMar>
          </w:tcPr>
          <w:p w14:paraId="7D43B0E1" w14:textId="77777777" w:rsidR="00611DA5" w:rsidRPr="00D658D7" w:rsidRDefault="00611DA5">
            <w:pPr>
              <w:spacing w:after="0"/>
              <w:rPr>
                <w:b/>
                <w:sz w:val="20"/>
                <w:szCs w:val="20"/>
              </w:rPr>
            </w:pPr>
          </w:p>
        </w:tc>
        <w:tc>
          <w:tcPr>
            <w:tcW w:w="2454" w:type="dxa"/>
            <w:gridSpan w:val="2"/>
            <w:tcBorders>
              <w:left w:val="double" w:sz="4" w:space="0" w:color="auto"/>
            </w:tcBorders>
            <w:tcMar>
              <w:top w:w="57" w:type="dxa"/>
              <w:left w:w="57" w:type="dxa"/>
              <w:bottom w:w="57" w:type="dxa"/>
              <w:right w:w="57" w:type="dxa"/>
            </w:tcMar>
          </w:tcPr>
          <w:p w14:paraId="28E5B162" w14:textId="77777777" w:rsidR="00611DA5" w:rsidRPr="00D658D7" w:rsidRDefault="00611DA5">
            <w:pPr>
              <w:spacing w:after="0"/>
              <w:jc w:val="center"/>
              <w:rPr>
                <w:b/>
                <w:sz w:val="20"/>
                <w:szCs w:val="20"/>
              </w:rPr>
            </w:pPr>
            <w:r w:rsidRPr="00D658D7">
              <w:rPr>
                <w:b/>
                <w:sz w:val="20"/>
                <w:szCs w:val="20"/>
              </w:rPr>
              <w:t>Citizens/Consumers</w:t>
            </w:r>
          </w:p>
        </w:tc>
        <w:tc>
          <w:tcPr>
            <w:tcW w:w="4970" w:type="dxa"/>
            <w:gridSpan w:val="2"/>
            <w:tcMar>
              <w:top w:w="57" w:type="dxa"/>
              <w:left w:w="57" w:type="dxa"/>
              <w:bottom w:w="57" w:type="dxa"/>
              <w:right w:w="57" w:type="dxa"/>
            </w:tcMar>
          </w:tcPr>
          <w:p w14:paraId="0ED2CA01" w14:textId="77777777" w:rsidR="00611DA5" w:rsidRPr="00D658D7" w:rsidRDefault="00611DA5">
            <w:pPr>
              <w:spacing w:after="0"/>
              <w:jc w:val="center"/>
              <w:rPr>
                <w:b/>
                <w:sz w:val="20"/>
                <w:szCs w:val="20"/>
              </w:rPr>
            </w:pPr>
            <w:r w:rsidRPr="00D658D7">
              <w:rPr>
                <w:b/>
                <w:sz w:val="20"/>
                <w:szCs w:val="20"/>
              </w:rPr>
              <w:t>Businesses</w:t>
            </w:r>
          </w:p>
        </w:tc>
        <w:tc>
          <w:tcPr>
            <w:tcW w:w="5801" w:type="dxa"/>
            <w:gridSpan w:val="2"/>
            <w:tcMar>
              <w:top w:w="57" w:type="dxa"/>
              <w:left w:w="57" w:type="dxa"/>
              <w:bottom w:w="57" w:type="dxa"/>
              <w:right w:w="57" w:type="dxa"/>
            </w:tcMar>
          </w:tcPr>
          <w:p w14:paraId="479C5431" w14:textId="77777777" w:rsidR="00611DA5" w:rsidRPr="00D658D7" w:rsidRDefault="00611DA5">
            <w:pPr>
              <w:spacing w:after="0"/>
              <w:jc w:val="center"/>
              <w:rPr>
                <w:b/>
                <w:sz w:val="20"/>
                <w:szCs w:val="20"/>
              </w:rPr>
            </w:pPr>
            <w:r w:rsidRPr="00D658D7">
              <w:rPr>
                <w:b/>
                <w:sz w:val="20"/>
                <w:szCs w:val="20"/>
              </w:rPr>
              <w:t>Administrations</w:t>
            </w:r>
          </w:p>
        </w:tc>
      </w:tr>
      <w:tr w:rsidR="00611DA5" w:rsidRPr="00D658D7" w14:paraId="44C31B5E" w14:textId="77777777" w:rsidTr="004570F2">
        <w:tc>
          <w:tcPr>
            <w:tcW w:w="2012" w:type="dxa"/>
            <w:gridSpan w:val="2"/>
            <w:tcBorders>
              <w:tl2br w:val="double" w:sz="4" w:space="0" w:color="auto"/>
            </w:tcBorders>
            <w:tcMar>
              <w:top w:w="57" w:type="dxa"/>
              <w:left w:w="57" w:type="dxa"/>
              <w:bottom w:w="57" w:type="dxa"/>
              <w:right w:w="57" w:type="dxa"/>
            </w:tcMar>
          </w:tcPr>
          <w:p w14:paraId="3F7AB226" w14:textId="77777777" w:rsidR="00611DA5" w:rsidRPr="00D658D7" w:rsidRDefault="00611DA5">
            <w:pPr>
              <w:spacing w:after="0"/>
              <w:rPr>
                <w:b/>
                <w:sz w:val="20"/>
                <w:szCs w:val="20"/>
              </w:rPr>
            </w:pPr>
          </w:p>
        </w:tc>
        <w:tc>
          <w:tcPr>
            <w:tcW w:w="549" w:type="dxa"/>
            <w:tcBorders>
              <w:left w:val="double" w:sz="4" w:space="0" w:color="auto"/>
              <w:bottom w:val="double" w:sz="4" w:space="0" w:color="auto"/>
            </w:tcBorders>
            <w:tcMar>
              <w:top w:w="57" w:type="dxa"/>
              <w:left w:w="57" w:type="dxa"/>
              <w:bottom w:w="57" w:type="dxa"/>
              <w:right w:w="57" w:type="dxa"/>
            </w:tcMar>
          </w:tcPr>
          <w:p w14:paraId="611130B2" w14:textId="77777777" w:rsidR="00611DA5" w:rsidRPr="00D658D7" w:rsidRDefault="00611DA5">
            <w:pPr>
              <w:spacing w:after="0"/>
              <w:jc w:val="center"/>
              <w:rPr>
                <w:b/>
                <w:sz w:val="20"/>
                <w:szCs w:val="20"/>
              </w:rPr>
            </w:pPr>
            <w:r w:rsidRPr="00D658D7">
              <w:rPr>
                <w:b/>
                <w:sz w:val="20"/>
                <w:szCs w:val="20"/>
              </w:rPr>
              <w:t>One-off</w:t>
            </w:r>
          </w:p>
        </w:tc>
        <w:tc>
          <w:tcPr>
            <w:tcW w:w="1905" w:type="dxa"/>
            <w:tcBorders>
              <w:bottom w:val="double" w:sz="4" w:space="0" w:color="auto"/>
            </w:tcBorders>
            <w:tcMar>
              <w:top w:w="57" w:type="dxa"/>
              <w:left w:w="57" w:type="dxa"/>
              <w:bottom w:w="57" w:type="dxa"/>
              <w:right w:w="57" w:type="dxa"/>
            </w:tcMar>
          </w:tcPr>
          <w:p w14:paraId="6B861525" w14:textId="20D0B676" w:rsidR="00611DA5" w:rsidRPr="00D658D7" w:rsidRDefault="00611DA5">
            <w:pPr>
              <w:spacing w:after="0"/>
              <w:jc w:val="center"/>
              <w:rPr>
                <w:b/>
                <w:sz w:val="20"/>
                <w:szCs w:val="20"/>
              </w:rPr>
            </w:pPr>
            <w:r w:rsidRPr="00D658D7">
              <w:rPr>
                <w:b/>
                <w:sz w:val="20"/>
                <w:szCs w:val="20"/>
              </w:rPr>
              <w:t>Recurrent</w:t>
            </w:r>
          </w:p>
        </w:tc>
        <w:tc>
          <w:tcPr>
            <w:tcW w:w="2555" w:type="dxa"/>
            <w:tcBorders>
              <w:bottom w:val="double" w:sz="4" w:space="0" w:color="auto"/>
            </w:tcBorders>
            <w:tcMar>
              <w:top w:w="57" w:type="dxa"/>
              <w:left w:w="57" w:type="dxa"/>
              <w:bottom w:w="57" w:type="dxa"/>
              <w:right w:w="57" w:type="dxa"/>
            </w:tcMar>
          </w:tcPr>
          <w:p w14:paraId="11E62FA5" w14:textId="2144EF3C" w:rsidR="00611DA5" w:rsidRPr="00D658D7" w:rsidRDefault="00611DA5">
            <w:pPr>
              <w:spacing w:after="0"/>
              <w:jc w:val="center"/>
              <w:rPr>
                <w:b/>
                <w:sz w:val="20"/>
                <w:szCs w:val="20"/>
              </w:rPr>
            </w:pPr>
            <w:r w:rsidRPr="00D658D7">
              <w:rPr>
                <w:b/>
                <w:sz w:val="20"/>
                <w:szCs w:val="20"/>
              </w:rPr>
              <w:t>One-off</w:t>
            </w:r>
          </w:p>
        </w:tc>
        <w:tc>
          <w:tcPr>
            <w:tcW w:w="2415" w:type="dxa"/>
            <w:tcBorders>
              <w:bottom w:val="double" w:sz="4" w:space="0" w:color="auto"/>
            </w:tcBorders>
            <w:tcMar>
              <w:top w:w="57" w:type="dxa"/>
              <w:left w:w="57" w:type="dxa"/>
              <w:bottom w:w="57" w:type="dxa"/>
              <w:right w:w="57" w:type="dxa"/>
            </w:tcMar>
          </w:tcPr>
          <w:p w14:paraId="46BE8284" w14:textId="77777777" w:rsidR="00611DA5" w:rsidRPr="00D658D7" w:rsidRDefault="00611DA5">
            <w:pPr>
              <w:spacing w:after="0"/>
              <w:jc w:val="center"/>
              <w:rPr>
                <w:b/>
                <w:sz w:val="20"/>
                <w:szCs w:val="20"/>
              </w:rPr>
            </w:pPr>
            <w:r w:rsidRPr="00D658D7">
              <w:rPr>
                <w:b/>
                <w:sz w:val="20"/>
                <w:szCs w:val="20"/>
              </w:rPr>
              <w:t>Recurrent</w:t>
            </w:r>
          </w:p>
        </w:tc>
        <w:tc>
          <w:tcPr>
            <w:tcW w:w="2156" w:type="dxa"/>
            <w:tcBorders>
              <w:bottom w:val="double" w:sz="4" w:space="0" w:color="auto"/>
            </w:tcBorders>
            <w:tcMar>
              <w:top w:w="57" w:type="dxa"/>
              <w:left w:w="57" w:type="dxa"/>
              <w:bottom w:w="57" w:type="dxa"/>
              <w:right w:w="57" w:type="dxa"/>
            </w:tcMar>
          </w:tcPr>
          <w:p w14:paraId="15A1D6ED" w14:textId="77777777" w:rsidR="00611DA5" w:rsidRPr="00D658D7" w:rsidRDefault="00611DA5">
            <w:pPr>
              <w:spacing w:after="0"/>
              <w:jc w:val="center"/>
              <w:rPr>
                <w:b/>
                <w:sz w:val="20"/>
                <w:szCs w:val="20"/>
              </w:rPr>
            </w:pPr>
            <w:r w:rsidRPr="00D658D7">
              <w:rPr>
                <w:b/>
                <w:sz w:val="20"/>
                <w:szCs w:val="20"/>
              </w:rPr>
              <w:t>One-off</w:t>
            </w:r>
          </w:p>
        </w:tc>
        <w:tc>
          <w:tcPr>
            <w:tcW w:w="3645" w:type="dxa"/>
            <w:tcBorders>
              <w:bottom w:val="double" w:sz="4" w:space="0" w:color="auto"/>
            </w:tcBorders>
            <w:tcMar>
              <w:top w:w="57" w:type="dxa"/>
              <w:left w:w="57" w:type="dxa"/>
              <w:bottom w:w="57" w:type="dxa"/>
              <w:right w:w="57" w:type="dxa"/>
            </w:tcMar>
          </w:tcPr>
          <w:p w14:paraId="7CBEF4D2" w14:textId="77777777" w:rsidR="00611DA5" w:rsidRPr="00D658D7" w:rsidRDefault="00611DA5">
            <w:pPr>
              <w:spacing w:after="0"/>
              <w:jc w:val="center"/>
              <w:rPr>
                <w:b/>
                <w:sz w:val="20"/>
                <w:szCs w:val="20"/>
              </w:rPr>
            </w:pPr>
            <w:r w:rsidRPr="00D658D7">
              <w:rPr>
                <w:b/>
                <w:sz w:val="20"/>
                <w:szCs w:val="20"/>
              </w:rPr>
              <w:t>Recurrent</w:t>
            </w:r>
          </w:p>
        </w:tc>
      </w:tr>
      <w:tr w:rsidR="00611DA5" w:rsidRPr="00E5568D" w14:paraId="023C1B2B" w14:textId="77777777" w:rsidTr="004570F2">
        <w:trPr>
          <w:trHeight w:val="307"/>
        </w:trPr>
        <w:tc>
          <w:tcPr>
            <w:tcW w:w="673" w:type="dxa"/>
            <w:vMerge w:val="restart"/>
            <w:tcMar>
              <w:top w:w="57" w:type="dxa"/>
              <w:left w:w="57" w:type="dxa"/>
              <w:bottom w:w="57" w:type="dxa"/>
              <w:right w:w="57" w:type="dxa"/>
            </w:tcMar>
            <w:vAlign w:val="center"/>
          </w:tcPr>
          <w:p w14:paraId="0BFDC163" w14:textId="77777777" w:rsidR="00611DA5" w:rsidRPr="00E5568D" w:rsidRDefault="00611DA5">
            <w:pPr>
              <w:spacing w:after="0"/>
              <w:rPr>
                <w:sz w:val="16"/>
                <w:szCs w:val="16"/>
              </w:rPr>
            </w:pPr>
            <w:r w:rsidRPr="00E5568D">
              <w:rPr>
                <w:sz w:val="16"/>
                <w:szCs w:val="16"/>
              </w:rPr>
              <w:t xml:space="preserve">Action (a)  </w:t>
            </w:r>
          </w:p>
        </w:tc>
        <w:tc>
          <w:tcPr>
            <w:tcW w:w="1339" w:type="dxa"/>
            <w:tcBorders>
              <w:right w:val="double" w:sz="4" w:space="0" w:color="auto"/>
            </w:tcBorders>
            <w:tcMar>
              <w:top w:w="57" w:type="dxa"/>
              <w:left w:w="57" w:type="dxa"/>
              <w:bottom w:w="57" w:type="dxa"/>
              <w:right w:w="57" w:type="dxa"/>
            </w:tcMar>
            <w:vAlign w:val="center"/>
          </w:tcPr>
          <w:p w14:paraId="20F0BD72" w14:textId="77777777" w:rsidR="00611DA5" w:rsidRPr="00E5568D" w:rsidRDefault="00611DA5">
            <w:pPr>
              <w:spacing w:after="0"/>
              <w:jc w:val="left"/>
              <w:rPr>
                <w:sz w:val="16"/>
                <w:szCs w:val="16"/>
              </w:rPr>
            </w:pPr>
            <w:r w:rsidRPr="00E5568D">
              <w:rPr>
                <w:sz w:val="16"/>
                <w:szCs w:val="16"/>
              </w:rPr>
              <w:t>Direct adjustment costs</w:t>
            </w:r>
          </w:p>
        </w:tc>
        <w:tc>
          <w:tcPr>
            <w:tcW w:w="549" w:type="dxa"/>
            <w:tcBorders>
              <w:left w:val="double" w:sz="4" w:space="0" w:color="auto"/>
            </w:tcBorders>
            <w:tcMar>
              <w:top w:w="57" w:type="dxa"/>
              <w:left w:w="57" w:type="dxa"/>
              <w:bottom w:w="57" w:type="dxa"/>
              <w:right w:w="57" w:type="dxa"/>
            </w:tcMar>
            <w:vAlign w:val="center"/>
          </w:tcPr>
          <w:p w14:paraId="4EA08705" w14:textId="77777777" w:rsidR="00611DA5" w:rsidRPr="00E5568D" w:rsidRDefault="00611DA5">
            <w:pPr>
              <w:spacing w:after="0"/>
              <w:rPr>
                <w:sz w:val="16"/>
                <w:szCs w:val="16"/>
              </w:rPr>
            </w:pPr>
            <w:r w:rsidRPr="00E5568D">
              <w:rPr>
                <w:sz w:val="16"/>
                <w:szCs w:val="16"/>
              </w:rPr>
              <w:t>n/a.</w:t>
            </w:r>
          </w:p>
        </w:tc>
        <w:tc>
          <w:tcPr>
            <w:tcW w:w="1905" w:type="dxa"/>
            <w:tcMar>
              <w:top w:w="57" w:type="dxa"/>
              <w:left w:w="57" w:type="dxa"/>
              <w:bottom w:w="57" w:type="dxa"/>
              <w:right w:w="57" w:type="dxa"/>
            </w:tcMar>
            <w:vAlign w:val="center"/>
          </w:tcPr>
          <w:p w14:paraId="7F68A507" w14:textId="77777777" w:rsidR="00611DA5" w:rsidRPr="00E5568D" w:rsidRDefault="00611DA5">
            <w:pPr>
              <w:spacing w:after="0"/>
              <w:rPr>
                <w:sz w:val="16"/>
                <w:szCs w:val="16"/>
              </w:rPr>
            </w:pPr>
          </w:p>
        </w:tc>
        <w:tc>
          <w:tcPr>
            <w:tcW w:w="2555" w:type="dxa"/>
            <w:tcMar>
              <w:top w:w="57" w:type="dxa"/>
              <w:left w:w="57" w:type="dxa"/>
              <w:bottom w:w="57" w:type="dxa"/>
              <w:right w:w="57" w:type="dxa"/>
            </w:tcMar>
            <w:vAlign w:val="center"/>
          </w:tcPr>
          <w:p w14:paraId="6C8FF20E" w14:textId="77777777" w:rsidR="00611DA5" w:rsidRPr="00E5568D" w:rsidRDefault="00611DA5">
            <w:pPr>
              <w:spacing w:after="0"/>
              <w:rPr>
                <w:sz w:val="16"/>
                <w:szCs w:val="16"/>
              </w:rPr>
            </w:pPr>
          </w:p>
          <w:p w14:paraId="6945EE4E" w14:textId="77777777" w:rsidR="00611DA5" w:rsidRPr="00E5568D" w:rsidRDefault="00611DA5">
            <w:pPr>
              <w:spacing w:after="0"/>
              <w:rPr>
                <w:rFonts w:eastAsia="Arial"/>
                <w:b/>
                <w:bCs/>
                <w:sz w:val="16"/>
                <w:szCs w:val="16"/>
              </w:rPr>
            </w:pPr>
            <w:r w:rsidRPr="00E5568D">
              <w:rPr>
                <w:rFonts w:eastAsia="Arial"/>
                <w:b/>
                <w:bCs/>
                <w:sz w:val="16"/>
                <w:szCs w:val="16"/>
              </w:rPr>
              <w:t>Clinical trials:</w:t>
            </w:r>
          </w:p>
          <w:p w14:paraId="3AD423D7" w14:textId="63D41471" w:rsidR="00611DA5" w:rsidRPr="00E5568D" w:rsidRDefault="00611DA5" w:rsidP="00611DA5">
            <w:pPr>
              <w:pStyle w:val="ListParagraph"/>
              <w:numPr>
                <w:ilvl w:val="0"/>
                <w:numId w:val="479"/>
              </w:numPr>
              <w:spacing w:after="0"/>
              <w:ind w:left="324"/>
              <w:rPr>
                <w:rFonts w:eastAsia="Arial"/>
                <w:sz w:val="16"/>
                <w:szCs w:val="16"/>
              </w:rPr>
            </w:pPr>
            <w:r w:rsidRPr="00E5568D">
              <w:rPr>
                <w:rFonts w:eastAsia="Arial"/>
                <w:sz w:val="16"/>
                <w:szCs w:val="16"/>
              </w:rPr>
              <w:t>Initial investment in harmonised standard operating procedures to meet enforcement expectations across National Competent Authorities and ethics committees. Not quantified</w:t>
            </w:r>
            <w:r w:rsidR="005F686D" w:rsidRPr="00E5568D">
              <w:rPr>
                <w:rFonts w:eastAsia="Arial"/>
                <w:sz w:val="16"/>
                <w:szCs w:val="16"/>
              </w:rPr>
              <w:t xml:space="preserve"> - low</w:t>
            </w:r>
            <w:r w:rsidRPr="00E5568D">
              <w:rPr>
                <w:rFonts w:eastAsia="Arial"/>
                <w:sz w:val="16"/>
                <w:szCs w:val="16"/>
              </w:rPr>
              <w:t>.</w:t>
            </w:r>
          </w:p>
          <w:p w14:paraId="776FD275" w14:textId="77777777" w:rsidR="00611DA5" w:rsidRPr="00E5568D" w:rsidRDefault="00611DA5">
            <w:pPr>
              <w:spacing w:after="0"/>
              <w:rPr>
                <w:sz w:val="16"/>
                <w:szCs w:val="16"/>
              </w:rPr>
            </w:pPr>
          </w:p>
          <w:p w14:paraId="17E9CD2A" w14:textId="77777777" w:rsidR="00611DA5" w:rsidRPr="00E5568D" w:rsidRDefault="00611DA5">
            <w:pPr>
              <w:spacing w:after="0"/>
              <w:rPr>
                <w:rFonts w:eastAsia="Arial"/>
                <w:b/>
                <w:bCs/>
                <w:sz w:val="16"/>
                <w:szCs w:val="16"/>
              </w:rPr>
            </w:pPr>
            <w:r w:rsidRPr="00E5568D">
              <w:rPr>
                <w:rFonts w:eastAsia="Arial"/>
                <w:b/>
                <w:bCs/>
                <w:sz w:val="16"/>
                <w:szCs w:val="16"/>
              </w:rPr>
              <w:t>Substances of Human Origin:</w:t>
            </w:r>
          </w:p>
          <w:p w14:paraId="7F708511" w14:textId="13943520"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One-off costs of adjusting to the sandbox route for SoHO entities. Not quantified </w:t>
            </w:r>
            <w:r w:rsidR="005F686D" w:rsidRPr="00E5568D">
              <w:rPr>
                <w:rFonts w:eastAsia="Arial"/>
                <w:sz w:val="16"/>
                <w:szCs w:val="16"/>
              </w:rPr>
              <w:t>– low.</w:t>
            </w:r>
            <w:r w:rsidRPr="00E5568D">
              <w:rPr>
                <w:sz w:val="16"/>
                <w:szCs w:val="16"/>
              </w:rPr>
              <w:t xml:space="preserve"> </w:t>
            </w:r>
          </w:p>
          <w:p w14:paraId="1AADE1F4" w14:textId="77777777" w:rsidR="00611DA5" w:rsidRPr="00E5568D" w:rsidRDefault="00611DA5">
            <w:pPr>
              <w:spacing w:after="0"/>
              <w:rPr>
                <w:sz w:val="16"/>
                <w:szCs w:val="16"/>
              </w:rPr>
            </w:pPr>
          </w:p>
          <w:p w14:paraId="1BC1FC06" w14:textId="77777777" w:rsidR="00611DA5" w:rsidRPr="00E5568D" w:rsidRDefault="00611DA5">
            <w:pPr>
              <w:spacing w:after="0"/>
              <w:rPr>
                <w:rFonts w:eastAsia="Arial"/>
                <w:b/>
                <w:bCs/>
                <w:sz w:val="16"/>
                <w:szCs w:val="16"/>
              </w:rPr>
            </w:pPr>
            <w:r w:rsidRPr="00E5568D">
              <w:rPr>
                <w:rFonts w:eastAsia="Arial"/>
                <w:b/>
                <w:bCs/>
                <w:sz w:val="16"/>
                <w:szCs w:val="16"/>
              </w:rPr>
              <w:t>Responsible use of AI and data management:</w:t>
            </w:r>
          </w:p>
          <w:p w14:paraId="7BEE365C" w14:textId="4CCAC140"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Adaptation of internal governance, validation procedures and documentation to comply with new EMA lifecycle guidance on AI. Not quantified</w:t>
            </w:r>
            <w:r w:rsidR="004132E5" w:rsidRPr="00E5568D">
              <w:rPr>
                <w:rFonts w:eastAsia="Arial"/>
                <w:sz w:val="16"/>
                <w:szCs w:val="16"/>
              </w:rPr>
              <w:t xml:space="preserve"> – medium.</w:t>
            </w:r>
          </w:p>
          <w:p w14:paraId="7CA872DC" w14:textId="77777777" w:rsidR="00611DA5" w:rsidRPr="00E5568D" w:rsidRDefault="00611DA5">
            <w:pPr>
              <w:spacing w:after="0"/>
              <w:rPr>
                <w:rFonts w:eastAsia="Arial"/>
                <w:color w:val="3071C3" w:themeColor="text2" w:themeTint="BF"/>
                <w:sz w:val="16"/>
                <w:szCs w:val="16"/>
              </w:rPr>
            </w:pPr>
          </w:p>
        </w:tc>
        <w:tc>
          <w:tcPr>
            <w:tcW w:w="2415" w:type="dxa"/>
            <w:tcMar>
              <w:top w:w="57" w:type="dxa"/>
              <w:left w:w="57" w:type="dxa"/>
              <w:bottom w:w="57" w:type="dxa"/>
              <w:right w:w="57" w:type="dxa"/>
            </w:tcMar>
            <w:vAlign w:val="center"/>
          </w:tcPr>
          <w:p w14:paraId="654B6379" w14:textId="77777777" w:rsidR="00611DA5" w:rsidRPr="00E5568D" w:rsidRDefault="00611DA5">
            <w:pPr>
              <w:spacing w:after="0"/>
              <w:rPr>
                <w:rFonts w:eastAsia="Arial"/>
                <w:b/>
                <w:bCs/>
                <w:sz w:val="16"/>
                <w:szCs w:val="16"/>
              </w:rPr>
            </w:pPr>
            <w:r w:rsidRPr="00E5568D">
              <w:rPr>
                <w:rFonts w:eastAsia="Arial"/>
                <w:b/>
                <w:bCs/>
                <w:sz w:val="16"/>
                <w:szCs w:val="16"/>
              </w:rPr>
              <w:t>Substances of Human Origin:</w:t>
            </w:r>
          </w:p>
          <w:p w14:paraId="1833F50C"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Evidence generation within sandbox route: total additional cost to SoHO entities EUR 718,500/year (low estimate, 6 sandboxes per year) to EUR 4,790,000/year (high estimate, 40 sandboxes per year).</w:t>
            </w:r>
          </w:p>
          <w:p w14:paraId="1C4C89E7" w14:textId="77777777" w:rsidR="00611DA5" w:rsidRPr="00E5568D" w:rsidRDefault="00611DA5" w:rsidP="00611DA5">
            <w:pPr>
              <w:pStyle w:val="ListParagraph"/>
              <w:numPr>
                <w:ilvl w:val="0"/>
                <w:numId w:val="479"/>
              </w:numPr>
              <w:spacing w:after="0"/>
              <w:ind w:left="324"/>
              <w:rPr>
                <w:rFonts w:eastAsia="Arial"/>
                <w:sz w:val="16"/>
                <w:szCs w:val="16"/>
              </w:rPr>
            </w:pPr>
            <w:r w:rsidRPr="00E5568D">
              <w:rPr>
                <w:rFonts w:eastAsia="Arial"/>
                <w:sz w:val="16"/>
                <w:szCs w:val="16"/>
              </w:rPr>
              <w:t>Sandbox costs comparable to high-risk SoHO authorisations (50-100 patients, EUR 1,200–6,000 per patient), assuming half medium-risk and half high-risk cases. If medium-risk cases use the sandbox route, direct cost per case increases relative to the standard SPA route.</w:t>
            </w:r>
          </w:p>
          <w:p w14:paraId="3F5333C4" w14:textId="77777777" w:rsidR="00611DA5" w:rsidRPr="00E5568D" w:rsidRDefault="00611DA5">
            <w:pPr>
              <w:spacing w:after="0"/>
              <w:rPr>
                <w:sz w:val="16"/>
                <w:szCs w:val="16"/>
              </w:rPr>
            </w:pPr>
          </w:p>
          <w:p w14:paraId="75F5BFAA" w14:textId="77777777" w:rsidR="00611DA5" w:rsidRPr="00E5568D" w:rsidRDefault="00611DA5">
            <w:pPr>
              <w:spacing w:after="0"/>
              <w:rPr>
                <w:rFonts w:eastAsia="Arial"/>
                <w:b/>
                <w:bCs/>
                <w:sz w:val="16"/>
                <w:szCs w:val="16"/>
              </w:rPr>
            </w:pPr>
            <w:r w:rsidRPr="00E5568D">
              <w:rPr>
                <w:rFonts w:eastAsia="Arial"/>
                <w:b/>
                <w:bCs/>
                <w:sz w:val="16"/>
                <w:szCs w:val="16"/>
              </w:rPr>
              <w:t>Organ processing:</w:t>
            </w:r>
          </w:p>
          <w:p w14:paraId="6FC6D850" w14:textId="342111F0" w:rsidR="00611DA5" w:rsidRPr="00E5568D" w:rsidRDefault="5306495D" w:rsidP="00611DA5">
            <w:pPr>
              <w:pStyle w:val="ListParagraph"/>
              <w:numPr>
                <w:ilvl w:val="0"/>
                <w:numId w:val="479"/>
              </w:numPr>
              <w:spacing w:after="0"/>
              <w:ind w:left="324"/>
              <w:rPr>
                <w:sz w:val="16"/>
                <w:szCs w:val="16"/>
              </w:rPr>
            </w:pPr>
            <w:r w:rsidRPr="00E5568D">
              <w:rPr>
                <w:rFonts w:eastAsia="Arial"/>
                <w:sz w:val="16"/>
                <w:szCs w:val="16"/>
              </w:rPr>
              <w:t xml:space="preserve">Ongoing data collection, analysis </w:t>
            </w:r>
            <w:r w:rsidR="00611DA5" w:rsidRPr="00E5568D">
              <w:rPr>
                <w:rFonts w:eastAsia="Arial"/>
                <w:sz w:val="16"/>
                <w:szCs w:val="16"/>
              </w:rPr>
              <w:t>and</w:t>
            </w:r>
            <w:r w:rsidRPr="00E5568D">
              <w:rPr>
                <w:rFonts w:eastAsia="Arial"/>
                <w:sz w:val="16"/>
                <w:szCs w:val="16"/>
              </w:rPr>
              <w:t xml:space="preserve"> reporting under mandatory clinical-outcome monitoring plans, estimated at approximately EUR 9,000 per monitoring plan per year. Aggregate across EU-27 during the transition phase (approximately 15–36 active monitoring plans): EUR 405,000–980,000 over three years (2029–2031)</w:t>
            </w:r>
            <w:r w:rsidR="61BC7DF5" w:rsidRPr="00E5568D">
              <w:rPr>
                <w:rFonts w:eastAsia="Arial"/>
                <w:sz w:val="16"/>
                <w:szCs w:val="16"/>
              </w:rPr>
              <w:t>,</w:t>
            </w:r>
            <w:r w:rsidR="074C6FFC" w:rsidRPr="00E5568D">
              <w:rPr>
                <w:rFonts w:eastAsia="Arial"/>
                <w:sz w:val="16"/>
                <w:szCs w:val="16"/>
              </w:rPr>
              <w:t xml:space="preserve"> or circa EUR 135,000–327,000/year.</w:t>
            </w:r>
          </w:p>
        </w:tc>
        <w:tc>
          <w:tcPr>
            <w:tcW w:w="2156" w:type="dxa"/>
            <w:tcMar>
              <w:top w:w="57" w:type="dxa"/>
              <w:left w:w="57" w:type="dxa"/>
              <w:bottom w:w="57" w:type="dxa"/>
              <w:right w:w="57" w:type="dxa"/>
            </w:tcMar>
            <w:vAlign w:val="center"/>
          </w:tcPr>
          <w:p w14:paraId="3A656322" w14:textId="77777777" w:rsidR="00611DA5" w:rsidRPr="00E5568D" w:rsidRDefault="00611DA5">
            <w:pPr>
              <w:spacing w:after="0"/>
              <w:rPr>
                <w:rFonts w:eastAsia="Arial"/>
                <w:b/>
                <w:bCs/>
                <w:sz w:val="16"/>
                <w:szCs w:val="16"/>
              </w:rPr>
            </w:pPr>
            <w:r w:rsidRPr="00E5568D">
              <w:rPr>
                <w:rFonts w:eastAsia="Arial"/>
                <w:b/>
                <w:bCs/>
                <w:sz w:val="16"/>
                <w:szCs w:val="16"/>
              </w:rPr>
              <w:t>Biotech ecosystem:</w:t>
            </w:r>
          </w:p>
          <w:p w14:paraId="5E98E2BF" w14:textId="4014BEDB"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Designation of single points of contact for health biotechnology; source notes this is a scope extension of structures already established under the Net-Zero Industry Act and Critical Raw Materials Act, resulting in marginally lower set-up costs than those benchmarks; not quantified</w:t>
            </w:r>
            <w:r w:rsidR="00EE74A4" w:rsidRPr="00E5568D">
              <w:rPr>
                <w:rFonts w:eastAsia="Arial"/>
                <w:sz w:val="16"/>
                <w:szCs w:val="16"/>
              </w:rPr>
              <w:t xml:space="preserve"> – low</w:t>
            </w:r>
            <w:r w:rsidRPr="00E5568D">
              <w:rPr>
                <w:rFonts w:eastAsia="Arial"/>
                <w:sz w:val="16"/>
                <w:szCs w:val="16"/>
              </w:rPr>
              <w:t>.</w:t>
            </w:r>
          </w:p>
          <w:p w14:paraId="2A3F9999" w14:textId="77777777" w:rsidR="00611DA5" w:rsidRPr="00E5568D" w:rsidRDefault="00611DA5">
            <w:pPr>
              <w:spacing w:after="0"/>
              <w:rPr>
                <w:sz w:val="16"/>
                <w:szCs w:val="16"/>
              </w:rPr>
            </w:pPr>
          </w:p>
          <w:p w14:paraId="64F43EBF" w14:textId="77777777" w:rsidR="00611DA5" w:rsidRPr="00E5568D" w:rsidRDefault="00611DA5">
            <w:pPr>
              <w:spacing w:after="0"/>
              <w:rPr>
                <w:rFonts w:eastAsia="Arial"/>
                <w:b/>
                <w:bCs/>
                <w:sz w:val="16"/>
                <w:szCs w:val="16"/>
              </w:rPr>
            </w:pPr>
            <w:r w:rsidRPr="00E5568D">
              <w:rPr>
                <w:rFonts w:eastAsia="Arial"/>
                <w:b/>
                <w:bCs/>
                <w:sz w:val="16"/>
                <w:szCs w:val="16"/>
              </w:rPr>
              <w:t>Biosimilars:</w:t>
            </w:r>
          </w:p>
          <w:p w14:paraId="0918201F" w14:textId="16C754D1"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Article 28: finalising the Draft Reflection Paper into adopted guidance; estimated at 0.5–1.0 full-time equivalent-year at EMA.</w:t>
            </w:r>
            <w:r w:rsidR="00DC1AF0" w:rsidRPr="00E5568D">
              <w:rPr>
                <w:rFonts w:eastAsia="Arial"/>
                <w:sz w:val="16"/>
                <w:szCs w:val="16"/>
              </w:rPr>
              <w:t xml:space="preserve"> Cost can be considered negligible.</w:t>
            </w:r>
          </w:p>
          <w:p w14:paraId="7D950CF7" w14:textId="77777777" w:rsidR="00611DA5" w:rsidRPr="00E5568D" w:rsidRDefault="00611DA5">
            <w:pPr>
              <w:spacing w:after="0"/>
              <w:rPr>
                <w:sz w:val="16"/>
                <w:szCs w:val="16"/>
              </w:rPr>
            </w:pPr>
          </w:p>
          <w:p w14:paraId="5A1F596A" w14:textId="77777777" w:rsidR="00611DA5" w:rsidRPr="00E5568D" w:rsidRDefault="00611DA5">
            <w:pPr>
              <w:spacing w:after="0"/>
              <w:rPr>
                <w:rFonts w:eastAsia="Arial"/>
                <w:b/>
                <w:bCs/>
                <w:sz w:val="16"/>
                <w:szCs w:val="16"/>
              </w:rPr>
            </w:pPr>
            <w:r w:rsidRPr="00E5568D">
              <w:rPr>
                <w:rFonts w:eastAsia="Arial"/>
                <w:b/>
                <w:bCs/>
                <w:sz w:val="16"/>
                <w:szCs w:val="16"/>
              </w:rPr>
              <w:t>Novel health biotechnology products:</w:t>
            </w:r>
          </w:p>
          <w:p w14:paraId="7FB610BE" w14:textId="13B34910" w:rsidR="00611DA5" w:rsidRPr="00E5568D" w:rsidRDefault="5306495D" w:rsidP="00611DA5">
            <w:pPr>
              <w:pStyle w:val="ListParagraph"/>
              <w:numPr>
                <w:ilvl w:val="0"/>
                <w:numId w:val="479"/>
              </w:numPr>
              <w:spacing w:after="0"/>
              <w:ind w:left="324"/>
              <w:rPr>
                <w:sz w:val="16"/>
                <w:szCs w:val="16"/>
              </w:rPr>
            </w:pPr>
            <w:r w:rsidRPr="00E5568D">
              <w:rPr>
                <w:rFonts w:eastAsia="Arial"/>
                <w:sz w:val="16"/>
                <w:szCs w:val="16"/>
              </w:rPr>
              <w:t xml:space="preserve">Setting up the regulatory sandbox and establishing the foresight panel; borne by the Commission </w:t>
            </w:r>
            <w:r w:rsidR="00611DA5" w:rsidRPr="00E5568D" w:rsidDel="5306495D">
              <w:rPr>
                <w:rFonts w:eastAsia="Arial"/>
                <w:sz w:val="16"/>
                <w:szCs w:val="16"/>
              </w:rPr>
              <w:t>only. Approximately EUR 4.3 million over approximately 3 years is an order-of-magnitude reference.</w:t>
            </w:r>
            <w:r w:rsidR="00611DA5" w:rsidRPr="00E5568D" w:rsidDel="0811DBCD">
              <w:rPr>
                <w:rFonts w:eastAsia="Arial"/>
                <w:sz w:val="16"/>
                <w:szCs w:val="16"/>
              </w:rPr>
              <w:t xml:space="preserve"> Or approximately EUR 1.4 million/year over the </w:t>
            </w:r>
            <w:r w:rsidR="00611DA5" w:rsidRPr="00E5568D" w:rsidDel="0811DBCD">
              <w:rPr>
                <w:rFonts w:eastAsia="Arial"/>
                <w:sz w:val="16"/>
                <w:szCs w:val="16"/>
              </w:rPr>
              <w:lastRenderedPageBreak/>
              <w:t>initial three-year setup period.</w:t>
            </w:r>
          </w:p>
          <w:p w14:paraId="06AD560B" w14:textId="77777777" w:rsidR="00611DA5" w:rsidRPr="00E5568D" w:rsidRDefault="00611DA5">
            <w:pPr>
              <w:spacing w:after="0"/>
              <w:rPr>
                <w:sz w:val="16"/>
                <w:szCs w:val="16"/>
              </w:rPr>
            </w:pPr>
          </w:p>
          <w:p w14:paraId="42CA91C7" w14:textId="77777777" w:rsidR="00611DA5" w:rsidRPr="00E5568D" w:rsidRDefault="00611DA5">
            <w:pPr>
              <w:spacing w:after="0"/>
              <w:rPr>
                <w:rFonts w:eastAsia="Arial"/>
                <w:b/>
                <w:bCs/>
                <w:sz w:val="16"/>
                <w:szCs w:val="16"/>
              </w:rPr>
            </w:pPr>
            <w:r w:rsidRPr="00E5568D" w:rsidDel="5306495D">
              <w:rPr>
                <w:rFonts w:eastAsia="Arial"/>
                <w:b/>
                <w:bCs/>
                <w:sz w:val="16"/>
                <w:szCs w:val="16"/>
              </w:rPr>
              <w:t>Clinical trials:</w:t>
            </w:r>
          </w:p>
          <w:p w14:paraId="70475874" w14:textId="0013F041" w:rsidR="00611DA5" w:rsidRPr="00E5568D" w:rsidRDefault="09F73E35" w:rsidP="00611DA5">
            <w:pPr>
              <w:pStyle w:val="ListParagraph"/>
              <w:numPr>
                <w:ilvl w:val="0"/>
                <w:numId w:val="479"/>
              </w:numPr>
              <w:spacing w:after="0"/>
              <w:ind w:left="324"/>
              <w:rPr>
                <w:sz w:val="16"/>
                <w:szCs w:val="16"/>
              </w:rPr>
            </w:pPr>
            <w:r w:rsidRPr="00E5568D" w:rsidDel="198CF2E7">
              <w:rPr>
                <w:rFonts w:eastAsia="Arial"/>
                <w:sz w:val="16"/>
                <w:szCs w:val="16"/>
              </w:rPr>
              <w:t>Setting up sandbox ecosystem infrastructure approximately EUR 4.3 million over approximately 3 years as an order-of-magnitude analogy.</w:t>
            </w:r>
            <w:r w:rsidRPr="00E5568D" w:rsidDel="350470C8">
              <w:rPr>
                <w:rFonts w:eastAsia="Arial"/>
                <w:sz w:val="16"/>
                <w:szCs w:val="16"/>
              </w:rPr>
              <w:t xml:space="preserve"> Or approximately EUR 1.4 million/year over the initial three-year setup period.</w:t>
            </w:r>
          </w:p>
          <w:p w14:paraId="7C19602F" w14:textId="77777777" w:rsidR="00611DA5" w:rsidRPr="00E5568D" w:rsidRDefault="09F73E35" w:rsidP="00611DA5">
            <w:pPr>
              <w:pStyle w:val="ListParagraph"/>
              <w:numPr>
                <w:ilvl w:val="0"/>
                <w:numId w:val="479"/>
              </w:numPr>
              <w:spacing w:after="0"/>
              <w:ind w:left="324"/>
              <w:rPr>
                <w:sz w:val="16"/>
                <w:szCs w:val="16"/>
              </w:rPr>
            </w:pPr>
            <w:r w:rsidRPr="00E5568D" w:rsidDel="198CF2E7">
              <w:rPr>
                <w:rFonts w:eastAsia="Arial"/>
                <w:sz w:val="16"/>
                <w:szCs w:val="16"/>
              </w:rPr>
              <w:t xml:space="preserve">Separate sandbox from Novel health biotechnology products, but similar cost expected. </w:t>
            </w:r>
          </w:p>
          <w:p w14:paraId="748BE9A0" w14:textId="77777777" w:rsidR="00611DA5" w:rsidRPr="00E5568D" w:rsidRDefault="00611DA5">
            <w:pPr>
              <w:spacing w:after="0"/>
              <w:rPr>
                <w:sz w:val="16"/>
                <w:szCs w:val="16"/>
              </w:rPr>
            </w:pPr>
          </w:p>
          <w:p w14:paraId="368E9763" w14:textId="77777777" w:rsidR="00611DA5" w:rsidRPr="00E5568D" w:rsidRDefault="00611DA5">
            <w:pPr>
              <w:spacing w:after="0"/>
              <w:rPr>
                <w:rFonts w:eastAsia="Arial"/>
                <w:b/>
                <w:bCs/>
                <w:sz w:val="16"/>
                <w:szCs w:val="16"/>
              </w:rPr>
            </w:pPr>
            <w:r w:rsidRPr="00E5568D">
              <w:rPr>
                <w:rFonts w:eastAsia="Arial"/>
                <w:b/>
                <w:bCs/>
                <w:sz w:val="16"/>
                <w:szCs w:val="16"/>
              </w:rPr>
              <w:t>ATMP:</w:t>
            </w:r>
          </w:p>
          <w:p w14:paraId="175278F9" w14:textId="62CA9AD4"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Commission preparation of delegated acts to update the tissue engineered product definition, including consultations with EMA and the Substances of Human Origin Coordination Board. Not quantified</w:t>
            </w:r>
            <w:r w:rsidR="00633784" w:rsidRPr="00E5568D">
              <w:rPr>
                <w:rFonts w:eastAsia="Arial"/>
                <w:sz w:val="16"/>
                <w:szCs w:val="16"/>
              </w:rPr>
              <w:t xml:space="preserve"> - negligible</w:t>
            </w:r>
            <w:r w:rsidRPr="00E5568D">
              <w:rPr>
                <w:rFonts w:eastAsia="Arial"/>
                <w:sz w:val="16"/>
                <w:szCs w:val="16"/>
              </w:rPr>
              <w:t>.</w:t>
            </w:r>
          </w:p>
          <w:p w14:paraId="51F7B149" w14:textId="77777777" w:rsidR="00611DA5" w:rsidRPr="00E5568D" w:rsidRDefault="00611DA5">
            <w:pPr>
              <w:spacing w:after="0"/>
              <w:rPr>
                <w:sz w:val="16"/>
                <w:szCs w:val="16"/>
              </w:rPr>
            </w:pPr>
          </w:p>
          <w:p w14:paraId="26592CA4" w14:textId="77777777" w:rsidR="00611DA5" w:rsidRPr="00E5568D" w:rsidRDefault="00611DA5">
            <w:pPr>
              <w:spacing w:after="0"/>
              <w:rPr>
                <w:rFonts w:eastAsia="Arial"/>
                <w:b/>
                <w:bCs/>
                <w:sz w:val="16"/>
                <w:szCs w:val="16"/>
              </w:rPr>
            </w:pPr>
            <w:r w:rsidRPr="00E5568D">
              <w:rPr>
                <w:rFonts w:eastAsia="Arial"/>
                <w:b/>
                <w:bCs/>
                <w:sz w:val="16"/>
                <w:szCs w:val="16"/>
              </w:rPr>
              <w:t>VMP:</w:t>
            </w:r>
          </w:p>
          <w:p w14:paraId="4612515D" w14:textId="1DD42F41" w:rsidR="00611DA5" w:rsidRPr="00E5568D" w:rsidRDefault="00611DA5" w:rsidP="00611DA5">
            <w:pPr>
              <w:pStyle w:val="ListParagraph"/>
              <w:numPr>
                <w:ilvl w:val="0"/>
                <w:numId w:val="479"/>
              </w:numPr>
              <w:spacing w:after="0"/>
              <w:ind w:left="324"/>
              <w:rPr>
                <w:rFonts w:eastAsia="Arial"/>
                <w:sz w:val="16"/>
                <w:szCs w:val="16"/>
              </w:rPr>
            </w:pPr>
            <w:r w:rsidRPr="00E5568D">
              <w:rPr>
                <w:rFonts w:eastAsia="Arial"/>
                <w:sz w:val="16"/>
                <w:szCs w:val="16"/>
              </w:rPr>
              <w:t>EMA: one-off development of SPC eligibility assessment guidance and criteria. Not quantified</w:t>
            </w:r>
            <w:r w:rsidR="00633784" w:rsidRPr="00E5568D">
              <w:rPr>
                <w:rFonts w:eastAsia="Arial"/>
                <w:sz w:val="16"/>
                <w:szCs w:val="16"/>
              </w:rPr>
              <w:t xml:space="preserve"> - negligible</w:t>
            </w:r>
            <w:r w:rsidRPr="00E5568D">
              <w:rPr>
                <w:rFonts w:eastAsia="Arial"/>
                <w:sz w:val="16"/>
                <w:szCs w:val="16"/>
              </w:rPr>
              <w:t xml:space="preserve">. </w:t>
            </w:r>
          </w:p>
          <w:p w14:paraId="47C8490E" w14:textId="6F5648AF"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Commission: adopting implementing act(s) establishing the regulatory sandbox rules and limits; one per sandbox established; approximately 2–3 over 2026–2040. Not quantified</w:t>
            </w:r>
            <w:r w:rsidR="00633784" w:rsidRPr="00E5568D">
              <w:rPr>
                <w:rFonts w:eastAsia="Arial"/>
                <w:sz w:val="16"/>
                <w:szCs w:val="16"/>
              </w:rPr>
              <w:t xml:space="preserve"> - negligible</w:t>
            </w:r>
            <w:r w:rsidRPr="00E5568D">
              <w:rPr>
                <w:rFonts w:eastAsia="Arial"/>
                <w:sz w:val="16"/>
                <w:szCs w:val="16"/>
              </w:rPr>
              <w:t>.</w:t>
            </w:r>
          </w:p>
          <w:p w14:paraId="69A789FB"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lastRenderedPageBreak/>
              <w:t>EMA: adapting the Union Product Database to remove the approve/reject functionality for National Competent Authorities. Estimated at EUR 150–300K (3–6 months, one IT team).</w:t>
            </w:r>
          </w:p>
          <w:p w14:paraId="5B65519A" w14:textId="77777777" w:rsidR="00611DA5" w:rsidRPr="00E5568D" w:rsidRDefault="00611DA5">
            <w:pPr>
              <w:spacing w:after="0"/>
              <w:rPr>
                <w:sz w:val="16"/>
                <w:szCs w:val="16"/>
              </w:rPr>
            </w:pPr>
          </w:p>
          <w:p w14:paraId="58F85E9B" w14:textId="77777777" w:rsidR="00611DA5" w:rsidRPr="00E5568D" w:rsidRDefault="00611DA5">
            <w:pPr>
              <w:spacing w:after="0"/>
              <w:rPr>
                <w:rFonts w:eastAsia="Arial"/>
                <w:b/>
                <w:bCs/>
                <w:sz w:val="16"/>
                <w:szCs w:val="16"/>
              </w:rPr>
            </w:pPr>
            <w:r w:rsidRPr="00E5568D">
              <w:rPr>
                <w:rFonts w:eastAsia="Arial"/>
                <w:b/>
                <w:bCs/>
                <w:sz w:val="16"/>
                <w:szCs w:val="16"/>
              </w:rPr>
              <w:t>Substances of Human Origin:</w:t>
            </w:r>
          </w:p>
          <w:p w14:paraId="4B523C18" w14:textId="6E479F19" w:rsidR="00611DA5" w:rsidRPr="00E5568D" w:rsidRDefault="00611DA5" w:rsidP="00611DA5">
            <w:pPr>
              <w:pStyle w:val="ListParagraph"/>
              <w:numPr>
                <w:ilvl w:val="0"/>
                <w:numId w:val="479"/>
              </w:numPr>
              <w:spacing w:after="0"/>
              <w:ind w:left="324"/>
              <w:rPr>
                <w:rFonts w:eastAsia="Arial"/>
                <w:sz w:val="16"/>
                <w:szCs w:val="16"/>
              </w:rPr>
            </w:pPr>
            <w:r w:rsidRPr="00E5568D">
              <w:rPr>
                <w:rFonts w:eastAsia="Arial"/>
                <w:sz w:val="16"/>
                <w:szCs w:val="16"/>
              </w:rPr>
              <w:t>NCA upfront sandbox capability setup; Not estimated</w:t>
            </w:r>
            <w:r w:rsidR="00633784" w:rsidRPr="00E5568D">
              <w:rPr>
                <w:rFonts w:eastAsia="Arial"/>
                <w:sz w:val="16"/>
                <w:szCs w:val="16"/>
              </w:rPr>
              <w:t xml:space="preserve"> – low to medium</w:t>
            </w:r>
            <w:r w:rsidRPr="00E5568D">
              <w:rPr>
                <w:rFonts w:eastAsia="Arial"/>
                <w:sz w:val="16"/>
                <w:szCs w:val="16"/>
              </w:rPr>
              <w:t>.</w:t>
            </w:r>
          </w:p>
          <w:p w14:paraId="2CD8521E" w14:textId="1F257CD4" w:rsidR="00611DA5" w:rsidRPr="00E5568D" w:rsidRDefault="00611DA5" w:rsidP="00611DA5">
            <w:pPr>
              <w:pStyle w:val="ListParagraph"/>
              <w:numPr>
                <w:ilvl w:val="0"/>
                <w:numId w:val="479"/>
              </w:numPr>
              <w:spacing w:after="0"/>
              <w:ind w:left="324"/>
              <w:rPr>
                <w:rFonts w:eastAsia="Arial"/>
                <w:sz w:val="16"/>
                <w:szCs w:val="16"/>
              </w:rPr>
            </w:pPr>
            <w:r w:rsidRPr="00E5568D">
              <w:rPr>
                <w:rFonts w:eastAsia="Arial"/>
                <w:sz w:val="16"/>
                <w:szCs w:val="16"/>
              </w:rPr>
              <w:t>Commission costs for hosting EU SoHO Platform and SCB engagement. Not estimated</w:t>
            </w:r>
            <w:r w:rsidR="00633784" w:rsidRPr="00E5568D">
              <w:rPr>
                <w:rFonts w:eastAsia="Arial"/>
                <w:sz w:val="16"/>
                <w:szCs w:val="16"/>
              </w:rPr>
              <w:t xml:space="preserve"> – low</w:t>
            </w:r>
            <w:r w:rsidRPr="00E5568D">
              <w:rPr>
                <w:rFonts w:eastAsia="Arial"/>
                <w:sz w:val="16"/>
                <w:szCs w:val="16"/>
              </w:rPr>
              <w:t>.</w:t>
            </w:r>
          </w:p>
          <w:p w14:paraId="01D303DF" w14:textId="77777777" w:rsidR="00611DA5" w:rsidRPr="00E5568D" w:rsidRDefault="00611DA5">
            <w:pPr>
              <w:spacing w:after="0"/>
              <w:rPr>
                <w:sz w:val="16"/>
                <w:szCs w:val="16"/>
              </w:rPr>
            </w:pPr>
          </w:p>
          <w:p w14:paraId="1748339E" w14:textId="77777777" w:rsidR="00611DA5" w:rsidRPr="00E5568D" w:rsidRDefault="00611DA5">
            <w:pPr>
              <w:spacing w:after="0"/>
              <w:rPr>
                <w:rFonts w:eastAsia="Arial"/>
                <w:b/>
                <w:bCs/>
                <w:sz w:val="16"/>
                <w:szCs w:val="16"/>
              </w:rPr>
            </w:pPr>
            <w:r w:rsidRPr="00E5568D">
              <w:rPr>
                <w:rFonts w:eastAsia="Arial"/>
                <w:b/>
                <w:bCs/>
                <w:sz w:val="16"/>
                <w:szCs w:val="16"/>
              </w:rPr>
              <w:t>Organ processing:</w:t>
            </w:r>
          </w:p>
          <w:p w14:paraId="47F0F151" w14:textId="5090EA5F"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National competent authority capacity building, comprising recruitment or training of multidisciplinary assessment staff, establishment of cooperation channels with pharmaceutical, medical device, and SoHO authorities, and development of internal procedures and assessment templates. Not quantified</w:t>
            </w:r>
            <w:r w:rsidR="00633784" w:rsidRPr="00E5568D">
              <w:rPr>
                <w:rFonts w:eastAsia="Arial"/>
                <w:sz w:val="16"/>
                <w:szCs w:val="16"/>
              </w:rPr>
              <w:t xml:space="preserve"> – low to medium</w:t>
            </w:r>
            <w:r w:rsidRPr="00E5568D">
              <w:rPr>
                <w:rFonts w:eastAsia="Arial"/>
                <w:sz w:val="16"/>
                <w:szCs w:val="16"/>
              </w:rPr>
              <w:t>.</w:t>
            </w:r>
          </w:p>
          <w:p w14:paraId="016694C2" w14:textId="6E07FCBA"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Commission: adopting implementing acts to establish the detailed authorisation procedure (Article 6a(12)). Not quantified</w:t>
            </w:r>
            <w:r w:rsidR="00633784" w:rsidRPr="00E5568D">
              <w:rPr>
                <w:rFonts w:eastAsia="Arial"/>
                <w:sz w:val="16"/>
                <w:szCs w:val="16"/>
              </w:rPr>
              <w:t xml:space="preserve"> - negligible</w:t>
            </w:r>
            <w:r w:rsidRPr="00E5568D">
              <w:rPr>
                <w:rFonts w:eastAsia="Arial"/>
                <w:sz w:val="16"/>
                <w:szCs w:val="16"/>
              </w:rPr>
              <w:t>.</w:t>
            </w:r>
          </w:p>
          <w:p w14:paraId="57659245" w14:textId="77777777" w:rsidR="00611DA5" w:rsidRPr="00E5568D" w:rsidRDefault="00611DA5">
            <w:pPr>
              <w:spacing w:after="0"/>
              <w:rPr>
                <w:sz w:val="16"/>
                <w:szCs w:val="16"/>
              </w:rPr>
            </w:pPr>
          </w:p>
          <w:p w14:paraId="6EA938F5" w14:textId="77777777" w:rsidR="00611DA5" w:rsidRPr="00E5568D" w:rsidRDefault="00611DA5">
            <w:pPr>
              <w:spacing w:after="0"/>
              <w:rPr>
                <w:rFonts w:eastAsia="Arial"/>
                <w:b/>
                <w:bCs/>
                <w:sz w:val="16"/>
                <w:szCs w:val="16"/>
              </w:rPr>
            </w:pPr>
            <w:r w:rsidRPr="00E5568D">
              <w:rPr>
                <w:rFonts w:eastAsia="Arial"/>
                <w:b/>
                <w:bCs/>
                <w:sz w:val="16"/>
                <w:szCs w:val="16"/>
              </w:rPr>
              <w:t>Access to funding:</w:t>
            </w:r>
          </w:p>
          <w:p w14:paraId="6CFAF6C7" w14:textId="2014DADF"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lastRenderedPageBreak/>
              <w:t>Design and establishment of the Investment Pilot by end-2026, including instrument structuring, biotech tagging and KPI comparability arrangements across instruments. Costs moderate. Not quantified</w:t>
            </w:r>
            <w:r w:rsidR="00633784" w:rsidRPr="00E5568D">
              <w:rPr>
                <w:rFonts w:eastAsia="Arial"/>
                <w:sz w:val="16"/>
                <w:szCs w:val="16"/>
              </w:rPr>
              <w:t xml:space="preserve"> - low</w:t>
            </w:r>
            <w:r w:rsidRPr="00E5568D">
              <w:rPr>
                <w:rFonts w:eastAsia="Arial"/>
                <w:sz w:val="16"/>
                <w:szCs w:val="16"/>
              </w:rPr>
              <w:t xml:space="preserve">. </w:t>
            </w:r>
          </w:p>
          <w:p w14:paraId="72DA2028" w14:textId="77777777" w:rsidR="00611DA5" w:rsidRPr="00E5568D" w:rsidRDefault="00611DA5">
            <w:pPr>
              <w:spacing w:after="0"/>
              <w:rPr>
                <w:sz w:val="16"/>
                <w:szCs w:val="16"/>
              </w:rPr>
            </w:pPr>
          </w:p>
          <w:p w14:paraId="3510A614" w14:textId="77777777" w:rsidR="00611DA5" w:rsidRPr="00E5568D" w:rsidRDefault="00611DA5">
            <w:pPr>
              <w:spacing w:after="0"/>
              <w:rPr>
                <w:rFonts w:eastAsia="Arial"/>
                <w:b/>
                <w:bCs/>
                <w:sz w:val="16"/>
                <w:szCs w:val="16"/>
              </w:rPr>
            </w:pPr>
            <w:r w:rsidRPr="00E5568D">
              <w:rPr>
                <w:rFonts w:eastAsia="Arial"/>
                <w:b/>
                <w:bCs/>
                <w:sz w:val="16"/>
                <w:szCs w:val="16"/>
              </w:rPr>
              <w:t>Responsible use of AI and data management:</w:t>
            </w:r>
          </w:p>
          <w:p w14:paraId="5AC0175E" w14:textId="2C582E4E"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Developing lifecycle-wide AI guidance across the medicinal product lifecycle; capacity-building and training costs borne at both Union and national levels. Not quantified</w:t>
            </w:r>
            <w:r w:rsidR="001E4150" w:rsidRPr="00E5568D">
              <w:rPr>
                <w:rFonts w:eastAsia="Arial"/>
                <w:sz w:val="16"/>
                <w:szCs w:val="16"/>
              </w:rPr>
              <w:t xml:space="preserve"> – low to medium</w:t>
            </w:r>
            <w:r w:rsidRPr="00E5568D">
              <w:rPr>
                <w:rFonts w:eastAsia="Arial"/>
                <w:sz w:val="16"/>
                <w:szCs w:val="16"/>
              </w:rPr>
              <w:t xml:space="preserve">. </w:t>
            </w:r>
          </w:p>
          <w:p w14:paraId="164D63A4" w14:textId="77777777" w:rsidR="00611DA5" w:rsidRPr="00E5568D" w:rsidRDefault="00611DA5">
            <w:pPr>
              <w:spacing w:after="0"/>
              <w:rPr>
                <w:sz w:val="16"/>
                <w:szCs w:val="16"/>
              </w:rPr>
            </w:pPr>
          </w:p>
          <w:p w14:paraId="31F45309" w14:textId="77777777" w:rsidR="00611DA5" w:rsidRPr="00E5568D" w:rsidRDefault="00611DA5">
            <w:pPr>
              <w:spacing w:after="0"/>
              <w:rPr>
                <w:rFonts w:eastAsia="Arial"/>
                <w:b/>
                <w:bCs/>
                <w:sz w:val="16"/>
                <w:szCs w:val="16"/>
              </w:rPr>
            </w:pPr>
            <w:r w:rsidRPr="00E5568D">
              <w:rPr>
                <w:rFonts w:eastAsia="Arial"/>
                <w:b/>
                <w:bCs/>
                <w:sz w:val="16"/>
                <w:szCs w:val="16"/>
              </w:rPr>
              <w:t>Biodefence:</w:t>
            </w:r>
          </w:p>
          <w:p w14:paraId="05224C8D"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Expansion of collection infrastructure to strategic locations (airports, train stations, schools, hospitals) beyond existing wastewater treatment sites. </w:t>
            </w:r>
          </w:p>
          <w:p w14:paraId="0FDF6D41" w14:textId="77777777" w:rsidR="00611DA5" w:rsidRPr="00E5568D" w:rsidRDefault="00611DA5" w:rsidP="00611DA5">
            <w:pPr>
              <w:pStyle w:val="ListParagraph"/>
              <w:numPr>
                <w:ilvl w:val="0"/>
                <w:numId w:val="479"/>
              </w:numPr>
              <w:spacing w:after="0"/>
              <w:ind w:left="324"/>
              <w:rPr>
                <w:sz w:val="16"/>
                <w:szCs w:val="16"/>
              </w:rPr>
            </w:pPr>
            <w:r w:rsidRPr="00E5568D">
              <w:rPr>
                <w:rFonts w:eastAsia="Arial"/>
                <w:b/>
                <w:bCs/>
                <w:sz w:val="16"/>
                <w:szCs w:val="16"/>
              </w:rPr>
              <w:t>Cost minimal</w:t>
            </w:r>
            <w:r w:rsidRPr="00E5568D">
              <w:rPr>
                <w:rFonts w:eastAsia="Arial"/>
                <w:sz w:val="16"/>
                <w:szCs w:val="16"/>
              </w:rPr>
              <w:t xml:space="preserve"> as it would rely on existing wastewater plants where available.</w:t>
            </w:r>
          </w:p>
        </w:tc>
        <w:tc>
          <w:tcPr>
            <w:tcW w:w="3645" w:type="dxa"/>
            <w:tcMar>
              <w:top w:w="57" w:type="dxa"/>
              <w:left w:w="57" w:type="dxa"/>
              <w:bottom w:w="57" w:type="dxa"/>
              <w:right w:w="57" w:type="dxa"/>
            </w:tcMar>
            <w:vAlign w:val="center"/>
          </w:tcPr>
          <w:p w14:paraId="096F1AA7" w14:textId="77777777" w:rsidR="00611DA5" w:rsidRPr="00E5568D" w:rsidRDefault="00611DA5">
            <w:pPr>
              <w:spacing w:after="0"/>
              <w:rPr>
                <w:rFonts w:eastAsia="Arial"/>
                <w:b/>
                <w:bCs/>
                <w:sz w:val="16"/>
                <w:szCs w:val="16"/>
              </w:rPr>
            </w:pPr>
            <w:r w:rsidRPr="00E5568D">
              <w:rPr>
                <w:rFonts w:eastAsia="Arial"/>
                <w:b/>
                <w:bCs/>
                <w:sz w:val="16"/>
                <w:szCs w:val="16"/>
              </w:rPr>
              <w:lastRenderedPageBreak/>
              <w:t>Biotech ecosystem:</w:t>
            </w:r>
          </w:p>
          <w:p w14:paraId="065E2973" w14:textId="77777777" w:rsidR="00611DA5" w:rsidRPr="00E5568D" w:rsidRDefault="00611DA5">
            <w:pPr>
              <w:spacing w:after="0"/>
              <w:rPr>
                <w:sz w:val="16"/>
                <w:szCs w:val="16"/>
              </w:rPr>
            </w:pPr>
            <w:r w:rsidRPr="00E5568D">
              <w:rPr>
                <w:rFonts w:eastAsia="Arial"/>
                <w:sz w:val="16"/>
                <w:szCs w:val="16"/>
              </w:rPr>
              <w:t xml:space="preserve">Member State level: </w:t>
            </w:r>
          </w:p>
          <w:p w14:paraId="6568DDC4"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Steering Group participation: approximately 2 full-time equivalents per Member State per year; </w:t>
            </w:r>
          </w:p>
          <w:p w14:paraId="0310A2DD" w14:textId="155F6219"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Facilitation of Support Network tasks (Article 19(7)): not separately quantified</w:t>
            </w:r>
            <w:r w:rsidR="00C277F9" w:rsidRPr="00E5568D">
              <w:rPr>
                <w:rFonts w:eastAsia="Arial"/>
                <w:sz w:val="16"/>
                <w:szCs w:val="16"/>
              </w:rPr>
              <w:t xml:space="preserve"> - low</w:t>
            </w:r>
            <w:r w:rsidRPr="00E5568D">
              <w:rPr>
                <w:rFonts w:eastAsia="Arial"/>
                <w:sz w:val="16"/>
                <w:szCs w:val="16"/>
              </w:rPr>
              <w:t xml:space="preserve">. </w:t>
            </w:r>
          </w:p>
          <w:p w14:paraId="3044B906" w14:textId="77777777" w:rsidR="00611DA5" w:rsidRPr="00E5568D" w:rsidRDefault="00611DA5">
            <w:pPr>
              <w:spacing w:after="0"/>
              <w:ind w:left="-36"/>
              <w:rPr>
                <w:sz w:val="16"/>
                <w:szCs w:val="16"/>
              </w:rPr>
            </w:pPr>
            <w:r w:rsidRPr="00E5568D">
              <w:rPr>
                <w:rFonts w:eastAsia="Arial"/>
                <w:sz w:val="16"/>
                <w:szCs w:val="16"/>
              </w:rPr>
              <w:t xml:space="preserve">Commission level:  </w:t>
            </w:r>
          </w:p>
          <w:p w14:paraId="577AF29F"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Operating Steering Group secretariat, conducting strategic mapping and coordinating Support Network: approximately EUR 2.6 million annually (EUR 18.4 million over the MFF period).</w:t>
            </w:r>
          </w:p>
          <w:p w14:paraId="22BAADA2" w14:textId="77777777" w:rsidR="00611DA5" w:rsidRPr="00E5568D" w:rsidRDefault="00611DA5">
            <w:pPr>
              <w:spacing w:after="0"/>
              <w:rPr>
                <w:rFonts w:eastAsia="Arial"/>
                <w:b/>
                <w:bCs/>
                <w:sz w:val="16"/>
                <w:szCs w:val="16"/>
              </w:rPr>
            </w:pPr>
          </w:p>
          <w:p w14:paraId="6EA3DA98" w14:textId="77777777" w:rsidR="00611DA5" w:rsidRPr="00E5568D" w:rsidRDefault="00611DA5">
            <w:pPr>
              <w:spacing w:after="0"/>
              <w:rPr>
                <w:rFonts w:eastAsia="Arial"/>
                <w:b/>
                <w:bCs/>
                <w:sz w:val="16"/>
                <w:szCs w:val="16"/>
              </w:rPr>
            </w:pPr>
            <w:r w:rsidRPr="00E5568D">
              <w:rPr>
                <w:rFonts w:eastAsia="Arial"/>
                <w:b/>
                <w:bCs/>
                <w:sz w:val="16"/>
                <w:szCs w:val="16"/>
              </w:rPr>
              <w:t>Biosimilars:</w:t>
            </w:r>
          </w:p>
          <w:p w14:paraId="1F05E2A5"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Article 28: ongoing maintenance of tailored biosimilar guidance and handling of tailored scientific advice requests; estimated at 0.2–0.5 full-time equivalent-year at EMA.</w:t>
            </w:r>
          </w:p>
          <w:p w14:paraId="3FD49D4C" w14:textId="77777777" w:rsidR="00611DA5" w:rsidRPr="00E5568D" w:rsidRDefault="00611DA5">
            <w:pPr>
              <w:spacing w:after="0"/>
              <w:rPr>
                <w:sz w:val="16"/>
                <w:szCs w:val="16"/>
              </w:rPr>
            </w:pPr>
          </w:p>
          <w:p w14:paraId="5AA33FC7" w14:textId="77777777" w:rsidR="00611DA5" w:rsidRPr="00E5568D" w:rsidRDefault="00611DA5">
            <w:pPr>
              <w:spacing w:after="0"/>
              <w:rPr>
                <w:rFonts w:eastAsia="Arial"/>
                <w:b/>
                <w:bCs/>
                <w:sz w:val="16"/>
                <w:szCs w:val="16"/>
              </w:rPr>
            </w:pPr>
            <w:r w:rsidRPr="00E5568D">
              <w:rPr>
                <w:rFonts w:eastAsia="Arial"/>
                <w:b/>
                <w:bCs/>
                <w:sz w:val="16"/>
                <w:szCs w:val="16"/>
              </w:rPr>
              <w:t>Novel health biotechnology products:</w:t>
            </w:r>
          </w:p>
          <w:p w14:paraId="43D2A6F6" w14:textId="1E726C22"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Operating the regulatory sandbox and running the foresight panel (Commission); not quantified</w:t>
            </w:r>
            <w:r w:rsidR="002C5633" w:rsidRPr="00E5568D">
              <w:rPr>
                <w:rFonts w:eastAsia="Arial"/>
                <w:sz w:val="16"/>
                <w:szCs w:val="16"/>
              </w:rPr>
              <w:t xml:space="preserve"> – low to medium</w:t>
            </w:r>
            <w:r w:rsidRPr="00E5568D">
              <w:rPr>
                <w:rFonts w:eastAsia="Arial"/>
                <w:sz w:val="16"/>
                <w:szCs w:val="16"/>
              </w:rPr>
              <w:t>.</w:t>
            </w:r>
          </w:p>
          <w:p w14:paraId="035BF3E7" w14:textId="77777777" w:rsidR="00611DA5" w:rsidRPr="00E5568D" w:rsidRDefault="00611DA5">
            <w:pPr>
              <w:spacing w:after="0"/>
              <w:rPr>
                <w:sz w:val="16"/>
                <w:szCs w:val="16"/>
              </w:rPr>
            </w:pPr>
          </w:p>
          <w:p w14:paraId="79A891CC" w14:textId="77777777" w:rsidR="00611DA5" w:rsidRPr="00E5568D" w:rsidRDefault="00611DA5">
            <w:pPr>
              <w:spacing w:after="0"/>
              <w:rPr>
                <w:rFonts w:eastAsia="Arial"/>
                <w:b/>
                <w:bCs/>
                <w:sz w:val="16"/>
                <w:szCs w:val="16"/>
              </w:rPr>
            </w:pPr>
            <w:r w:rsidRPr="00E5568D">
              <w:rPr>
                <w:rFonts w:eastAsia="Arial"/>
                <w:b/>
                <w:bCs/>
                <w:sz w:val="16"/>
                <w:szCs w:val="16"/>
              </w:rPr>
              <w:t>General food law reform:</w:t>
            </w:r>
          </w:p>
          <w:p w14:paraId="52EE37BE" w14:textId="12F335A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Additional staff and coordination effort in EFSA for expanded scope of pre-submission advice. The costs are expected to be offset by efficiency gains from fewer stop-the-clock procedures and less remedial work on poor-quality dossiers. Not quantified</w:t>
            </w:r>
            <w:r w:rsidR="002C5633" w:rsidRPr="00E5568D">
              <w:rPr>
                <w:rFonts w:eastAsia="Arial"/>
                <w:sz w:val="16"/>
                <w:szCs w:val="16"/>
              </w:rPr>
              <w:t xml:space="preserve"> - low</w:t>
            </w:r>
            <w:r w:rsidRPr="00E5568D">
              <w:rPr>
                <w:rFonts w:eastAsia="Arial"/>
                <w:sz w:val="16"/>
                <w:szCs w:val="16"/>
              </w:rPr>
              <w:t xml:space="preserve">. </w:t>
            </w:r>
          </w:p>
          <w:p w14:paraId="17DD5EF3" w14:textId="111FDF8D"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Member State national competent authorities: establishing and supervising regulatory sandboxes and submitting annual reports to the Commission on sandbox results. Not quantified</w:t>
            </w:r>
            <w:r w:rsidR="002C5633" w:rsidRPr="00E5568D">
              <w:rPr>
                <w:rFonts w:eastAsia="Arial"/>
                <w:sz w:val="16"/>
                <w:szCs w:val="16"/>
              </w:rPr>
              <w:t xml:space="preserve"> - low</w:t>
            </w:r>
            <w:r w:rsidRPr="00E5568D">
              <w:rPr>
                <w:rFonts w:eastAsia="Arial"/>
                <w:sz w:val="16"/>
                <w:szCs w:val="16"/>
              </w:rPr>
              <w:t>.</w:t>
            </w:r>
          </w:p>
          <w:p w14:paraId="22904B79" w14:textId="77777777" w:rsidR="00611DA5" w:rsidRPr="00E5568D" w:rsidRDefault="00611DA5">
            <w:pPr>
              <w:spacing w:after="0"/>
              <w:rPr>
                <w:sz w:val="16"/>
                <w:szCs w:val="16"/>
              </w:rPr>
            </w:pPr>
          </w:p>
          <w:p w14:paraId="14AC2778" w14:textId="77777777" w:rsidR="00611DA5" w:rsidRPr="00E5568D" w:rsidRDefault="00611DA5">
            <w:pPr>
              <w:spacing w:after="0"/>
              <w:rPr>
                <w:rFonts w:eastAsia="Arial"/>
                <w:b/>
                <w:bCs/>
                <w:sz w:val="16"/>
                <w:szCs w:val="16"/>
              </w:rPr>
            </w:pPr>
            <w:r w:rsidRPr="00E5568D">
              <w:rPr>
                <w:rFonts w:eastAsia="Arial"/>
                <w:b/>
                <w:bCs/>
                <w:sz w:val="16"/>
                <w:szCs w:val="16"/>
              </w:rPr>
              <w:t>Access to funding:</w:t>
            </w:r>
          </w:p>
          <w:p w14:paraId="57E800A9" w14:textId="73B9E84C" w:rsidR="00C95C5E" w:rsidRPr="00E5568D" w:rsidRDefault="00611DA5" w:rsidP="00C95C5E">
            <w:pPr>
              <w:pStyle w:val="ListParagraph"/>
              <w:numPr>
                <w:ilvl w:val="0"/>
                <w:numId w:val="479"/>
              </w:numPr>
              <w:spacing w:after="0"/>
              <w:ind w:left="324"/>
              <w:rPr>
                <w:sz w:val="16"/>
                <w:szCs w:val="16"/>
              </w:rPr>
            </w:pPr>
            <w:r w:rsidRPr="00E5568D">
              <w:rPr>
                <w:rFonts w:eastAsia="Arial"/>
                <w:sz w:val="16"/>
                <w:szCs w:val="16"/>
              </w:rPr>
              <w:t xml:space="preserve">Monitoring and reporting of the Pilot, evaluation of leverage and additionality across instruments. </w:t>
            </w:r>
            <w:r w:rsidRPr="00E5568D">
              <w:rPr>
                <w:rFonts w:eastAsia="Arial"/>
                <w:sz w:val="16"/>
                <w:szCs w:val="16"/>
              </w:rPr>
              <w:lastRenderedPageBreak/>
              <w:t>Not quantified</w:t>
            </w:r>
            <w:r w:rsidR="00C95C5E" w:rsidRPr="00E5568D">
              <w:rPr>
                <w:rFonts w:eastAsia="Arial"/>
                <w:sz w:val="16"/>
                <w:szCs w:val="16"/>
              </w:rPr>
              <w:t xml:space="preserve"> - negligible (largely absorbed within existing EIB structures). </w:t>
            </w:r>
          </w:p>
          <w:p w14:paraId="6FB49B41" w14:textId="77777777" w:rsidR="00611DA5" w:rsidRPr="00E5568D" w:rsidRDefault="00611DA5" w:rsidP="004570F2">
            <w:pPr>
              <w:pStyle w:val="ListParagraph"/>
              <w:spacing w:after="0"/>
              <w:ind w:left="324"/>
              <w:rPr>
                <w:sz w:val="16"/>
                <w:szCs w:val="16"/>
              </w:rPr>
            </w:pPr>
          </w:p>
          <w:p w14:paraId="7EB4ED44" w14:textId="77777777" w:rsidR="00611DA5" w:rsidRPr="00E5568D" w:rsidRDefault="00611DA5">
            <w:pPr>
              <w:spacing w:after="0"/>
              <w:rPr>
                <w:rFonts w:eastAsia="Arial"/>
                <w:b/>
                <w:bCs/>
                <w:sz w:val="16"/>
                <w:szCs w:val="16"/>
              </w:rPr>
            </w:pPr>
            <w:r w:rsidRPr="00E5568D">
              <w:rPr>
                <w:rFonts w:eastAsia="Arial"/>
                <w:b/>
                <w:bCs/>
                <w:sz w:val="16"/>
                <w:szCs w:val="16"/>
              </w:rPr>
              <w:t>Responsible use of AI and data management:</w:t>
            </w:r>
          </w:p>
          <w:p w14:paraId="7DFF5631"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Arts. 32 &amp; 33: continuous technology refresh to maintain state-of-the-art status for recognised testing environments and data quality accelerators: 15–20% of initial capital expenditure annually; 30–40% of software stacks require major replacement or updates every 18–24 months. </w:t>
            </w:r>
          </w:p>
          <w:p w14:paraId="479A85D2"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Article 33: accelerator-grade data curation uplift beyond EHDS baseline obligations  - approximately 15% added to experimentation costs for AI-readiness; EUR 100,000–500,000 per project for accelerator-grade data provision.</w:t>
            </w:r>
          </w:p>
          <w:p w14:paraId="0E0C920C" w14:textId="77777777" w:rsidR="00611DA5" w:rsidRPr="00E5568D" w:rsidRDefault="00611DA5">
            <w:pPr>
              <w:spacing w:after="0"/>
              <w:rPr>
                <w:sz w:val="16"/>
                <w:szCs w:val="16"/>
              </w:rPr>
            </w:pPr>
          </w:p>
          <w:p w14:paraId="134B9826" w14:textId="77777777" w:rsidR="00611DA5" w:rsidRPr="00E5568D" w:rsidRDefault="00611DA5">
            <w:pPr>
              <w:spacing w:after="0"/>
              <w:rPr>
                <w:rFonts w:eastAsia="Arial"/>
                <w:b/>
                <w:bCs/>
                <w:sz w:val="16"/>
                <w:szCs w:val="16"/>
              </w:rPr>
            </w:pPr>
            <w:r w:rsidRPr="00E5568D">
              <w:rPr>
                <w:rFonts w:eastAsia="Arial"/>
                <w:b/>
                <w:bCs/>
                <w:sz w:val="16"/>
                <w:szCs w:val="16"/>
              </w:rPr>
              <w:t>Biodefence:</w:t>
            </w:r>
          </w:p>
          <w:p w14:paraId="5618AFB6" w14:textId="77777777" w:rsidR="00611DA5" w:rsidRPr="00E5568D" w:rsidRDefault="00611DA5">
            <w:pPr>
              <w:spacing w:after="0"/>
              <w:rPr>
                <w:sz w:val="16"/>
                <w:szCs w:val="16"/>
              </w:rPr>
            </w:pPr>
            <w:r w:rsidRPr="00E5568D">
              <w:rPr>
                <w:rFonts w:eastAsia="Arial"/>
                <w:sz w:val="16"/>
                <w:szCs w:val="16"/>
              </w:rPr>
              <w:t xml:space="preserve">Sampling and collection costs (NWSS municipal sites plus transport gateway sampling): </w:t>
            </w:r>
          </w:p>
          <w:p w14:paraId="0C19C504"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EU Scenario 1 approximately €23 million per year total collection; EU Scenario 2 approximately €8 million per year total collection (no nasal swabs). Metagenomic sequencing, processing and bioinformatics analysis (BIORADAR component): EU Scenario 1 approximately €23 million per year; EU Scenario 2 approximately €102 million per year. </w:t>
            </w:r>
          </w:p>
          <w:p w14:paraId="53A7F382"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Total annual operational costs including overhead: approximately €46 million per year (EU Scenario 1) to approximately €110 million per year (EU Scenario 2). </w:t>
            </w:r>
          </w:p>
          <w:p w14:paraId="6D359FE2" w14:textId="77777777" w:rsidR="00611DA5" w:rsidRPr="00E5568D" w:rsidRDefault="00611DA5">
            <w:pPr>
              <w:spacing w:after="0"/>
              <w:rPr>
                <w:sz w:val="16"/>
                <w:szCs w:val="16"/>
              </w:rPr>
            </w:pPr>
          </w:p>
          <w:p w14:paraId="3D43A341" w14:textId="77777777" w:rsidR="00611DA5" w:rsidRPr="00E5568D" w:rsidRDefault="00611DA5">
            <w:pPr>
              <w:spacing w:after="0"/>
              <w:rPr>
                <w:rFonts w:eastAsia="Arial"/>
                <w:b/>
                <w:bCs/>
                <w:sz w:val="16"/>
                <w:szCs w:val="16"/>
              </w:rPr>
            </w:pPr>
            <w:r w:rsidRPr="00E5568D">
              <w:rPr>
                <w:rFonts w:eastAsia="Arial"/>
                <w:b/>
                <w:bCs/>
                <w:sz w:val="16"/>
                <w:szCs w:val="16"/>
              </w:rPr>
              <w:t>Biosecurity:</w:t>
            </w:r>
          </w:p>
          <w:p w14:paraId="66DABBB8"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Total direct compliance costs for providers implementing mandatory sequence and legitimacy screening.  </w:t>
            </w:r>
          </w:p>
          <w:p w14:paraId="70606A24" w14:textId="3E119539" w:rsidR="00611DA5" w:rsidRPr="00E5568D" w:rsidRDefault="00611DA5" w:rsidP="00611DA5">
            <w:pPr>
              <w:pStyle w:val="ListParagraph"/>
              <w:numPr>
                <w:ilvl w:val="1"/>
                <w:numId w:val="479"/>
              </w:numPr>
              <w:spacing w:after="0"/>
              <w:ind w:left="921"/>
              <w:rPr>
                <w:rFonts w:eastAsia="Arial"/>
                <w:sz w:val="16"/>
                <w:szCs w:val="16"/>
              </w:rPr>
            </w:pPr>
            <w:r w:rsidRPr="00E5568D">
              <w:rPr>
                <w:rFonts w:eastAsia="Arial"/>
                <w:sz w:val="16"/>
                <w:szCs w:val="16"/>
              </w:rPr>
              <w:t xml:space="preserve">Lower-bound estimate: approximately EUR </w:t>
            </w:r>
            <w:r w:rsidR="00D82A67" w:rsidRPr="00E5568D">
              <w:rPr>
                <w:rFonts w:eastAsia="Arial"/>
                <w:sz w:val="16"/>
                <w:szCs w:val="16"/>
              </w:rPr>
              <w:t>7.3</w:t>
            </w:r>
            <w:r w:rsidRPr="00E5568D">
              <w:rPr>
                <w:rFonts w:eastAsia="Arial"/>
                <w:sz w:val="16"/>
                <w:szCs w:val="16"/>
              </w:rPr>
              <w:t xml:space="preserve"> million per year.  </w:t>
            </w:r>
          </w:p>
          <w:p w14:paraId="3DD4E149" w14:textId="77777777" w:rsidR="00611DA5" w:rsidRPr="00E5568D" w:rsidRDefault="00611DA5" w:rsidP="00611DA5">
            <w:pPr>
              <w:pStyle w:val="ListParagraph"/>
              <w:numPr>
                <w:ilvl w:val="1"/>
                <w:numId w:val="479"/>
              </w:numPr>
              <w:spacing w:after="0"/>
              <w:ind w:left="921"/>
              <w:rPr>
                <w:rFonts w:eastAsia="Arial"/>
                <w:sz w:val="16"/>
                <w:szCs w:val="16"/>
              </w:rPr>
            </w:pPr>
            <w:r w:rsidRPr="00E5568D">
              <w:rPr>
                <w:rFonts w:eastAsia="Arial"/>
                <w:sz w:val="16"/>
                <w:szCs w:val="16"/>
              </w:rPr>
              <w:t>Upper-bound estimate: 22.2 million</w:t>
            </w:r>
          </w:p>
          <w:p w14:paraId="2AD39140"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Only legitimacy screening: estimated EUR 19 million in 2027 rising to EUR 34 million in 2036; </w:t>
            </w:r>
          </w:p>
          <w:p w14:paraId="11781507"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Only sequence screening: EUR 1.6 million rising to EUR 2.8 million in 2036</w:t>
            </w:r>
          </w:p>
          <w:p w14:paraId="46CB59AD" w14:textId="77777777" w:rsidR="00611DA5" w:rsidRPr="00E5568D" w:rsidRDefault="00611DA5" w:rsidP="00611DA5">
            <w:pPr>
              <w:pStyle w:val="ListParagraph"/>
              <w:numPr>
                <w:ilvl w:val="0"/>
                <w:numId w:val="479"/>
              </w:numPr>
              <w:spacing w:after="0"/>
              <w:ind w:left="324"/>
              <w:rPr>
                <w:rFonts w:eastAsia="Arial"/>
                <w:sz w:val="16"/>
                <w:szCs w:val="16"/>
              </w:rPr>
            </w:pPr>
            <w:r w:rsidRPr="00E5568D">
              <w:rPr>
                <w:rFonts w:eastAsia="Arial"/>
                <w:sz w:val="16"/>
                <w:szCs w:val="16"/>
              </w:rPr>
              <w:lastRenderedPageBreak/>
              <w:t>Only costs for procedure introduction and regulatory adjustment: EUR 1.7 million in 2027 rising to EUR 2.5 million in 2036.</w:t>
            </w:r>
          </w:p>
        </w:tc>
      </w:tr>
      <w:tr w:rsidR="00611DA5" w:rsidRPr="00E5568D" w14:paraId="2B33E947" w14:textId="77777777" w:rsidTr="004570F2">
        <w:trPr>
          <w:trHeight w:val="307"/>
        </w:trPr>
        <w:tc>
          <w:tcPr>
            <w:tcW w:w="673" w:type="dxa"/>
            <w:vMerge/>
            <w:tcMar>
              <w:top w:w="57" w:type="dxa"/>
              <w:left w:w="57" w:type="dxa"/>
              <w:bottom w:w="57" w:type="dxa"/>
              <w:right w:w="57" w:type="dxa"/>
            </w:tcMar>
            <w:vAlign w:val="center"/>
          </w:tcPr>
          <w:p w14:paraId="56EAE183" w14:textId="77777777" w:rsidR="00611DA5" w:rsidRPr="00E5568D" w:rsidRDefault="00611DA5">
            <w:pPr>
              <w:spacing w:after="0"/>
              <w:rPr>
                <w:sz w:val="16"/>
                <w:szCs w:val="16"/>
              </w:rPr>
            </w:pPr>
          </w:p>
        </w:tc>
        <w:tc>
          <w:tcPr>
            <w:tcW w:w="1339" w:type="dxa"/>
            <w:tcBorders>
              <w:right w:val="double" w:sz="4" w:space="0" w:color="auto"/>
            </w:tcBorders>
            <w:tcMar>
              <w:top w:w="57" w:type="dxa"/>
              <w:left w:w="57" w:type="dxa"/>
              <w:bottom w:w="57" w:type="dxa"/>
              <w:right w:w="57" w:type="dxa"/>
            </w:tcMar>
            <w:vAlign w:val="center"/>
          </w:tcPr>
          <w:p w14:paraId="0BDA54D5" w14:textId="77777777" w:rsidR="00611DA5" w:rsidRPr="00E5568D" w:rsidRDefault="00611DA5">
            <w:pPr>
              <w:spacing w:after="0"/>
              <w:jc w:val="left"/>
              <w:rPr>
                <w:sz w:val="16"/>
                <w:szCs w:val="16"/>
              </w:rPr>
            </w:pPr>
            <w:r w:rsidRPr="00E5568D">
              <w:rPr>
                <w:sz w:val="16"/>
                <w:szCs w:val="16"/>
              </w:rPr>
              <w:t>Direct administrative costs</w:t>
            </w:r>
          </w:p>
        </w:tc>
        <w:tc>
          <w:tcPr>
            <w:tcW w:w="549" w:type="dxa"/>
            <w:tcBorders>
              <w:left w:val="double" w:sz="4" w:space="0" w:color="auto"/>
            </w:tcBorders>
            <w:tcMar>
              <w:top w:w="57" w:type="dxa"/>
              <w:left w:w="57" w:type="dxa"/>
              <w:bottom w:w="57" w:type="dxa"/>
              <w:right w:w="57" w:type="dxa"/>
            </w:tcMar>
            <w:vAlign w:val="center"/>
          </w:tcPr>
          <w:p w14:paraId="51F52B9F" w14:textId="77777777" w:rsidR="00611DA5" w:rsidRPr="00E5568D" w:rsidRDefault="00611DA5">
            <w:pPr>
              <w:spacing w:after="0"/>
              <w:rPr>
                <w:sz w:val="16"/>
                <w:szCs w:val="16"/>
              </w:rPr>
            </w:pPr>
            <w:r w:rsidRPr="00E5568D">
              <w:rPr>
                <w:sz w:val="16"/>
                <w:szCs w:val="16"/>
              </w:rPr>
              <w:t>n/a.</w:t>
            </w:r>
          </w:p>
        </w:tc>
        <w:tc>
          <w:tcPr>
            <w:tcW w:w="1905" w:type="dxa"/>
            <w:tcMar>
              <w:top w:w="57" w:type="dxa"/>
              <w:left w:w="57" w:type="dxa"/>
              <w:bottom w:w="57" w:type="dxa"/>
              <w:right w:w="57" w:type="dxa"/>
            </w:tcMar>
            <w:vAlign w:val="center"/>
          </w:tcPr>
          <w:p w14:paraId="589BFF08" w14:textId="43967343" w:rsidR="00611DA5" w:rsidRPr="00E5568D" w:rsidRDefault="006526D3" w:rsidP="00611DA5">
            <w:pPr>
              <w:pStyle w:val="ListParagraph"/>
              <w:numPr>
                <w:ilvl w:val="0"/>
                <w:numId w:val="479"/>
              </w:numPr>
              <w:spacing w:after="0"/>
              <w:ind w:left="324"/>
              <w:rPr>
                <w:sz w:val="16"/>
                <w:szCs w:val="16"/>
              </w:rPr>
            </w:pPr>
            <w:r w:rsidRPr="00E5568D">
              <w:rPr>
                <w:rFonts w:eastAsia="Arial"/>
                <w:sz w:val="16"/>
                <w:szCs w:val="16"/>
              </w:rPr>
              <w:t>n/a</w:t>
            </w:r>
            <w:r w:rsidR="00611DA5" w:rsidRPr="00E5568D">
              <w:rPr>
                <w:rFonts w:eastAsia="Arial"/>
                <w:sz w:val="16"/>
                <w:szCs w:val="16"/>
              </w:rPr>
              <w:t>.</w:t>
            </w:r>
          </w:p>
        </w:tc>
        <w:tc>
          <w:tcPr>
            <w:tcW w:w="2555" w:type="dxa"/>
            <w:tcMar>
              <w:top w:w="57" w:type="dxa"/>
              <w:left w:w="57" w:type="dxa"/>
              <w:bottom w:w="57" w:type="dxa"/>
              <w:right w:w="57" w:type="dxa"/>
            </w:tcMar>
            <w:vAlign w:val="center"/>
          </w:tcPr>
          <w:p w14:paraId="7393A999" w14:textId="77777777" w:rsidR="00611DA5" w:rsidRPr="00E5568D" w:rsidRDefault="00611DA5">
            <w:pPr>
              <w:spacing w:after="0"/>
              <w:rPr>
                <w:rFonts w:eastAsia="Arial"/>
                <w:b/>
                <w:bCs/>
                <w:sz w:val="16"/>
                <w:szCs w:val="16"/>
              </w:rPr>
            </w:pPr>
            <w:r w:rsidRPr="00E5568D">
              <w:rPr>
                <w:rFonts w:eastAsia="Arial"/>
                <w:b/>
                <w:bCs/>
                <w:sz w:val="16"/>
                <w:szCs w:val="16"/>
              </w:rPr>
              <w:t xml:space="preserve">Strategic projects </w:t>
            </w:r>
            <w:r w:rsidRPr="00E5568D">
              <w:rPr>
                <w:rFonts w:eastAsia="Arial"/>
                <w:b/>
                <w:bCs/>
                <w:sz w:val="16"/>
                <w:szCs w:val="16"/>
                <w:lang w:val="en-US"/>
              </w:rPr>
              <w:t>&amp; High impact strategic projects (including Biosimilars and AI)</w:t>
            </w:r>
            <w:r w:rsidRPr="00E5568D">
              <w:rPr>
                <w:rFonts w:eastAsia="Arial"/>
                <w:b/>
                <w:bCs/>
                <w:sz w:val="16"/>
                <w:szCs w:val="16"/>
              </w:rPr>
              <w:t>:</w:t>
            </w:r>
          </w:p>
          <w:p w14:paraId="02DE4EAB" w14:textId="77777777" w:rsidR="00611DA5" w:rsidRPr="00E5568D" w:rsidRDefault="00611DA5" w:rsidP="00611DA5">
            <w:pPr>
              <w:pStyle w:val="ListParagraph"/>
              <w:numPr>
                <w:ilvl w:val="0"/>
                <w:numId w:val="479"/>
              </w:numPr>
              <w:spacing w:after="0"/>
              <w:ind w:left="324"/>
              <w:rPr>
                <w:rFonts w:eastAsia="Arial"/>
                <w:b/>
                <w:bCs/>
                <w:sz w:val="16"/>
                <w:szCs w:val="16"/>
              </w:rPr>
            </w:pPr>
            <w:r w:rsidRPr="00E5568D">
              <w:rPr>
                <w:rFonts w:eastAsia="Arial"/>
                <w:sz w:val="16"/>
                <w:szCs w:val="16"/>
              </w:rPr>
              <w:t xml:space="preserve">Preparation and submission of the recognition for (high impact) strategic project application: staff time, external consultancy and legal fees, reporting and administrative tasks. </w:t>
            </w:r>
          </w:p>
          <w:p w14:paraId="257CA1CE" w14:textId="3F8BB90E" w:rsidR="00611DA5" w:rsidRPr="00E5568D" w:rsidRDefault="00611DA5" w:rsidP="00611DA5">
            <w:pPr>
              <w:pStyle w:val="ListParagraph"/>
              <w:numPr>
                <w:ilvl w:val="0"/>
                <w:numId w:val="479"/>
              </w:numPr>
              <w:spacing w:after="0"/>
              <w:ind w:left="324"/>
              <w:rPr>
                <w:rFonts w:eastAsia="Arial"/>
                <w:b/>
                <w:bCs/>
                <w:sz w:val="16"/>
                <w:szCs w:val="16"/>
              </w:rPr>
            </w:pPr>
            <w:r w:rsidRPr="00E5568D">
              <w:rPr>
                <w:rFonts w:eastAsia="Arial"/>
                <w:sz w:val="16"/>
                <w:szCs w:val="16"/>
              </w:rPr>
              <w:lastRenderedPageBreak/>
              <w:t>Central estimate: 1–2 full-time equivalents per project per year, corresponding to approximately 1–2% of total project value (upper bound: 1–3 full-time equivalents where State-aid-intensive governance applies). Worst-case participation cost: EUR 700,000–800,000 per firm (upper bound only; source explicitly states this is not representative of the Act's default recognition-and-coordination pathway).</w:t>
            </w:r>
          </w:p>
          <w:p w14:paraId="395831B5" w14:textId="77777777" w:rsidR="00611DA5" w:rsidRPr="00E5568D" w:rsidRDefault="00611DA5" w:rsidP="00611DA5">
            <w:pPr>
              <w:pStyle w:val="ListParagraph"/>
              <w:numPr>
                <w:ilvl w:val="0"/>
                <w:numId w:val="479"/>
              </w:numPr>
              <w:spacing w:after="0"/>
              <w:ind w:left="324"/>
              <w:rPr>
                <w:rFonts w:eastAsia="Arial"/>
                <w:b/>
                <w:bCs/>
                <w:sz w:val="16"/>
                <w:szCs w:val="16"/>
              </w:rPr>
            </w:pPr>
            <w:r w:rsidRPr="00E5568D">
              <w:rPr>
                <w:rFonts w:eastAsia="Arial"/>
                <w:b/>
                <w:bCs/>
                <w:sz w:val="16"/>
                <w:szCs w:val="16"/>
              </w:rPr>
              <w:t>This is a voluntary cost</w:t>
            </w:r>
            <w:r w:rsidRPr="00E5568D">
              <w:rPr>
                <w:rFonts w:eastAsia="Arial"/>
                <w:sz w:val="16"/>
                <w:szCs w:val="16"/>
              </w:rPr>
              <w:t>.</w:t>
            </w:r>
          </w:p>
          <w:p w14:paraId="0777BD61" w14:textId="77777777" w:rsidR="00611DA5" w:rsidRPr="00E5568D" w:rsidRDefault="00611DA5">
            <w:pPr>
              <w:spacing w:after="0"/>
              <w:rPr>
                <w:rFonts w:eastAsia="Arial"/>
                <w:b/>
                <w:bCs/>
                <w:sz w:val="16"/>
                <w:szCs w:val="16"/>
              </w:rPr>
            </w:pPr>
          </w:p>
          <w:p w14:paraId="17A8F6CD" w14:textId="77777777" w:rsidR="00611DA5" w:rsidRPr="00E5568D" w:rsidRDefault="00611DA5">
            <w:pPr>
              <w:spacing w:after="0"/>
              <w:rPr>
                <w:rFonts w:eastAsia="Arial"/>
                <w:b/>
                <w:bCs/>
                <w:sz w:val="16"/>
                <w:szCs w:val="16"/>
              </w:rPr>
            </w:pPr>
          </w:p>
          <w:p w14:paraId="4810D1AA" w14:textId="77777777" w:rsidR="00611DA5" w:rsidRPr="00E5568D" w:rsidRDefault="00611DA5">
            <w:pPr>
              <w:spacing w:after="0"/>
              <w:rPr>
                <w:rFonts w:eastAsia="Arial"/>
                <w:b/>
                <w:bCs/>
                <w:sz w:val="16"/>
                <w:szCs w:val="16"/>
              </w:rPr>
            </w:pPr>
            <w:r w:rsidRPr="00E5568D">
              <w:rPr>
                <w:rFonts w:eastAsia="Arial"/>
                <w:b/>
                <w:bCs/>
                <w:sz w:val="16"/>
                <w:szCs w:val="16"/>
              </w:rPr>
              <w:t>Clinical trials:</w:t>
            </w:r>
          </w:p>
          <w:p w14:paraId="484853A1" w14:textId="7DD0BD15" w:rsidR="00611DA5" w:rsidRPr="00E5568D" w:rsidRDefault="76B94CCA" w:rsidP="00611DA5">
            <w:pPr>
              <w:pStyle w:val="ListParagraph"/>
              <w:numPr>
                <w:ilvl w:val="0"/>
                <w:numId w:val="479"/>
              </w:numPr>
              <w:spacing w:after="0"/>
              <w:ind w:left="324"/>
              <w:rPr>
                <w:rFonts w:eastAsia="Arial"/>
                <w:b/>
                <w:bCs/>
                <w:sz w:val="16"/>
                <w:szCs w:val="16"/>
              </w:rPr>
            </w:pPr>
            <w:r w:rsidRPr="00E5568D">
              <w:rPr>
                <w:rFonts w:eastAsia="Arial"/>
                <w:sz w:val="16"/>
                <w:szCs w:val="16"/>
              </w:rPr>
              <w:t>initial upfront planning and reporting effort for sandbox participation. This "initial overhead"; net direction over the product lifecycle is expected to be a reduction</w:t>
            </w:r>
            <w:r w:rsidR="00611DA5" w:rsidRPr="00E5568D">
              <w:rPr>
                <w:rStyle w:val="FootnoteReference"/>
                <w:rFonts w:eastAsia="Arial"/>
                <w:sz w:val="16"/>
                <w:szCs w:val="16"/>
              </w:rPr>
              <w:footnoteReference w:id="25"/>
            </w:r>
            <w:r w:rsidRPr="00E5568D">
              <w:rPr>
                <w:rFonts w:eastAsia="Arial"/>
                <w:sz w:val="16"/>
                <w:szCs w:val="16"/>
              </w:rPr>
              <w:t>. Not quantified</w:t>
            </w:r>
            <w:r w:rsidR="6FD87CC5" w:rsidRPr="00E5568D">
              <w:rPr>
                <w:rFonts w:eastAsia="Arial"/>
                <w:sz w:val="16"/>
                <w:szCs w:val="16"/>
              </w:rPr>
              <w:t xml:space="preserve"> - low</w:t>
            </w:r>
            <w:r w:rsidRPr="00E5568D">
              <w:rPr>
                <w:rFonts w:eastAsia="Arial"/>
                <w:sz w:val="16"/>
                <w:szCs w:val="16"/>
              </w:rPr>
              <w:t>.</w:t>
            </w:r>
          </w:p>
          <w:p w14:paraId="19BD1E68" w14:textId="77777777" w:rsidR="00611DA5" w:rsidRPr="00E5568D" w:rsidRDefault="00611DA5">
            <w:pPr>
              <w:spacing w:after="0"/>
              <w:rPr>
                <w:rFonts w:eastAsia="Arial"/>
                <w:b/>
                <w:bCs/>
                <w:sz w:val="16"/>
                <w:szCs w:val="16"/>
              </w:rPr>
            </w:pPr>
          </w:p>
          <w:p w14:paraId="07444A3C" w14:textId="77777777" w:rsidR="00611DA5" w:rsidRPr="00E5568D" w:rsidRDefault="00611DA5">
            <w:pPr>
              <w:spacing w:after="0"/>
              <w:rPr>
                <w:rFonts w:eastAsia="Arial"/>
                <w:b/>
                <w:bCs/>
                <w:sz w:val="16"/>
                <w:szCs w:val="16"/>
              </w:rPr>
            </w:pPr>
            <w:r w:rsidRPr="00E5568D">
              <w:rPr>
                <w:rFonts w:eastAsia="Arial"/>
                <w:b/>
                <w:bCs/>
                <w:sz w:val="16"/>
                <w:szCs w:val="16"/>
              </w:rPr>
              <w:t>Organ processing:</w:t>
            </w:r>
          </w:p>
          <w:p w14:paraId="61E09A17" w14:textId="77777777" w:rsidR="00611DA5" w:rsidRPr="00E5568D" w:rsidRDefault="00611DA5" w:rsidP="00611DA5">
            <w:pPr>
              <w:pStyle w:val="ListParagraph"/>
              <w:numPr>
                <w:ilvl w:val="0"/>
                <w:numId w:val="479"/>
              </w:numPr>
              <w:spacing w:after="0"/>
              <w:ind w:left="324"/>
              <w:rPr>
                <w:rFonts w:eastAsia="Arial"/>
                <w:b/>
                <w:bCs/>
                <w:sz w:val="16"/>
                <w:szCs w:val="16"/>
              </w:rPr>
            </w:pPr>
            <w:r w:rsidRPr="00E5568D">
              <w:rPr>
                <w:rFonts w:eastAsia="Arial"/>
                <w:sz w:val="16"/>
                <w:szCs w:val="16"/>
              </w:rPr>
              <w:t xml:space="preserve">Full authorisation, Article 6a(2): approximately EUR 11,500 per application. </w:t>
            </w:r>
          </w:p>
          <w:p w14:paraId="00844A56" w14:textId="77777777" w:rsidR="00611DA5" w:rsidRPr="00E5568D" w:rsidRDefault="00611DA5" w:rsidP="00611DA5">
            <w:pPr>
              <w:pStyle w:val="ListParagraph"/>
              <w:numPr>
                <w:ilvl w:val="0"/>
                <w:numId w:val="479"/>
              </w:numPr>
              <w:spacing w:after="0"/>
              <w:ind w:left="324"/>
              <w:rPr>
                <w:rFonts w:eastAsia="Arial"/>
                <w:b/>
                <w:bCs/>
                <w:sz w:val="16"/>
                <w:szCs w:val="16"/>
              </w:rPr>
            </w:pPr>
            <w:r w:rsidRPr="00E5568D">
              <w:rPr>
                <w:rFonts w:eastAsia="Arial"/>
                <w:sz w:val="16"/>
                <w:szCs w:val="16"/>
              </w:rPr>
              <w:t xml:space="preserve">Conditional authorisation with clinical-outcome monitoring, Article 6a(3)): approximately EUR 16,750 per application. </w:t>
            </w:r>
          </w:p>
          <w:p w14:paraId="6E2480E2" w14:textId="77777777" w:rsidR="00611DA5" w:rsidRPr="00E5568D" w:rsidRDefault="00611DA5" w:rsidP="00611DA5">
            <w:pPr>
              <w:pStyle w:val="ListParagraph"/>
              <w:numPr>
                <w:ilvl w:val="0"/>
                <w:numId w:val="479"/>
              </w:numPr>
              <w:spacing w:after="0"/>
              <w:ind w:left="324"/>
              <w:rPr>
                <w:rFonts w:eastAsia="Arial"/>
                <w:b/>
                <w:bCs/>
                <w:sz w:val="16"/>
                <w:szCs w:val="16"/>
              </w:rPr>
            </w:pPr>
            <w:r w:rsidRPr="00E5568D">
              <w:rPr>
                <w:rFonts w:eastAsia="Arial"/>
                <w:sz w:val="16"/>
                <w:szCs w:val="16"/>
              </w:rPr>
              <w:lastRenderedPageBreak/>
              <w:t xml:space="preserve">Weighted average during transition (~75% Track 1 / ~25% Track 2): approximately EUR 12,800. </w:t>
            </w:r>
          </w:p>
          <w:p w14:paraId="09714E6D" w14:textId="77777777" w:rsidR="00611DA5" w:rsidRPr="00E5568D" w:rsidRDefault="00611DA5" w:rsidP="00611DA5">
            <w:pPr>
              <w:pStyle w:val="ListParagraph"/>
              <w:numPr>
                <w:ilvl w:val="0"/>
                <w:numId w:val="479"/>
              </w:numPr>
              <w:spacing w:after="0"/>
              <w:ind w:left="324"/>
              <w:rPr>
                <w:rFonts w:eastAsia="Arial"/>
                <w:b/>
                <w:sz w:val="16"/>
                <w:szCs w:val="16"/>
                <w:lang w:val="fr-BE"/>
              </w:rPr>
            </w:pPr>
            <w:r w:rsidRPr="00E5568D">
              <w:rPr>
                <w:rFonts w:eastAsia="Arial"/>
                <w:sz w:val="16"/>
                <w:szCs w:val="16"/>
                <w:lang w:val="fr-BE"/>
              </w:rPr>
              <w:t xml:space="preserve">Total transition-phase burden EU-27 (~60–145 applications, 2029–2031; central estimate ~100): EUR 768,000–1,856,000. </w:t>
            </w:r>
          </w:p>
          <w:p w14:paraId="5ADA4F0A" w14:textId="1CD80255" w:rsidR="00611DA5" w:rsidRPr="00E5568D" w:rsidRDefault="00611DA5" w:rsidP="00611DA5">
            <w:pPr>
              <w:pStyle w:val="ListParagraph"/>
              <w:numPr>
                <w:ilvl w:val="0"/>
                <w:numId w:val="479"/>
              </w:numPr>
              <w:spacing w:after="0"/>
              <w:ind w:left="324"/>
              <w:rPr>
                <w:rFonts w:eastAsia="Arial"/>
                <w:b/>
                <w:bCs/>
                <w:sz w:val="16"/>
                <w:szCs w:val="16"/>
              </w:rPr>
            </w:pPr>
            <w:r w:rsidRPr="00E5568D">
              <w:rPr>
                <w:rFonts w:eastAsia="Arial"/>
                <w:sz w:val="16"/>
                <w:szCs w:val="16"/>
              </w:rPr>
              <w:t>Cumulative burden 2029–2035: approximately EUR 2.5 million.</w:t>
            </w:r>
            <w:r w:rsidR="004C7A95" w:rsidRPr="00E5568D">
              <w:rPr>
                <w:rFonts w:eastAsia="Arial"/>
                <w:sz w:val="16"/>
                <w:szCs w:val="16"/>
              </w:rPr>
              <w:t xml:space="preserve"> approximately EUR 256,000–619,000/year during the transition phase (2029–2031).</w:t>
            </w:r>
          </w:p>
        </w:tc>
        <w:tc>
          <w:tcPr>
            <w:tcW w:w="2415" w:type="dxa"/>
            <w:tcMar>
              <w:top w:w="57" w:type="dxa"/>
              <w:left w:w="57" w:type="dxa"/>
              <w:bottom w:w="57" w:type="dxa"/>
              <w:right w:w="57" w:type="dxa"/>
            </w:tcMar>
            <w:vAlign w:val="center"/>
          </w:tcPr>
          <w:p w14:paraId="04170941" w14:textId="77777777" w:rsidR="00611DA5" w:rsidRPr="00E5568D" w:rsidRDefault="00611DA5">
            <w:pPr>
              <w:spacing w:after="0"/>
              <w:rPr>
                <w:rFonts w:eastAsia="Arial"/>
                <w:b/>
                <w:bCs/>
                <w:sz w:val="16"/>
                <w:szCs w:val="16"/>
              </w:rPr>
            </w:pPr>
            <w:r w:rsidRPr="00E5568D">
              <w:rPr>
                <w:rFonts w:eastAsia="Arial"/>
                <w:b/>
                <w:bCs/>
                <w:sz w:val="16"/>
                <w:szCs w:val="16"/>
              </w:rPr>
              <w:lastRenderedPageBreak/>
              <w:t>ATMP:</w:t>
            </w:r>
          </w:p>
          <w:p w14:paraId="02CAB532" w14:textId="1370793E"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Submission of a simplified declaration per clinical trial application explaining the applicable negligible-risk categorisation, in lieu of a full ERA dossier. New information obligation; net direction relative to baseline is a </w:t>
            </w:r>
            <w:r w:rsidRPr="00E5568D">
              <w:rPr>
                <w:rFonts w:eastAsia="Arial"/>
                <w:sz w:val="16"/>
                <w:szCs w:val="16"/>
              </w:rPr>
              <w:lastRenderedPageBreak/>
              <w:t>reduction. Not quantified</w:t>
            </w:r>
            <w:r w:rsidR="009A10D8" w:rsidRPr="00E5568D">
              <w:rPr>
                <w:rFonts w:eastAsia="Arial"/>
                <w:sz w:val="16"/>
                <w:szCs w:val="16"/>
              </w:rPr>
              <w:t xml:space="preserve"> – negligible.</w:t>
            </w:r>
          </w:p>
          <w:p w14:paraId="3595E395" w14:textId="77777777" w:rsidR="00611DA5" w:rsidRPr="00E5568D" w:rsidRDefault="00611DA5">
            <w:pPr>
              <w:spacing w:after="0"/>
              <w:rPr>
                <w:rFonts w:eastAsia="Arial"/>
                <w:b/>
                <w:bCs/>
                <w:sz w:val="16"/>
                <w:szCs w:val="16"/>
              </w:rPr>
            </w:pPr>
          </w:p>
          <w:p w14:paraId="5248893F" w14:textId="77777777" w:rsidR="00611DA5" w:rsidRPr="00E5568D" w:rsidRDefault="00611DA5">
            <w:pPr>
              <w:spacing w:after="0"/>
              <w:rPr>
                <w:rFonts w:eastAsia="Arial"/>
                <w:b/>
                <w:bCs/>
                <w:sz w:val="16"/>
                <w:szCs w:val="16"/>
              </w:rPr>
            </w:pPr>
            <w:r w:rsidRPr="00E5568D">
              <w:rPr>
                <w:rFonts w:eastAsia="Arial"/>
                <w:b/>
                <w:bCs/>
                <w:sz w:val="16"/>
                <w:szCs w:val="16"/>
              </w:rPr>
              <w:t>Organ processing:</w:t>
            </w:r>
          </w:p>
          <w:p w14:paraId="43C6169F"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Steady-state from approximately 2032 onwards: approximately 7–10 new applications per year EU-27 at ~EUR 12,800 each: EUR 90,000–128,000 per year; </w:t>
            </w:r>
          </w:p>
          <w:p w14:paraId="215E9859"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Recurrent monitoring reporting costs EUR 16,000–22,500 per year; </w:t>
            </w:r>
          </w:p>
          <w:p w14:paraId="450745DB"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Total steady-state approximately EUR 106,000–150,500 per year.</w:t>
            </w:r>
          </w:p>
          <w:p w14:paraId="430FACE3" w14:textId="77777777" w:rsidR="00611DA5" w:rsidRPr="00E5568D" w:rsidRDefault="00611DA5">
            <w:pPr>
              <w:spacing w:after="0"/>
              <w:rPr>
                <w:sz w:val="16"/>
                <w:szCs w:val="16"/>
              </w:rPr>
            </w:pPr>
          </w:p>
          <w:p w14:paraId="4B68617F" w14:textId="77777777" w:rsidR="00611DA5" w:rsidRPr="00E5568D" w:rsidRDefault="00611DA5">
            <w:pPr>
              <w:spacing w:after="0"/>
              <w:rPr>
                <w:rFonts w:eastAsia="Arial"/>
                <w:b/>
                <w:bCs/>
                <w:sz w:val="16"/>
                <w:szCs w:val="16"/>
              </w:rPr>
            </w:pPr>
            <w:r w:rsidRPr="00E5568D">
              <w:rPr>
                <w:rFonts w:eastAsia="Arial"/>
                <w:b/>
                <w:bCs/>
                <w:sz w:val="16"/>
                <w:szCs w:val="16"/>
              </w:rPr>
              <w:t>Access to funding:</w:t>
            </w:r>
          </w:p>
          <w:p w14:paraId="7E712797" w14:textId="77777777" w:rsidR="00611DA5" w:rsidRPr="00E5568D" w:rsidRDefault="00611DA5" w:rsidP="00611DA5">
            <w:pPr>
              <w:pStyle w:val="ListParagraph"/>
              <w:numPr>
                <w:ilvl w:val="0"/>
                <w:numId w:val="479"/>
              </w:numPr>
              <w:spacing w:after="0"/>
              <w:ind w:left="324"/>
              <w:rPr>
                <w:rFonts w:eastAsia="Arial"/>
                <w:sz w:val="16"/>
                <w:szCs w:val="16"/>
              </w:rPr>
            </w:pPr>
            <w:r w:rsidRPr="00E5568D">
              <w:rPr>
                <w:rFonts w:eastAsia="Arial"/>
                <w:sz w:val="16"/>
                <w:szCs w:val="16"/>
              </w:rPr>
              <w:t>Marginal compliance and reporting costs associated with participation in supported instruments. Source explicitly characterises these as the only business-side effect and the overall administrative cost impact as neutral. Not quantified.</w:t>
            </w:r>
          </w:p>
          <w:p w14:paraId="5608BF9E" w14:textId="77777777" w:rsidR="00611DA5" w:rsidRPr="00E5568D" w:rsidRDefault="00611DA5">
            <w:pPr>
              <w:spacing w:after="0"/>
              <w:rPr>
                <w:sz w:val="16"/>
                <w:szCs w:val="16"/>
              </w:rPr>
            </w:pPr>
          </w:p>
          <w:p w14:paraId="28AC02AA" w14:textId="77777777" w:rsidR="00611DA5" w:rsidRPr="00E5568D" w:rsidRDefault="00611DA5">
            <w:pPr>
              <w:spacing w:after="0"/>
              <w:rPr>
                <w:rFonts w:eastAsia="Arial"/>
                <w:b/>
                <w:bCs/>
                <w:sz w:val="16"/>
                <w:szCs w:val="16"/>
              </w:rPr>
            </w:pPr>
            <w:r w:rsidRPr="00E5568D">
              <w:rPr>
                <w:rFonts w:eastAsia="Arial"/>
                <w:b/>
                <w:bCs/>
                <w:sz w:val="16"/>
                <w:szCs w:val="16"/>
              </w:rPr>
              <w:t xml:space="preserve">SPC extension: </w:t>
            </w:r>
          </w:p>
          <w:p w14:paraId="1F176519"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Demonstrating eligibility for the SPC extension to EMA per application. </w:t>
            </w:r>
            <w:r w:rsidRPr="00E5568D">
              <w:rPr>
                <w:rFonts w:eastAsia="Arial"/>
                <w:b/>
                <w:bCs/>
                <w:sz w:val="16"/>
                <w:szCs w:val="16"/>
              </w:rPr>
              <w:t>Negligible cost</w:t>
            </w:r>
            <w:r w:rsidRPr="00E5568D">
              <w:rPr>
                <w:rFonts w:eastAsia="Arial"/>
                <w:sz w:val="16"/>
                <w:szCs w:val="16"/>
              </w:rPr>
              <w:t xml:space="preserve">; EMA assessment relies largely on regulatory information </w:t>
            </w:r>
            <w:r w:rsidRPr="00E5568D">
              <w:rPr>
                <w:rFonts w:eastAsia="Arial"/>
                <w:sz w:val="16"/>
                <w:szCs w:val="16"/>
              </w:rPr>
              <w:lastRenderedPageBreak/>
              <w:t xml:space="preserve">already available to the Agency.  </w:t>
            </w:r>
          </w:p>
          <w:p w14:paraId="6FC7E064" w14:textId="77777777" w:rsidR="009A10D8" w:rsidRPr="00E5568D" w:rsidRDefault="009A10D8" w:rsidP="001D1C2A">
            <w:pPr>
              <w:pStyle w:val="ListParagraph"/>
              <w:spacing w:after="0"/>
              <w:ind w:left="324"/>
              <w:rPr>
                <w:sz w:val="16"/>
                <w:szCs w:val="16"/>
              </w:rPr>
            </w:pPr>
          </w:p>
          <w:p w14:paraId="397AE50C" w14:textId="77777777" w:rsidR="009A10D8" w:rsidRPr="00E5568D" w:rsidRDefault="009A10D8" w:rsidP="009A10D8">
            <w:pPr>
              <w:spacing w:after="0"/>
              <w:rPr>
                <w:rFonts w:eastAsia="Arial"/>
                <w:b/>
                <w:bCs/>
                <w:sz w:val="16"/>
                <w:szCs w:val="16"/>
              </w:rPr>
            </w:pPr>
            <w:r w:rsidRPr="00E5568D">
              <w:rPr>
                <w:rFonts w:eastAsia="Arial"/>
                <w:b/>
                <w:bCs/>
                <w:sz w:val="16"/>
                <w:szCs w:val="16"/>
              </w:rPr>
              <w:t>Biosecurity:</w:t>
            </w:r>
          </w:p>
          <w:p w14:paraId="69EF0DAB" w14:textId="3AB1C54B" w:rsidR="00611DA5" w:rsidRPr="00E5568D" w:rsidRDefault="009A10D8" w:rsidP="004570F2">
            <w:pPr>
              <w:spacing w:after="0"/>
              <w:rPr>
                <w:sz w:val="16"/>
                <w:szCs w:val="16"/>
              </w:rPr>
            </w:pPr>
            <w:r w:rsidRPr="00E5568D">
              <w:rPr>
                <w:rFonts w:eastAsia="Arial"/>
                <w:sz w:val="16"/>
                <w:szCs w:val="16"/>
              </w:rPr>
              <w:t>Compliance costs for customers and researchers (documentation, procurement adjustments, internal compliance procedures, per-order verification): approximately EUR 16.4 million per year.</w:t>
            </w:r>
          </w:p>
        </w:tc>
        <w:tc>
          <w:tcPr>
            <w:tcW w:w="2156" w:type="dxa"/>
            <w:tcMar>
              <w:top w:w="57" w:type="dxa"/>
              <w:left w:w="57" w:type="dxa"/>
              <w:bottom w:w="57" w:type="dxa"/>
              <w:right w:w="57" w:type="dxa"/>
            </w:tcMar>
            <w:vAlign w:val="center"/>
          </w:tcPr>
          <w:p w14:paraId="12EC5821" w14:textId="77777777" w:rsidR="00611DA5" w:rsidRPr="00E5568D" w:rsidRDefault="00611DA5">
            <w:pPr>
              <w:spacing w:after="0"/>
              <w:rPr>
                <w:rFonts w:eastAsia="Arial"/>
                <w:b/>
                <w:bCs/>
                <w:sz w:val="16"/>
                <w:szCs w:val="16"/>
              </w:rPr>
            </w:pPr>
            <w:r w:rsidRPr="00E5568D">
              <w:rPr>
                <w:rFonts w:eastAsia="Arial"/>
                <w:b/>
                <w:bCs/>
                <w:sz w:val="16"/>
                <w:szCs w:val="16"/>
              </w:rPr>
              <w:lastRenderedPageBreak/>
              <w:t xml:space="preserve">Strategic projects </w:t>
            </w:r>
            <w:r w:rsidRPr="00E5568D">
              <w:rPr>
                <w:rFonts w:eastAsia="Arial"/>
                <w:b/>
                <w:bCs/>
                <w:sz w:val="16"/>
                <w:szCs w:val="16"/>
                <w:lang w:val="en-US"/>
              </w:rPr>
              <w:t>&amp; High impact strategic projects</w:t>
            </w:r>
            <w:r w:rsidRPr="00E5568D">
              <w:rPr>
                <w:rFonts w:eastAsia="Arial"/>
                <w:b/>
                <w:bCs/>
                <w:sz w:val="16"/>
                <w:szCs w:val="16"/>
              </w:rPr>
              <w:t>:</w:t>
            </w:r>
          </w:p>
          <w:p w14:paraId="0FFD98E6" w14:textId="06D5E52D"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Front-loaded setup: process design, workload reallocation and service standards to establish and operate single points of contact. In many Member States, existing authorities may be designated rather </w:t>
            </w:r>
            <w:r w:rsidRPr="00E5568D">
              <w:rPr>
                <w:rFonts w:eastAsia="Arial"/>
                <w:sz w:val="16"/>
                <w:szCs w:val="16"/>
              </w:rPr>
              <w:lastRenderedPageBreak/>
              <w:t>than new structures created. Not quantified</w:t>
            </w:r>
            <w:r w:rsidR="00031B07" w:rsidRPr="00E5568D">
              <w:rPr>
                <w:rFonts w:eastAsia="Arial"/>
                <w:sz w:val="16"/>
                <w:szCs w:val="16"/>
              </w:rPr>
              <w:t xml:space="preserve"> – low to medium</w:t>
            </w:r>
            <w:r w:rsidRPr="00E5568D">
              <w:rPr>
                <w:rFonts w:eastAsia="Arial"/>
                <w:sz w:val="16"/>
                <w:szCs w:val="16"/>
              </w:rPr>
              <w:t xml:space="preserve">. </w:t>
            </w:r>
          </w:p>
        </w:tc>
        <w:tc>
          <w:tcPr>
            <w:tcW w:w="3645" w:type="dxa"/>
            <w:tcMar>
              <w:top w:w="57" w:type="dxa"/>
              <w:left w:w="57" w:type="dxa"/>
              <w:bottom w:w="57" w:type="dxa"/>
              <w:right w:w="57" w:type="dxa"/>
            </w:tcMar>
            <w:vAlign w:val="center"/>
          </w:tcPr>
          <w:p w14:paraId="0EDF57CB" w14:textId="77777777" w:rsidR="00611DA5" w:rsidRPr="00E5568D" w:rsidRDefault="00611DA5">
            <w:pPr>
              <w:spacing w:after="0"/>
              <w:rPr>
                <w:rFonts w:eastAsia="Arial"/>
                <w:b/>
                <w:bCs/>
                <w:sz w:val="16"/>
                <w:szCs w:val="16"/>
              </w:rPr>
            </w:pPr>
            <w:r w:rsidRPr="00E5568D">
              <w:rPr>
                <w:rFonts w:eastAsia="Arial"/>
                <w:b/>
                <w:bCs/>
                <w:sz w:val="16"/>
                <w:szCs w:val="16"/>
              </w:rPr>
              <w:lastRenderedPageBreak/>
              <w:t xml:space="preserve">Strategic projects </w:t>
            </w:r>
            <w:r w:rsidRPr="00E5568D">
              <w:rPr>
                <w:rFonts w:eastAsia="Arial"/>
                <w:b/>
                <w:bCs/>
                <w:sz w:val="16"/>
                <w:szCs w:val="16"/>
                <w:lang w:val="en-US"/>
              </w:rPr>
              <w:t>&amp; High impact strategic projects &amp; Biosimilars</w:t>
            </w:r>
            <w:r w:rsidRPr="00E5568D">
              <w:rPr>
                <w:rFonts w:eastAsia="Arial"/>
                <w:b/>
                <w:bCs/>
                <w:sz w:val="16"/>
                <w:szCs w:val="16"/>
              </w:rPr>
              <w:t>:</w:t>
            </w:r>
          </w:p>
          <w:p w14:paraId="2937CEFB" w14:textId="1849DFC8"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Reporting on recognised project pipeline to Commission under updated Strategic Technologies for Europe Platform information flows. Not quantified</w:t>
            </w:r>
            <w:r w:rsidR="00031B07" w:rsidRPr="00E5568D">
              <w:rPr>
                <w:rFonts w:eastAsia="Arial"/>
                <w:sz w:val="16"/>
                <w:szCs w:val="16"/>
              </w:rPr>
              <w:t xml:space="preserve"> - negligible</w:t>
            </w:r>
            <w:r w:rsidRPr="00E5568D">
              <w:rPr>
                <w:rFonts w:eastAsia="Arial"/>
                <w:sz w:val="16"/>
                <w:szCs w:val="16"/>
              </w:rPr>
              <w:t>.</w:t>
            </w:r>
          </w:p>
          <w:p w14:paraId="5D0C2A8E" w14:textId="77777777" w:rsidR="00611DA5" w:rsidRPr="00E5568D" w:rsidRDefault="00611DA5">
            <w:pPr>
              <w:spacing w:after="0"/>
              <w:rPr>
                <w:rFonts w:eastAsia="Arial"/>
                <w:sz w:val="16"/>
                <w:szCs w:val="16"/>
              </w:rPr>
            </w:pPr>
          </w:p>
          <w:p w14:paraId="36C96C58" w14:textId="77777777" w:rsidR="00611DA5" w:rsidRPr="00E5568D" w:rsidRDefault="00611DA5">
            <w:pPr>
              <w:spacing w:after="0"/>
              <w:rPr>
                <w:rFonts w:eastAsia="Arial"/>
                <w:b/>
                <w:bCs/>
                <w:sz w:val="16"/>
                <w:szCs w:val="16"/>
              </w:rPr>
            </w:pPr>
            <w:r w:rsidRPr="00E5568D">
              <w:rPr>
                <w:rFonts w:eastAsia="Arial"/>
                <w:b/>
                <w:bCs/>
                <w:sz w:val="16"/>
                <w:szCs w:val="16"/>
              </w:rPr>
              <w:t>Biotech ecosystem:</w:t>
            </w:r>
          </w:p>
          <w:p w14:paraId="684E2EE1" w14:textId="77777777" w:rsidR="00611DA5" w:rsidRPr="00E5568D" w:rsidRDefault="00611DA5">
            <w:pPr>
              <w:spacing w:after="0"/>
              <w:rPr>
                <w:sz w:val="16"/>
                <w:szCs w:val="16"/>
              </w:rPr>
            </w:pPr>
            <w:r w:rsidRPr="00E5568D">
              <w:rPr>
                <w:rFonts w:eastAsia="Arial"/>
                <w:sz w:val="16"/>
                <w:szCs w:val="16"/>
              </w:rPr>
              <w:t>Member State level</w:t>
            </w:r>
            <w:r w:rsidRPr="00E5568D">
              <w:rPr>
                <w:sz w:val="16"/>
                <w:szCs w:val="16"/>
              </w:rPr>
              <w:t xml:space="preserve"> </w:t>
            </w:r>
          </w:p>
          <w:p w14:paraId="1A694F73"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lastRenderedPageBreak/>
              <w:t xml:space="preserve">Data provision for strategic mapping on Commission request: approximately 0.25 full-time equivalents per Member State per year. </w:t>
            </w:r>
          </w:p>
          <w:p w14:paraId="55199CDB" w14:textId="77777777" w:rsidR="00611DA5" w:rsidRPr="00E5568D" w:rsidRDefault="00611DA5">
            <w:pPr>
              <w:spacing w:after="0"/>
              <w:rPr>
                <w:rFonts w:eastAsia="Arial"/>
                <w:b/>
                <w:bCs/>
                <w:sz w:val="16"/>
                <w:szCs w:val="16"/>
              </w:rPr>
            </w:pPr>
          </w:p>
          <w:p w14:paraId="52A37299" w14:textId="77777777" w:rsidR="00611DA5" w:rsidRPr="00E5568D" w:rsidRDefault="00611DA5">
            <w:pPr>
              <w:spacing w:after="0"/>
              <w:rPr>
                <w:rFonts w:eastAsia="Arial"/>
                <w:b/>
                <w:bCs/>
                <w:sz w:val="16"/>
                <w:szCs w:val="16"/>
              </w:rPr>
            </w:pPr>
            <w:r w:rsidRPr="00E5568D">
              <w:rPr>
                <w:rFonts w:eastAsia="Arial"/>
                <w:b/>
                <w:bCs/>
                <w:sz w:val="16"/>
                <w:szCs w:val="16"/>
              </w:rPr>
              <w:t>Novel health biotechnology products:</w:t>
            </w:r>
          </w:p>
          <w:p w14:paraId="637026C8" w14:textId="3FE51A53"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Maintaining the regulatory status repository (Commission information system); not quantified</w:t>
            </w:r>
            <w:r w:rsidR="00031B07" w:rsidRPr="00E5568D">
              <w:rPr>
                <w:rFonts w:eastAsia="Arial"/>
                <w:sz w:val="16"/>
                <w:szCs w:val="16"/>
              </w:rPr>
              <w:t xml:space="preserve"> - low</w:t>
            </w:r>
            <w:r w:rsidRPr="00E5568D">
              <w:rPr>
                <w:rFonts w:eastAsia="Arial"/>
                <w:sz w:val="16"/>
                <w:szCs w:val="16"/>
              </w:rPr>
              <w:t>.</w:t>
            </w:r>
          </w:p>
          <w:p w14:paraId="608CA045" w14:textId="77777777" w:rsidR="00611DA5" w:rsidRPr="00E5568D" w:rsidRDefault="00611DA5">
            <w:pPr>
              <w:spacing w:after="0"/>
              <w:rPr>
                <w:sz w:val="16"/>
                <w:szCs w:val="16"/>
              </w:rPr>
            </w:pPr>
          </w:p>
          <w:p w14:paraId="0DED5A33" w14:textId="77777777" w:rsidR="00611DA5" w:rsidRPr="00E5568D" w:rsidRDefault="00611DA5">
            <w:pPr>
              <w:spacing w:after="0"/>
              <w:rPr>
                <w:rFonts w:eastAsia="Arial"/>
                <w:b/>
                <w:bCs/>
                <w:sz w:val="16"/>
                <w:szCs w:val="16"/>
              </w:rPr>
            </w:pPr>
            <w:r w:rsidRPr="00E5568D">
              <w:rPr>
                <w:rFonts w:eastAsia="Arial"/>
                <w:b/>
                <w:bCs/>
                <w:sz w:val="16"/>
                <w:szCs w:val="16"/>
              </w:rPr>
              <w:t>Organ processing:</w:t>
            </w:r>
          </w:p>
          <w:p w14:paraId="65AA15EA"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Commission: maintaining publicly accessible list of authorised processing operations (Article 6a(11)); </w:t>
            </w:r>
          </w:p>
          <w:p w14:paraId="4917A579" w14:textId="7F4138B4"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facilitating exchange of clinical outcome data between competent authorities (Article 8, as amended). Not quantified</w:t>
            </w:r>
            <w:r w:rsidR="00031B07" w:rsidRPr="00E5568D">
              <w:rPr>
                <w:rFonts w:eastAsia="Arial"/>
                <w:sz w:val="16"/>
                <w:szCs w:val="16"/>
              </w:rPr>
              <w:t xml:space="preserve"> – negligible.</w:t>
            </w:r>
          </w:p>
        </w:tc>
      </w:tr>
      <w:tr w:rsidR="00611DA5" w:rsidRPr="00E5568D" w14:paraId="1F813760" w14:textId="77777777" w:rsidTr="00FF6493">
        <w:trPr>
          <w:trHeight w:val="307"/>
        </w:trPr>
        <w:tc>
          <w:tcPr>
            <w:tcW w:w="673" w:type="dxa"/>
            <w:vMerge/>
            <w:tcMar>
              <w:top w:w="57" w:type="dxa"/>
              <w:left w:w="57" w:type="dxa"/>
              <w:bottom w:w="57" w:type="dxa"/>
              <w:right w:w="57" w:type="dxa"/>
            </w:tcMar>
            <w:vAlign w:val="center"/>
          </w:tcPr>
          <w:p w14:paraId="018905DD" w14:textId="77777777" w:rsidR="00611DA5" w:rsidRPr="00E5568D" w:rsidRDefault="00611DA5">
            <w:pPr>
              <w:spacing w:after="0"/>
              <w:rPr>
                <w:sz w:val="16"/>
                <w:szCs w:val="16"/>
              </w:rPr>
            </w:pPr>
          </w:p>
        </w:tc>
        <w:tc>
          <w:tcPr>
            <w:tcW w:w="1339" w:type="dxa"/>
            <w:tcBorders>
              <w:right w:val="double" w:sz="4" w:space="0" w:color="auto"/>
            </w:tcBorders>
            <w:tcMar>
              <w:top w:w="57" w:type="dxa"/>
              <w:left w:w="57" w:type="dxa"/>
              <w:bottom w:w="57" w:type="dxa"/>
              <w:right w:w="57" w:type="dxa"/>
            </w:tcMar>
            <w:vAlign w:val="center"/>
          </w:tcPr>
          <w:p w14:paraId="00B2A430" w14:textId="77777777" w:rsidR="00611DA5" w:rsidRPr="00E5568D" w:rsidRDefault="00611DA5">
            <w:pPr>
              <w:spacing w:after="0"/>
              <w:jc w:val="left"/>
              <w:rPr>
                <w:sz w:val="16"/>
                <w:szCs w:val="16"/>
              </w:rPr>
            </w:pPr>
            <w:r w:rsidRPr="00E5568D">
              <w:rPr>
                <w:sz w:val="16"/>
                <w:szCs w:val="16"/>
              </w:rPr>
              <w:t>Direct regulatory fees and charges</w:t>
            </w:r>
          </w:p>
        </w:tc>
        <w:tc>
          <w:tcPr>
            <w:tcW w:w="549" w:type="dxa"/>
            <w:tcBorders>
              <w:left w:val="double" w:sz="4" w:space="0" w:color="auto"/>
            </w:tcBorders>
            <w:tcMar>
              <w:top w:w="57" w:type="dxa"/>
              <w:left w:w="57" w:type="dxa"/>
              <w:bottom w:w="57" w:type="dxa"/>
              <w:right w:w="57" w:type="dxa"/>
            </w:tcMar>
            <w:vAlign w:val="center"/>
          </w:tcPr>
          <w:p w14:paraId="6051820E" w14:textId="77777777" w:rsidR="00611DA5" w:rsidRPr="00E5568D" w:rsidRDefault="00611DA5">
            <w:pPr>
              <w:spacing w:after="0"/>
              <w:rPr>
                <w:sz w:val="16"/>
                <w:szCs w:val="16"/>
              </w:rPr>
            </w:pPr>
            <w:r w:rsidRPr="00E5568D">
              <w:rPr>
                <w:sz w:val="16"/>
                <w:szCs w:val="16"/>
              </w:rPr>
              <w:t>n/a.</w:t>
            </w:r>
          </w:p>
        </w:tc>
        <w:tc>
          <w:tcPr>
            <w:tcW w:w="1905" w:type="dxa"/>
            <w:tcMar>
              <w:top w:w="57" w:type="dxa"/>
              <w:left w:w="57" w:type="dxa"/>
              <w:bottom w:w="57" w:type="dxa"/>
              <w:right w:w="57" w:type="dxa"/>
            </w:tcMar>
            <w:vAlign w:val="center"/>
          </w:tcPr>
          <w:p w14:paraId="31F73667" w14:textId="77777777" w:rsidR="00611DA5" w:rsidRPr="00E5568D" w:rsidRDefault="00611DA5">
            <w:pPr>
              <w:spacing w:after="0"/>
              <w:rPr>
                <w:sz w:val="16"/>
                <w:szCs w:val="16"/>
              </w:rPr>
            </w:pPr>
            <w:r w:rsidRPr="00E5568D">
              <w:rPr>
                <w:sz w:val="16"/>
                <w:szCs w:val="16"/>
              </w:rPr>
              <w:t>n/a.</w:t>
            </w:r>
          </w:p>
        </w:tc>
        <w:tc>
          <w:tcPr>
            <w:tcW w:w="2555" w:type="dxa"/>
            <w:tcMar>
              <w:top w:w="57" w:type="dxa"/>
              <w:left w:w="57" w:type="dxa"/>
              <w:bottom w:w="57" w:type="dxa"/>
              <w:right w:w="57" w:type="dxa"/>
            </w:tcMar>
            <w:vAlign w:val="center"/>
          </w:tcPr>
          <w:p w14:paraId="73EEDA71" w14:textId="77777777" w:rsidR="00611DA5" w:rsidRPr="00E5568D" w:rsidRDefault="00611DA5">
            <w:pPr>
              <w:spacing w:after="0"/>
              <w:rPr>
                <w:sz w:val="16"/>
                <w:szCs w:val="16"/>
              </w:rPr>
            </w:pPr>
            <w:r w:rsidRPr="00E5568D">
              <w:rPr>
                <w:sz w:val="16"/>
                <w:szCs w:val="16"/>
              </w:rPr>
              <w:t>n/a.</w:t>
            </w:r>
          </w:p>
        </w:tc>
        <w:tc>
          <w:tcPr>
            <w:tcW w:w="2415" w:type="dxa"/>
            <w:tcMar>
              <w:top w:w="57" w:type="dxa"/>
              <w:left w:w="57" w:type="dxa"/>
              <w:bottom w:w="57" w:type="dxa"/>
              <w:right w:w="57" w:type="dxa"/>
            </w:tcMar>
            <w:vAlign w:val="center"/>
          </w:tcPr>
          <w:p w14:paraId="2D3F16C4" w14:textId="77777777" w:rsidR="00611DA5" w:rsidRPr="00E5568D" w:rsidRDefault="00611DA5">
            <w:pPr>
              <w:spacing w:after="0"/>
              <w:rPr>
                <w:sz w:val="16"/>
                <w:szCs w:val="16"/>
              </w:rPr>
            </w:pPr>
            <w:r w:rsidRPr="00E5568D">
              <w:rPr>
                <w:sz w:val="16"/>
                <w:szCs w:val="16"/>
              </w:rPr>
              <w:t>n/a.</w:t>
            </w:r>
          </w:p>
        </w:tc>
        <w:tc>
          <w:tcPr>
            <w:tcW w:w="2156" w:type="dxa"/>
            <w:tcMar>
              <w:top w:w="57" w:type="dxa"/>
              <w:left w:w="57" w:type="dxa"/>
              <w:bottom w:w="57" w:type="dxa"/>
              <w:right w:w="57" w:type="dxa"/>
            </w:tcMar>
            <w:vAlign w:val="center"/>
          </w:tcPr>
          <w:p w14:paraId="68591E77" w14:textId="77777777" w:rsidR="00611DA5" w:rsidRPr="00E5568D" w:rsidRDefault="00611DA5">
            <w:pPr>
              <w:spacing w:after="0"/>
              <w:rPr>
                <w:sz w:val="16"/>
                <w:szCs w:val="16"/>
              </w:rPr>
            </w:pPr>
            <w:r w:rsidRPr="00E5568D">
              <w:rPr>
                <w:sz w:val="16"/>
                <w:szCs w:val="16"/>
              </w:rPr>
              <w:t>n/a.</w:t>
            </w:r>
          </w:p>
        </w:tc>
        <w:tc>
          <w:tcPr>
            <w:tcW w:w="3645" w:type="dxa"/>
            <w:tcMar>
              <w:top w:w="57" w:type="dxa"/>
              <w:left w:w="57" w:type="dxa"/>
              <w:bottom w:w="57" w:type="dxa"/>
              <w:right w:w="57" w:type="dxa"/>
            </w:tcMar>
            <w:vAlign w:val="center"/>
          </w:tcPr>
          <w:p w14:paraId="3DF29D16" w14:textId="77777777" w:rsidR="00611DA5" w:rsidRPr="00E5568D" w:rsidRDefault="00611DA5">
            <w:pPr>
              <w:spacing w:after="0"/>
              <w:rPr>
                <w:sz w:val="16"/>
                <w:szCs w:val="16"/>
              </w:rPr>
            </w:pPr>
            <w:r w:rsidRPr="00E5568D">
              <w:rPr>
                <w:sz w:val="16"/>
                <w:szCs w:val="16"/>
              </w:rPr>
              <w:t>n/a.</w:t>
            </w:r>
          </w:p>
        </w:tc>
      </w:tr>
      <w:tr w:rsidR="00611DA5" w:rsidRPr="00E5568D" w14:paraId="3C5CD09D" w14:textId="77777777" w:rsidTr="00FF6493">
        <w:trPr>
          <w:trHeight w:val="307"/>
        </w:trPr>
        <w:tc>
          <w:tcPr>
            <w:tcW w:w="673" w:type="dxa"/>
            <w:vMerge/>
            <w:tcMar>
              <w:top w:w="57" w:type="dxa"/>
              <w:left w:w="57" w:type="dxa"/>
              <w:bottom w:w="57" w:type="dxa"/>
              <w:right w:w="57" w:type="dxa"/>
            </w:tcMar>
            <w:vAlign w:val="center"/>
          </w:tcPr>
          <w:p w14:paraId="3B36244F" w14:textId="77777777" w:rsidR="00611DA5" w:rsidRPr="00E5568D" w:rsidRDefault="00611DA5">
            <w:pPr>
              <w:spacing w:after="0"/>
              <w:rPr>
                <w:sz w:val="16"/>
                <w:szCs w:val="16"/>
              </w:rPr>
            </w:pPr>
          </w:p>
        </w:tc>
        <w:tc>
          <w:tcPr>
            <w:tcW w:w="1339" w:type="dxa"/>
            <w:tcBorders>
              <w:right w:val="double" w:sz="4" w:space="0" w:color="auto"/>
            </w:tcBorders>
            <w:tcMar>
              <w:top w:w="57" w:type="dxa"/>
              <w:left w:w="57" w:type="dxa"/>
              <w:bottom w:w="57" w:type="dxa"/>
              <w:right w:w="57" w:type="dxa"/>
            </w:tcMar>
            <w:vAlign w:val="center"/>
          </w:tcPr>
          <w:p w14:paraId="271BBAA6" w14:textId="77777777" w:rsidR="00611DA5" w:rsidRPr="00E5568D" w:rsidRDefault="00611DA5">
            <w:pPr>
              <w:spacing w:after="0"/>
              <w:jc w:val="left"/>
              <w:rPr>
                <w:sz w:val="16"/>
                <w:szCs w:val="16"/>
              </w:rPr>
            </w:pPr>
            <w:r w:rsidRPr="00E5568D">
              <w:rPr>
                <w:sz w:val="16"/>
                <w:szCs w:val="16"/>
              </w:rPr>
              <w:t>Direct enforcement costs</w:t>
            </w:r>
          </w:p>
        </w:tc>
        <w:tc>
          <w:tcPr>
            <w:tcW w:w="549" w:type="dxa"/>
            <w:tcBorders>
              <w:left w:val="double" w:sz="4" w:space="0" w:color="auto"/>
            </w:tcBorders>
            <w:tcMar>
              <w:top w:w="57" w:type="dxa"/>
              <w:left w:w="57" w:type="dxa"/>
              <w:bottom w:w="57" w:type="dxa"/>
              <w:right w:w="57" w:type="dxa"/>
            </w:tcMar>
            <w:vAlign w:val="center"/>
          </w:tcPr>
          <w:p w14:paraId="6DD444E0" w14:textId="77777777" w:rsidR="00611DA5" w:rsidRPr="00E5568D" w:rsidRDefault="00611DA5">
            <w:pPr>
              <w:spacing w:after="0"/>
              <w:rPr>
                <w:sz w:val="16"/>
                <w:szCs w:val="16"/>
              </w:rPr>
            </w:pPr>
            <w:r w:rsidRPr="00E5568D">
              <w:rPr>
                <w:sz w:val="16"/>
                <w:szCs w:val="16"/>
              </w:rPr>
              <w:t>n/a.</w:t>
            </w:r>
          </w:p>
        </w:tc>
        <w:tc>
          <w:tcPr>
            <w:tcW w:w="1905" w:type="dxa"/>
            <w:tcMar>
              <w:top w:w="57" w:type="dxa"/>
              <w:left w:w="57" w:type="dxa"/>
              <w:bottom w:w="57" w:type="dxa"/>
              <w:right w:w="57" w:type="dxa"/>
            </w:tcMar>
            <w:vAlign w:val="center"/>
          </w:tcPr>
          <w:p w14:paraId="036325A9" w14:textId="77777777" w:rsidR="00611DA5" w:rsidRPr="00E5568D" w:rsidRDefault="00611DA5">
            <w:pPr>
              <w:spacing w:after="0"/>
              <w:rPr>
                <w:sz w:val="16"/>
                <w:szCs w:val="16"/>
              </w:rPr>
            </w:pPr>
          </w:p>
        </w:tc>
        <w:tc>
          <w:tcPr>
            <w:tcW w:w="2555" w:type="dxa"/>
            <w:tcMar>
              <w:top w:w="57" w:type="dxa"/>
              <w:left w:w="57" w:type="dxa"/>
              <w:bottom w:w="57" w:type="dxa"/>
              <w:right w:w="57" w:type="dxa"/>
            </w:tcMar>
            <w:vAlign w:val="center"/>
          </w:tcPr>
          <w:p w14:paraId="0DA8879C" w14:textId="77777777" w:rsidR="00611DA5" w:rsidRPr="00E5568D" w:rsidRDefault="00611DA5">
            <w:pPr>
              <w:spacing w:after="0"/>
              <w:rPr>
                <w:sz w:val="16"/>
                <w:szCs w:val="16"/>
              </w:rPr>
            </w:pPr>
          </w:p>
        </w:tc>
        <w:tc>
          <w:tcPr>
            <w:tcW w:w="2415" w:type="dxa"/>
            <w:tcMar>
              <w:top w:w="57" w:type="dxa"/>
              <w:left w:w="57" w:type="dxa"/>
              <w:bottom w:w="57" w:type="dxa"/>
              <w:right w:w="57" w:type="dxa"/>
            </w:tcMar>
            <w:vAlign w:val="center"/>
          </w:tcPr>
          <w:p w14:paraId="15671C87" w14:textId="77777777" w:rsidR="00611DA5" w:rsidRPr="00E5568D" w:rsidRDefault="00611DA5">
            <w:pPr>
              <w:spacing w:after="0"/>
              <w:rPr>
                <w:sz w:val="16"/>
                <w:szCs w:val="16"/>
              </w:rPr>
            </w:pPr>
          </w:p>
        </w:tc>
        <w:tc>
          <w:tcPr>
            <w:tcW w:w="2156" w:type="dxa"/>
            <w:tcMar>
              <w:top w:w="57" w:type="dxa"/>
              <w:left w:w="57" w:type="dxa"/>
              <w:bottom w:w="57" w:type="dxa"/>
              <w:right w:w="57" w:type="dxa"/>
            </w:tcMar>
            <w:vAlign w:val="center"/>
          </w:tcPr>
          <w:p w14:paraId="2FBE2B01" w14:textId="77777777" w:rsidR="00611DA5" w:rsidRPr="00E5568D" w:rsidRDefault="00611DA5">
            <w:pPr>
              <w:spacing w:after="0"/>
              <w:rPr>
                <w:sz w:val="16"/>
                <w:szCs w:val="16"/>
              </w:rPr>
            </w:pPr>
          </w:p>
        </w:tc>
        <w:tc>
          <w:tcPr>
            <w:tcW w:w="3645" w:type="dxa"/>
            <w:tcMar>
              <w:top w:w="57" w:type="dxa"/>
              <w:left w:w="57" w:type="dxa"/>
              <w:bottom w:w="57" w:type="dxa"/>
              <w:right w:w="57" w:type="dxa"/>
            </w:tcMar>
            <w:vAlign w:val="center"/>
          </w:tcPr>
          <w:p w14:paraId="2D84958A" w14:textId="6F32C40A" w:rsidR="00611DA5" w:rsidRPr="00E5568D" w:rsidRDefault="00611DA5">
            <w:pPr>
              <w:spacing w:after="0"/>
              <w:rPr>
                <w:rFonts w:eastAsia="Arial"/>
                <w:b/>
                <w:bCs/>
                <w:sz w:val="16"/>
                <w:szCs w:val="16"/>
              </w:rPr>
            </w:pPr>
            <w:r w:rsidRPr="00E5568D">
              <w:rPr>
                <w:rFonts w:eastAsia="Arial"/>
                <w:b/>
                <w:bCs/>
                <w:sz w:val="16"/>
                <w:szCs w:val="16"/>
              </w:rPr>
              <w:t xml:space="preserve">Strategic projects </w:t>
            </w:r>
            <w:r w:rsidR="0071204B" w:rsidRPr="00E5568D">
              <w:rPr>
                <w:rFonts w:eastAsia="Arial"/>
                <w:b/>
                <w:bCs/>
                <w:sz w:val="16"/>
                <w:szCs w:val="16"/>
                <w:lang w:val="en-US"/>
              </w:rPr>
              <w:t xml:space="preserve">including </w:t>
            </w:r>
            <w:r w:rsidRPr="00E5568D">
              <w:rPr>
                <w:rFonts w:eastAsia="Arial"/>
                <w:b/>
                <w:bCs/>
                <w:sz w:val="16"/>
                <w:szCs w:val="16"/>
                <w:lang w:val="en-US"/>
              </w:rPr>
              <w:t>Biosimilars</w:t>
            </w:r>
            <w:r w:rsidRPr="00E5568D">
              <w:rPr>
                <w:rFonts w:eastAsia="Arial"/>
                <w:b/>
                <w:bCs/>
                <w:sz w:val="16"/>
                <w:szCs w:val="16"/>
              </w:rPr>
              <w:t>:</w:t>
            </w:r>
          </w:p>
          <w:p w14:paraId="5269903F"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Single points of contact dealing with recognition applications, queries, permitting coordination and dispute-settlement information. Indicative steady-state staffing needs (caveat: figures illustrate scale, not a precise prediction): </w:t>
            </w:r>
          </w:p>
          <w:p w14:paraId="36CF94CF" w14:textId="77777777" w:rsidR="00611DA5" w:rsidRPr="00E5568D" w:rsidRDefault="00611DA5" w:rsidP="00611DA5">
            <w:pPr>
              <w:pStyle w:val="ListParagraph"/>
              <w:numPr>
                <w:ilvl w:val="1"/>
                <w:numId w:val="479"/>
              </w:numPr>
              <w:spacing w:after="0"/>
              <w:ind w:left="921"/>
              <w:rPr>
                <w:rFonts w:eastAsia="Arial"/>
                <w:sz w:val="16"/>
                <w:szCs w:val="16"/>
              </w:rPr>
            </w:pPr>
            <w:r w:rsidRPr="00E5568D">
              <w:rPr>
                <w:rFonts w:eastAsia="Arial"/>
                <w:sz w:val="16"/>
                <w:szCs w:val="16"/>
              </w:rPr>
              <w:t xml:space="preserve">low uptake (25–30 projects by 2038): 0.3–0.9 full-time equivalents per Member State; </w:t>
            </w:r>
          </w:p>
          <w:p w14:paraId="548C8D75" w14:textId="77777777" w:rsidR="00611DA5" w:rsidRPr="00E5568D" w:rsidRDefault="00611DA5" w:rsidP="00611DA5">
            <w:pPr>
              <w:pStyle w:val="ListParagraph"/>
              <w:numPr>
                <w:ilvl w:val="1"/>
                <w:numId w:val="479"/>
              </w:numPr>
              <w:spacing w:after="0"/>
              <w:ind w:left="921"/>
              <w:rPr>
                <w:rFonts w:eastAsia="Arial"/>
                <w:sz w:val="16"/>
                <w:szCs w:val="16"/>
              </w:rPr>
            </w:pPr>
            <w:r w:rsidRPr="00E5568D">
              <w:rPr>
                <w:rFonts w:eastAsia="Arial"/>
                <w:sz w:val="16"/>
                <w:szCs w:val="16"/>
              </w:rPr>
              <w:t xml:space="preserve">medium uptake (60–70 projects): 0.7–1.8 full-time equivalents per Member State; </w:t>
            </w:r>
          </w:p>
          <w:p w14:paraId="2F1BAD8D" w14:textId="77777777" w:rsidR="00611DA5" w:rsidRPr="00E5568D" w:rsidRDefault="00611DA5" w:rsidP="00611DA5">
            <w:pPr>
              <w:pStyle w:val="ListParagraph"/>
              <w:numPr>
                <w:ilvl w:val="1"/>
                <w:numId w:val="479"/>
              </w:numPr>
              <w:spacing w:after="0"/>
              <w:ind w:left="921"/>
              <w:rPr>
                <w:rFonts w:eastAsia="Arial"/>
                <w:sz w:val="16"/>
                <w:szCs w:val="16"/>
              </w:rPr>
            </w:pPr>
            <w:r w:rsidRPr="00E5568D">
              <w:rPr>
                <w:rFonts w:eastAsia="Arial"/>
                <w:sz w:val="16"/>
                <w:szCs w:val="16"/>
              </w:rPr>
              <w:t xml:space="preserve">high uptake (100–120 projects): 1.1–3.0 full-time equivalents per Member State. </w:t>
            </w:r>
          </w:p>
          <w:p w14:paraId="53DDD137" w14:textId="77777777" w:rsidR="00611DA5" w:rsidRPr="00E5568D" w:rsidRDefault="00611DA5">
            <w:pPr>
              <w:spacing w:after="0"/>
              <w:rPr>
                <w:sz w:val="16"/>
                <w:szCs w:val="16"/>
              </w:rPr>
            </w:pPr>
          </w:p>
          <w:p w14:paraId="7FB00065" w14:textId="77777777" w:rsidR="00611DA5" w:rsidRPr="00E5568D" w:rsidRDefault="00611DA5">
            <w:pPr>
              <w:spacing w:after="0"/>
              <w:rPr>
                <w:rFonts w:eastAsia="Arial"/>
                <w:b/>
                <w:bCs/>
                <w:sz w:val="16"/>
                <w:szCs w:val="16"/>
              </w:rPr>
            </w:pPr>
            <w:r w:rsidRPr="00E5568D">
              <w:rPr>
                <w:rFonts w:eastAsia="Arial"/>
                <w:b/>
                <w:bCs/>
                <w:sz w:val="16"/>
                <w:szCs w:val="16"/>
              </w:rPr>
              <w:t>High Impact strategic projects (including AI):</w:t>
            </w:r>
          </w:p>
          <w:p w14:paraId="1E0C2598" w14:textId="77777777" w:rsidR="00611DA5" w:rsidRPr="00E5568D" w:rsidRDefault="00611DA5" w:rsidP="00611DA5">
            <w:pPr>
              <w:pStyle w:val="ListParagraph"/>
              <w:numPr>
                <w:ilvl w:val="0"/>
                <w:numId w:val="479"/>
              </w:numPr>
              <w:spacing w:after="0"/>
              <w:ind w:left="324"/>
              <w:rPr>
                <w:rFonts w:eastAsia="Arial"/>
                <w:sz w:val="16"/>
                <w:szCs w:val="16"/>
              </w:rPr>
            </w:pPr>
            <w:r w:rsidRPr="00E5568D">
              <w:rPr>
                <w:rFonts w:eastAsia="Arial"/>
                <w:sz w:val="16"/>
                <w:szCs w:val="16"/>
              </w:rPr>
              <w:t xml:space="preserve">EU-level supervision of recognised high-impact strategic projects: recognition, monitoring, compliance verification and cross-border coordination. 0.3–0.5 full-time equivalents per single-country project per year; 0.5–1 full-time equivalent per multi-country project: </w:t>
            </w:r>
          </w:p>
          <w:p w14:paraId="530AF848" w14:textId="77777777" w:rsidR="00611DA5" w:rsidRPr="00E5568D" w:rsidRDefault="00611DA5" w:rsidP="00611DA5">
            <w:pPr>
              <w:pStyle w:val="ListParagraph"/>
              <w:numPr>
                <w:ilvl w:val="1"/>
                <w:numId w:val="479"/>
              </w:numPr>
              <w:spacing w:after="0"/>
              <w:ind w:left="921"/>
              <w:rPr>
                <w:rFonts w:eastAsia="Arial"/>
                <w:sz w:val="16"/>
                <w:szCs w:val="16"/>
              </w:rPr>
            </w:pPr>
            <w:r w:rsidRPr="00E5568D">
              <w:rPr>
                <w:rFonts w:eastAsia="Arial"/>
                <w:sz w:val="16"/>
                <w:szCs w:val="16"/>
              </w:rPr>
              <w:t xml:space="preserve">1–3 full-time equivalents under low uptake (2–3 projects); </w:t>
            </w:r>
          </w:p>
          <w:p w14:paraId="66E3C79B" w14:textId="77777777" w:rsidR="00611DA5" w:rsidRPr="00E5568D" w:rsidRDefault="00611DA5" w:rsidP="00611DA5">
            <w:pPr>
              <w:pStyle w:val="ListParagraph"/>
              <w:numPr>
                <w:ilvl w:val="1"/>
                <w:numId w:val="479"/>
              </w:numPr>
              <w:spacing w:after="0"/>
              <w:ind w:left="921"/>
              <w:rPr>
                <w:rFonts w:eastAsia="Arial"/>
                <w:sz w:val="16"/>
                <w:szCs w:val="16"/>
              </w:rPr>
            </w:pPr>
            <w:r w:rsidRPr="00E5568D">
              <w:rPr>
                <w:rFonts w:eastAsia="Arial"/>
                <w:sz w:val="16"/>
                <w:szCs w:val="16"/>
              </w:rPr>
              <w:t xml:space="preserve">2.5–8 full-time equivalents under medium uptake (5–8 projects); </w:t>
            </w:r>
          </w:p>
          <w:p w14:paraId="4B6D8343" w14:textId="77777777" w:rsidR="00611DA5" w:rsidRPr="00E5568D" w:rsidRDefault="00611DA5" w:rsidP="00611DA5">
            <w:pPr>
              <w:pStyle w:val="ListParagraph"/>
              <w:numPr>
                <w:ilvl w:val="1"/>
                <w:numId w:val="479"/>
              </w:numPr>
              <w:spacing w:after="0"/>
              <w:ind w:left="921"/>
              <w:rPr>
                <w:rFonts w:eastAsia="Arial"/>
                <w:sz w:val="16"/>
                <w:szCs w:val="16"/>
              </w:rPr>
            </w:pPr>
            <w:r w:rsidRPr="00E5568D">
              <w:rPr>
                <w:rFonts w:eastAsia="Arial"/>
                <w:sz w:val="16"/>
                <w:szCs w:val="16"/>
              </w:rPr>
              <w:t xml:space="preserve">5–15 full-time equivalents under high uptake (10–15 projects). </w:t>
            </w:r>
          </w:p>
          <w:p w14:paraId="43518824" w14:textId="77777777" w:rsidR="00611DA5" w:rsidRPr="00E5568D" w:rsidRDefault="00611DA5">
            <w:pPr>
              <w:spacing w:after="0"/>
              <w:rPr>
                <w:sz w:val="16"/>
                <w:szCs w:val="16"/>
              </w:rPr>
            </w:pPr>
          </w:p>
          <w:p w14:paraId="29E0AF03" w14:textId="77777777" w:rsidR="00611DA5" w:rsidRPr="00E5568D" w:rsidRDefault="00611DA5">
            <w:pPr>
              <w:spacing w:after="0"/>
              <w:rPr>
                <w:rFonts w:eastAsia="Arial"/>
                <w:b/>
                <w:bCs/>
                <w:sz w:val="16"/>
                <w:szCs w:val="16"/>
              </w:rPr>
            </w:pPr>
            <w:r w:rsidRPr="00E5568D">
              <w:rPr>
                <w:rFonts w:eastAsia="Arial"/>
                <w:b/>
                <w:bCs/>
                <w:sz w:val="16"/>
                <w:szCs w:val="16"/>
              </w:rPr>
              <w:t>General food law reform:</w:t>
            </w:r>
          </w:p>
          <w:p w14:paraId="2BA6C914" w14:textId="77777777" w:rsidR="00611DA5" w:rsidRPr="00E5568D" w:rsidRDefault="00611DA5">
            <w:pPr>
              <w:spacing w:after="0"/>
              <w:rPr>
                <w:sz w:val="16"/>
                <w:szCs w:val="16"/>
              </w:rPr>
            </w:pPr>
            <w:r w:rsidRPr="00E5568D">
              <w:rPr>
                <w:rFonts w:eastAsia="Arial"/>
                <w:sz w:val="16"/>
                <w:szCs w:val="16"/>
              </w:rPr>
              <w:lastRenderedPageBreak/>
              <w:t>Member State national competent authorities</w:t>
            </w:r>
          </w:p>
          <w:p w14:paraId="387CC694" w14:textId="4BA9F9F1"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Ongoing supervision and enforcement of established sandboxes; ensuring sandbox activities remain within defined parameters and do not jeopardise public health. Not quantified</w:t>
            </w:r>
            <w:r w:rsidR="00F366D1" w:rsidRPr="00E5568D">
              <w:rPr>
                <w:rFonts w:eastAsia="Arial"/>
                <w:sz w:val="16"/>
                <w:szCs w:val="16"/>
              </w:rPr>
              <w:t xml:space="preserve"> – low to medium</w:t>
            </w:r>
            <w:r w:rsidRPr="00E5568D">
              <w:rPr>
                <w:rFonts w:eastAsia="Arial"/>
                <w:sz w:val="16"/>
                <w:szCs w:val="16"/>
              </w:rPr>
              <w:t>.</w:t>
            </w:r>
          </w:p>
          <w:p w14:paraId="25DAEC17" w14:textId="77777777" w:rsidR="00611DA5" w:rsidRPr="00E5568D" w:rsidRDefault="00611DA5">
            <w:pPr>
              <w:spacing w:after="0"/>
              <w:rPr>
                <w:sz w:val="16"/>
                <w:szCs w:val="16"/>
              </w:rPr>
            </w:pPr>
          </w:p>
          <w:p w14:paraId="5A9FFD67" w14:textId="77777777" w:rsidR="00611DA5" w:rsidRPr="00E5568D" w:rsidRDefault="00611DA5">
            <w:pPr>
              <w:spacing w:after="0"/>
              <w:rPr>
                <w:rFonts w:eastAsia="Arial"/>
                <w:b/>
                <w:bCs/>
                <w:sz w:val="16"/>
                <w:szCs w:val="16"/>
              </w:rPr>
            </w:pPr>
            <w:r w:rsidRPr="00E5568D">
              <w:rPr>
                <w:rFonts w:eastAsia="Arial"/>
                <w:b/>
                <w:bCs/>
                <w:sz w:val="16"/>
                <w:szCs w:val="16"/>
              </w:rPr>
              <w:t>ATMP:</w:t>
            </w:r>
          </w:p>
          <w:p w14:paraId="2EDCC259" w14:textId="77777777" w:rsidR="009E793B" w:rsidRPr="00E5568D" w:rsidRDefault="00611DA5" w:rsidP="009E793B">
            <w:pPr>
              <w:pStyle w:val="ListParagraph"/>
              <w:numPr>
                <w:ilvl w:val="0"/>
                <w:numId w:val="479"/>
              </w:numPr>
              <w:spacing w:after="0"/>
              <w:ind w:left="324"/>
              <w:rPr>
                <w:sz w:val="16"/>
                <w:szCs w:val="16"/>
              </w:rPr>
            </w:pPr>
            <w:r w:rsidRPr="00E5568D">
              <w:rPr>
                <w:rFonts w:eastAsia="Arial"/>
                <w:sz w:val="16"/>
                <w:szCs w:val="16"/>
              </w:rPr>
              <w:t>CHMP verification of sponsor declarations submitted in place of full ERA dossiers, as part of the centralised clinical trial and marketing authorisation procedure. Not quantified</w:t>
            </w:r>
            <w:r w:rsidR="009E793B" w:rsidRPr="00E5568D">
              <w:rPr>
                <w:rFonts w:eastAsia="Arial"/>
                <w:sz w:val="16"/>
                <w:szCs w:val="16"/>
              </w:rPr>
              <w:t xml:space="preserve"> - negligible (verification of simplified declarations is incremental to the existing CHMP centralised procedure; no new assessment infrastructure required).</w:t>
            </w:r>
          </w:p>
          <w:p w14:paraId="46C94A75" w14:textId="6618A16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w:t>
            </w:r>
          </w:p>
          <w:p w14:paraId="333A55E1" w14:textId="77777777" w:rsidR="00611DA5" w:rsidRPr="00E5568D" w:rsidRDefault="00611DA5">
            <w:pPr>
              <w:spacing w:after="0"/>
              <w:rPr>
                <w:sz w:val="16"/>
                <w:szCs w:val="16"/>
              </w:rPr>
            </w:pPr>
          </w:p>
          <w:p w14:paraId="5FFD5760" w14:textId="77777777" w:rsidR="00611DA5" w:rsidRPr="00E5568D" w:rsidRDefault="00611DA5">
            <w:pPr>
              <w:spacing w:after="0"/>
              <w:rPr>
                <w:rFonts w:eastAsia="Arial"/>
                <w:b/>
                <w:bCs/>
                <w:sz w:val="16"/>
                <w:szCs w:val="16"/>
              </w:rPr>
            </w:pPr>
            <w:r w:rsidRPr="00E5568D">
              <w:rPr>
                <w:rFonts w:eastAsia="Arial"/>
                <w:b/>
                <w:bCs/>
                <w:sz w:val="16"/>
                <w:szCs w:val="16"/>
              </w:rPr>
              <w:t>VMP:</w:t>
            </w:r>
          </w:p>
          <w:p w14:paraId="150DF863" w14:textId="77777777" w:rsidR="00611DA5" w:rsidRPr="00E5568D" w:rsidRDefault="00611DA5">
            <w:pPr>
              <w:spacing w:after="0"/>
              <w:rPr>
                <w:sz w:val="16"/>
                <w:szCs w:val="16"/>
              </w:rPr>
            </w:pPr>
            <w:r w:rsidRPr="00E5568D">
              <w:rPr>
                <w:rFonts w:eastAsia="Arial"/>
                <w:sz w:val="16"/>
                <w:szCs w:val="16"/>
              </w:rPr>
              <w:t xml:space="preserve">EMA/Commission </w:t>
            </w:r>
          </w:p>
          <w:p w14:paraId="53FEA0C4" w14:textId="7B825BFD"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Application assessment, scientific advice, risk-benefit assessment, and two-year assessment report per established sandbox. Not quantified</w:t>
            </w:r>
            <w:r w:rsidR="003723C6" w:rsidRPr="00E5568D">
              <w:rPr>
                <w:rFonts w:eastAsia="Arial"/>
                <w:sz w:val="16"/>
                <w:szCs w:val="16"/>
              </w:rPr>
              <w:t xml:space="preserve"> – negligible (2–3 assessments over 14 years).</w:t>
            </w:r>
          </w:p>
          <w:p w14:paraId="6A6A5EE2" w14:textId="77777777" w:rsidR="00611DA5" w:rsidRPr="00E5568D" w:rsidRDefault="00611DA5">
            <w:pPr>
              <w:spacing w:after="0"/>
              <w:rPr>
                <w:sz w:val="16"/>
                <w:szCs w:val="16"/>
              </w:rPr>
            </w:pPr>
          </w:p>
          <w:p w14:paraId="0DC70295" w14:textId="77777777" w:rsidR="00611DA5" w:rsidRPr="00E5568D" w:rsidRDefault="00611DA5">
            <w:pPr>
              <w:spacing w:after="0"/>
              <w:rPr>
                <w:rFonts w:eastAsia="Arial"/>
                <w:b/>
                <w:bCs/>
                <w:sz w:val="16"/>
                <w:szCs w:val="16"/>
              </w:rPr>
            </w:pPr>
            <w:r w:rsidRPr="00E5568D">
              <w:rPr>
                <w:rFonts w:eastAsia="Arial"/>
                <w:b/>
                <w:bCs/>
                <w:sz w:val="16"/>
                <w:szCs w:val="16"/>
              </w:rPr>
              <w:t>Substances of Human Origin:</w:t>
            </w:r>
          </w:p>
          <w:p w14:paraId="26BAD8FC"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Additional NCA workload per sandbox case relative to standard SoHO preparation authorisation, at EUR 301/person-day: medium-risk sandbox case 75–94 person-days total (EUR 22,575–28,294), a 57–114% cost increase over standard authorisation; high-risk sandbox case 98–149 person-days total (EUR 29,498–44,849), a 10–63% cost increase. </w:t>
            </w:r>
          </w:p>
          <w:p w14:paraId="2389295B" w14:textId="77777777" w:rsidR="000E3F3F" w:rsidRPr="00E5568D" w:rsidRDefault="000E3F3F" w:rsidP="000E3F3F">
            <w:pPr>
              <w:pStyle w:val="ListParagraph"/>
              <w:numPr>
                <w:ilvl w:val="0"/>
                <w:numId w:val="479"/>
              </w:numPr>
              <w:spacing w:after="0"/>
              <w:ind w:left="324"/>
              <w:rPr>
                <w:sz w:val="16"/>
                <w:szCs w:val="16"/>
              </w:rPr>
            </w:pPr>
            <w:r w:rsidRPr="00E5568D">
              <w:rPr>
                <w:sz w:val="16"/>
                <w:szCs w:val="16"/>
              </w:rPr>
              <w:t xml:space="preserve">Alternatively, approximately EUR 156,000–219,000/year under low uptake (6 sandboxes); approximately EUR 1.04–1.46M/year under high uptake (40 sandboxes). </w:t>
            </w:r>
          </w:p>
          <w:p w14:paraId="692300A1"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Learning-by-doing costs and medium-term efficiency gains from cross-Member State learning are assumed to cancel out.</w:t>
            </w:r>
          </w:p>
          <w:p w14:paraId="7EDC0C75" w14:textId="77777777" w:rsidR="00611DA5" w:rsidRPr="00E5568D" w:rsidRDefault="00611DA5">
            <w:pPr>
              <w:spacing w:after="0"/>
              <w:rPr>
                <w:sz w:val="16"/>
                <w:szCs w:val="16"/>
              </w:rPr>
            </w:pPr>
          </w:p>
          <w:p w14:paraId="5AD6DAE4" w14:textId="77777777" w:rsidR="00611DA5" w:rsidRPr="00E5568D" w:rsidRDefault="00611DA5">
            <w:pPr>
              <w:spacing w:after="0"/>
              <w:rPr>
                <w:rFonts w:eastAsia="Arial"/>
                <w:b/>
                <w:bCs/>
                <w:sz w:val="16"/>
                <w:szCs w:val="16"/>
              </w:rPr>
            </w:pPr>
            <w:r w:rsidRPr="00E5568D">
              <w:rPr>
                <w:rFonts w:eastAsia="Arial"/>
                <w:b/>
                <w:bCs/>
                <w:sz w:val="16"/>
                <w:szCs w:val="16"/>
              </w:rPr>
              <w:t>Organ processing:</w:t>
            </w:r>
          </w:p>
          <w:p w14:paraId="7F98365D"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National competent authority assessment of applications. Per-assessment cost approximately </w:t>
            </w:r>
            <w:r w:rsidRPr="00E5568D">
              <w:rPr>
                <w:rFonts w:eastAsia="Arial"/>
                <w:sz w:val="16"/>
                <w:szCs w:val="16"/>
              </w:rPr>
              <w:lastRenderedPageBreak/>
              <w:t xml:space="preserve">EUR 7,000–10,000 (central estimate ~EUR 8,500), comprising: internal assessment staff 15 working days at EUR 350–450 per day (EUR 5,250–6,750); external expert consultation 3–5 days at EUR 400–500 per day (EUR 1,200–2,500); administrative overhead EUR 500–750. </w:t>
            </w:r>
          </w:p>
          <w:p w14:paraId="0D6A9050"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Transition phase (2029–2031): aggregate EU-27 approximately EUR 420,000–1,450,000 over three years (central estimate ~EUR 850,000, approximately EUR 280,000 per year). </w:t>
            </w:r>
          </w:p>
          <w:p w14:paraId="4C2F10B9"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Steady state (from approximately 2032): approximately EUR 60,000–85,000 per year EU-27. </w:t>
            </w:r>
          </w:p>
          <w:p w14:paraId="44A163DF"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Ongoing monitoring oversight for Track 2 authorisations: approximately 12–20 working days per active monitoring plan per year (3–5 days per quarterly reporting cycle); aggregate approximately EUR 63,000–216,000 per year during transition, declining in steady state.</w:t>
            </w:r>
          </w:p>
          <w:p w14:paraId="503D907C" w14:textId="77777777" w:rsidR="00466B16" w:rsidRPr="00E5568D" w:rsidRDefault="00466B16" w:rsidP="00466B16">
            <w:pPr>
              <w:pStyle w:val="ListParagraph"/>
              <w:numPr>
                <w:ilvl w:val="0"/>
                <w:numId w:val="479"/>
              </w:numPr>
              <w:spacing w:after="0"/>
              <w:ind w:left="324"/>
              <w:rPr>
                <w:sz w:val="16"/>
                <w:szCs w:val="16"/>
              </w:rPr>
            </w:pPr>
            <w:r w:rsidRPr="00E5568D">
              <w:rPr>
                <w:sz w:val="16"/>
                <w:szCs w:val="16"/>
              </w:rPr>
              <w:t xml:space="preserve">Alternatively, annually: Transition phase (2029–2031): approximately EUR 140,000–483,000/year EU-27 (central estimate ~EUR 280,000/year). Steady state (from approximately 2032): approximately EUR 60,000–85,000/year EU-27. Ongoing Track 2 monitoring oversight: approximately EUR 63,000–216,000/year during transition, declining in steady state. </w:t>
            </w:r>
          </w:p>
          <w:p w14:paraId="7E81339B" w14:textId="77777777" w:rsidR="00611DA5" w:rsidRPr="00E5568D" w:rsidRDefault="00611DA5">
            <w:pPr>
              <w:spacing w:after="0"/>
              <w:rPr>
                <w:sz w:val="16"/>
                <w:szCs w:val="16"/>
              </w:rPr>
            </w:pPr>
          </w:p>
          <w:p w14:paraId="3DA5BA18" w14:textId="77777777" w:rsidR="00611DA5" w:rsidRPr="00E5568D" w:rsidRDefault="00611DA5">
            <w:pPr>
              <w:spacing w:after="0"/>
              <w:rPr>
                <w:rFonts w:eastAsia="Arial"/>
                <w:b/>
                <w:bCs/>
                <w:sz w:val="16"/>
                <w:szCs w:val="16"/>
              </w:rPr>
            </w:pPr>
            <w:r w:rsidRPr="00E5568D">
              <w:rPr>
                <w:rFonts w:eastAsia="Arial"/>
                <w:b/>
                <w:bCs/>
                <w:sz w:val="16"/>
                <w:szCs w:val="16"/>
              </w:rPr>
              <w:t xml:space="preserve">SPC extension: </w:t>
            </w:r>
          </w:p>
          <w:p w14:paraId="19E0FD11" w14:textId="77777777" w:rsidR="00611DA5" w:rsidRPr="00E5568D" w:rsidRDefault="00611DA5">
            <w:pPr>
              <w:spacing w:after="0"/>
              <w:rPr>
                <w:rFonts w:eastAsia="Arial"/>
                <w:sz w:val="16"/>
                <w:szCs w:val="16"/>
              </w:rPr>
            </w:pPr>
            <w:r w:rsidRPr="00E5568D">
              <w:rPr>
                <w:rFonts w:eastAsia="Arial"/>
                <w:sz w:val="16"/>
                <w:szCs w:val="16"/>
              </w:rPr>
              <w:t xml:space="preserve">EMA: </w:t>
            </w:r>
          </w:p>
          <w:p w14:paraId="6759408D"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Eligibility verification per application, estimated at approximately 1 full-time equivalent working day per application. Given that between 15 and 28 biotech products are authorised annually (not all would qualify), the maximum annual workload is estimated at approximately 28–30 working days per year EU-wide.</w:t>
            </w:r>
            <w:r w:rsidRPr="00E5568D">
              <w:rPr>
                <w:sz w:val="16"/>
                <w:szCs w:val="16"/>
              </w:rPr>
              <w:t xml:space="preserve"> </w:t>
            </w:r>
          </w:p>
          <w:p w14:paraId="660E5715" w14:textId="77777777" w:rsidR="00611DA5" w:rsidRPr="00E5568D" w:rsidRDefault="00611DA5">
            <w:pPr>
              <w:spacing w:after="0"/>
              <w:rPr>
                <w:sz w:val="16"/>
                <w:szCs w:val="16"/>
              </w:rPr>
            </w:pPr>
          </w:p>
          <w:p w14:paraId="4F2FB61E" w14:textId="77777777" w:rsidR="00611DA5" w:rsidRPr="00E5568D" w:rsidRDefault="00611DA5">
            <w:pPr>
              <w:spacing w:after="0"/>
              <w:rPr>
                <w:rFonts w:eastAsia="Arial"/>
                <w:b/>
                <w:bCs/>
                <w:sz w:val="16"/>
                <w:szCs w:val="16"/>
              </w:rPr>
            </w:pPr>
            <w:r w:rsidRPr="00E5568D">
              <w:rPr>
                <w:rFonts w:eastAsia="Arial"/>
                <w:b/>
                <w:bCs/>
                <w:sz w:val="16"/>
                <w:szCs w:val="16"/>
              </w:rPr>
              <w:t>Biosecurity:</w:t>
            </w:r>
          </w:p>
          <w:p w14:paraId="746A6F8B" w14:textId="77777777" w:rsidR="00611DA5" w:rsidRPr="00E5568D" w:rsidRDefault="00611DA5">
            <w:pPr>
              <w:spacing w:after="0"/>
              <w:rPr>
                <w:sz w:val="16"/>
                <w:szCs w:val="16"/>
              </w:rPr>
            </w:pPr>
            <w:r w:rsidRPr="00E5568D">
              <w:rPr>
                <w:rFonts w:eastAsia="Arial"/>
                <w:sz w:val="16"/>
                <w:szCs w:val="16"/>
              </w:rPr>
              <w:t xml:space="preserve">Member State level: </w:t>
            </w:r>
          </w:p>
          <w:p w14:paraId="32460EC0"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Approximately EUR 14 million per year in 2027, rising to approximately EUR 21 million per year in 2036. </w:t>
            </w:r>
          </w:p>
          <w:p w14:paraId="44B09AEA"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Estimated staffing requirement: approximately 3 full-time equivalents per Member State for policy </w:t>
            </w:r>
            <w:r w:rsidRPr="00E5568D">
              <w:rPr>
                <w:rFonts w:eastAsia="Arial"/>
                <w:sz w:val="16"/>
                <w:szCs w:val="16"/>
              </w:rPr>
              <w:lastRenderedPageBreak/>
              <w:t xml:space="preserve">coordination, reporting, and enforcement activities including inspections.  </w:t>
            </w:r>
          </w:p>
          <w:p w14:paraId="4633E191" w14:textId="77777777" w:rsidR="00611DA5" w:rsidRPr="00E5568D" w:rsidRDefault="00611DA5">
            <w:pPr>
              <w:spacing w:after="0"/>
              <w:ind w:left="-36"/>
              <w:rPr>
                <w:sz w:val="16"/>
                <w:szCs w:val="16"/>
              </w:rPr>
            </w:pPr>
            <w:r w:rsidRPr="00E5568D">
              <w:rPr>
                <w:rFonts w:eastAsia="Arial"/>
                <w:sz w:val="16"/>
                <w:szCs w:val="16"/>
              </w:rPr>
              <w:t xml:space="preserve">EU level: </w:t>
            </w:r>
          </w:p>
          <w:p w14:paraId="4F615A5B"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Approximately EUR 1.3 million per year in 2027, rising to EUR 1.9 million per year in the long term; </w:t>
            </w:r>
          </w:p>
          <w:p w14:paraId="64D4375D"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corresponding to approximately 11 full-time equivalents for the lead Directorate-General plus supporting coordination and technical functions.  </w:t>
            </w:r>
          </w:p>
        </w:tc>
      </w:tr>
      <w:tr w:rsidR="00611DA5" w:rsidRPr="00E5568D" w14:paraId="15BFBB86" w14:textId="77777777" w:rsidTr="00FF6493">
        <w:tc>
          <w:tcPr>
            <w:tcW w:w="673" w:type="dxa"/>
            <w:vMerge/>
            <w:tcMar>
              <w:top w:w="57" w:type="dxa"/>
              <w:left w:w="57" w:type="dxa"/>
              <w:bottom w:w="57" w:type="dxa"/>
              <w:right w:w="57" w:type="dxa"/>
            </w:tcMar>
          </w:tcPr>
          <w:p w14:paraId="4FBBEB1B" w14:textId="77777777" w:rsidR="00611DA5" w:rsidRPr="00E5568D" w:rsidRDefault="00611DA5">
            <w:pPr>
              <w:spacing w:after="0"/>
              <w:rPr>
                <w:sz w:val="16"/>
                <w:szCs w:val="16"/>
              </w:rPr>
            </w:pPr>
          </w:p>
        </w:tc>
        <w:tc>
          <w:tcPr>
            <w:tcW w:w="1339" w:type="dxa"/>
            <w:tcBorders>
              <w:bottom w:val="double" w:sz="4" w:space="0" w:color="auto"/>
              <w:right w:val="double" w:sz="4" w:space="0" w:color="auto"/>
            </w:tcBorders>
            <w:tcMar>
              <w:top w:w="57" w:type="dxa"/>
              <w:left w:w="57" w:type="dxa"/>
              <w:bottom w:w="57" w:type="dxa"/>
              <w:right w:w="57" w:type="dxa"/>
            </w:tcMar>
          </w:tcPr>
          <w:p w14:paraId="77373D00" w14:textId="77777777" w:rsidR="00611DA5" w:rsidRPr="00E5568D" w:rsidRDefault="00611DA5">
            <w:pPr>
              <w:spacing w:after="0"/>
              <w:jc w:val="left"/>
              <w:rPr>
                <w:sz w:val="16"/>
                <w:szCs w:val="16"/>
              </w:rPr>
            </w:pPr>
            <w:r w:rsidRPr="00E5568D">
              <w:rPr>
                <w:sz w:val="16"/>
                <w:szCs w:val="16"/>
              </w:rPr>
              <w:t>Indirect costs</w:t>
            </w:r>
          </w:p>
        </w:tc>
        <w:tc>
          <w:tcPr>
            <w:tcW w:w="549" w:type="dxa"/>
            <w:tcBorders>
              <w:left w:val="double" w:sz="4" w:space="0" w:color="auto"/>
              <w:bottom w:val="double" w:sz="4" w:space="0" w:color="auto"/>
            </w:tcBorders>
            <w:tcMar>
              <w:top w:w="57" w:type="dxa"/>
              <w:left w:w="57" w:type="dxa"/>
              <w:bottom w:w="57" w:type="dxa"/>
              <w:right w:w="57" w:type="dxa"/>
            </w:tcMar>
          </w:tcPr>
          <w:p w14:paraId="1D2C332C" w14:textId="77777777" w:rsidR="00611DA5" w:rsidRPr="00E5568D" w:rsidRDefault="00611DA5">
            <w:pPr>
              <w:spacing w:after="0"/>
              <w:rPr>
                <w:sz w:val="16"/>
                <w:szCs w:val="16"/>
              </w:rPr>
            </w:pPr>
            <w:r w:rsidRPr="00E5568D">
              <w:rPr>
                <w:sz w:val="16"/>
                <w:szCs w:val="16"/>
              </w:rPr>
              <w:t>n/a.</w:t>
            </w:r>
          </w:p>
        </w:tc>
        <w:tc>
          <w:tcPr>
            <w:tcW w:w="1905" w:type="dxa"/>
            <w:tcBorders>
              <w:bottom w:val="double" w:sz="4" w:space="0" w:color="auto"/>
            </w:tcBorders>
            <w:tcMar>
              <w:top w:w="57" w:type="dxa"/>
              <w:left w:w="57" w:type="dxa"/>
              <w:bottom w:w="57" w:type="dxa"/>
              <w:right w:w="57" w:type="dxa"/>
            </w:tcMar>
          </w:tcPr>
          <w:p w14:paraId="43B3D05D" w14:textId="77777777" w:rsidR="00611DA5" w:rsidRPr="00E5568D" w:rsidRDefault="00611DA5">
            <w:pPr>
              <w:spacing w:after="0"/>
              <w:rPr>
                <w:rFonts w:eastAsia="Arial"/>
                <w:b/>
                <w:bCs/>
                <w:sz w:val="16"/>
                <w:szCs w:val="16"/>
              </w:rPr>
            </w:pPr>
            <w:r w:rsidRPr="00E5568D">
              <w:rPr>
                <w:rFonts w:eastAsia="Arial"/>
                <w:b/>
                <w:bCs/>
                <w:sz w:val="16"/>
                <w:szCs w:val="16"/>
              </w:rPr>
              <w:t xml:space="preserve">SPC extension: </w:t>
            </w:r>
          </w:p>
          <w:p w14:paraId="644D4E29" w14:textId="6DB7F43E" w:rsidR="00611DA5" w:rsidRPr="00E5568D" w:rsidRDefault="09F73E35" w:rsidP="00611DA5">
            <w:pPr>
              <w:pStyle w:val="ListParagraph"/>
              <w:numPr>
                <w:ilvl w:val="0"/>
                <w:numId w:val="479"/>
              </w:numPr>
              <w:spacing w:after="0"/>
              <w:ind w:left="324"/>
              <w:rPr>
                <w:sz w:val="16"/>
                <w:szCs w:val="16"/>
              </w:rPr>
            </w:pPr>
            <w:r w:rsidRPr="00E5568D">
              <w:rPr>
                <w:rFonts w:eastAsia="Arial"/>
                <w:sz w:val="16"/>
                <w:szCs w:val="16"/>
              </w:rPr>
              <w:t>Delayed access to biosimilar/competition during the additional protection year. Estimated combined social cost of approximately EUR 20</w:t>
            </w:r>
            <w:r w:rsidR="00611DA5" w:rsidRPr="00E5568D" w:rsidDel="6FAF5416">
              <w:rPr>
                <w:rFonts w:eastAsia="Arial"/>
                <w:sz w:val="16"/>
                <w:szCs w:val="16"/>
              </w:rPr>
              <w:t>5</w:t>
            </w:r>
            <w:r w:rsidR="793763DA" w:rsidRPr="00E5568D">
              <w:rPr>
                <w:rFonts w:eastAsia="Arial"/>
                <w:sz w:val="16"/>
                <w:szCs w:val="16"/>
              </w:rPr>
              <w:t xml:space="preserve"> million </w:t>
            </w:r>
            <w:r w:rsidRPr="00E5568D">
              <w:rPr>
                <w:rFonts w:eastAsia="Arial"/>
                <w:sz w:val="16"/>
                <w:szCs w:val="16"/>
              </w:rPr>
              <w:t>per medicine (</w:t>
            </w:r>
            <w:r w:rsidR="2EF67F98" w:rsidRPr="00E5568D">
              <w:rPr>
                <w:rFonts w:eastAsia="Arial"/>
                <w:sz w:val="16"/>
                <w:szCs w:val="16"/>
              </w:rPr>
              <w:t>EUR 6</w:t>
            </w:r>
            <w:r w:rsidR="737CACE0" w:rsidRPr="00E5568D">
              <w:rPr>
                <w:rFonts w:eastAsia="Arial"/>
                <w:sz w:val="16"/>
                <w:szCs w:val="16"/>
              </w:rPr>
              <w:t>15</w:t>
            </w:r>
            <w:r w:rsidR="2EF67F98" w:rsidRPr="00E5568D">
              <w:rPr>
                <w:rFonts w:eastAsia="Arial"/>
                <w:sz w:val="16"/>
                <w:szCs w:val="16"/>
              </w:rPr>
              <w:t>M annually at 3 qualifying medicines per year</w:t>
            </w:r>
            <w:r w:rsidR="00611DA5" w:rsidRPr="00E5568D" w:rsidDel="09F73E35">
              <w:rPr>
                <w:rFonts w:eastAsia="Arial"/>
                <w:sz w:val="16"/>
                <w:szCs w:val="16"/>
              </w:rPr>
              <w:t>)</w:t>
            </w:r>
            <w:r w:rsidRPr="00E5568D">
              <w:rPr>
                <w:rFonts w:eastAsia="Arial"/>
                <w:sz w:val="16"/>
                <w:szCs w:val="16"/>
              </w:rPr>
              <w:t xml:space="preserve">; </w:t>
            </w:r>
          </w:p>
          <w:p w14:paraId="04BC5496" w14:textId="546DC35B"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Delayed patient access: ~EUR 135</w:t>
            </w:r>
            <w:r w:rsidR="005C4851" w:rsidRPr="00E5568D">
              <w:rPr>
                <w:rFonts w:eastAsia="Arial"/>
                <w:sz w:val="16"/>
                <w:szCs w:val="16"/>
              </w:rPr>
              <w:t xml:space="preserve"> million</w:t>
            </w:r>
            <w:r w:rsidRPr="00E5568D">
              <w:rPr>
                <w:rFonts w:eastAsia="Arial"/>
                <w:sz w:val="16"/>
                <w:szCs w:val="16"/>
              </w:rPr>
              <w:t xml:space="preserve"> per medicine (~EUR 40</w:t>
            </w:r>
            <w:r w:rsidR="00143BFC" w:rsidRPr="00E5568D">
              <w:rPr>
                <w:rFonts w:eastAsia="Arial"/>
                <w:sz w:val="16"/>
                <w:szCs w:val="16"/>
              </w:rPr>
              <w:t>5</w:t>
            </w:r>
            <w:r w:rsidR="005C4851" w:rsidRPr="00E5568D">
              <w:rPr>
                <w:rFonts w:eastAsia="Arial"/>
                <w:sz w:val="16"/>
                <w:szCs w:val="16"/>
              </w:rPr>
              <w:t xml:space="preserve"> </w:t>
            </w:r>
            <w:r w:rsidRPr="00E5568D">
              <w:rPr>
                <w:rFonts w:eastAsia="Arial"/>
                <w:sz w:val="16"/>
                <w:szCs w:val="16"/>
              </w:rPr>
              <w:t>m</w:t>
            </w:r>
            <w:r w:rsidR="005C4851" w:rsidRPr="00E5568D">
              <w:rPr>
                <w:rFonts w:eastAsia="Arial"/>
                <w:sz w:val="16"/>
                <w:szCs w:val="16"/>
              </w:rPr>
              <w:t>illion</w:t>
            </w:r>
            <w:r w:rsidRPr="00E5568D">
              <w:rPr>
                <w:rFonts w:eastAsia="Arial"/>
                <w:sz w:val="16"/>
                <w:szCs w:val="16"/>
              </w:rPr>
              <w:t xml:space="preserve"> annually at aggregate level);</w:t>
            </w:r>
          </w:p>
          <w:p w14:paraId="4805C23A" w14:textId="198D2C10"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Direct payer expenditure: ~EUR 7</w:t>
            </w:r>
            <w:r w:rsidR="00143BFC" w:rsidRPr="00E5568D">
              <w:rPr>
                <w:rFonts w:eastAsia="Arial"/>
                <w:sz w:val="16"/>
                <w:szCs w:val="16"/>
              </w:rPr>
              <w:t>0</w:t>
            </w:r>
            <w:r w:rsidR="005C4851" w:rsidRPr="00E5568D">
              <w:rPr>
                <w:rFonts w:eastAsia="Arial"/>
                <w:sz w:val="16"/>
                <w:szCs w:val="16"/>
              </w:rPr>
              <w:t xml:space="preserve"> </w:t>
            </w:r>
            <w:r w:rsidRPr="00E5568D">
              <w:rPr>
                <w:rFonts w:eastAsia="Arial"/>
                <w:sz w:val="16"/>
                <w:szCs w:val="16"/>
              </w:rPr>
              <w:t>m</w:t>
            </w:r>
            <w:r w:rsidR="005C4851" w:rsidRPr="00E5568D">
              <w:rPr>
                <w:rFonts w:eastAsia="Arial"/>
                <w:sz w:val="16"/>
                <w:szCs w:val="16"/>
              </w:rPr>
              <w:t>illion</w:t>
            </w:r>
            <w:r w:rsidRPr="00E5568D">
              <w:rPr>
                <w:rFonts w:eastAsia="Arial"/>
                <w:sz w:val="16"/>
                <w:szCs w:val="16"/>
              </w:rPr>
              <w:t xml:space="preserve"> per medicine (~EUR 21</w:t>
            </w:r>
            <w:r w:rsidR="00113975" w:rsidRPr="00E5568D">
              <w:rPr>
                <w:rFonts w:eastAsia="Arial"/>
                <w:sz w:val="16"/>
                <w:szCs w:val="16"/>
              </w:rPr>
              <w:t>0</w:t>
            </w:r>
            <w:r w:rsidR="005C4851" w:rsidRPr="00E5568D">
              <w:rPr>
                <w:rFonts w:eastAsia="Arial"/>
                <w:sz w:val="16"/>
                <w:szCs w:val="16"/>
              </w:rPr>
              <w:t xml:space="preserve"> </w:t>
            </w:r>
            <w:r w:rsidRPr="00E5568D">
              <w:rPr>
                <w:rFonts w:eastAsia="Arial"/>
                <w:sz w:val="16"/>
                <w:szCs w:val="16"/>
              </w:rPr>
              <w:t>m</w:t>
            </w:r>
            <w:r w:rsidR="005C4851" w:rsidRPr="00E5568D">
              <w:rPr>
                <w:rFonts w:eastAsia="Arial"/>
                <w:sz w:val="16"/>
                <w:szCs w:val="16"/>
              </w:rPr>
              <w:t>illion</w:t>
            </w:r>
            <w:r w:rsidRPr="00E5568D">
              <w:rPr>
                <w:rFonts w:eastAsia="Arial"/>
                <w:sz w:val="16"/>
                <w:szCs w:val="16"/>
              </w:rPr>
              <w:t xml:space="preserve"> annually)</w:t>
            </w:r>
          </w:p>
        </w:tc>
        <w:tc>
          <w:tcPr>
            <w:tcW w:w="2555" w:type="dxa"/>
            <w:tcBorders>
              <w:bottom w:val="double" w:sz="4" w:space="0" w:color="auto"/>
            </w:tcBorders>
            <w:tcMar>
              <w:top w:w="57" w:type="dxa"/>
              <w:left w:w="57" w:type="dxa"/>
              <w:bottom w:w="57" w:type="dxa"/>
              <w:right w:w="57" w:type="dxa"/>
            </w:tcMar>
          </w:tcPr>
          <w:p w14:paraId="1FF90CB4" w14:textId="77777777" w:rsidR="00611DA5" w:rsidRPr="00E5568D" w:rsidRDefault="00611DA5">
            <w:pPr>
              <w:spacing w:after="0"/>
              <w:rPr>
                <w:sz w:val="16"/>
                <w:szCs w:val="16"/>
              </w:rPr>
            </w:pPr>
          </w:p>
        </w:tc>
        <w:tc>
          <w:tcPr>
            <w:tcW w:w="2415" w:type="dxa"/>
            <w:tcBorders>
              <w:bottom w:val="double" w:sz="4" w:space="0" w:color="auto"/>
            </w:tcBorders>
            <w:tcMar>
              <w:top w:w="57" w:type="dxa"/>
              <w:left w:w="57" w:type="dxa"/>
              <w:bottom w:w="57" w:type="dxa"/>
              <w:right w:w="57" w:type="dxa"/>
            </w:tcMar>
          </w:tcPr>
          <w:p w14:paraId="306922DE" w14:textId="77777777" w:rsidR="00611DA5" w:rsidRPr="00E5568D" w:rsidRDefault="00611DA5">
            <w:pPr>
              <w:spacing w:after="0"/>
              <w:rPr>
                <w:rFonts w:eastAsia="Arial"/>
                <w:b/>
                <w:bCs/>
                <w:sz w:val="16"/>
                <w:szCs w:val="16"/>
              </w:rPr>
            </w:pPr>
            <w:r w:rsidRPr="00E5568D">
              <w:rPr>
                <w:rFonts w:eastAsia="Arial"/>
                <w:b/>
                <w:bCs/>
                <w:sz w:val="16"/>
                <w:szCs w:val="16"/>
              </w:rPr>
              <w:t>Biosecurity:</w:t>
            </w:r>
          </w:p>
          <w:p w14:paraId="4C6B7172" w14:textId="56051D86"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Research loss from chilling effect (researchers abandoning or deferring projects due to concerns about order delays or rejections) </w:t>
            </w:r>
          </w:p>
          <w:p w14:paraId="50EBF13D" w14:textId="77777777"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Approximately 10% of researchers may shift to in-house synthesis at substantially higher per-order costs.  </w:t>
            </w:r>
          </w:p>
          <w:p w14:paraId="06928E4D" w14:textId="15E61695" w:rsidR="00611DA5" w:rsidRPr="00E5568D" w:rsidRDefault="00611DA5" w:rsidP="00611DA5">
            <w:pPr>
              <w:pStyle w:val="ListParagraph"/>
              <w:numPr>
                <w:ilvl w:val="0"/>
                <w:numId w:val="479"/>
              </w:numPr>
              <w:spacing w:after="0"/>
              <w:ind w:left="324"/>
              <w:rPr>
                <w:sz w:val="16"/>
                <w:szCs w:val="16"/>
              </w:rPr>
            </w:pPr>
            <w:r w:rsidRPr="00E5568D">
              <w:rPr>
                <w:rFonts w:eastAsia="Arial"/>
                <w:sz w:val="16"/>
                <w:szCs w:val="16"/>
              </w:rPr>
              <w:t xml:space="preserve">Indirect productivity loss to providers from regulatory compliance intensity: EUR </w:t>
            </w:r>
            <w:r w:rsidR="0031442F" w:rsidRPr="00E5568D">
              <w:rPr>
                <w:rFonts w:eastAsia="Arial"/>
                <w:sz w:val="16"/>
                <w:szCs w:val="16"/>
              </w:rPr>
              <w:t>8.6</w:t>
            </w:r>
            <w:r w:rsidRPr="00E5568D">
              <w:rPr>
                <w:rFonts w:eastAsia="Arial"/>
                <w:sz w:val="16"/>
                <w:szCs w:val="16"/>
              </w:rPr>
              <w:t xml:space="preserve"> million per year to EUR 24.8 million per year.</w:t>
            </w:r>
          </w:p>
        </w:tc>
        <w:tc>
          <w:tcPr>
            <w:tcW w:w="2156" w:type="dxa"/>
            <w:tcBorders>
              <w:bottom w:val="double" w:sz="4" w:space="0" w:color="auto"/>
            </w:tcBorders>
            <w:tcMar>
              <w:top w:w="57" w:type="dxa"/>
              <w:left w:w="57" w:type="dxa"/>
              <w:bottom w:w="57" w:type="dxa"/>
              <w:right w:w="57" w:type="dxa"/>
            </w:tcMar>
          </w:tcPr>
          <w:p w14:paraId="3F69CAFB" w14:textId="77777777" w:rsidR="00611DA5" w:rsidRPr="00E5568D" w:rsidRDefault="00611DA5">
            <w:pPr>
              <w:spacing w:after="0"/>
              <w:rPr>
                <w:sz w:val="16"/>
                <w:szCs w:val="16"/>
              </w:rPr>
            </w:pPr>
          </w:p>
        </w:tc>
        <w:tc>
          <w:tcPr>
            <w:tcW w:w="3645" w:type="dxa"/>
            <w:tcBorders>
              <w:bottom w:val="double" w:sz="4" w:space="0" w:color="auto"/>
            </w:tcBorders>
            <w:tcMar>
              <w:top w:w="57" w:type="dxa"/>
              <w:left w:w="57" w:type="dxa"/>
              <w:bottom w:w="57" w:type="dxa"/>
              <w:right w:w="57" w:type="dxa"/>
            </w:tcMar>
          </w:tcPr>
          <w:p w14:paraId="589CE310" w14:textId="77777777" w:rsidR="00611DA5" w:rsidRPr="00E5568D" w:rsidRDefault="00611DA5">
            <w:pPr>
              <w:spacing w:after="0"/>
              <w:rPr>
                <w:sz w:val="16"/>
                <w:szCs w:val="16"/>
              </w:rPr>
            </w:pPr>
          </w:p>
        </w:tc>
      </w:tr>
    </w:tbl>
    <w:p w14:paraId="2C79DE51" w14:textId="77777777" w:rsidR="005B3222" w:rsidRDefault="005B3222" w:rsidP="009649A3">
      <w:pPr>
        <w:pStyle w:val="ListParagraph"/>
        <w:rPr>
          <w:i/>
          <w:sz w:val="16"/>
          <w:szCs w:val="16"/>
        </w:rPr>
      </w:pPr>
    </w:p>
    <w:p w14:paraId="75F4C095" w14:textId="77777777" w:rsidR="00BF0C0A" w:rsidRDefault="00BF0C0A" w:rsidP="009649A3">
      <w:pPr>
        <w:pStyle w:val="ListParagraph"/>
        <w:rPr>
          <w:i/>
          <w:sz w:val="16"/>
          <w:szCs w:val="16"/>
        </w:rPr>
      </w:pPr>
    </w:p>
    <w:p w14:paraId="214F16E8" w14:textId="77777777" w:rsidR="00BF0C0A" w:rsidRDefault="00BF0C0A" w:rsidP="009649A3">
      <w:pPr>
        <w:pStyle w:val="ListParagraph"/>
        <w:rPr>
          <w:i/>
          <w:sz w:val="16"/>
          <w:szCs w:val="16"/>
        </w:rPr>
      </w:pPr>
    </w:p>
    <w:p w14:paraId="51D6A660" w14:textId="77777777" w:rsidR="00BF0C0A" w:rsidRDefault="00BF0C0A" w:rsidP="009649A3">
      <w:pPr>
        <w:pStyle w:val="ListParagraph"/>
        <w:rPr>
          <w:i/>
          <w:sz w:val="16"/>
          <w:szCs w:val="16"/>
        </w:rPr>
      </w:pPr>
    </w:p>
    <w:p w14:paraId="07F84D60" w14:textId="77777777" w:rsidR="00BF0C0A" w:rsidRDefault="00BF0C0A" w:rsidP="009649A3">
      <w:pPr>
        <w:pStyle w:val="ListParagraph"/>
        <w:rPr>
          <w:i/>
          <w:sz w:val="16"/>
          <w:szCs w:val="16"/>
        </w:rPr>
      </w:pPr>
    </w:p>
    <w:p w14:paraId="39CB08BE" w14:textId="77777777" w:rsidR="00BF0C0A" w:rsidRDefault="00BF0C0A" w:rsidP="009649A3">
      <w:pPr>
        <w:pStyle w:val="ListParagraph"/>
        <w:rPr>
          <w:i/>
          <w:sz w:val="16"/>
          <w:szCs w:val="16"/>
        </w:rPr>
      </w:pPr>
    </w:p>
    <w:p w14:paraId="0B6504BA" w14:textId="77777777" w:rsidR="00BF0C0A" w:rsidRDefault="00BF0C0A" w:rsidP="009649A3">
      <w:pPr>
        <w:pStyle w:val="ListParagraph"/>
        <w:rPr>
          <w:i/>
          <w:sz w:val="16"/>
          <w:szCs w:val="16"/>
        </w:rPr>
      </w:pPr>
    </w:p>
    <w:p w14:paraId="2AAFAA29" w14:textId="77777777" w:rsidR="00BF0C0A" w:rsidRDefault="00BF0C0A" w:rsidP="009649A3">
      <w:pPr>
        <w:pStyle w:val="ListParagraph"/>
        <w:rPr>
          <w:i/>
          <w:sz w:val="16"/>
          <w:szCs w:val="16"/>
        </w:rPr>
      </w:pPr>
    </w:p>
    <w:p w14:paraId="0E14D927" w14:textId="77777777" w:rsidR="00BF0C0A" w:rsidRDefault="00BF0C0A" w:rsidP="009649A3">
      <w:pPr>
        <w:pStyle w:val="ListParagraph"/>
        <w:rPr>
          <w:i/>
          <w:sz w:val="16"/>
          <w:szCs w:val="16"/>
        </w:rPr>
      </w:pPr>
    </w:p>
    <w:p w14:paraId="613B9890" w14:textId="77777777" w:rsidR="00BF0C0A" w:rsidRPr="00E5568D" w:rsidRDefault="00BF0C0A" w:rsidP="009649A3">
      <w:pPr>
        <w:pStyle w:val="ListParagraph"/>
        <w:rPr>
          <w:i/>
          <w:sz w:val="16"/>
          <w:szCs w:val="16"/>
        </w:rPr>
      </w:pPr>
    </w:p>
    <w:tbl>
      <w:tblPr>
        <w:tblStyle w:val="CV11"/>
        <w:tblW w:w="0" w:type="auto"/>
        <w:tblInd w:w="-510"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73"/>
        <w:gridCol w:w="1344"/>
        <w:gridCol w:w="549"/>
        <w:gridCol w:w="2504"/>
        <w:gridCol w:w="1834"/>
        <w:gridCol w:w="2120"/>
        <w:gridCol w:w="2451"/>
        <w:gridCol w:w="2554"/>
      </w:tblGrid>
      <w:tr w:rsidR="00D01F4B" w:rsidRPr="0073152B" w14:paraId="29E65688" w14:textId="77777777" w:rsidTr="5DA36055">
        <w:tc>
          <w:tcPr>
            <w:tcW w:w="0" w:type="auto"/>
            <w:gridSpan w:val="8"/>
            <w:shd w:val="clear" w:color="auto" w:fill="B7D4EF"/>
            <w:tcMar>
              <w:top w:w="57" w:type="dxa"/>
              <w:left w:w="57" w:type="dxa"/>
              <w:bottom w:w="57" w:type="dxa"/>
              <w:right w:w="57" w:type="dxa"/>
            </w:tcMar>
          </w:tcPr>
          <w:p w14:paraId="59C306BD" w14:textId="77777777" w:rsidR="00D01F4B" w:rsidRPr="00E91094" w:rsidRDefault="00D01F4B">
            <w:pPr>
              <w:spacing w:after="0"/>
              <w:rPr>
                <w:b/>
                <w:bCs/>
                <w:sz w:val="20"/>
                <w:szCs w:val="20"/>
              </w:rPr>
            </w:pPr>
            <w:r w:rsidRPr="00E91094">
              <w:rPr>
                <w:b/>
                <w:bCs/>
                <w:sz w:val="20"/>
                <w:szCs w:val="20"/>
              </w:rPr>
              <w:lastRenderedPageBreak/>
              <w:t>II. Overview of costs (Totals)</w:t>
            </w:r>
          </w:p>
        </w:tc>
      </w:tr>
      <w:tr w:rsidR="007F3012" w:rsidRPr="0073152B" w14:paraId="4ACA3535" w14:textId="77777777" w:rsidTr="5DA36055">
        <w:tc>
          <w:tcPr>
            <w:tcW w:w="0" w:type="auto"/>
            <w:gridSpan w:val="2"/>
            <w:tcBorders>
              <w:top w:val="double" w:sz="4" w:space="0" w:color="auto"/>
              <w:right w:val="double" w:sz="4" w:space="0" w:color="auto"/>
              <w:tl2br w:val="double" w:sz="4" w:space="0" w:color="auto"/>
            </w:tcBorders>
            <w:tcMar>
              <w:top w:w="57" w:type="dxa"/>
              <w:left w:w="57" w:type="dxa"/>
              <w:bottom w:w="57" w:type="dxa"/>
              <w:right w:w="57" w:type="dxa"/>
            </w:tcMar>
          </w:tcPr>
          <w:p w14:paraId="04927008" w14:textId="77777777" w:rsidR="00D01F4B" w:rsidRPr="00E91094" w:rsidRDefault="00D01F4B">
            <w:pPr>
              <w:spacing w:after="0"/>
              <w:rPr>
                <w:b/>
                <w:sz w:val="20"/>
                <w:szCs w:val="20"/>
              </w:rPr>
            </w:pPr>
          </w:p>
        </w:tc>
        <w:tc>
          <w:tcPr>
            <w:tcW w:w="0" w:type="auto"/>
            <w:gridSpan w:val="2"/>
            <w:tcBorders>
              <w:left w:val="double" w:sz="4" w:space="0" w:color="auto"/>
            </w:tcBorders>
            <w:tcMar>
              <w:top w:w="57" w:type="dxa"/>
              <w:left w:w="57" w:type="dxa"/>
              <w:bottom w:w="57" w:type="dxa"/>
              <w:right w:w="57" w:type="dxa"/>
            </w:tcMar>
          </w:tcPr>
          <w:p w14:paraId="00E0A778" w14:textId="77777777" w:rsidR="00D01F4B" w:rsidRPr="00E91094" w:rsidRDefault="00D01F4B">
            <w:pPr>
              <w:spacing w:after="0"/>
              <w:jc w:val="center"/>
              <w:rPr>
                <w:b/>
                <w:sz w:val="20"/>
                <w:szCs w:val="20"/>
              </w:rPr>
            </w:pPr>
            <w:r w:rsidRPr="00E91094">
              <w:rPr>
                <w:b/>
                <w:sz w:val="20"/>
                <w:szCs w:val="20"/>
              </w:rPr>
              <w:t>Citizens/Consumers</w:t>
            </w:r>
          </w:p>
        </w:tc>
        <w:tc>
          <w:tcPr>
            <w:tcW w:w="0" w:type="auto"/>
            <w:gridSpan w:val="2"/>
            <w:tcMar>
              <w:top w:w="57" w:type="dxa"/>
              <w:left w:w="57" w:type="dxa"/>
              <w:bottom w:w="57" w:type="dxa"/>
              <w:right w:w="57" w:type="dxa"/>
            </w:tcMar>
          </w:tcPr>
          <w:p w14:paraId="458561C9" w14:textId="77777777" w:rsidR="00D01F4B" w:rsidRPr="00E91094" w:rsidRDefault="00D01F4B">
            <w:pPr>
              <w:spacing w:after="0"/>
              <w:jc w:val="center"/>
              <w:rPr>
                <w:b/>
                <w:sz w:val="20"/>
                <w:szCs w:val="20"/>
              </w:rPr>
            </w:pPr>
            <w:r w:rsidRPr="00E91094">
              <w:rPr>
                <w:b/>
                <w:sz w:val="20"/>
                <w:szCs w:val="20"/>
              </w:rPr>
              <w:t>Businesses</w:t>
            </w:r>
          </w:p>
        </w:tc>
        <w:tc>
          <w:tcPr>
            <w:tcW w:w="0" w:type="auto"/>
            <w:gridSpan w:val="2"/>
            <w:tcMar>
              <w:top w:w="57" w:type="dxa"/>
              <w:left w:w="57" w:type="dxa"/>
              <w:bottom w:w="57" w:type="dxa"/>
              <w:right w:w="57" w:type="dxa"/>
            </w:tcMar>
          </w:tcPr>
          <w:p w14:paraId="290548E5" w14:textId="77777777" w:rsidR="00D01F4B" w:rsidRPr="00E91094" w:rsidRDefault="00D01F4B">
            <w:pPr>
              <w:spacing w:after="0"/>
              <w:jc w:val="center"/>
              <w:rPr>
                <w:b/>
                <w:sz w:val="20"/>
                <w:szCs w:val="20"/>
              </w:rPr>
            </w:pPr>
            <w:r w:rsidRPr="00E91094">
              <w:rPr>
                <w:b/>
                <w:sz w:val="20"/>
                <w:szCs w:val="20"/>
              </w:rPr>
              <w:t>Administrations</w:t>
            </w:r>
          </w:p>
        </w:tc>
      </w:tr>
      <w:tr w:rsidR="007F3012" w:rsidRPr="0073152B" w14:paraId="287D590B" w14:textId="77777777" w:rsidTr="5DA36055">
        <w:tc>
          <w:tcPr>
            <w:tcW w:w="0" w:type="auto"/>
            <w:gridSpan w:val="2"/>
            <w:tcBorders>
              <w:tl2br w:val="double" w:sz="4" w:space="0" w:color="auto"/>
            </w:tcBorders>
            <w:tcMar>
              <w:top w:w="57" w:type="dxa"/>
              <w:left w:w="57" w:type="dxa"/>
              <w:bottom w:w="57" w:type="dxa"/>
              <w:right w:w="57" w:type="dxa"/>
            </w:tcMar>
          </w:tcPr>
          <w:p w14:paraId="4A681F0D" w14:textId="77777777" w:rsidR="00D01F4B" w:rsidRPr="00E91094" w:rsidRDefault="00D01F4B">
            <w:pPr>
              <w:spacing w:after="0"/>
              <w:rPr>
                <w:b/>
                <w:sz w:val="20"/>
                <w:szCs w:val="20"/>
              </w:rPr>
            </w:pPr>
          </w:p>
        </w:tc>
        <w:tc>
          <w:tcPr>
            <w:tcW w:w="0" w:type="auto"/>
            <w:tcBorders>
              <w:left w:val="double" w:sz="4" w:space="0" w:color="auto"/>
              <w:bottom w:val="double" w:sz="4" w:space="0" w:color="auto"/>
            </w:tcBorders>
            <w:tcMar>
              <w:top w:w="57" w:type="dxa"/>
              <w:left w:w="57" w:type="dxa"/>
              <w:bottom w:w="57" w:type="dxa"/>
              <w:right w:w="57" w:type="dxa"/>
            </w:tcMar>
          </w:tcPr>
          <w:p w14:paraId="177C05AD" w14:textId="77777777" w:rsidR="00D01F4B" w:rsidRPr="00E91094" w:rsidRDefault="00D01F4B">
            <w:pPr>
              <w:spacing w:after="0"/>
              <w:jc w:val="center"/>
              <w:rPr>
                <w:b/>
                <w:sz w:val="20"/>
                <w:szCs w:val="20"/>
              </w:rPr>
            </w:pPr>
            <w:r w:rsidRPr="00E91094">
              <w:rPr>
                <w:b/>
                <w:sz w:val="20"/>
                <w:szCs w:val="20"/>
              </w:rPr>
              <w:t>One-off</w:t>
            </w:r>
          </w:p>
        </w:tc>
        <w:tc>
          <w:tcPr>
            <w:tcW w:w="0" w:type="auto"/>
            <w:tcBorders>
              <w:bottom w:val="double" w:sz="4" w:space="0" w:color="auto"/>
            </w:tcBorders>
            <w:tcMar>
              <w:top w:w="57" w:type="dxa"/>
              <w:left w:w="57" w:type="dxa"/>
              <w:bottom w:w="57" w:type="dxa"/>
              <w:right w:w="57" w:type="dxa"/>
            </w:tcMar>
          </w:tcPr>
          <w:p w14:paraId="0BF26A0F" w14:textId="77777777" w:rsidR="00D01F4B" w:rsidRPr="00E91094" w:rsidRDefault="00D01F4B">
            <w:pPr>
              <w:spacing w:after="0"/>
              <w:jc w:val="center"/>
              <w:rPr>
                <w:b/>
                <w:bCs/>
                <w:sz w:val="20"/>
                <w:szCs w:val="20"/>
              </w:rPr>
            </w:pPr>
            <w:r w:rsidRPr="00E91094">
              <w:rPr>
                <w:b/>
                <w:bCs/>
                <w:sz w:val="20"/>
                <w:szCs w:val="20"/>
              </w:rPr>
              <w:t>Recurrent</w:t>
            </w:r>
          </w:p>
        </w:tc>
        <w:tc>
          <w:tcPr>
            <w:tcW w:w="0" w:type="auto"/>
            <w:tcBorders>
              <w:bottom w:val="double" w:sz="4" w:space="0" w:color="auto"/>
            </w:tcBorders>
            <w:tcMar>
              <w:top w:w="57" w:type="dxa"/>
              <w:left w:w="57" w:type="dxa"/>
              <w:bottom w:w="57" w:type="dxa"/>
              <w:right w:w="57" w:type="dxa"/>
            </w:tcMar>
          </w:tcPr>
          <w:p w14:paraId="6DDB7B5E" w14:textId="766C1B10" w:rsidR="00D01F4B" w:rsidRPr="00E91094" w:rsidRDefault="2541CBAA">
            <w:pPr>
              <w:spacing w:after="0"/>
              <w:jc w:val="center"/>
              <w:rPr>
                <w:b/>
                <w:bCs/>
                <w:sz w:val="20"/>
                <w:szCs w:val="20"/>
              </w:rPr>
            </w:pPr>
            <w:r w:rsidRPr="5DA36055">
              <w:rPr>
                <w:b/>
                <w:bCs/>
                <w:sz w:val="20"/>
                <w:szCs w:val="20"/>
              </w:rPr>
              <w:t>One-off</w:t>
            </w:r>
            <w:r w:rsidR="009B2AD6">
              <w:rPr>
                <w:rStyle w:val="FootnoteReference"/>
                <w:b/>
                <w:bCs/>
                <w:sz w:val="20"/>
                <w:szCs w:val="20"/>
              </w:rPr>
              <w:footnoteReference w:id="26"/>
            </w:r>
          </w:p>
        </w:tc>
        <w:tc>
          <w:tcPr>
            <w:tcW w:w="0" w:type="auto"/>
            <w:tcBorders>
              <w:bottom w:val="double" w:sz="4" w:space="0" w:color="auto"/>
            </w:tcBorders>
            <w:tcMar>
              <w:top w:w="57" w:type="dxa"/>
              <w:left w:w="57" w:type="dxa"/>
              <w:bottom w:w="57" w:type="dxa"/>
              <w:right w:w="57" w:type="dxa"/>
            </w:tcMar>
          </w:tcPr>
          <w:p w14:paraId="1818AEA6" w14:textId="77777777" w:rsidR="00D01F4B" w:rsidRPr="00E91094" w:rsidRDefault="00D01F4B">
            <w:pPr>
              <w:spacing w:after="0"/>
              <w:jc w:val="center"/>
              <w:rPr>
                <w:b/>
                <w:sz w:val="20"/>
                <w:szCs w:val="20"/>
              </w:rPr>
            </w:pPr>
            <w:r w:rsidRPr="00E91094">
              <w:rPr>
                <w:b/>
                <w:sz w:val="20"/>
                <w:szCs w:val="20"/>
              </w:rPr>
              <w:t>Recurrent</w:t>
            </w:r>
          </w:p>
        </w:tc>
        <w:tc>
          <w:tcPr>
            <w:tcW w:w="0" w:type="auto"/>
            <w:tcBorders>
              <w:bottom w:val="double" w:sz="4" w:space="0" w:color="auto"/>
            </w:tcBorders>
            <w:tcMar>
              <w:top w:w="57" w:type="dxa"/>
              <w:left w:w="57" w:type="dxa"/>
              <w:bottom w:w="57" w:type="dxa"/>
              <w:right w:w="57" w:type="dxa"/>
            </w:tcMar>
          </w:tcPr>
          <w:p w14:paraId="05F0E68F" w14:textId="77777777" w:rsidR="00D01F4B" w:rsidRPr="00E91094" w:rsidRDefault="00D01F4B">
            <w:pPr>
              <w:spacing w:after="0"/>
              <w:jc w:val="center"/>
              <w:rPr>
                <w:b/>
                <w:sz w:val="20"/>
                <w:szCs w:val="20"/>
              </w:rPr>
            </w:pPr>
            <w:r w:rsidRPr="00E91094">
              <w:rPr>
                <w:b/>
                <w:sz w:val="20"/>
                <w:szCs w:val="20"/>
              </w:rPr>
              <w:t>One-off</w:t>
            </w:r>
          </w:p>
        </w:tc>
        <w:tc>
          <w:tcPr>
            <w:tcW w:w="0" w:type="auto"/>
            <w:tcBorders>
              <w:bottom w:val="double" w:sz="4" w:space="0" w:color="auto"/>
            </w:tcBorders>
            <w:tcMar>
              <w:top w:w="57" w:type="dxa"/>
              <w:left w:w="57" w:type="dxa"/>
              <w:bottom w:w="57" w:type="dxa"/>
              <w:right w:w="57" w:type="dxa"/>
            </w:tcMar>
          </w:tcPr>
          <w:p w14:paraId="05C99DAC" w14:textId="77777777" w:rsidR="00D01F4B" w:rsidRPr="00E91094" w:rsidRDefault="00D01F4B">
            <w:pPr>
              <w:spacing w:after="0"/>
              <w:jc w:val="center"/>
              <w:rPr>
                <w:b/>
                <w:sz w:val="20"/>
                <w:szCs w:val="20"/>
              </w:rPr>
            </w:pPr>
            <w:r w:rsidRPr="00E91094">
              <w:rPr>
                <w:b/>
                <w:sz w:val="20"/>
                <w:szCs w:val="20"/>
              </w:rPr>
              <w:t>Recurrent</w:t>
            </w:r>
          </w:p>
        </w:tc>
      </w:tr>
      <w:tr w:rsidR="00BB7EB2" w:rsidRPr="0073152B" w14:paraId="3C19C7AE" w14:textId="77777777" w:rsidTr="5DA36055">
        <w:trPr>
          <w:trHeight w:val="307"/>
        </w:trPr>
        <w:tc>
          <w:tcPr>
            <w:tcW w:w="0" w:type="auto"/>
            <w:vMerge w:val="restart"/>
            <w:tcMar>
              <w:top w:w="57" w:type="dxa"/>
              <w:left w:w="57" w:type="dxa"/>
              <w:bottom w:w="57" w:type="dxa"/>
              <w:right w:w="57" w:type="dxa"/>
            </w:tcMar>
            <w:vAlign w:val="center"/>
          </w:tcPr>
          <w:p w14:paraId="33D5BA5F" w14:textId="77777777" w:rsidR="00D01F4B" w:rsidRPr="00E91094" w:rsidRDefault="00D01F4B">
            <w:pPr>
              <w:spacing w:after="0"/>
              <w:rPr>
                <w:sz w:val="20"/>
                <w:szCs w:val="20"/>
              </w:rPr>
            </w:pPr>
            <w:r w:rsidRPr="00E91094">
              <w:rPr>
                <w:sz w:val="20"/>
                <w:szCs w:val="20"/>
              </w:rPr>
              <w:t xml:space="preserve">Action (a)  </w:t>
            </w:r>
          </w:p>
        </w:tc>
        <w:tc>
          <w:tcPr>
            <w:tcW w:w="0" w:type="auto"/>
            <w:tcBorders>
              <w:right w:val="double" w:sz="4" w:space="0" w:color="auto"/>
            </w:tcBorders>
            <w:tcMar>
              <w:top w:w="57" w:type="dxa"/>
              <w:left w:w="57" w:type="dxa"/>
              <w:bottom w:w="57" w:type="dxa"/>
              <w:right w:w="57" w:type="dxa"/>
            </w:tcMar>
            <w:vAlign w:val="center"/>
          </w:tcPr>
          <w:p w14:paraId="295B90AD" w14:textId="77777777" w:rsidR="00D01F4B" w:rsidRPr="00E91094" w:rsidRDefault="00D01F4B">
            <w:pPr>
              <w:spacing w:after="0"/>
              <w:jc w:val="left"/>
              <w:rPr>
                <w:sz w:val="20"/>
                <w:szCs w:val="20"/>
              </w:rPr>
            </w:pPr>
            <w:r w:rsidRPr="00E91094">
              <w:rPr>
                <w:sz w:val="20"/>
                <w:szCs w:val="20"/>
              </w:rPr>
              <w:t>Direct adjustment costs</w:t>
            </w:r>
          </w:p>
        </w:tc>
        <w:tc>
          <w:tcPr>
            <w:tcW w:w="0" w:type="auto"/>
            <w:tcBorders>
              <w:left w:val="double" w:sz="4" w:space="0" w:color="auto"/>
            </w:tcBorders>
            <w:tcMar>
              <w:top w:w="57" w:type="dxa"/>
              <w:left w:w="57" w:type="dxa"/>
              <w:bottom w:w="57" w:type="dxa"/>
              <w:right w:w="57" w:type="dxa"/>
            </w:tcMar>
            <w:vAlign w:val="center"/>
          </w:tcPr>
          <w:p w14:paraId="38C9FF3C" w14:textId="77777777" w:rsidR="00D01F4B" w:rsidRPr="00E91094" w:rsidRDefault="00D01F4B">
            <w:pPr>
              <w:spacing w:after="0"/>
              <w:rPr>
                <w:sz w:val="20"/>
                <w:szCs w:val="20"/>
              </w:rPr>
            </w:pPr>
            <w:r w:rsidRPr="00E91094">
              <w:rPr>
                <w:sz w:val="20"/>
                <w:szCs w:val="20"/>
              </w:rPr>
              <w:t>n/a.</w:t>
            </w:r>
          </w:p>
        </w:tc>
        <w:tc>
          <w:tcPr>
            <w:tcW w:w="0" w:type="auto"/>
            <w:tcMar>
              <w:top w:w="57" w:type="dxa"/>
              <w:left w:w="57" w:type="dxa"/>
              <w:bottom w:w="57" w:type="dxa"/>
              <w:right w:w="57" w:type="dxa"/>
            </w:tcMar>
            <w:vAlign w:val="center"/>
          </w:tcPr>
          <w:p w14:paraId="38517817" w14:textId="77777777" w:rsidR="00D01F4B" w:rsidRPr="00E91094" w:rsidRDefault="00D01F4B">
            <w:pPr>
              <w:spacing w:after="0"/>
              <w:rPr>
                <w:sz w:val="20"/>
                <w:szCs w:val="20"/>
              </w:rPr>
            </w:pPr>
            <w:r w:rsidRPr="00E91094">
              <w:rPr>
                <w:sz w:val="20"/>
                <w:szCs w:val="20"/>
              </w:rPr>
              <w:t>n/a.</w:t>
            </w:r>
          </w:p>
        </w:tc>
        <w:tc>
          <w:tcPr>
            <w:tcW w:w="0" w:type="auto"/>
            <w:tcMar>
              <w:top w:w="57" w:type="dxa"/>
              <w:left w:w="57" w:type="dxa"/>
              <w:bottom w:w="57" w:type="dxa"/>
              <w:right w:w="57" w:type="dxa"/>
            </w:tcMar>
            <w:vAlign w:val="center"/>
          </w:tcPr>
          <w:p w14:paraId="2878D549" w14:textId="77777777" w:rsidR="00D01F4B" w:rsidRPr="00E91094" w:rsidRDefault="00D01F4B" w:rsidP="00D01F4B">
            <w:pPr>
              <w:pStyle w:val="ListParagraph"/>
              <w:numPr>
                <w:ilvl w:val="0"/>
                <w:numId w:val="558"/>
              </w:numPr>
              <w:spacing w:after="0"/>
              <w:ind w:left="378"/>
              <w:rPr>
                <w:rFonts w:eastAsia="Arial"/>
                <w:color w:val="3071C3" w:themeColor="text2" w:themeTint="BF"/>
                <w:sz w:val="20"/>
                <w:szCs w:val="20"/>
              </w:rPr>
            </w:pPr>
            <w:r w:rsidRPr="00E91094">
              <w:rPr>
                <w:sz w:val="20"/>
                <w:szCs w:val="20"/>
              </w:rPr>
              <w:t>Not quantifiable; qualitatively low to medium</w:t>
            </w:r>
          </w:p>
        </w:tc>
        <w:tc>
          <w:tcPr>
            <w:tcW w:w="0" w:type="auto"/>
            <w:tcMar>
              <w:top w:w="57" w:type="dxa"/>
              <w:left w:w="57" w:type="dxa"/>
              <w:bottom w:w="57" w:type="dxa"/>
              <w:right w:w="57" w:type="dxa"/>
            </w:tcMar>
            <w:vAlign w:val="center"/>
          </w:tcPr>
          <w:p w14:paraId="3E9B1D92" w14:textId="0C175FC9" w:rsidR="00D01F4B" w:rsidRPr="00E91094" w:rsidRDefault="00D01F4B" w:rsidP="00D01F4B">
            <w:pPr>
              <w:pStyle w:val="ListParagraph"/>
              <w:numPr>
                <w:ilvl w:val="0"/>
                <w:numId w:val="558"/>
              </w:numPr>
              <w:spacing w:after="0"/>
              <w:ind w:left="359"/>
              <w:rPr>
                <w:sz w:val="20"/>
                <w:szCs w:val="20"/>
              </w:rPr>
            </w:pPr>
            <w:r w:rsidRPr="00E91094">
              <w:rPr>
                <w:b/>
                <w:bCs/>
                <w:sz w:val="20"/>
                <w:szCs w:val="20"/>
              </w:rPr>
              <w:t>EUR 8.16–27.32</w:t>
            </w:r>
            <w:r w:rsidR="006400D7">
              <w:rPr>
                <w:b/>
                <w:bCs/>
                <w:sz w:val="20"/>
                <w:szCs w:val="20"/>
              </w:rPr>
              <w:t xml:space="preserve"> million</w:t>
            </w:r>
            <w:r w:rsidRPr="00E91094">
              <w:rPr>
                <w:b/>
                <w:bCs/>
                <w:sz w:val="20"/>
                <w:szCs w:val="20"/>
              </w:rPr>
              <w:t>/year</w:t>
            </w:r>
            <w:r w:rsidRPr="00E91094">
              <w:rPr>
                <w:sz w:val="20"/>
                <w:szCs w:val="20"/>
              </w:rPr>
              <w:t xml:space="preserve"> (SoHO EUR 0.72–4.79</w:t>
            </w:r>
            <w:r w:rsidR="006400D7">
              <w:rPr>
                <w:sz w:val="20"/>
                <w:szCs w:val="20"/>
              </w:rPr>
              <w:t xml:space="preserve"> </w:t>
            </w:r>
            <w:r w:rsidR="000D7382" w:rsidRPr="008409B0">
              <w:rPr>
                <w:sz w:val="20"/>
                <w:szCs w:val="20"/>
              </w:rPr>
              <w:t>million</w:t>
            </w:r>
            <w:r w:rsidR="000D7382" w:rsidRPr="00E91094">
              <w:rPr>
                <w:b/>
                <w:bCs/>
                <w:sz w:val="20"/>
                <w:szCs w:val="20"/>
              </w:rPr>
              <w:t xml:space="preserve"> </w:t>
            </w:r>
            <w:r w:rsidR="000D7382" w:rsidRPr="00E91094">
              <w:rPr>
                <w:sz w:val="20"/>
                <w:szCs w:val="20"/>
              </w:rPr>
              <w:t>+</w:t>
            </w:r>
            <w:r w:rsidRPr="00E91094">
              <w:rPr>
                <w:sz w:val="20"/>
                <w:szCs w:val="20"/>
              </w:rPr>
              <w:t xml:space="preserve"> organ processing EUR 0.14–0.33</w:t>
            </w:r>
            <w:r w:rsidR="006400D7">
              <w:rPr>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r w:rsidRPr="00E91094">
              <w:rPr>
                <w:sz w:val="20"/>
                <w:szCs w:val="20"/>
              </w:rPr>
              <w:t xml:space="preserve"> + biosecurity providers EUR 7.3–22.2</w:t>
            </w:r>
            <w:r w:rsidR="006400D7">
              <w:rPr>
                <w:sz w:val="20"/>
                <w:szCs w:val="20"/>
              </w:rPr>
              <w:t xml:space="preserve"> </w:t>
            </w:r>
            <w:r w:rsidR="006400D7" w:rsidRPr="00F47290">
              <w:rPr>
                <w:sz w:val="20"/>
                <w:szCs w:val="20"/>
              </w:rPr>
              <w:t>million</w:t>
            </w:r>
            <w:r w:rsidRPr="00E91094">
              <w:rPr>
                <w:sz w:val="20"/>
                <w:szCs w:val="20"/>
              </w:rPr>
              <w:t xml:space="preserve">); </w:t>
            </w:r>
          </w:p>
          <w:p w14:paraId="5FCA51E3" w14:textId="77777777" w:rsidR="00D01F4B" w:rsidRPr="00E91094" w:rsidRDefault="00D01F4B" w:rsidP="00D01F4B">
            <w:pPr>
              <w:pStyle w:val="ListParagraph"/>
              <w:numPr>
                <w:ilvl w:val="0"/>
                <w:numId w:val="558"/>
              </w:numPr>
              <w:spacing w:after="0"/>
              <w:ind w:left="359"/>
              <w:rPr>
                <w:sz w:val="20"/>
                <w:szCs w:val="20"/>
              </w:rPr>
            </w:pPr>
            <w:r w:rsidRPr="00E91094">
              <w:rPr>
                <w:sz w:val="20"/>
                <w:szCs w:val="20"/>
              </w:rPr>
              <w:t xml:space="preserve">AI recurrent maintenance not monetised, qualitatively assessed as medium. </w:t>
            </w:r>
          </w:p>
        </w:tc>
        <w:tc>
          <w:tcPr>
            <w:tcW w:w="0" w:type="auto"/>
            <w:tcMar>
              <w:top w:w="57" w:type="dxa"/>
              <w:left w:w="57" w:type="dxa"/>
              <w:bottom w:w="57" w:type="dxa"/>
              <w:right w:w="57" w:type="dxa"/>
            </w:tcMar>
            <w:vAlign w:val="center"/>
          </w:tcPr>
          <w:p w14:paraId="6FB46839" w14:textId="4451B31C" w:rsidR="00D01F4B" w:rsidRPr="00E91094" w:rsidRDefault="00D01F4B" w:rsidP="00D01F4B">
            <w:pPr>
              <w:pStyle w:val="ListParagraph"/>
              <w:numPr>
                <w:ilvl w:val="0"/>
                <w:numId w:val="558"/>
              </w:numPr>
              <w:spacing w:after="0"/>
              <w:ind w:left="360"/>
              <w:rPr>
                <w:sz w:val="20"/>
                <w:szCs w:val="20"/>
              </w:rPr>
            </w:pPr>
            <w:r w:rsidRPr="00E91094">
              <w:rPr>
                <w:b/>
                <w:bCs/>
                <w:sz w:val="20"/>
                <w:szCs w:val="20"/>
              </w:rPr>
              <w:t>EUR 8.75–8.9</w:t>
            </w:r>
            <w:r w:rsidR="006400D7">
              <w:rPr>
                <w:b/>
                <w:bCs/>
                <w:sz w:val="20"/>
                <w:szCs w:val="20"/>
              </w:rPr>
              <w:t xml:space="preserve"> million</w:t>
            </w:r>
            <w:r w:rsidRPr="00E91094">
              <w:rPr>
                <w:b/>
                <w:bCs/>
                <w:sz w:val="20"/>
                <w:szCs w:val="20"/>
              </w:rPr>
              <w:t xml:space="preserve"> monetised</w:t>
            </w:r>
            <w:r w:rsidRPr="00E91094">
              <w:rPr>
                <w:sz w:val="20"/>
                <w:szCs w:val="20"/>
              </w:rPr>
              <w:t xml:space="preserve"> (Novel health products sandbox EUR 4.3</w:t>
            </w:r>
            <w:r w:rsidR="006400D7">
              <w:rPr>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r w:rsidRPr="00E91094">
              <w:rPr>
                <w:sz w:val="20"/>
                <w:szCs w:val="20"/>
              </w:rPr>
              <w:t>+ clinical trials sandbox EUR 4.3</w:t>
            </w:r>
            <w:r w:rsidR="006400D7">
              <w:rPr>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r w:rsidRPr="00E91094">
              <w:rPr>
                <w:sz w:val="20"/>
                <w:szCs w:val="20"/>
              </w:rPr>
              <w:t>+ VMP UPD EUR 0.15–0.3</w:t>
            </w:r>
            <w:r w:rsidR="006400D7">
              <w:rPr>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r w:rsidRPr="00E91094">
              <w:rPr>
                <w:sz w:val="20"/>
                <w:szCs w:val="20"/>
              </w:rPr>
              <w:t xml:space="preserve">; each spread over approximately 3 years); </w:t>
            </w:r>
          </w:p>
          <w:p w14:paraId="770F4F16" w14:textId="77777777" w:rsidR="00D01F4B" w:rsidRPr="00E91094" w:rsidRDefault="00D01F4B" w:rsidP="00D01F4B">
            <w:pPr>
              <w:pStyle w:val="ListParagraph"/>
              <w:numPr>
                <w:ilvl w:val="0"/>
                <w:numId w:val="558"/>
              </w:numPr>
              <w:spacing w:after="0"/>
              <w:ind w:left="360"/>
              <w:rPr>
                <w:sz w:val="20"/>
                <w:szCs w:val="20"/>
              </w:rPr>
            </w:pPr>
            <w:r w:rsidRPr="00E91094">
              <w:rPr>
                <w:sz w:val="20"/>
                <w:szCs w:val="20"/>
              </w:rPr>
              <w:t>Remainder qualitatively negligible to low to medium.</w:t>
            </w:r>
          </w:p>
        </w:tc>
        <w:tc>
          <w:tcPr>
            <w:tcW w:w="0" w:type="auto"/>
            <w:tcMar>
              <w:top w:w="57" w:type="dxa"/>
              <w:left w:w="57" w:type="dxa"/>
              <w:bottom w:w="57" w:type="dxa"/>
              <w:right w:w="57" w:type="dxa"/>
            </w:tcMar>
            <w:vAlign w:val="center"/>
          </w:tcPr>
          <w:p w14:paraId="2159ECEA" w14:textId="58C3E559" w:rsidR="00D01F4B" w:rsidRPr="00E91094" w:rsidRDefault="00D01F4B" w:rsidP="00D01F4B">
            <w:pPr>
              <w:pStyle w:val="ListParagraph"/>
              <w:numPr>
                <w:ilvl w:val="0"/>
                <w:numId w:val="558"/>
              </w:numPr>
              <w:spacing w:after="0"/>
              <w:ind w:left="333"/>
              <w:rPr>
                <w:sz w:val="20"/>
                <w:szCs w:val="20"/>
              </w:rPr>
            </w:pPr>
            <w:r w:rsidRPr="00E91094">
              <w:rPr>
                <w:b/>
                <w:bCs/>
                <w:sz w:val="20"/>
                <w:szCs w:val="20"/>
              </w:rPr>
              <w:t>EUR 48.6–112.6</w:t>
            </w:r>
            <w:r w:rsidR="006400D7">
              <w:rPr>
                <w:b/>
                <w:bCs/>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r w:rsidRPr="00E91094">
              <w:rPr>
                <w:b/>
                <w:bCs/>
                <w:sz w:val="20"/>
                <w:szCs w:val="20"/>
              </w:rPr>
              <w:t>/year monetised</w:t>
            </w:r>
            <w:r w:rsidRPr="00E91094">
              <w:rPr>
                <w:sz w:val="20"/>
                <w:szCs w:val="20"/>
              </w:rPr>
              <w:t xml:space="preserve"> (Biodefence EUR 46–110</w:t>
            </w:r>
            <w:r w:rsidR="006400D7">
              <w:rPr>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r w:rsidRPr="00E91094">
              <w:rPr>
                <w:sz w:val="20"/>
                <w:szCs w:val="20"/>
              </w:rPr>
              <w:t>+ Biotech ecosystem Commission EUR 2.6</w:t>
            </w:r>
            <w:r w:rsidR="006400D7">
              <w:rPr>
                <w:sz w:val="20"/>
                <w:szCs w:val="20"/>
              </w:rPr>
              <w:t xml:space="preserve"> </w:t>
            </w:r>
            <w:r w:rsidR="006400D7" w:rsidRPr="00F47290">
              <w:rPr>
                <w:sz w:val="20"/>
                <w:szCs w:val="20"/>
              </w:rPr>
              <w:t>million</w:t>
            </w:r>
            <w:r w:rsidRPr="00E91094">
              <w:rPr>
                <w:sz w:val="20"/>
                <w:szCs w:val="20"/>
              </w:rPr>
              <w:t xml:space="preserve">); </w:t>
            </w:r>
          </w:p>
          <w:p w14:paraId="11E29278" w14:textId="77777777" w:rsidR="00D01F4B" w:rsidRPr="00E91094" w:rsidRDefault="00D01F4B" w:rsidP="00D01F4B">
            <w:pPr>
              <w:pStyle w:val="ListParagraph"/>
              <w:numPr>
                <w:ilvl w:val="0"/>
                <w:numId w:val="558"/>
              </w:numPr>
              <w:spacing w:after="0"/>
              <w:ind w:left="333"/>
              <w:rPr>
                <w:sz w:val="20"/>
                <w:szCs w:val="20"/>
              </w:rPr>
            </w:pPr>
            <w:r w:rsidRPr="00E91094">
              <w:rPr>
                <w:sz w:val="20"/>
                <w:szCs w:val="20"/>
              </w:rPr>
              <w:t xml:space="preserve">AI technology refresh and curation uplift not monetised; qualitatively assessed as medium to high. </w:t>
            </w:r>
          </w:p>
        </w:tc>
      </w:tr>
      <w:tr w:rsidR="00BB7EB2" w:rsidRPr="0073152B" w14:paraId="2B6954C8" w14:textId="77777777" w:rsidTr="5DA36055">
        <w:trPr>
          <w:trHeight w:val="307"/>
        </w:trPr>
        <w:tc>
          <w:tcPr>
            <w:tcW w:w="0" w:type="auto"/>
            <w:vMerge/>
            <w:tcMar>
              <w:top w:w="57" w:type="dxa"/>
              <w:left w:w="57" w:type="dxa"/>
              <w:bottom w:w="57" w:type="dxa"/>
              <w:right w:w="57" w:type="dxa"/>
            </w:tcMar>
            <w:vAlign w:val="center"/>
          </w:tcPr>
          <w:p w14:paraId="440E3FFE" w14:textId="77777777" w:rsidR="00D01F4B" w:rsidRPr="00E91094" w:rsidRDefault="00D01F4B">
            <w:pPr>
              <w:spacing w:after="0"/>
              <w:rPr>
                <w:sz w:val="20"/>
                <w:szCs w:val="20"/>
              </w:rPr>
            </w:pPr>
          </w:p>
        </w:tc>
        <w:tc>
          <w:tcPr>
            <w:tcW w:w="0" w:type="auto"/>
            <w:tcBorders>
              <w:right w:val="double" w:sz="4" w:space="0" w:color="auto"/>
            </w:tcBorders>
            <w:tcMar>
              <w:top w:w="57" w:type="dxa"/>
              <w:left w:w="57" w:type="dxa"/>
              <w:bottom w:w="57" w:type="dxa"/>
              <w:right w:w="57" w:type="dxa"/>
            </w:tcMar>
            <w:vAlign w:val="center"/>
          </w:tcPr>
          <w:p w14:paraId="71B9CEAF" w14:textId="77777777" w:rsidR="00D01F4B" w:rsidRPr="00E91094" w:rsidRDefault="00D01F4B">
            <w:pPr>
              <w:spacing w:after="0"/>
              <w:jc w:val="left"/>
              <w:rPr>
                <w:sz w:val="20"/>
                <w:szCs w:val="20"/>
              </w:rPr>
            </w:pPr>
            <w:r w:rsidRPr="00E91094">
              <w:rPr>
                <w:sz w:val="20"/>
                <w:szCs w:val="20"/>
              </w:rPr>
              <w:t>Direct administrative costs</w:t>
            </w:r>
          </w:p>
        </w:tc>
        <w:tc>
          <w:tcPr>
            <w:tcW w:w="0" w:type="auto"/>
            <w:tcBorders>
              <w:left w:val="double" w:sz="4" w:space="0" w:color="auto"/>
            </w:tcBorders>
            <w:tcMar>
              <w:top w:w="57" w:type="dxa"/>
              <w:left w:w="57" w:type="dxa"/>
              <w:bottom w:w="57" w:type="dxa"/>
              <w:right w:w="57" w:type="dxa"/>
            </w:tcMar>
            <w:vAlign w:val="center"/>
          </w:tcPr>
          <w:p w14:paraId="003B007F" w14:textId="77777777" w:rsidR="00D01F4B" w:rsidRPr="00E91094" w:rsidRDefault="00D01F4B">
            <w:pPr>
              <w:spacing w:after="0"/>
              <w:rPr>
                <w:sz w:val="20"/>
                <w:szCs w:val="20"/>
              </w:rPr>
            </w:pPr>
            <w:r w:rsidRPr="00E91094">
              <w:rPr>
                <w:sz w:val="20"/>
                <w:szCs w:val="20"/>
              </w:rPr>
              <w:t>n/a.</w:t>
            </w:r>
          </w:p>
        </w:tc>
        <w:tc>
          <w:tcPr>
            <w:tcW w:w="0" w:type="auto"/>
            <w:tcMar>
              <w:top w:w="57" w:type="dxa"/>
              <w:left w:w="57" w:type="dxa"/>
              <w:bottom w:w="57" w:type="dxa"/>
              <w:right w:w="57" w:type="dxa"/>
            </w:tcMar>
            <w:vAlign w:val="center"/>
          </w:tcPr>
          <w:p w14:paraId="728EB16B" w14:textId="77777777" w:rsidR="00D01F4B" w:rsidRPr="00E91094" w:rsidRDefault="00D01F4B">
            <w:pPr>
              <w:spacing w:after="0"/>
              <w:rPr>
                <w:sz w:val="20"/>
                <w:szCs w:val="20"/>
              </w:rPr>
            </w:pPr>
            <w:r w:rsidRPr="00E91094">
              <w:rPr>
                <w:sz w:val="20"/>
                <w:szCs w:val="20"/>
              </w:rPr>
              <w:t>n/a.</w:t>
            </w:r>
          </w:p>
        </w:tc>
        <w:tc>
          <w:tcPr>
            <w:tcW w:w="0" w:type="auto"/>
            <w:tcMar>
              <w:top w:w="57" w:type="dxa"/>
              <w:left w:w="57" w:type="dxa"/>
              <w:bottom w:w="57" w:type="dxa"/>
              <w:right w:w="57" w:type="dxa"/>
            </w:tcMar>
            <w:vAlign w:val="center"/>
          </w:tcPr>
          <w:p w14:paraId="6739594B" w14:textId="2E854620" w:rsidR="00D01F4B" w:rsidRPr="00E91094" w:rsidRDefault="00D01F4B" w:rsidP="00D01F4B">
            <w:pPr>
              <w:pStyle w:val="ListParagraph"/>
              <w:numPr>
                <w:ilvl w:val="0"/>
                <w:numId w:val="479"/>
              </w:numPr>
              <w:spacing w:after="0"/>
              <w:ind w:left="324"/>
              <w:rPr>
                <w:rFonts w:eastAsia="Arial"/>
                <w:b/>
                <w:bCs/>
                <w:sz w:val="20"/>
                <w:szCs w:val="20"/>
              </w:rPr>
            </w:pPr>
            <w:r w:rsidRPr="00E91094">
              <w:rPr>
                <w:b/>
                <w:bCs/>
                <w:sz w:val="20"/>
                <w:szCs w:val="20"/>
              </w:rPr>
              <w:t>EUR 0.77–1.86</w:t>
            </w:r>
            <w:r w:rsidR="006400D7">
              <w:rPr>
                <w:b/>
                <w:bCs/>
                <w:sz w:val="20"/>
                <w:szCs w:val="20"/>
              </w:rPr>
              <w:t xml:space="preserve"> </w:t>
            </w:r>
            <w:r w:rsidR="006400D7" w:rsidRPr="00F47290">
              <w:rPr>
                <w:sz w:val="20"/>
                <w:szCs w:val="20"/>
              </w:rPr>
              <w:t>million</w:t>
            </w:r>
            <w:r w:rsidR="006400D7" w:rsidRPr="00E91094">
              <w:rPr>
                <w:b/>
                <w:bCs/>
                <w:sz w:val="20"/>
                <w:szCs w:val="20"/>
              </w:rPr>
              <w:t xml:space="preserve"> </w:t>
            </w:r>
            <w:r w:rsidRPr="00E91094">
              <w:rPr>
                <w:sz w:val="20"/>
                <w:szCs w:val="20"/>
              </w:rPr>
              <w:t xml:space="preserve">monetised (organ processing transition applications 2029–2031); </w:t>
            </w:r>
          </w:p>
          <w:p w14:paraId="1E239167" w14:textId="77777777" w:rsidR="00D01F4B" w:rsidRPr="00E91094" w:rsidRDefault="00D01F4B" w:rsidP="00D01F4B">
            <w:pPr>
              <w:pStyle w:val="ListParagraph"/>
              <w:numPr>
                <w:ilvl w:val="0"/>
                <w:numId w:val="479"/>
              </w:numPr>
              <w:spacing w:after="0"/>
              <w:ind w:left="324"/>
              <w:rPr>
                <w:rFonts w:eastAsia="Arial"/>
                <w:b/>
                <w:bCs/>
                <w:sz w:val="20"/>
                <w:szCs w:val="20"/>
              </w:rPr>
            </w:pPr>
            <w:r w:rsidRPr="00E91094">
              <w:rPr>
                <w:sz w:val="20"/>
                <w:szCs w:val="20"/>
              </w:rPr>
              <w:t xml:space="preserve">Strategic project recognition applications not monetised as </w:t>
            </w:r>
            <w:r w:rsidRPr="00E91094">
              <w:rPr>
                <w:sz w:val="20"/>
                <w:szCs w:val="20"/>
              </w:rPr>
              <w:lastRenderedPageBreak/>
              <w:t>aggregate; voluntary cost</w:t>
            </w:r>
          </w:p>
        </w:tc>
        <w:tc>
          <w:tcPr>
            <w:tcW w:w="0" w:type="auto"/>
            <w:tcMar>
              <w:top w:w="57" w:type="dxa"/>
              <w:left w:w="57" w:type="dxa"/>
              <w:bottom w:w="57" w:type="dxa"/>
              <w:right w:w="57" w:type="dxa"/>
            </w:tcMar>
            <w:vAlign w:val="center"/>
          </w:tcPr>
          <w:p w14:paraId="558DD942" w14:textId="451089B7" w:rsidR="00D01F4B" w:rsidRPr="00E91094" w:rsidRDefault="00D01F4B" w:rsidP="00D01F4B">
            <w:pPr>
              <w:pStyle w:val="ListParagraph"/>
              <w:numPr>
                <w:ilvl w:val="0"/>
                <w:numId w:val="479"/>
              </w:numPr>
              <w:spacing w:after="0"/>
              <w:ind w:left="324"/>
              <w:rPr>
                <w:sz w:val="20"/>
                <w:szCs w:val="20"/>
              </w:rPr>
            </w:pPr>
            <w:r w:rsidRPr="00E91094">
              <w:rPr>
                <w:b/>
                <w:bCs/>
                <w:sz w:val="20"/>
                <w:szCs w:val="20"/>
              </w:rPr>
              <w:lastRenderedPageBreak/>
              <w:t>EUR 16.51–16.55</w:t>
            </w:r>
            <w:r w:rsidR="006400D7">
              <w:rPr>
                <w:b/>
                <w:bCs/>
                <w:sz w:val="20"/>
                <w:szCs w:val="20"/>
              </w:rPr>
              <w:t xml:space="preserve"> </w:t>
            </w:r>
            <w:r w:rsidR="006400D7">
              <w:rPr>
                <w:b/>
                <w:sz w:val="20"/>
                <w:szCs w:val="20"/>
              </w:rPr>
              <w:t>million</w:t>
            </w:r>
            <w:r w:rsidRPr="00E91094">
              <w:rPr>
                <w:b/>
                <w:bCs/>
                <w:sz w:val="20"/>
                <w:szCs w:val="20"/>
              </w:rPr>
              <w:t>/year</w:t>
            </w:r>
            <w:r w:rsidRPr="00E91094">
              <w:rPr>
                <w:sz w:val="20"/>
                <w:szCs w:val="20"/>
              </w:rPr>
              <w:t xml:space="preserve"> monetised (Biosecurity customers EUR 16.4</w:t>
            </w:r>
            <w:r w:rsidR="006400D7">
              <w:rPr>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r w:rsidRPr="00E91094">
              <w:rPr>
                <w:sz w:val="20"/>
                <w:szCs w:val="20"/>
              </w:rPr>
              <w:t>+ organ processing steady-state EUR 0.11–0.15</w:t>
            </w:r>
            <w:r w:rsidR="006400D7">
              <w:rPr>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r w:rsidRPr="00E91094">
              <w:rPr>
                <w:sz w:val="20"/>
                <w:szCs w:val="20"/>
              </w:rPr>
              <w:t xml:space="preserve">); </w:t>
            </w:r>
          </w:p>
          <w:p w14:paraId="3DD4A5B3" w14:textId="77777777" w:rsidR="00D01F4B" w:rsidRPr="00E91094" w:rsidRDefault="00D01F4B" w:rsidP="00D01F4B">
            <w:pPr>
              <w:pStyle w:val="ListParagraph"/>
              <w:numPr>
                <w:ilvl w:val="0"/>
                <w:numId w:val="479"/>
              </w:numPr>
              <w:spacing w:after="0"/>
              <w:ind w:left="324"/>
              <w:rPr>
                <w:sz w:val="20"/>
                <w:szCs w:val="20"/>
              </w:rPr>
            </w:pPr>
            <w:r w:rsidRPr="00E91094">
              <w:rPr>
                <w:sz w:val="20"/>
                <w:szCs w:val="20"/>
              </w:rPr>
              <w:t xml:space="preserve">ATMP declaration, access to funding, </w:t>
            </w:r>
            <w:r w:rsidRPr="00E91094">
              <w:rPr>
                <w:sz w:val="20"/>
                <w:szCs w:val="20"/>
              </w:rPr>
              <w:lastRenderedPageBreak/>
              <w:t>SPC eligibility: negligible</w:t>
            </w:r>
          </w:p>
        </w:tc>
        <w:tc>
          <w:tcPr>
            <w:tcW w:w="0" w:type="auto"/>
            <w:tcMar>
              <w:top w:w="57" w:type="dxa"/>
              <w:left w:w="57" w:type="dxa"/>
              <w:bottom w:w="57" w:type="dxa"/>
              <w:right w:w="57" w:type="dxa"/>
            </w:tcMar>
            <w:vAlign w:val="center"/>
          </w:tcPr>
          <w:p w14:paraId="21E58D02" w14:textId="77777777" w:rsidR="00D01F4B" w:rsidRPr="00E91094" w:rsidRDefault="00D01F4B" w:rsidP="00D01F4B">
            <w:pPr>
              <w:pStyle w:val="ListParagraph"/>
              <w:numPr>
                <w:ilvl w:val="0"/>
                <w:numId w:val="479"/>
              </w:numPr>
              <w:spacing w:after="0"/>
              <w:ind w:left="324"/>
              <w:rPr>
                <w:sz w:val="20"/>
                <w:szCs w:val="20"/>
              </w:rPr>
            </w:pPr>
            <w:r w:rsidRPr="00E91094">
              <w:rPr>
                <w:sz w:val="20"/>
                <w:szCs w:val="20"/>
              </w:rPr>
              <w:lastRenderedPageBreak/>
              <w:t>Not monetised; qualitatively low to medium (strategic projects SPC front-loaded setup)</w:t>
            </w:r>
          </w:p>
        </w:tc>
        <w:tc>
          <w:tcPr>
            <w:tcW w:w="0" w:type="auto"/>
            <w:tcMar>
              <w:top w:w="57" w:type="dxa"/>
              <w:left w:w="57" w:type="dxa"/>
              <w:bottom w:w="57" w:type="dxa"/>
              <w:right w:w="57" w:type="dxa"/>
            </w:tcMar>
            <w:vAlign w:val="center"/>
          </w:tcPr>
          <w:p w14:paraId="7E5F5C6A" w14:textId="77777777" w:rsidR="00D01F4B" w:rsidRPr="00E91094" w:rsidRDefault="00D01F4B" w:rsidP="00D01F4B">
            <w:pPr>
              <w:pStyle w:val="ListParagraph"/>
              <w:numPr>
                <w:ilvl w:val="0"/>
                <w:numId w:val="479"/>
              </w:numPr>
              <w:spacing w:after="0"/>
              <w:ind w:left="324"/>
              <w:rPr>
                <w:sz w:val="20"/>
                <w:szCs w:val="20"/>
              </w:rPr>
            </w:pPr>
            <w:r w:rsidRPr="00E91094">
              <w:rPr>
                <w:sz w:val="20"/>
                <w:szCs w:val="20"/>
              </w:rPr>
              <w:t>Not monetised in EUR; qualitatively negligible to low (Biotech ecosystem 0.25 FTE/MS data provision; STEP reporting; repository maintenance; organ processing Commission list)</w:t>
            </w:r>
          </w:p>
        </w:tc>
      </w:tr>
      <w:tr w:rsidR="00BB182A" w:rsidRPr="0073152B" w14:paraId="02C5C255" w14:textId="77777777" w:rsidTr="5DA36055">
        <w:trPr>
          <w:trHeight w:val="307"/>
        </w:trPr>
        <w:tc>
          <w:tcPr>
            <w:tcW w:w="0" w:type="auto"/>
            <w:vMerge/>
            <w:tcMar>
              <w:top w:w="57" w:type="dxa"/>
              <w:left w:w="57" w:type="dxa"/>
              <w:bottom w:w="57" w:type="dxa"/>
              <w:right w:w="57" w:type="dxa"/>
            </w:tcMar>
            <w:vAlign w:val="center"/>
          </w:tcPr>
          <w:p w14:paraId="02E64351" w14:textId="77777777" w:rsidR="00D01F4B" w:rsidRPr="00E91094" w:rsidRDefault="00D01F4B">
            <w:pPr>
              <w:spacing w:after="0"/>
              <w:rPr>
                <w:sz w:val="20"/>
                <w:szCs w:val="20"/>
              </w:rPr>
            </w:pPr>
          </w:p>
        </w:tc>
        <w:tc>
          <w:tcPr>
            <w:tcW w:w="0" w:type="auto"/>
            <w:tcBorders>
              <w:right w:val="double" w:sz="4" w:space="0" w:color="auto"/>
            </w:tcBorders>
            <w:tcMar>
              <w:top w:w="57" w:type="dxa"/>
              <w:left w:w="57" w:type="dxa"/>
              <w:bottom w:w="57" w:type="dxa"/>
              <w:right w:w="57" w:type="dxa"/>
            </w:tcMar>
            <w:vAlign w:val="center"/>
          </w:tcPr>
          <w:p w14:paraId="56B138EA" w14:textId="77777777" w:rsidR="00D01F4B" w:rsidRPr="00E91094" w:rsidRDefault="00D01F4B">
            <w:pPr>
              <w:spacing w:after="0"/>
              <w:jc w:val="left"/>
              <w:rPr>
                <w:sz w:val="20"/>
                <w:szCs w:val="20"/>
              </w:rPr>
            </w:pPr>
            <w:r w:rsidRPr="00E91094">
              <w:rPr>
                <w:sz w:val="20"/>
                <w:szCs w:val="20"/>
              </w:rPr>
              <w:t>Direct regulatory fees and charges</w:t>
            </w:r>
          </w:p>
        </w:tc>
        <w:tc>
          <w:tcPr>
            <w:tcW w:w="0" w:type="auto"/>
            <w:tcBorders>
              <w:left w:val="double" w:sz="4" w:space="0" w:color="auto"/>
            </w:tcBorders>
            <w:tcMar>
              <w:top w:w="57" w:type="dxa"/>
              <w:left w:w="57" w:type="dxa"/>
              <w:bottom w:w="57" w:type="dxa"/>
              <w:right w:w="57" w:type="dxa"/>
            </w:tcMar>
            <w:vAlign w:val="center"/>
          </w:tcPr>
          <w:p w14:paraId="67E15594" w14:textId="77777777" w:rsidR="00D01F4B" w:rsidRPr="004570F2" w:rsidRDefault="00D01F4B">
            <w:pPr>
              <w:spacing w:after="0"/>
              <w:rPr>
                <w:sz w:val="20"/>
              </w:rPr>
            </w:pPr>
            <w:r w:rsidRPr="004570F2">
              <w:rPr>
                <w:sz w:val="20"/>
              </w:rPr>
              <w:t>n/a.</w:t>
            </w:r>
          </w:p>
        </w:tc>
        <w:tc>
          <w:tcPr>
            <w:tcW w:w="0" w:type="auto"/>
            <w:tcMar>
              <w:top w:w="57" w:type="dxa"/>
              <w:left w:w="57" w:type="dxa"/>
              <w:bottom w:w="57" w:type="dxa"/>
              <w:right w:w="57" w:type="dxa"/>
            </w:tcMar>
            <w:vAlign w:val="center"/>
          </w:tcPr>
          <w:p w14:paraId="4A9D072D" w14:textId="77777777" w:rsidR="00D01F4B" w:rsidRPr="004570F2" w:rsidRDefault="00D01F4B">
            <w:pPr>
              <w:spacing w:after="0"/>
              <w:rPr>
                <w:sz w:val="20"/>
              </w:rPr>
            </w:pPr>
            <w:r w:rsidRPr="004570F2">
              <w:rPr>
                <w:sz w:val="20"/>
              </w:rPr>
              <w:t>n/a.</w:t>
            </w:r>
          </w:p>
        </w:tc>
        <w:tc>
          <w:tcPr>
            <w:tcW w:w="0" w:type="auto"/>
            <w:tcMar>
              <w:top w:w="57" w:type="dxa"/>
              <w:left w:w="57" w:type="dxa"/>
              <w:bottom w:w="57" w:type="dxa"/>
              <w:right w:w="57" w:type="dxa"/>
            </w:tcMar>
            <w:vAlign w:val="center"/>
          </w:tcPr>
          <w:p w14:paraId="05291F38" w14:textId="77777777" w:rsidR="00D01F4B" w:rsidRPr="004570F2" w:rsidRDefault="00D01F4B">
            <w:pPr>
              <w:spacing w:after="0"/>
              <w:rPr>
                <w:sz w:val="20"/>
              </w:rPr>
            </w:pPr>
            <w:r w:rsidRPr="004570F2">
              <w:rPr>
                <w:sz w:val="20"/>
              </w:rPr>
              <w:t>n/a.</w:t>
            </w:r>
          </w:p>
        </w:tc>
        <w:tc>
          <w:tcPr>
            <w:tcW w:w="0" w:type="auto"/>
            <w:tcMar>
              <w:top w:w="57" w:type="dxa"/>
              <w:left w:w="57" w:type="dxa"/>
              <w:bottom w:w="57" w:type="dxa"/>
              <w:right w:w="57" w:type="dxa"/>
            </w:tcMar>
            <w:vAlign w:val="center"/>
          </w:tcPr>
          <w:p w14:paraId="159F60F7" w14:textId="77777777" w:rsidR="00D01F4B" w:rsidRPr="004570F2" w:rsidRDefault="00D01F4B">
            <w:pPr>
              <w:spacing w:after="0"/>
              <w:rPr>
                <w:sz w:val="20"/>
              </w:rPr>
            </w:pPr>
            <w:r w:rsidRPr="004570F2">
              <w:rPr>
                <w:sz w:val="20"/>
              </w:rPr>
              <w:t>n/a.</w:t>
            </w:r>
          </w:p>
        </w:tc>
        <w:tc>
          <w:tcPr>
            <w:tcW w:w="0" w:type="auto"/>
            <w:tcMar>
              <w:top w:w="57" w:type="dxa"/>
              <w:left w:w="57" w:type="dxa"/>
              <w:bottom w:w="57" w:type="dxa"/>
              <w:right w:w="57" w:type="dxa"/>
            </w:tcMar>
            <w:vAlign w:val="center"/>
          </w:tcPr>
          <w:p w14:paraId="1E57B15C" w14:textId="77777777" w:rsidR="00D01F4B" w:rsidRPr="004570F2" w:rsidRDefault="00D01F4B">
            <w:pPr>
              <w:spacing w:after="0"/>
              <w:rPr>
                <w:sz w:val="20"/>
              </w:rPr>
            </w:pPr>
            <w:r w:rsidRPr="004570F2">
              <w:rPr>
                <w:sz w:val="20"/>
              </w:rPr>
              <w:t>n/a.</w:t>
            </w:r>
          </w:p>
        </w:tc>
        <w:tc>
          <w:tcPr>
            <w:tcW w:w="0" w:type="auto"/>
            <w:tcMar>
              <w:top w:w="57" w:type="dxa"/>
              <w:left w:w="57" w:type="dxa"/>
              <w:bottom w:w="57" w:type="dxa"/>
              <w:right w:w="57" w:type="dxa"/>
            </w:tcMar>
            <w:vAlign w:val="center"/>
          </w:tcPr>
          <w:p w14:paraId="253BD0CB" w14:textId="77777777" w:rsidR="00D01F4B" w:rsidRPr="004570F2" w:rsidRDefault="00D01F4B">
            <w:pPr>
              <w:spacing w:after="0"/>
              <w:rPr>
                <w:sz w:val="20"/>
              </w:rPr>
            </w:pPr>
            <w:r w:rsidRPr="004570F2">
              <w:rPr>
                <w:sz w:val="20"/>
              </w:rPr>
              <w:t>n/a.</w:t>
            </w:r>
          </w:p>
        </w:tc>
      </w:tr>
      <w:tr w:rsidR="00BB182A" w:rsidRPr="0073152B" w14:paraId="48E4F919" w14:textId="77777777" w:rsidTr="5DA36055">
        <w:trPr>
          <w:trHeight w:val="307"/>
        </w:trPr>
        <w:tc>
          <w:tcPr>
            <w:tcW w:w="0" w:type="auto"/>
            <w:vMerge/>
            <w:tcMar>
              <w:top w:w="57" w:type="dxa"/>
              <w:left w:w="57" w:type="dxa"/>
              <w:bottom w:w="57" w:type="dxa"/>
              <w:right w:w="57" w:type="dxa"/>
            </w:tcMar>
            <w:vAlign w:val="center"/>
          </w:tcPr>
          <w:p w14:paraId="77BCEE66" w14:textId="77777777" w:rsidR="00D01F4B" w:rsidRPr="00E91094" w:rsidRDefault="00D01F4B">
            <w:pPr>
              <w:spacing w:after="0"/>
              <w:rPr>
                <w:sz w:val="20"/>
                <w:szCs w:val="20"/>
              </w:rPr>
            </w:pPr>
          </w:p>
        </w:tc>
        <w:tc>
          <w:tcPr>
            <w:tcW w:w="0" w:type="auto"/>
            <w:tcBorders>
              <w:right w:val="double" w:sz="4" w:space="0" w:color="auto"/>
            </w:tcBorders>
            <w:tcMar>
              <w:top w:w="57" w:type="dxa"/>
              <w:left w:w="57" w:type="dxa"/>
              <w:bottom w:w="57" w:type="dxa"/>
              <w:right w:w="57" w:type="dxa"/>
            </w:tcMar>
            <w:vAlign w:val="center"/>
          </w:tcPr>
          <w:p w14:paraId="2612AFC0" w14:textId="77777777" w:rsidR="00D01F4B" w:rsidRPr="00E91094" w:rsidRDefault="00D01F4B">
            <w:pPr>
              <w:spacing w:after="0"/>
              <w:jc w:val="left"/>
              <w:rPr>
                <w:sz w:val="20"/>
                <w:szCs w:val="20"/>
              </w:rPr>
            </w:pPr>
            <w:r w:rsidRPr="00E91094">
              <w:rPr>
                <w:sz w:val="20"/>
                <w:szCs w:val="20"/>
              </w:rPr>
              <w:t>Direct enforcement costs</w:t>
            </w:r>
          </w:p>
        </w:tc>
        <w:tc>
          <w:tcPr>
            <w:tcW w:w="0" w:type="auto"/>
            <w:tcBorders>
              <w:left w:val="double" w:sz="4" w:space="0" w:color="auto"/>
            </w:tcBorders>
            <w:tcMar>
              <w:top w:w="57" w:type="dxa"/>
              <w:left w:w="57" w:type="dxa"/>
              <w:bottom w:w="57" w:type="dxa"/>
              <w:right w:w="57" w:type="dxa"/>
            </w:tcMar>
            <w:vAlign w:val="center"/>
          </w:tcPr>
          <w:p w14:paraId="35ED2A7F" w14:textId="77777777" w:rsidR="00D01F4B" w:rsidRPr="004570F2" w:rsidRDefault="00D01F4B">
            <w:pPr>
              <w:spacing w:after="0"/>
              <w:rPr>
                <w:sz w:val="20"/>
              </w:rPr>
            </w:pPr>
            <w:r w:rsidRPr="004570F2">
              <w:rPr>
                <w:sz w:val="20"/>
              </w:rPr>
              <w:t>n/a.</w:t>
            </w:r>
          </w:p>
        </w:tc>
        <w:tc>
          <w:tcPr>
            <w:tcW w:w="0" w:type="auto"/>
            <w:tcMar>
              <w:top w:w="57" w:type="dxa"/>
              <w:left w:w="57" w:type="dxa"/>
              <w:bottom w:w="57" w:type="dxa"/>
              <w:right w:w="57" w:type="dxa"/>
            </w:tcMar>
            <w:vAlign w:val="center"/>
          </w:tcPr>
          <w:p w14:paraId="66842A7E" w14:textId="77777777" w:rsidR="00D01F4B" w:rsidRPr="004570F2" w:rsidRDefault="00D01F4B">
            <w:pPr>
              <w:spacing w:after="0"/>
              <w:rPr>
                <w:sz w:val="20"/>
              </w:rPr>
            </w:pPr>
            <w:r w:rsidRPr="00E91094">
              <w:rPr>
                <w:sz w:val="20"/>
                <w:szCs w:val="20"/>
              </w:rPr>
              <w:t>n/a.</w:t>
            </w:r>
          </w:p>
        </w:tc>
        <w:tc>
          <w:tcPr>
            <w:tcW w:w="0" w:type="auto"/>
            <w:tcMar>
              <w:top w:w="57" w:type="dxa"/>
              <w:left w:w="57" w:type="dxa"/>
              <w:bottom w:w="57" w:type="dxa"/>
              <w:right w:w="57" w:type="dxa"/>
            </w:tcMar>
            <w:vAlign w:val="center"/>
          </w:tcPr>
          <w:p w14:paraId="775F143D" w14:textId="77777777" w:rsidR="00D01F4B" w:rsidRPr="004570F2" w:rsidRDefault="00D01F4B">
            <w:pPr>
              <w:spacing w:after="0"/>
              <w:rPr>
                <w:sz w:val="20"/>
              </w:rPr>
            </w:pPr>
            <w:r w:rsidRPr="00E91094">
              <w:rPr>
                <w:sz w:val="20"/>
                <w:szCs w:val="20"/>
              </w:rPr>
              <w:t>n/a.</w:t>
            </w:r>
          </w:p>
        </w:tc>
        <w:tc>
          <w:tcPr>
            <w:tcW w:w="0" w:type="auto"/>
            <w:tcMar>
              <w:top w:w="57" w:type="dxa"/>
              <w:left w:w="57" w:type="dxa"/>
              <w:bottom w:w="57" w:type="dxa"/>
              <w:right w:w="57" w:type="dxa"/>
            </w:tcMar>
            <w:vAlign w:val="center"/>
          </w:tcPr>
          <w:p w14:paraId="15985AA7" w14:textId="77777777" w:rsidR="00D01F4B" w:rsidRPr="004570F2" w:rsidRDefault="00D01F4B">
            <w:pPr>
              <w:spacing w:after="0"/>
              <w:rPr>
                <w:sz w:val="20"/>
              </w:rPr>
            </w:pPr>
            <w:r w:rsidRPr="00E91094">
              <w:rPr>
                <w:sz w:val="20"/>
                <w:szCs w:val="20"/>
              </w:rPr>
              <w:t>n/a.</w:t>
            </w:r>
          </w:p>
        </w:tc>
        <w:tc>
          <w:tcPr>
            <w:tcW w:w="0" w:type="auto"/>
            <w:tcMar>
              <w:top w:w="57" w:type="dxa"/>
              <w:left w:w="57" w:type="dxa"/>
              <w:bottom w:w="57" w:type="dxa"/>
              <w:right w:w="57" w:type="dxa"/>
            </w:tcMar>
            <w:vAlign w:val="center"/>
          </w:tcPr>
          <w:p w14:paraId="10DA8120" w14:textId="77777777" w:rsidR="00D01F4B" w:rsidRPr="004570F2" w:rsidRDefault="00D01F4B">
            <w:pPr>
              <w:spacing w:after="0"/>
              <w:rPr>
                <w:sz w:val="20"/>
              </w:rPr>
            </w:pPr>
            <w:r w:rsidRPr="00E91094">
              <w:rPr>
                <w:sz w:val="20"/>
                <w:szCs w:val="20"/>
              </w:rPr>
              <w:t>n/a.</w:t>
            </w:r>
          </w:p>
        </w:tc>
        <w:tc>
          <w:tcPr>
            <w:tcW w:w="0" w:type="auto"/>
            <w:tcMar>
              <w:top w:w="57" w:type="dxa"/>
              <w:left w:w="57" w:type="dxa"/>
              <w:bottom w:w="57" w:type="dxa"/>
              <w:right w:w="57" w:type="dxa"/>
            </w:tcMar>
            <w:vAlign w:val="center"/>
          </w:tcPr>
          <w:p w14:paraId="299874E7" w14:textId="0965A840" w:rsidR="00D01F4B" w:rsidRPr="004570F2" w:rsidRDefault="00D01F4B" w:rsidP="00D01F4B">
            <w:pPr>
              <w:pStyle w:val="ListParagraph"/>
              <w:numPr>
                <w:ilvl w:val="0"/>
                <w:numId w:val="479"/>
              </w:numPr>
              <w:spacing w:after="0"/>
              <w:ind w:left="324"/>
              <w:rPr>
                <w:sz w:val="20"/>
              </w:rPr>
            </w:pPr>
            <w:r w:rsidRPr="004570F2">
              <w:rPr>
                <w:b/>
                <w:sz w:val="20"/>
              </w:rPr>
              <w:t xml:space="preserve">EUR </w:t>
            </w:r>
            <w:r w:rsidRPr="00E91094">
              <w:rPr>
                <w:b/>
                <w:bCs/>
                <w:sz w:val="20"/>
                <w:szCs w:val="20"/>
              </w:rPr>
              <w:t>15.52–25.06</w:t>
            </w:r>
            <w:r w:rsidR="006400D7">
              <w:rPr>
                <w:b/>
                <w:bCs/>
                <w:sz w:val="20"/>
                <w:szCs w:val="20"/>
              </w:rPr>
              <w:t xml:space="preserve"> </w:t>
            </w:r>
            <w:r w:rsidR="006400D7" w:rsidRPr="00F47290">
              <w:rPr>
                <w:sz w:val="20"/>
                <w:szCs w:val="20"/>
              </w:rPr>
              <w:t>million</w:t>
            </w:r>
            <w:r w:rsidRPr="00E91094">
              <w:rPr>
                <w:b/>
                <w:bCs/>
                <w:sz w:val="20"/>
                <w:szCs w:val="20"/>
              </w:rPr>
              <w:t>/year</w:t>
            </w:r>
            <w:r w:rsidRPr="00E91094">
              <w:rPr>
                <w:sz w:val="20"/>
                <w:szCs w:val="20"/>
              </w:rPr>
              <w:t xml:space="preserve"> (</w:t>
            </w:r>
            <w:r w:rsidRPr="004570F2">
              <w:rPr>
                <w:sz w:val="20"/>
              </w:rPr>
              <w:t>Biosecurity</w:t>
            </w:r>
            <w:r w:rsidRPr="00E91094">
              <w:rPr>
                <w:sz w:val="20"/>
                <w:szCs w:val="20"/>
              </w:rPr>
              <w:t xml:space="preserve"> MS</w:t>
            </w:r>
            <w:r w:rsidRPr="004570F2">
              <w:rPr>
                <w:sz w:val="20"/>
              </w:rPr>
              <w:t xml:space="preserve"> EUR 14</w:t>
            </w:r>
            <w:r w:rsidRPr="00E91094">
              <w:rPr>
                <w:sz w:val="20"/>
                <w:szCs w:val="20"/>
              </w:rPr>
              <w:t>–</w:t>
            </w:r>
            <w:r w:rsidRPr="004570F2">
              <w:rPr>
                <w:sz w:val="20"/>
              </w:rPr>
              <w:t>21</w:t>
            </w:r>
            <w:r w:rsidR="006400D7" w:rsidRPr="004570F2">
              <w:rPr>
                <w:sz w:val="20"/>
              </w:rPr>
              <w:t xml:space="preserve"> million</w:t>
            </w:r>
            <w:r w:rsidR="006400D7" w:rsidRPr="004570F2">
              <w:rPr>
                <w:b/>
                <w:sz w:val="20"/>
              </w:rPr>
              <w:t xml:space="preserve"> </w:t>
            </w:r>
            <w:r w:rsidRPr="00E91094">
              <w:rPr>
                <w:sz w:val="20"/>
                <w:szCs w:val="20"/>
              </w:rPr>
              <w:t xml:space="preserve">+ Biosecurity </w:t>
            </w:r>
            <w:r w:rsidRPr="004570F2">
              <w:rPr>
                <w:sz w:val="20"/>
              </w:rPr>
              <w:t xml:space="preserve">EU </w:t>
            </w:r>
            <w:r w:rsidRPr="00E5568D">
              <w:rPr>
                <w:sz w:val="20"/>
                <w:lang w:val="en-IE"/>
              </w:rPr>
              <w:t>EUR 1.3</w:t>
            </w:r>
            <w:r w:rsidRPr="00E5568D">
              <w:rPr>
                <w:sz w:val="20"/>
                <w:szCs w:val="20"/>
                <w:lang w:val="en-IE"/>
              </w:rPr>
              <w:t>–1.9</w:t>
            </w:r>
            <w:r w:rsidR="006400D7" w:rsidRPr="00E5568D">
              <w:rPr>
                <w:sz w:val="20"/>
                <w:lang w:val="en-IE"/>
              </w:rPr>
              <w:t xml:space="preserve"> million</w:t>
            </w:r>
            <w:r w:rsidR="006400D7" w:rsidRPr="00E5568D">
              <w:rPr>
                <w:b/>
                <w:sz w:val="20"/>
                <w:lang w:val="en-IE"/>
              </w:rPr>
              <w:t xml:space="preserve"> </w:t>
            </w:r>
            <w:r w:rsidR="006400D7" w:rsidRPr="00E5568D">
              <w:rPr>
                <w:sz w:val="20"/>
                <w:szCs w:val="20"/>
                <w:lang w:val="en-IE"/>
              </w:rPr>
              <w:t xml:space="preserve"> </w:t>
            </w:r>
            <w:r w:rsidRPr="00E5568D">
              <w:rPr>
                <w:sz w:val="20"/>
                <w:szCs w:val="20"/>
                <w:lang w:val="en-IE"/>
              </w:rPr>
              <w:t>+ SoHO NCA</w:t>
            </w:r>
            <w:r w:rsidRPr="00E5568D">
              <w:rPr>
                <w:sz w:val="20"/>
                <w:lang w:val="en-IE"/>
              </w:rPr>
              <w:t xml:space="preserve"> EUR </w:t>
            </w:r>
            <w:r w:rsidRPr="00E5568D">
              <w:rPr>
                <w:sz w:val="20"/>
                <w:szCs w:val="20"/>
                <w:lang w:val="en-IE"/>
              </w:rPr>
              <w:t>0.16–</w:t>
            </w:r>
            <w:r w:rsidRPr="00E5568D">
              <w:rPr>
                <w:sz w:val="20"/>
                <w:lang w:val="en-IE"/>
              </w:rPr>
              <w:t>1.</w:t>
            </w:r>
            <w:r w:rsidRPr="00E91094">
              <w:rPr>
                <w:sz w:val="20"/>
                <w:szCs w:val="20"/>
              </w:rPr>
              <w:t>46</w:t>
            </w:r>
            <w:r w:rsidR="006400D7" w:rsidRPr="004570F2">
              <w:rPr>
                <w:sz w:val="20"/>
              </w:rPr>
              <w:t xml:space="preserve"> million</w:t>
            </w:r>
            <w:r w:rsidR="006400D7" w:rsidRPr="004570F2">
              <w:rPr>
                <w:b/>
                <w:sz w:val="20"/>
              </w:rPr>
              <w:t xml:space="preserve"> </w:t>
            </w:r>
            <w:r w:rsidRPr="00E91094">
              <w:rPr>
                <w:sz w:val="20"/>
                <w:szCs w:val="20"/>
              </w:rPr>
              <w:t>+ organ processing NCA EUR 0.06–0.70</w:t>
            </w:r>
            <w:r w:rsidR="006400D7">
              <w:rPr>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r w:rsidRPr="00E91094">
              <w:rPr>
                <w:sz w:val="20"/>
                <w:szCs w:val="20"/>
              </w:rPr>
              <w:t>, higher during transition 2029–2031, declining from 2032);</w:t>
            </w:r>
          </w:p>
          <w:p w14:paraId="58C9984F" w14:textId="1BF463D0" w:rsidR="00D01F4B" w:rsidRPr="004570F2" w:rsidRDefault="00D01F4B" w:rsidP="00D01F4B">
            <w:pPr>
              <w:pStyle w:val="ListParagraph"/>
              <w:numPr>
                <w:ilvl w:val="0"/>
                <w:numId w:val="479"/>
              </w:numPr>
              <w:spacing w:after="0"/>
              <w:ind w:left="324"/>
              <w:rPr>
                <w:sz w:val="20"/>
              </w:rPr>
            </w:pPr>
            <w:r w:rsidRPr="00E91094">
              <w:rPr>
                <w:sz w:val="20"/>
                <w:szCs w:val="20"/>
              </w:rPr>
              <w:t xml:space="preserve">Strategic projects FTEs and AI EU supervision not monetised; qualitatively assessed as low to medium. </w:t>
            </w:r>
          </w:p>
        </w:tc>
      </w:tr>
      <w:tr w:rsidR="00BB182A" w:rsidRPr="0073152B" w14:paraId="0C899809" w14:textId="77777777" w:rsidTr="5DA36055">
        <w:tc>
          <w:tcPr>
            <w:tcW w:w="0" w:type="auto"/>
            <w:vMerge/>
            <w:tcMar>
              <w:top w:w="57" w:type="dxa"/>
              <w:left w:w="57" w:type="dxa"/>
              <w:bottom w:w="57" w:type="dxa"/>
              <w:right w:w="57" w:type="dxa"/>
            </w:tcMar>
          </w:tcPr>
          <w:p w14:paraId="13350B3A" w14:textId="77777777" w:rsidR="00D01F4B" w:rsidRPr="00E91094" w:rsidRDefault="00D01F4B">
            <w:pPr>
              <w:spacing w:after="0"/>
              <w:rPr>
                <w:sz w:val="20"/>
                <w:szCs w:val="20"/>
              </w:rPr>
            </w:pPr>
          </w:p>
        </w:tc>
        <w:tc>
          <w:tcPr>
            <w:tcW w:w="0" w:type="auto"/>
            <w:tcBorders>
              <w:right w:val="double" w:sz="4" w:space="0" w:color="auto"/>
            </w:tcBorders>
            <w:tcMar>
              <w:top w:w="57" w:type="dxa"/>
              <w:left w:w="57" w:type="dxa"/>
              <w:bottom w:w="57" w:type="dxa"/>
              <w:right w:w="57" w:type="dxa"/>
            </w:tcMar>
          </w:tcPr>
          <w:p w14:paraId="74FC6D0F" w14:textId="77777777" w:rsidR="00D01F4B" w:rsidRPr="00E91094" w:rsidRDefault="00D01F4B">
            <w:pPr>
              <w:spacing w:after="0"/>
              <w:jc w:val="left"/>
              <w:rPr>
                <w:sz w:val="20"/>
                <w:szCs w:val="20"/>
              </w:rPr>
            </w:pPr>
            <w:r w:rsidRPr="00E91094">
              <w:rPr>
                <w:sz w:val="20"/>
                <w:szCs w:val="20"/>
              </w:rPr>
              <w:t>Indirect costs</w:t>
            </w:r>
          </w:p>
        </w:tc>
        <w:tc>
          <w:tcPr>
            <w:tcW w:w="0" w:type="auto"/>
            <w:tcBorders>
              <w:left w:val="double" w:sz="4" w:space="0" w:color="auto"/>
            </w:tcBorders>
            <w:tcMar>
              <w:top w:w="57" w:type="dxa"/>
              <w:left w:w="57" w:type="dxa"/>
              <w:bottom w:w="57" w:type="dxa"/>
              <w:right w:w="57" w:type="dxa"/>
            </w:tcMar>
          </w:tcPr>
          <w:p w14:paraId="12F0D31C" w14:textId="77777777" w:rsidR="00D01F4B" w:rsidRPr="00E91094" w:rsidRDefault="00D01F4B">
            <w:pPr>
              <w:spacing w:after="0"/>
              <w:rPr>
                <w:sz w:val="20"/>
                <w:szCs w:val="20"/>
              </w:rPr>
            </w:pPr>
            <w:r w:rsidRPr="004570F2">
              <w:rPr>
                <w:sz w:val="20"/>
              </w:rPr>
              <w:t>n/a.</w:t>
            </w:r>
          </w:p>
        </w:tc>
        <w:tc>
          <w:tcPr>
            <w:tcW w:w="0" w:type="auto"/>
            <w:tcMar>
              <w:top w:w="57" w:type="dxa"/>
              <w:left w:w="57" w:type="dxa"/>
              <w:bottom w:w="57" w:type="dxa"/>
              <w:right w:w="57" w:type="dxa"/>
            </w:tcMar>
          </w:tcPr>
          <w:p w14:paraId="3BDF99FC" w14:textId="00FA6BEC" w:rsidR="00D01F4B" w:rsidRPr="004570F2" w:rsidRDefault="00D01F4B" w:rsidP="00D01F4B">
            <w:pPr>
              <w:pStyle w:val="ListParagraph"/>
              <w:numPr>
                <w:ilvl w:val="0"/>
                <w:numId w:val="479"/>
              </w:numPr>
              <w:spacing w:after="0"/>
              <w:ind w:left="324"/>
              <w:rPr>
                <w:sz w:val="20"/>
              </w:rPr>
            </w:pPr>
            <w:r w:rsidRPr="00E91094">
              <w:rPr>
                <w:b/>
                <w:bCs/>
                <w:sz w:val="20"/>
                <w:szCs w:val="20"/>
              </w:rPr>
              <w:t xml:space="preserve">EUR </w:t>
            </w:r>
            <w:r w:rsidRPr="5CA0E13C">
              <w:rPr>
                <w:b/>
                <w:bCs/>
                <w:sz w:val="20"/>
                <w:szCs w:val="20"/>
              </w:rPr>
              <w:t>6</w:t>
            </w:r>
            <w:r w:rsidR="3C8F0D76" w:rsidRPr="5CA0E13C">
              <w:rPr>
                <w:b/>
                <w:bCs/>
                <w:sz w:val="20"/>
                <w:szCs w:val="20"/>
              </w:rPr>
              <w:t>15</w:t>
            </w:r>
            <w:r w:rsidR="006400D7">
              <w:rPr>
                <w:b/>
                <w:bCs/>
                <w:sz w:val="20"/>
                <w:szCs w:val="20"/>
              </w:rPr>
              <w:t xml:space="preserve"> </w:t>
            </w:r>
            <w:r w:rsidR="006400D7" w:rsidRPr="00F47290">
              <w:rPr>
                <w:sz w:val="20"/>
                <w:szCs w:val="20"/>
              </w:rPr>
              <w:t>million</w:t>
            </w:r>
            <w:r w:rsidRPr="00E91094">
              <w:rPr>
                <w:b/>
                <w:bCs/>
                <w:sz w:val="20"/>
                <w:szCs w:val="20"/>
              </w:rPr>
              <w:t>/year</w:t>
            </w:r>
            <w:r w:rsidRPr="00E91094">
              <w:rPr>
                <w:sz w:val="20"/>
                <w:szCs w:val="20"/>
              </w:rPr>
              <w:t xml:space="preserve"> (</w:t>
            </w:r>
            <w:r w:rsidRPr="004570F2">
              <w:rPr>
                <w:sz w:val="20"/>
              </w:rPr>
              <w:t xml:space="preserve">SPC extension combined social cost </w:t>
            </w:r>
            <w:r w:rsidRPr="00E91094">
              <w:rPr>
                <w:sz w:val="20"/>
                <w:szCs w:val="20"/>
              </w:rPr>
              <w:t>at 3 qualifying medicines/year; comprising delayed</w:t>
            </w:r>
            <w:r w:rsidRPr="004570F2">
              <w:rPr>
                <w:sz w:val="20"/>
              </w:rPr>
              <w:t xml:space="preserve"> patient access</w:t>
            </w:r>
            <w:r w:rsidRPr="00E91094">
              <w:rPr>
                <w:sz w:val="20"/>
                <w:szCs w:val="20"/>
              </w:rPr>
              <w:t xml:space="preserve"> EUR </w:t>
            </w:r>
            <w:r w:rsidRPr="5CA0E13C">
              <w:rPr>
                <w:sz w:val="20"/>
                <w:szCs w:val="20"/>
              </w:rPr>
              <w:t>40</w:t>
            </w:r>
            <w:r w:rsidR="783BEE1A" w:rsidRPr="5CA0E13C">
              <w:rPr>
                <w:sz w:val="20"/>
                <w:szCs w:val="20"/>
              </w:rPr>
              <w:t>5</w:t>
            </w:r>
            <w:r w:rsidR="006400D7">
              <w:rPr>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r w:rsidRPr="00E91094">
              <w:rPr>
                <w:sz w:val="20"/>
                <w:szCs w:val="20"/>
              </w:rPr>
              <w:t>/year + direct</w:t>
            </w:r>
            <w:r w:rsidRPr="004570F2">
              <w:rPr>
                <w:sz w:val="20"/>
              </w:rPr>
              <w:t xml:space="preserve"> payer expenditure</w:t>
            </w:r>
            <w:r w:rsidRPr="00E91094">
              <w:rPr>
                <w:sz w:val="20"/>
                <w:szCs w:val="20"/>
              </w:rPr>
              <w:t xml:space="preserve"> EUR </w:t>
            </w:r>
            <w:r w:rsidRPr="5CA0E13C">
              <w:rPr>
                <w:sz w:val="20"/>
                <w:szCs w:val="20"/>
              </w:rPr>
              <w:t>21</w:t>
            </w:r>
            <w:r w:rsidR="2F3824C0" w:rsidRPr="5CA0E13C">
              <w:rPr>
                <w:sz w:val="20"/>
                <w:szCs w:val="20"/>
              </w:rPr>
              <w:t>0</w:t>
            </w:r>
            <w:r w:rsidR="006400D7">
              <w:rPr>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r w:rsidRPr="00E91094">
              <w:rPr>
                <w:sz w:val="20"/>
                <w:szCs w:val="20"/>
              </w:rPr>
              <w:t>/year</w:t>
            </w:r>
            <w:r w:rsidRPr="004570F2">
              <w:rPr>
                <w:sz w:val="20"/>
              </w:rPr>
              <w:t>)</w:t>
            </w:r>
          </w:p>
        </w:tc>
        <w:tc>
          <w:tcPr>
            <w:tcW w:w="0" w:type="auto"/>
            <w:tcMar>
              <w:top w:w="57" w:type="dxa"/>
              <w:left w:w="57" w:type="dxa"/>
              <w:bottom w:w="57" w:type="dxa"/>
              <w:right w:w="57" w:type="dxa"/>
            </w:tcMar>
          </w:tcPr>
          <w:p w14:paraId="0C2336F6" w14:textId="77777777" w:rsidR="00D01F4B" w:rsidRPr="004570F2" w:rsidRDefault="00D01F4B">
            <w:pPr>
              <w:spacing w:after="0"/>
              <w:rPr>
                <w:sz w:val="20"/>
              </w:rPr>
            </w:pPr>
            <w:r w:rsidRPr="00E91094">
              <w:rPr>
                <w:sz w:val="20"/>
                <w:szCs w:val="20"/>
              </w:rPr>
              <w:t>n/a.</w:t>
            </w:r>
          </w:p>
        </w:tc>
        <w:tc>
          <w:tcPr>
            <w:tcW w:w="0" w:type="auto"/>
            <w:tcMar>
              <w:top w:w="57" w:type="dxa"/>
              <w:left w:w="57" w:type="dxa"/>
              <w:bottom w:w="57" w:type="dxa"/>
              <w:right w:w="57" w:type="dxa"/>
            </w:tcMar>
          </w:tcPr>
          <w:p w14:paraId="3E0029C0" w14:textId="56D91251" w:rsidR="00D01F4B" w:rsidRPr="004570F2" w:rsidRDefault="00D01F4B" w:rsidP="00D01F4B">
            <w:pPr>
              <w:pStyle w:val="ListParagraph"/>
              <w:numPr>
                <w:ilvl w:val="0"/>
                <w:numId w:val="479"/>
              </w:numPr>
              <w:spacing w:after="0"/>
              <w:ind w:left="324"/>
              <w:rPr>
                <w:sz w:val="20"/>
              </w:rPr>
            </w:pPr>
            <w:r w:rsidRPr="00E91094">
              <w:rPr>
                <w:sz w:val="20"/>
                <w:szCs w:val="20"/>
              </w:rPr>
              <w:t>n/a.</w:t>
            </w:r>
          </w:p>
        </w:tc>
        <w:tc>
          <w:tcPr>
            <w:tcW w:w="0" w:type="auto"/>
            <w:tcMar>
              <w:top w:w="57" w:type="dxa"/>
              <w:left w:w="57" w:type="dxa"/>
              <w:bottom w:w="57" w:type="dxa"/>
              <w:right w:w="57" w:type="dxa"/>
            </w:tcMar>
          </w:tcPr>
          <w:p w14:paraId="274E6EF0" w14:textId="77777777" w:rsidR="00D01F4B" w:rsidRPr="004570F2" w:rsidRDefault="00D01F4B">
            <w:pPr>
              <w:spacing w:after="0"/>
              <w:rPr>
                <w:sz w:val="20"/>
              </w:rPr>
            </w:pPr>
            <w:r w:rsidRPr="00E91094">
              <w:rPr>
                <w:sz w:val="20"/>
                <w:szCs w:val="20"/>
              </w:rPr>
              <w:t>n/a.</w:t>
            </w:r>
          </w:p>
        </w:tc>
        <w:tc>
          <w:tcPr>
            <w:tcW w:w="0" w:type="auto"/>
            <w:tcMar>
              <w:top w:w="57" w:type="dxa"/>
              <w:left w:w="57" w:type="dxa"/>
              <w:bottom w:w="57" w:type="dxa"/>
              <w:right w:w="57" w:type="dxa"/>
            </w:tcMar>
          </w:tcPr>
          <w:p w14:paraId="0702ABE8" w14:textId="4820B26F" w:rsidR="00D01F4B" w:rsidRPr="004570F2" w:rsidRDefault="00D01F4B" w:rsidP="004570F2">
            <w:pPr>
              <w:pStyle w:val="ListParagraph"/>
              <w:numPr>
                <w:ilvl w:val="0"/>
                <w:numId w:val="559"/>
              </w:numPr>
              <w:spacing w:after="0"/>
              <w:ind w:left="347"/>
              <w:rPr>
                <w:sz w:val="20"/>
              </w:rPr>
            </w:pPr>
            <w:r w:rsidRPr="00E91094">
              <w:rPr>
                <w:b/>
                <w:bCs/>
                <w:sz w:val="20"/>
                <w:szCs w:val="20"/>
              </w:rPr>
              <w:t>EUR 105.6–194.8</w:t>
            </w:r>
            <w:r w:rsidR="006400D7">
              <w:rPr>
                <w:b/>
                <w:bCs/>
                <w:sz w:val="20"/>
                <w:szCs w:val="20"/>
              </w:rPr>
              <w:t xml:space="preserve"> </w:t>
            </w:r>
            <w:r w:rsidR="006400D7" w:rsidRPr="00F47290">
              <w:rPr>
                <w:sz w:val="20"/>
                <w:szCs w:val="20"/>
              </w:rPr>
              <w:t>million</w:t>
            </w:r>
            <w:r w:rsidR="006400D7" w:rsidRPr="00E91094">
              <w:rPr>
                <w:b/>
                <w:bCs/>
                <w:sz w:val="20"/>
                <w:szCs w:val="20"/>
              </w:rPr>
              <w:t xml:space="preserve"> </w:t>
            </w:r>
            <w:r w:rsidRPr="00E91094">
              <w:rPr>
                <w:sz w:val="20"/>
                <w:szCs w:val="20"/>
              </w:rPr>
              <w:t>/</w:t>
            </w:r>
            <w:r w:rsidRPr="00E91094">
              <w:rPr>
                <w:b/>
                <w:bCs/>
                <w:sz w:val="20"/>
                <w:szCs w:val="20"/>
              </w:rPr>
              <w:t>year</w:t>
            </w:r>
            <w:r w:rsidRPr="00E91094">
              <w:rPr>
                <w:sz w:val="20"/>
                <w:szCs w:val="20"/>
              </w:rPr>
              <w:t xml:space="preserve"> (Biosecurity chilling effect EUR 97–170</w:t>
            </w:r>
            <w:r w:rsidR="006400D7">
              <w:rPr>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r w:rsidRPr="00E91094">
              <w:rPr>
                <w:sz w:val="20"/>
                <w:szCs w:val="20"/>
              </w:rPr>
              <w:t>/year + productivity loss EUR 8.6–24.8</w:t>
            </w:r>
            <w:r w:rsidR="006400D7" w:rsidRPr="00F47290">
              <w:rPr>
                <w:sz w:val="20"/>
                <w:szCs w:val="20"/>
              </w:rPr>
              <w:t xml:space="preserve"> million</w:t>
            </w:r>
            <w:r w:rsidR="006400D7" w:rsidRPr="00E91094">
              <w:rPr>
                <w:b/>
                <w:bCs/>
                <w:sz w:val="20"/>
                <w:szCs w:val="20"/>
              </w:rPr>
              <w:t xml:space="preserve"> </w:t>
            </w:r>
            <w:r w:rsidR="006400D7" w:rsidRPr="00E91094">
              <w:rPr>
                <w:sz w:val="20"/>
                <w:szCs w:val="20"/>
              </w:rPr>
              <w:t xml:space="preserve"> </w:t>
            </w:r>
            <w:r w:rsidRPr="00E91094">
              <w:rPr>
                <w:sz w:val="20"/>
                <w:szCs w:val="20"/>
              </w:rPr>
              <w:t>/year)</w:t>
            </w:r>
          </w:p>
        </w:tc>
      </w:tr>
      <w:tr w:rsidR="00D67AC1" w:rsidRPr="0073152B" w14:paraId="66C52F96" w14:textId="77777777" w:rsidTr="5DA36055">
        <w:tc>
          <w:tcPr>
            <w:tcW w:w="0" w:type="auto"/>
            <w:tcMar>
              <w:top w:w="57" w:type="dxa"/>
              <w:left w:w="57" w:type="dxa"/>
              <w:bottom w:w="57" w:type="dxa"/>
              <w:right w:w="57" w:type="dxa"/>
            </w:tcMar>
          </w:tcPr>
          <w:p w14:paraId="159A3FF4" w14:textId="77777777" w:rsidR="00D01F4B" w:rsidRPr="00E91094" w:rsidRDefault="00D01F4B">
            <w:pPr>
              <w:spacing w:after="0"/>
              <w:rPr>
                <w:sz w:val="20"/>
                <w:szCs w:val="20"/>
              </w:rPr>
            </w:pPr>
          </w:p>
        </w:tc>
        <w:tc>
          <w:tcPr>
            <w:tcW w:w="0" w:type="auto"/>
            <w:tcBorders>
              <w:bottom w:val="double" w:sz="4" w:space="0" w:color="auto"/>
              <w:right w:val="double" w:sz="4" w:space="0" w:color="auto"/>
            </w:tcBorders>
            <w:shd w:val="clear" w:color="auto" w:fill="E1EBF7"/>
            <w:tcMar>
              <w:top w:w="57" w:type="dxa"/>
              <w:left w:w="57" w:type="dxa"/>
              <w:bottom w:w="57" w:type="dxa"/>
              <w:right w:w="57" w:type="dxa"/>
            </w:tcMar>
          </w:tcPr>
          <w:p w14:paraId="59942D56" w14:textId="77777777" w:rsidR="00D01F4B" w:rsidRPr="00E91094" w:rsidRDefault="00D01F4B">
            <w:pPr>
              <w:spacing w:after="0"/>
              <w:jc w:val="left"/>
              <w:rPr>
                <w:b/>
                <w:bCs/>
                <w:sz w:val="20"/>
                <w:szCs w:val="20"/>
              </w:rPr>
            </w:pPr>
            <w:r w:rsidRPr="00E91094">
              <w:rPr>
                <w:b/>
                <w:bCs/>
                <w:sz w:val="20"/>
                <w:szCs w:val="20"/>
              </w:rPr>
              <w:t>Grand Total</w:t>
            </w:r>
          </w:p>
          <w:p w14:paraId="249C10D7" w14:textId="77777777" w:rsidR="00D01F4B" w:rsidRPr="00E91094" w:rsidRDefault="00D01F4B">
            <w:pPr>
              <w:spacing w:after="0"/>
              <w:jc w:val="left"/>
              <w:rPr>
                <w:b/>
                <w:bCs/>
                <w:sz w:val="20"/>
                <w:szCs w:val="20"/>
              </w:rPr>
            </w:pPr>
            <w:r w:rsidRPr="00E91094">
              <w:rPr>
                <w:b/>
                <w:bCs/>
                <w:sz w:val="20"/>
                <w:szCs w:val="20"/>
              </w:rPr>
              <w:t>(monetised costs only)</w:t>
            </w:r>
          </w:p>
        </w:tc>
        <w:tc>
          <w:tcPr>
            <w:tcW w:w="0" w:type="auto"/>
            <w:tcBorders>
              <w:left w:val="double" w:sz="4" w:space="0" w:color="auto"/>
              <w:bottom w:val="double" w:sz="4" w:space="0" w:color="auto"/>
            </w:tcBorders>
            <w:shd w:val="clear" w:color="auto" w:fill="E1EBF7"/>
            <w:tcMar>
              <w:top w:w="57" w:type="dxa"/>
              <w:left w:w="57" w:type="dxa"/>
              <w:bottom w:w="57" w:type="dxa"/>
              <w:right w:w="57" w:type="dxa"/>
            </w:tcMar>
          </w:tcPr>
          <w:p w14:paraId="123EBE5B" w14:textId="77777777" w:rsidR="00D01F4B" w:rsidRPr="00E91094" w:rsidRDefault="00D01F4B">
            <w:pPr>
              <w:spacing w:after="0"/>
              <w:rPr>
                <w:b/>
                <w:bCs/>
                <w:sz w:val="20"/>
                <w:szCs w:val="20"/>
              </w:rPr>
            </w:pPr>
            <w:r w:rsidRPr="00E91094">
              <w:rPr>
                <w:b/>
                <w:bCs/>
                <w:sz w:val="20"/>
                <w:szCs w:val="20"/>
              </w:rPr>
              <w:t>n/a.</w:t>
            </w:r>
          </w:p>
        </w:tc>
        <w:tc>
          <w:tcPr>
            <w:tcW w:w="0" w:type="auto"/>
            <w:tcBorders>
              <w:bottom w:val="double" w:sz="4" w:space="0" w:color="auto"/>
            </w:tcBorders>
            <w:shd w:val="clear" w:color="auto" w:fill="E1EBF7"/>
            <w:tcMar>
              <w:top w:w="57" w:type="dxa"/>
              <w:left w:w="57" w:type="dxa"/>
              <w:bottom w:w="57" w:type="dxa"/>
              <w:right w:w="57" w:type="dxa"/>
            </w:tcMar>
          </w:tcPr>
          <w:p w14:paraId="0C197005" w14:textId="523DF356" w:rsidR="00D01F4B" w:rsidRPr="00E91094" w:rsidRDefault="00D01F4B">
            <w:pPr>
              <w:spacing w:after="0"/>
              <w:rPr>
                <w:b/>
                <w:bCs/>
                <w:sz w:val="20"/>
                <w:szCs w:val="20"/>
              </w:rPr>
            </w:pPr>
            <w:r w:rsidRPr="00E91094">
              <w:rPr>
                <w:b/>
                <w:bCs/>
                <w:sz w:val="20"/>
                <w:szCs w:val="20"/>
              </w:rPr>
              <w:t xml:space="preserve">EUR </w:t>
            </w:r>
            <w:r w:rsidRPr="5CA0E13C">
              <w:rPr>
                <w:b/>
                <w:bCs/>
                <w:sz w:val="20"/>
                <w:szCs w:val="20"/>
              </w:rPr>
              <w:t>6</w:t>
            </w:r>
            <w:r w:rsidR="755EF1E7" w:rsidRPr="5CA0E13C">
              <w:rPr>
                <w:b/>
                <w:bCs/>
                <w:sz w:val="20"/>
                <w:szCs w:val="20"/>
              </w:rPr>
              <w:t>15</w:t>
            </w:r>
            <w:r w:rsidRPr="00E91094">
              <w:rPr>
                <w:b/>
                <w:bCs/>
                <w:sz w:val="20"/>
                <w:szCs w:val="20"/>
              </w:rPr>
              <w:t xml:space="preserve"> </w:t>
            </w:r>
            <w:r w:rsidR="006400D7" w:rsidRPr="00F47290">
              <w:rPr>
                <w:sz w:val="20"/>
                <w:szCs w:val="20"/>
              </w:rPr>
              <w:t>million</w:t>
            </w:r>
            <w:r w:rsidRPr="00E91094">
              <w:rPr>
                <w:b/>
                <w:bCs/>
                <w:sz w:val="20"/>
                <w:szCs w:val="20"/>
              </w:rPr>
              <w:t>/</w:t>
            </w:r>
            <w:r w:rsidRPr="5CA0E13C">
              <w:rPr>
                <w:b/>
                <w:bCs/>
                <w:sz w:val="20"/>
                <w:szCs w:val="20"/>
              </w:rPr>
              <w:t>y</w:t>
            </w:r>
            <w:r w:rsidR="00486316" w:rsidRPr="5CA0E13C">
              <w:rPr>
                <w:b/>
                <w:bCs/>
                <w:sz w:val="20"/>
                <w:szCs w:val="20"/>
              </w:rPr>
              <w:t>ea</w:t>
            </w:r>
            <w:r w:rsidRPr="5CA0E13C">
              <w:rPr>
                <w:b/>
                <w:bCs/>
                <w:sz w:val="20"/>
                <w:szCs w:val="20"/>
              </w:rPr>
              <w:t>r</w:t>
            </w:r>
          </w:p>
        </w:tc>
        <w:tc>
          <w:tcPr>
            <w:tcW w:w="0" w:type="auto"/>
            <w:tcBorders>
              <w:bottom w:val="double" w:sz="4" w:space="0" w:color="auto"/>
            </w:tcBorders>
            <w:shd w:val="clear" w:color="auto" w:fill="E1EBF7"/>
            <w:tcMar>
              <w:top w:w="57" w:type="dxa"/>
              <w:left w:w="57" w:type="dxa"/>
              <w:bottom w:w="57" w:type="dxa"/>
              <w:right w:w="57" w:type="dxa"/>
            </w:tcMar>
          </w:tcPr>
          <w:p w14:paraId="46EB23D1" w14:textId="1B1D4158" w:rsidR="00D01F4B" w:rsidRPr="00E91094" w:rsidRDefault="00D01F4B">
            <w:pPr>
              <w:spacing w:after="0"/>
              <w:rPr>
                <w:b/>
                <w:bCs/>
                <w:sz w:val="20"/>
                <w:szCs w:val="20"/>
              </w:rPr>
            </w:pPr>
            <w:r w:rsidRPr="00E91094">
              <w:rPr>
                <w:b/>
                <w:bCs/>
                <w:sz w:val="20"/>
                <w:szCs w:val="20"/>
              </w:rPr>
              <w:t>EUR 0.77 – 1.86</w:t>
            </w:r>
            <w:r w:rsidR="006400D7">
              <w:rPr>
                <w:b/>
                <w:bCs/>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p>
        </w:tc>
        <w:tc>
          <w:tcPr>
            <w:tcW w:w="0" w:type="auto"/>
            <w:tcBorders>
              <w:bottom w:val="double" w:sz="4" w:space="0" w:color="auto"/>
            </w:tcBorders>
            <w:shd w:val="clear" w:color="auto" w:fill="E1EBF7"/>
            <w:tcMar>
              <w:top w:w="57" w:type="dxa"/>
              <w:left w:w="57" w:type="dxa"/>
              <w:bottom w:w="57" w:type="dxa"/>
              <w:right w:w="57" w:type="dxa"/>
            </w:tcMar>
          </w:tcPr>
          <w:p w14:paraId="45C9E503" w14:textId="1F5FB2BB" w:rsidR="00D01F4B" w:rsidRPr="00E91094" w:rsidRDefault="00D01F4B">
            <w:pPr>
              <w:spacing w:after="0"/>
              <w:rPr>
                <w:b/>
                <w:bCs/>
                <w:sz w:val="20"/>
                <w:szCs w:val="20"/>
              </w:rPr>
            </w:pPr>
            <w:r w:rsidRPr="00E91094">
              <w:rPr>
                <w:b/>
                <w:bCs/>
                <w:sz w:val="20"/>
                <w:szCs w:val="20"/>
              </w:rPr>
              <w:t>EUR 24.7 – 43.87</w:t>
            </w:r>
            <w:r w:rsidR="006400D7">
              <w:rPr>
                <w:b/>
                <w:bCs/>
                <w:sz w:val="20"/>
                <w:szCs w:val="20"/>
              </w:rPr>
              <w:t xml:space="preserve"> </w:t>
            </w:r>
            <w:r w:rsidR="006400D7" w:rsidRPr="00F47290">
              <w:rPr>
                <w:sz w:val="20"/>
                <w:szCs w:val="20"/>
              </w:rPr>
              <w:t>million</w:t>
            </w:r>
            <w:r w:rsidRPr="00E91094">
              <w:rPr>
                <w:b/>
                <w:bCs/>
                <w:sz w:val="20"/>
                <w:szCs w:val="20"/>
              </w:rPr>
              <w:t>/y</w:t>
            </w:r>
            <w:r w:rsidR="00486316">
              <w:rPr>
                <w:b/>
                <w:bCs/>
                <w:sz w:val="20"/>
                <w:szCs w:val="20"/>
              </w:rPr>
              <w:t>ea</w:t>
            </w:r>
            <w:r w:rsidRPr="00E91094">
              <w:rPr>
                <w:b/>
                <w:bCs/>
                <w:sz w:val="20"/>
                <w:szCs w:val="20"/>
              </w:rPr>
              <w:t>r</w:t>
            </w:r>
          </w:p>
        </w:tc>
        <w:tc>
          <w:tcPr>
            <w:tcW w:w="0" w:type="auto"/>
            <w:tcBorders>
              <w:bottom w:val="double" w:sz="4" w:space="0" w:color="auto"/>
            </w:tcBorders>
            <w:shd w:val="clear" w:color="auto" w:fill="E1EBF7"/>
            <w:tcMar>
              <w:top w:w="57" w:type="dxa"/>
              <w:left w:w="57" w:type="dxa"/>
              <w:bottom w:w="57" w:type="dxa"/>
              <w:right w:w="57" w:type="dxa"/>
            </w:tcMar>
          </w:tcPr>
          <w:p w14:paraId="6D6386FE" w14:textId="0A5B34E9" w:rsidR="00D01F4B" w:rsidRPr="00E91094" w:rsidRDefault="00D01F4B">
            <w:pPr>
              <w:spacing w:after="0"/>
              <w:rPr>
                <w:b/>
                <w:bCs/>
                <w:sz w:val="20"/>
                <w:szCs w:val="20"/>
              </w:rPr>
            </w:pPr>
            <w:r w:rsidRPr="00E91094">
              <w:rPr>
                <w:b/>
                <w:bCs/>
                <w:sz w:val="20"/>
                <w:szCs w:val="20"/>
              </w:rPr>
              <w:t>EUR 8.75 – 8.9</w:t>
            </w:r>
            <w:r w:rsidR="006400D7">
              <w:rPr>
                <w:b/>
                <w:bCs/>
                <w:sz w:val="20"/>
                <w:szCs w:val="20"/>
              </w:rPr>
              <w:t xml:space="preserve"> </w:t>
            </w:r>
            <w:r w:rsidR="006400D7" w:rsidRPr="00F47290">
              <w:rPr>
                <w:sz w:val="20"/>
                <w:szCs w:val="20"/>
              </w:rPr>
              <w:t>million</w:t>
            </w:r>
            <w:r w:rsidR="006400D7" w:rsidRPr="00E91094">
              <w:rPr>
                <w:b/>
                <w:bCs/>
                <w:sz w:val="20"/>
                <w:szCs w:val="20"/>
              </w:rPr>
              <w:t xml:space="preserve"> </w:t>
            </w:r>
            <w:r w:rsidR="006400D7" w:rsidRPr="00E91094">
              <w:rPr>
                <w:sz w:val="20"/>
                <w:szCs w:val="20"/>
              </w:rPr>
              <w:t xml:space="preserve"> </w:t>
            </w:r>
          </w:p>
        </w:tc>
        <w:tc>
          <w:tcPr>
            <w:tcW w:w="0" w:type="auto"/>
            <w:tcBorders>
              <w:bottom w:val="double" w:sz="4" w:space="0" w:color="auto"/>
            </w:tcBorders>
            <w:shd w:val="clear" w:color="auto" w:fill="E1EBF7"/>
            <w:tcMar>
              <w:top w:w="57" w:type="dxa"/>
              <w:left w:w="57" w:type="dxa"/>
              <w:bottom w:w="57" w:type="dxa"/>
              <w:right w:w="57" w:type="dxa"/>
            </w:tcMar>
          </w:tcPr>
          <w:p w14:paraId="1E3EB57D" w14:textId="7BB68173" w:rsidR="00D01F4B" w:rsidRPr="00E91094" w:rsidRDefault="00D01F4B">
            <w:pPr>
              <w:spacing w:after="0"/>
              <w:rPr>
                <w:b/>
                <w:bCs/>
                <w:sz w:val="20"/>
                <w:szCs w:val="20"/>
              </w:rPr>
            </w:pPr>
            <w:r w:rsidRPr="00E91094">
              <w:rPr>
                <w:b/>
                <w:bCs/>
                <w:sz w:val="20"/>
                <w:szCs w:val="20"/>
              </w:rPr>
              <w:t xml:space="preserve">EUR 169.7 – 332.5 </w:t>
            </w:r>
            <w:r w:rsidR="006400D7" w:rsidRPr="00F47290">
              <w:rPr>
                <w:sz w:val="20"/>
                <w:szCs w:val="20"/>
              </w:rPr>
              <w:t>million</w:t>
            </w:r>
            <w:r w:rsidR="006400D7" w:rsidRPr="00E91094">
              <w:rPr>
                <w:b/>
                <w:bCs/>
                <w:sz w:val="20"/>
                <w:szCs w:val="20"/>
              </w:rPr>
              <w:t xml:space="preserve"> </w:t>
            </w:r>
            <w:r w:rsidRPr="00E91094">
              <w:rPr>
                <w:b/>
                <w:bCs/>
                <w:sz w:val="20"/>
                <w:szCs w:val="20"/>
              </w:rPr>
              <w:t>/y</w:t>
            </w:r>
            <w:r w:rsidR="00486316">
              <w:rPr>
                <w:b/>
                <w:bCs/>
                <w:sz w:val="20"/>
                <w:szCs w:val="20"/>
              </w:rPr>
              <w:t>ea</w:t>
            </w:r>
            <w:r w:rsidRPr="00E91094">
              <w:rPr>
                <w:b/>
                <w:bCs/>
                <w:sz w:val="20"/>
                <w:szCs w:val="20"/>
              </w:rPr>
              <w:t>r</w:t>
            </w:r>
          </w:p>
        </w:tc>
      </w:tr>
    </w:tbl>
    <w:p w14:paraId="3C4C84A1" w14:textId="77777777" w:rsidR="003506A0" w:rsidRPr="004570F2" w:rsidRDefault="003506A0" w:rsidP="004570F2">
      <w:pPr>
        <w:pStyle w:val="ListParagraph"/>
        <w:ind w:left="-207"/>
        <w:rPr>
          <w:sz w:val="22"/>
        </w:rPr>
      </w:pPr>
    </w:p>
    <w:p w14:paraId="57F02BE8" w14:textId="77777777" w:rsidR="006A2E37" w:rsidRPr="00441AB0" w:rsidRDefault="006A2E37" w:rsidP="00441AB0">
      <w:pPr>
        <w:ind w:left="-567"/>
        <w:rPr>
          <w:rFonts w:eastAsia="Aptos"/>
        </w:rPr>
      </w:pPr>
    </w:p>
    <w:tbl>
      <w:tblPr>
        <w:tblW w:w="0" w:type="auto"/>
        <w:tblLook w:val="04A0" w:firstRow="1" w:lastRow="0" w:firstColumn="1" w:lastColumn="0" w:noHBand="0" w:noVBand="1"/>
      </w:tblPr>
      <w:tblGrid>
        <w:gridCol w:w="1506"/>
        <w:gridCol w:w="2165"/>
        <w:gridCol w:w="3940"/>
        <w:gridCol w:w="1985"/>
        <w:gridCol w:w="2525"/>
        <w:gridCol w:w="1398"/>
      </w:tblGrid>
      <w:tr w:rsidR="00441AB0" w:rsidRPr="00441AB0" w14:paraId="1B4D2992" w14:textId="77777777" w:rsidTr="00441AB0">
        <w:trPr>
          <w:trHeight w:val="300"/>
        </w:trPr>
        <w:tc>
          <w:tcPr>
            <w:tcW w:w="0" w:type="auto"/>
            <w:gridSpan w:val="6"/>
            <w:tcBorders>
              <w:top w:val="double" w:sz="4" w:space="0" w:color="auto"/>
              <w:left w:val="double" w:sz="4" w:space="0" w:color="auto"/>
              <w:bottom w:val="single" w:sz="8" w:space="0" w:color="auto"/>
              <w:right w:val="double" w:sz="4" w:space="0" w:color="auto"/>
            </w:tcBorders>
            <w:shd w:val="clear" w:color="auto" w:fill="C6D9F1"/>
            <w:vAlign w:val="center"/>
            <w:hideMark/>
          </w:tcPr>
          <w:p w14:paraId="367756E4" w14:textId="6400C35D" w:rsidR="00441AB0" w:rsidRPr="00441AB0" w:rsidRDefault="00441AB0" w:rsidP="00441AB0">
            <w:pPr>
              <w:spacing w:after="0" w:line="256" w:lineRule="auto"/>
              <w:rPr>
                <w:rFonts w:eastAsia="Times New Roman"/>
                <w:b/>
                <w:bCs/>
                <w:kern w:val="2"/>
                <w:sz w:val="20"/>
                <w:szCs w:val="20"/>
                <w14:ligatures w14:val="standardContextual"/>
              </w:rPr>
            </w:pPr>
            <w:r w:rsidRPr="00441AB0">
              <w:rPr>
                <w:rFonts w:eastAsia="Times New Roman"/>
                <w:b/>
                <w:kern w:val="2"/>
                <w:sz w:val="20"/>
                <w:szCs w:val="20"/>
                <w14:ligatures w14:val="standardContextual"/>
              </w:rPr>
              <w:t xml:space="preserve">III. Contribution to the administrative burden reduction targets </w:t>
            </w:r>
          </w:p>
        </w:tc>
      </w:tr>
      <w:tr w:rsidR="00441AB0" w:rsidRPr="00441AB0" w14:paraId="4F5B311F" w14:textId="77777777" w:rsidTr="00E5568D">
        <w:trPr>
          <w:trHeight w:val="300"/>
        </w:trPr>
        <w:tc>
          <w:tcPr>
            <w:tcW w:w="0" w:type="auto"/>
            <w:tcBorders>
              <w:top w:val="nil"/>
              <w:left w:val="double" w:sz="4" w:space="0" w:color="auto"/>
              <w:bottom w:val="single" w:sz="8" w:space="0" w:color="auto"/>
              <w:right w:val="single" w:sz="8" w:space="0" w:color="auto"/>
            </w:tcBorders>
            <w:vAlign w:val="center"/>
            <w:hideMark/>
          </w:tcPr>
          <w:p w14:paraId="7A40771D" w14:textId="77777777" w:rsidR="00441AB0" w:rsidRPr="00441AB0" w:rsidRDefault="00441AB0" w:rsidP="00441AB0">
            <w:pPr>
              <w:spacing w:before="60" w:after="60" w:line="256" w:lineRule="auto"/>
              <w:jc w:val="center"/>
              <w:rPr>
                <w:rFonts w:eastAsia="Times New Roman"/>
                <w:b/>
                <w:bCs/>
                <w:kern w:val="2"/>
                <w:sz w:val="20"/>
                <w:szCs w:val="20"/>
                <w14:ligatures w14:val="standardContextual"/>
              </w:rPr>
            </w:pPr>
            <w:r w:rsidRPr="00441AB0">
              <w:rPr>
                <w:rFonts w:eastAsia="Times New Roman"/>
                <w:b/>
                <w:bCs/>
                <w:kern w:val="2"/>
                <w:sz w:val="20"/>
                <w:szCs w:val="20"/>
                <w14:ligatures w14:val="standardContextual"/>
              </w:rPr>
              <w:t>Administrative costs</w:t>
            </w:r>
          </w:p>
          <w:p w14:paraId="162692C4" w14:textId="7C4D6CD1" w:rsidR="00441AB0" w:rsidRPr="00441AB0" w:rsidRDefault="00441AB0" w:rsidP="00441AB0">
            <w:pPr>
              <w:spacing w:before="60" w:after="60" w:line="256" w:lineRule="auto"/>
              <w:jc w:val="center"/>
              <w:rPr>
                <w:rFonts w:ascii="Calibri" w:eastAsia="Calibri" w:hAnsi="Calibri" w:cs="Calibri"/>
                <w:b/>
                <w:bCs/>
                <w:kern w:val="2"/>
                <w:sz w:val="20"/>
                <w:szCs w:val="20"/>
                <w14:ligatures w14:val="standardContextual"/>
              </w:rPr>
            </w:pPr>
            <w:r w:rsidRPr="00441AB0">
              <w:rPr>
                <w:rFonts w:eastAsia="Calibri"/>
                <w:b/>
                <w:bCs/>
                <w:kern w:val="2"/>
                <w:sz w:val="20"/>
                <w:szCs w:val="20"/>
                <w14:ligatures w14:val="standardContextual"/>
              </w:rPr>
              <w:t xml:space="preserve"> [</w:t>
            </w:r>
            <w:r w:rsidR="00B40184">
              <w:rPr>
                <w:rFonts w:eastAsia="Calibri"/>
                <w:b/>
                <w:bCs/>
                <w:kern w:val="2"/>
                <w:sz w:val="20"/>
                <w:szCs w:val="20"/>
                <w14:ligatures w14:val="standardContextual"/>
              </w:rPr>
              <w:t>EUR million</w:t>
            </w:r>
            <w:r w:rsidRPr="00441AB0">
              <w:rPr>
                <w:rFonts w:eastAsia="Calibri"/>
                <w:b/>
                <w:bCs/>
                <w:kern w:val="2"/>
                <w:sz w:val="20"/>
                <w:szCs w:val="20"/>
                <w14:ligatures w14:val="standardContextual"/>
              </w:rPr>
              <w:t>]</w:t>
            </w:r>
          </w:p>
        </w:tc>
        <w:tc>
          <w:tcPr>
            <w:tcW w:w="2165" w:type="dxa"/>
            <w:tcBorders>
              <w:top w:val="nil"/>
              <w:left w:val="nil"/>
              <w:bottom w:val="single" w:sz="8" w:space="0" w:color="auto"/>
              <w:right w:val="single" w:sz="4" w:space="0" w:color="auto"/>
            </w:tcBorders>
            <w:hideMark/>
          </w:tcPr>
          <w:p w14:paraId="60D92D29" w14:textId="77777777" w:rsidR="00441AB0" w:rsidRPr="00441AB0" w:rsidRDefault="00441AB0" w:rsidP="00441AB0">
            <w:pPr>
              <w:spacing w:before="60" w:after="120" w:line="256" w:lineRule="auto"/>
              <w:jc w:val="center"/>
              <w:rPr>
                <w:rFonts w:eastAsia="Times New Roman"/>
                <w:b/>
                <w:bCs/>
                <w:kern w:val="2"/>
                <w:sz w:val="20"/>
                <w:szCs w:val="20"/>
                <w14:ligatures w14:val="standardContextual"/>
              </w:rPr>
            </w:pPr>
            <w:r w:rsidRPr="00441AB0">
              <w:rPr>
                <w:rFonts w:eastAsia="Times New Roman"/>
                <w:b/>
                <w:bCs/>
                <w:kern w:val="2"/>
                <w:sz w:val="20"/>
                <w:szCs w:val="20"/>
                <w14:ligatures w14:val="standardContextual"/>
              </w:rPr>
              <w:t>New recurrent costs (INs)</w:t>
            </w:r>
          </w:p>
          <w:p w14:paraId="06A6746F" w14:textId="77777777" w:rsidR="00441AB0" w:rsidRPr="00441AB0" w:rsidRDefault="00441AB0" w:rsidP="00441AB0">
            <w:pPr>
              <w:spacing w:before="60" w:after="120" w:line="256" w:lineRule="auto"/>
              <w:jc w:val="center"/>
              <w:rPr>
                <w:rFonts w:eastAsia="Times New Roman"/>
                <w:b/>
                <w:bCs/>
                <w:kern w:val="2"/>
                <w:sz w:val="20"/>
                <w:szCs w:val="20"/>
                <w14:ligatures w14:val="standardContextual"/>
              </w:rPr>
            </w:pPr>
            <w:r w:rsidRPr="00441AB0">
              <w:rPr>
                <w:rFonts w:eastAsia="Times New Roman"/>
                <w:kern w:val="2"/>
                <w:sz w:val="20"/>
                <w:szCs w:val="20"/>
                <w14:ligatures w14:val="standardContextual"/>
              </w:rPr>
              <w:t>(nominal values per year)</w:t>
            </w:r>
          </w:p>
        </w:tc>
        <w:tc>
          <w:tcPr>
            <w:tcW w:w="3940" w:type="dxa"/>
            <w:tcBorders>
              <w:top w:val="nil"/>
              <w:left w:val="nil"/>
              <w:bottom w:val="single" w:sz="8" w:space="0" w:color="auto"/>
              <w:right w:val="single" w:sz="4" w:space="0" w:color="auto"/>
            </w:tcBorders>
            <w:hideMark/>
          </w:tcPr>
          <w:p w14:paraId="3ACD8770" w14:textId="77777777" w:rsidR="00441AB0" w:rsidRPr="00441AB0" w:rsidRDefault="00441AB0" w:rsidP="00441AB0">
            <w:pPr>
              <w:spacing w:before="60" w:after="120" w:line="256" w:lineRule="auto"/>
              <w:jc w:val="center"/>
              <w:rPr>
                <w:rFonts w:eastAsia="Times New Roman"/>
                <w:b/>
                <w:bCs/>
                <w:kern w:val="2"/>
                <w:sz w:val="20"/>
                <w:szCs w:val="20"/>
                <w14:ligatures w14:val="standardContextual"/>
              </w:rPr>
            </w:pPr>
            <w:r w:rsidRPr="00441AB0">
              <w:rPr>
                <w:rFonts w:eastAsia="Times New Roman"/>
                <w:b/>
                <w:bCs/>
                <w:kern w:val="2"/>
                <w:sz w:val="20"/>
                <w:szCs w:val="20"/>
                <w14:ligatures w14:val="standardContextual"/>
              </w:rPr>
              <w:t>Removed recurrent costs (OUTs)</w:t>
            </w:r>
          </w:p>
          <w:p w14:paraId="79D1A79B" w14:textId="77777777" w:rsidR="00441AB0" w:rsidRPr="00441AB0" w:rsidRDefault="00441AB0" w:rsidP="00441AB0">
            <w:pPr>
              <w:spacing w:before="60" w:after="120" w:line="256" w:lineRule="auto"/>
              <w:jc w:val="center"/>
              <w:rPr>
                <w:rFonts w:eastAsia="Times New Roman"/>
                <w:b/>
                <w:bCs/>
                <w:kern w:val="2"/>
                <w:sz w:val="20"/>
                <w:szCs w:val="20"/>
                <w14:ligatures w14:val="standardContextual"/>
              </w:rPr>
            </w:pPr>
            <w:r w:rsidRPr="00441AB0">
              <w:rPr>
                <w:rFonts w:eastAsia="Times New Roman"/>
                <w:kern w:val="2"/>
                <w:sz w:val="20"/>
                <w:szCs w:val="20"/>
                <w14:ligatures w14:val="standardContextual"/>
              </w:rPr>
              <w:t>(nominal values per year)</w:t>
            </w:r>
          </w:p>
        </w:tc>
        <w:tc>
          <w:tcPr>
            <w:tcW w:w="1985" w:type="dxa"/>
            <w:tcBorders>
              <w:top w:val="nil"/>
              <w:left w:val="single" w:sz="4" w:space="0" w:color="auto"/>
              <w:bottom w:val="single" w:sz="8" w:space="0" w:color="auto"/>
              <w:right w:val="single" w:sz="4" w:space="0" w:color="auto"/>
            </w:tcBorders>
          </w:tcPr>
          <w:p w14:paraId="7B17CFEE" w14:textId="79FA5FDA" w:rsidR="00441AB0" w:rsidRPr="00441AB0" w:rsidRDefault="00441AB0" w:rsidP="00441AB0">
            <w:pPr>
              <w:spacing w:before="60" w:after="60" w:line="256" w:lineRule="auto"/>
              <w:jc w:val="center"/>
              <w:rPr>
                <w:rFonts w:eastAsia="Times New Roman"/>
                <w:b/>
                <w:bCs/>
                <w:kern w:val="2"/>
                <w:sz w:val="20"/>
                <w:szCs w:val="20"/>
                <w14:ligatures w14:val="standardContextual"/>
              </w:rPr>
            </w:pPr>
            <w:r w:rsidRPr="00441AB0">
              <w:rPr>
                <w:rFonts w:eastAsia="Times New Roman"/>
                <w:b/>
                <w:bCs/>
                <w:kern w:val="2"/>
                <w:sz w:val="20"/>
                <w:szCs w:val="20"/>
                <w14:ligatures w14:val="standardContextual"/>
              </w:rPr>
              <w:t>Net cost(INs – OUTs)</w:t>
            </w:r>
          </w:p>
          <w:p w14:paraId="5B90C995" w14:textId="77777777" w:rsidR="00441AB0" w:rsidRPr="00441AB0" w:rsidRDefault="00441AB0" w:rsidP="00441AB0">
            <w:pPr>
              <w:spacing w:before="60" w:after="60" w:line="256" w:lineRule="auto"/>
              <w:jc w:val="center"/>
              <w:rPr>
                <w:rFonts w:eastAsia="Times New Roman"/>
                <w:kern w:val="2"/>
                <w:sz w:val="20"/>
                <w:szCs w:val="20"/>
                <w14:ligatures w14:val="standardContextual"/>
              </w:rPr>
            </w:pPr>
          </w:p>
          <w:p w14:paraId="5C92372A" w14:textId="77777777" w:rsidR="00441AB0" w:rsidRPr="00441AB0" w:rsidRDefault="00441AB0" w:rsidP="00441AB0">
            <w:pPr>
              <w:spacing w:before="60" w:after="60" w:line="256" w:lineRule="auto"/>
              <w:jc w:val="center"/>
              <w:rPr>
                <w:rFonts w:eastAsia="Times New Roman"/>
                <w:b/>
                <w:bCs/>
                <w:kern w:val="2"/>
                <w:sz w:val="20"/>
                <w:szCs w:val="20"/>
                <w14:ligatures w14:val="standardContextual"/>
              </w:rPr>
            </w:pPr>
            <w:r w:rsidRPr="00441AB0">
              <w:rPr>
                <w:rFonts w:eastAsia="Times New Roman"/>
                <w:kern w:val="2"/>
                <w:sz w:val="20"/>
                <w:szCs w:val="20"/>
                <w14:ligatures w14:val="standardContextual"/>
              </w:rPr>
              <w:t>(nominal values per year)</w:t>
            </w:r>
            <w:r w:rsidRPr="00441AB0">
              <w:rPr>
                <w:rFonts w:eastAsia="Times New Roman"/>
                <w:b/>
                <w:bCs/>
                <w:kern w:val="2"/>
                <w:sz w:val="20"/>
                <w:szCs w:val="20"/>
                <w14:ligatures w14:val="standardContextual"/>
              </w:rPr>
              <w:t xml:space="preserve"> </w:t>
            </w:r>
          </w:p>
        </w:tc>
        <w:tc>
          <w:tcPr>
            <w:tcW w:w="2525" w:type="dxa"/>
            <w:tcBorders>
              <w:top w:val="nil"/>
              <w:left w:val="single" w:sz="4" w:space="0" w:color="auto"/>
              <w:bottom w:val="single" w:sz="8" w:space="0" w:color="auto"/>
              <w:right w:val="single" w:sz="4" w:space="0" w:color="auto"/>
            </w:tcBorders>
            <w:hideMark/>
          </w:tcPr>
          <w:p w14:paraId="705B1E85" w14:textId="77777777" w:rsidR="00441AB0" w:rsidRPr="00441AB0" w:rsidRDefault="00441AB0" w:rsidP="00441AB0">
            <w:pPr>
              <w:spacing w:before="60" w:after="60" w:line="256" w:lineRule="auto"/>
              <w:jc w:val="center"/>
              <w:rPr>
                <w:rFonts w:eastAsia="Times New Roman"/>
                <w:kern w:val="2"/>
                <w:sz w:val="20"/>
                <w:szCs w:val="20"/>
                <w14:ligatures w14:val="standardContextual"/>
              </w:rPr>
            </w:pPr>
            <w:r w:rsidRPr="00441AB0">
              <w:rPr>
                <w:rFonts w:eastAsia="Times New Roman"/>
                <w:b/>
                <w:bCs/>
                <w:kern w:val="2"/>
                <w:sz w:val="20"/>
                <w:szCs w:val="20"/>
                <w14:ligatures w14:val="standardContextual"/>
              </w:rPr>
              <w:t>New one-off costs (INs)</w:t>
            </w:r>
            <w:r w:rsidRPr="00441AB0">
              <w:rPr>
                <w:rFonts w:eastAsia="Times New Roman"/>
                <w:kern w:val="2"/>
                <w:sz w:val="20"/>
                <w:szCs w:val="20"/>
                <w14:ligatures w14:val="standardContextual"/>
              </w:rPr>
              <w:t xml:space="preserve"> </w:t>
            </w:r>
          </w:p>
          <w:p w14:paraId="72AED378" w14:textId="77777777" w:rsidR="00441AB0" w:rsidRPr="00441AB0" w:rsidRDefault="00441AB0" w:rsidP="00441AB0">
            <w:pPr>
              <w:spacing w:before="60" w:after="60" w:line="256" w:lineRule="auto"/>
              <w:jc w:val="center"/>
              <w:rPr>
                <w:rFonts w:eastAsia="Calibri"/>
                <w:b/>
                <w:bCs/>
                <w:kern w:val="2"/>
                <w:sz w:val="20"/>
                <w:szCs w:val="20"/>
                <w14:ligatures w14:val="standardContextual"/>
              </w:rPr>
            </w:pPr>
            <w:r w:rsidRPr="00441AB0">
              <w:rPr>
                <w:rFonts w:eastAsia="Times New Roman"/>
                <w:kern w:val="2"/>
                <w:sz w:val="20"/>
                <w:szCs w:val="20"/>
                <w14:ligatures w14:val="standardContextual"/>
              </w:rPr>
              <w:t xml:space="preserve">(annualised </w:t>
            </w:r>
            <w:r w:rsidRPr="00441AB0">
              <w:rPr>
                <w:rFonts w:eastAsia="Calibri"/>
                <w:kern w:val="2"/>
                <w:sz w:val="20"/>
                <w:szCs w:val="20"/>
                <w14:ligatures w14:val="standardContextual"/>
              </w:rPr>
              <w:t>total net present value over the relevant period</w:t>
            </w:r>
            <w:r w:rsidRPr="00441AB0">
              <w:rPr>
                <w:rFonts w:eastAsia="Times New Roman"/>
                <w:kern w:val="2"/>
                <w:sz w:val="20"/>
                <w:szCs w:val="20"/>
                <w14:ligatures w14:val="standardContextual"/>
              </w:rPr>
              <w:t>)</w:t>
            </w:r>
          </w:p>
        </w:tc>
        <w:tc>
          <w:tcPr>
            <w:tcW w:w="0" w:type="auto"/>
            <w:tcBorders>
              <w:top w:val="nil"/>
              <w:left w:val="single" w:sz="4" w:space="0" w:color="auto"/>
              <w:bottom w:val="single" w:sz="8" w:space="0" w:color="auto"/>
              <w:right w:val="double" w:sz="4" w:space="0" w:color="auto"/>
            </w:tcBorders>
            <w:hideMark/>
          </w:tcPr>
          <w:p w14:paraId="37F385E0" w14:textId="77777777" w:rsidR="00441AB0" w:rsidRPr="00441AB0" w:rsidRDefault="00441AB0" w:rsidP="00441AB0">
            <w:pPr>
              <w:spacing w:before="60" w:after="60" w:line="256" w:lineRule="auto"/>
              <w:jc w:val="center"/>
              <w:rPr>
                <w:rFonts w:eastAsia="Times New Roman"/>
                <w:b/>
                <w:bCs/>
                <w:kern w:val="2"/>
                <w:sz w:val="20"/>
                <w:szCs w:val="20"/>
                <w14:ligatures w14:val="standardContextual"/>
              </w:rPr>
            </w:pPr>
            <w:r w:rsidRPr="00441AB0">
              <w:rPr>
                <w:rFonts w:eastAsia="Times New Roman"/>
                <w:b/>
                <w:bCs/>
                <w:kern w:val="2"/>
                <w:sz w:val="20"/>
                <w:szCs w:val="20"/>
                <w14:ligatures w14:val="standardContextual"/>
              </w:rPr>
              <w:t>Removed one-off costs (OUTs)</w:t>
            </w:r>
          </w:p>
          <w:p w14:paraId="1463AFC7" w14:textId="77777777" w:rsidR="00441AB0" w:rsidRPr="00441AB0" w:rsidRDefault="00441AB0" w:rsidP="00441AB0">
            <w:pPr>
              <w:spacing w:before="60" w:after="60" w:line="256" w:lineRule="auto"/>
              <w:jc w:val="center"/>
              <w:rPr>
                <w:rFonts w:eastAsia="Calibri"/>
                <w:b/>
                <w:bCs/>
                <w:kern w:val="2"/>
                <w:sz w:val="20"/>
                <w:szCs w:val="20"/>
                <w14:ligatures w14:val="standardContextual"/>
              </w:rPr>
            </w:pPr>
            <w:r w:rsidRPr="00441AB0">
              <w:rPr>
                <w:rFonts w:eastAsia="Times New Roman"/>
                <w:kern w:val="2"/>
                <w:sz w:val="20"/>
                <w:szCs w:val="20"/>
                <w14:ligatures w14:val="standardContextual"/>
              </w:rPr>
              <w:t xml:space="preserve">(annualised </w:t>
            </w:r>
            <w:r w:rsidRPr="00441AB0">
              <w:rPr>
                <w:rFonts w:eastAsia="Calibri"/>
                <w:kern w:val="2"/>
                <w:sz w:val="20"/>
                <w:szCs w:val="20"/>
                <w14:ligatures w14:val="standardContextual"/>
              </w:rPr>
              <w:t>total net present value over the relevant period</w:t>
            </w:r>
            <w:r w:rsidRPr="00441AB0">
              <w:rPr>
                <w:rFonts w:eastAsia="Times New Roman"/>
                <w:kern w:val="2"/>
                <w:sz w:val="20"/>
                <w:szCs w:val="20"/>
                <w14:ligatures w14:val="standardContextual"/>
              </w:rPr>
              <w:t>)</w:t>
            </w:r>
          </w:p>
        </w:tc>
      </w:tr>
      <w:tr w:rsidR="00441AB0" w:rsidRPr="00441AB0" w14:paraId="086FC399" w14:textId="77777777" w:rsidTr="00E5568D">
        <w:trPr>
          <w:trHeight w:val="300"/>
        </w:trPr>
        <w:tc>
          <w:tcPr>
            <w:tcW w:w="0" w:type="auto"/>
            <w:tcBorders>
              <w:top w:val="single" w:sz="8" w:space="0" w:color="auto"/>
              <w:left w:val="double" w:sz="4" w:space="0" w:color="auto"/>
              <w:bottom w:val="single" w:sz="8" w:space="0" w:color="auto"/>
              <w:right w:val="single" w:sz="8" w:space="0" w:color="auto"/>
            </w:tcBorders>
            <w:vAlign w:val="center"/>
            <w:hideMark/>
          </w:tcPr>
          <w:p w14:paraId="78784534" w14:textId="77777777" w:rsidR="00441AB0" w:rsidRPr="00441AB0" w:rsidRDefault="00441AB0" w:rsidP="00441AB0">
            <w:pPr>
              <w:spacing w:before="60" w:after="60" w:line="256" w:lineRule="auto"/>
              <w:jc w:val="left"/>
              <w:rPr>
                <w:rFonts w:eastAsia="Times New Roman"/>
                <w:kern w:val="2"/>
                <w:sz w:val="20"/>
                <w:szCs w:val="20"/>
                <w14:ligatures w14:val="standardContextual"/>
              </w:rPr>
            </w:pPr>
            <w:r w:rsidRPr="00441AB0">
              <w:rPr>
                <w:rFonts w:eastAsia="Times New Roman"/>
                <w:kern w:val="2"/>
                <w:sz w:val="20"/>
                <w:szCs w:val="20"/>
                <w14:ligatures w14:val="standardContextual"/>
              </w:rPr>
              <w:t>All businesses</w:t>
            </w:r>
          </w:p>
        </w:tc>
        <w:tc>
          <w:tcPr>
            <w:tcW w:w="2165" w:type="dxa"/>
            <w:tcBorders>
              <w:top w:val="single" w:sz="8" w:space="0" w:color="auto"/>
              <w:left w:val="nil"/>
              <w:bottom w:val="single" w:sz="8" w:space="0" w:color="auto"/>
              <w:right w:val="single" w:sz="4" w:space="0" w:color="auto"/>
            </w:tcBorders>
            <w:vAlign w:val="center"/>
            <w:hideMark/>
          </w:tcPr>
          <w:p w14:paraId="3903DF04" w14:textId="2A775813" w:rsidR="00441AB0" w:rsidRPr="00441AB0" w:rsidRDefault="00441AB0" w:rsidP="00441AB0">
            <w:pPr>
              <w:spacing w:line="256" w:lineRule="auto"/>
              <w:jc w:val="left"/>
              <w:rPr>
                <w:rFonts w:eastAsia="Aptos"/>
                <w:kern w:val="2"/>
                <w:sz w:val="20"/>
                <w:szCs w:val="20"/>
                <w14:ligatures w14:val="standardContextual"/>
              </w:rPr>
            </w:pPr>
            <w:r w:rsidRPr="00441AB0">
              <w:rPr>
                <w:rFonts w:eastAsia="Aptos"/>
                <w:kern w:val="2"/>
                <w:sz w:val="20"/>
                <w:szCs w:val="20"/>
                <w14:ligatures w14:val="standardContextual"/>
              </w:rPr>
              <w:t>(Organ processing) Authorisation application per processing technique (steady state from ~2032): ~7–10 applications/year EU-27 at ~EUR 12,800 each; annual value: ~</w:t>
            </w:r>
            <w:r w:rsidR="00C107DB">
              <w:rPr>
                <w:rFonts w:eastAsia="Aptos"/>
                <w:kern w:val="2"/>
                <w:sz w:val="20"/>
                <w:szCs w:val="20"/>
                <w14:ligatures w14:val="standardContextual"/>
              </w:rPr>
              <w:t xml:space="preserve">EUR </w:t>
            </w:r>
            <w:r w:rsidRPr="00441AB0">
              <w:rPr>
                <w:rFonts w:eastAsia="Aptos"/>
                <w:kern w:val="2"/>
                <w:sz w:val="20"/>
                <w:szCs w:val="20"/>
                <w14:ligatures w14:val="standardContextual"/>
              </w:rPr>
              <w:t xml:space="preserve">0.09–0.13 </w:t>
            </w:r>
            <w:r w:rsidR="00C107DB">
              <w:rPr>
                <w:rFonts w:eastAsia="Aptos"/>
                <w:kern w:val="2"/>
                <w:sz w:val="20"/>
                <w:szCs w:val="20"/>
                <w14:ligatures w14:val="standardContextual"/>
              </w:rPr>
              <w:t>million</w:t>
            </w:r>
            <w:r w:rsidRPr="00441AB0">
              <w:rPr>
                <w:rFonts w:eastAsia="Aptos"/>
                <w:kern w:val="2"/>
                <w:sz w:val="20"/>
                <w:szCs w:val="20"/>
                <w14:ligatures w14:val="standardContextual"/>
              </w:rPr>
              <w:t>/year.</w:t>
            </w:r>
          </w:p>
          <w:p w14:paraId="648F717F" w14:textId="79A05EEE" w:rsidR="00441AB0" w:rsidRPr="00441AB0" w:rsidRDefault="00441AB0" w:rsidP="00441AB0">
            <w:pPr>
              <w:spacing w:line="256" w:lineRule="auto"/>
              <w:jc w:val="left"/>
              <w:rPr>
                <w:rFonts w:eastAsia="Aptos"/>
                <w:kern w:val="2"/>
                <w:sz w:val="20"/>
                <w:szCs w:val="20"/>
                <w14:ligatures w14:val="standardContextual"/>
              </w:rPr>
            </w:pPr>
            <w:r w:rsidRPr="00441AB0">
              <w:rPr>
                <w:rFonts w:eastAsia="Aptos"/>
                <w:kern w:val="2"/>
                <w:sz w:val="20"/>
                <w:szCs w:val="20"/>
                <w14:ligatures w14:val="standardContextual"/>
              </w:rPr>
              <w:t>(Biosecurity) Per-order verification, documentation and procurement compliance: EUR 16.4</w:t>
            </w:r>
            <w:r w:rsidR="00C107DB">
              <w:rPr>
                <w:rFonts w:eastAsia="Aptos"/>
                <w:kern w:val="2"/>
                <w:sz w:val="20"/>
                <w:szCs w:val="20"/>
                <w14:ligatures w14:val="standardContextual"/>
              </w:rPr>
              <w:t xml:space="preserve"> million</w:t>
            </w:r>
            <w:r w:rsidRPr="00441AB0">
              <w:rPr>
                <w:rFonts w:eastAsia="Aptos"/>
                <w:kern w:val="2"/>
                <w:sz w:val="20"/>
                <w:szCs w:val="20"/>
                <w14:ligatures w14:val="standardContextual"/>
              </w:rPr>
              <w:t>/year (EUR 3.56</w:t>
            </w:r>
            <w:r w:rsidR="00992616">
              <w:rPr>
                <w:rFonts w:eastAsia="Aptos"/>
                <w:kern w:val="2"/>
                <w:sz w:val="20"/>
                <w:szCs w:val="20"/>
                <w14:ligatures w14:val="standardContextual"/>
              </w:rPr>
              <w:t xml:space="preserve"> million</w:t>
            </w:r>
            <w:r w:rsidRPr="00441AB0">
              <w:rPr>
                <w:rFonts w:eastAsia="Aptos"/>
                <w:kern w:val="2"/>
                <w:sz w:val="20"/>
                <w:szCs w:val="20"/>
                <w14:ligatures w14:val="standardContextual"/>
              </w:rPr>
              <w:t xml:space="preserve"> gene orders + </w:t>
            </w:r>
            <w:r w:rsidRPr="00441AB0">
              <w:rPr>
                <w:rFonts w:eastAsia="Aptos"/>
                <w:kern w:val="2"/>
                <w:sz w:val="20"/>
                <w:szCs w:val="20"/>
                <w14:ligatures w14:val="standardContextual"/>
              </w:rPr>
              <w:lastRenderedPageBreak/>
              <w:t>EUR 12.85</w:t>
            </w:r>
            <w:r w:rsidR="00992616">
              <w:rPr>
                <w:rFonts w:eastAsia="Aptos"/>
                <w:kern w:val="2"/>
                <w:sz w:val="20"/>
                <w:szCs w:val="20"/>
                <w14:ligatures w14:val="standardContextual"/>
              </w:rPr>
              <w:t xml:space="preserve"> million</w:t>
            </w:r>
            <w:r w:rsidRPr="00441AB0">
              <w:rPr>
                <w:rFonts w:eastAsia="Aptos"/>
                <w:kern w:val="2"/>
                <w:sz w:val="20"/>
                <w:szCs w:val="20"/>
                <w14:ligatures w14:val="standardContextual"/>
              </w:rPr>
              <w:t xml:space="preserve"> oligo orders)</w:t>
            </w:r>
          </w:p>
          <w:p w14:paraId="6E01F531" w14:textId="77777777" w:rsidR="00441AB0" w:rsidRPr="00441AB0" w:rsidRDefault="00441AB0" w:rsidP="00441AB0">
            <w:pPr>
              <w:spacing w:line="256" w:lineRule="auto"/>
              <w:jc w:val="left"/>
              <w:rPr>
                <w:rFonts w:eastAsia="Aptos"/>
                <w:kern w:val="2"/>
                <w:sz w:val="20"/>
                <w:szCs w:val="20"/>
                <w14:ligatures w14:val="standardContextual"/>
              </w:rPr>
            </w:pPr>
            <w:r w:rsidRPr="00441AB0">
              <w:rPr>
                <w:rFonts w:eastAsia="Aptos"/>
                <w:kern w:val="2"/>
                <w:sz w:val="20"/>
                <w:szCs w:val="20"/>
                <w14:ligatures w14:val="standardContextual"/>
              </w:rPr>
              <w:t>(multiple) Ongoing reporting, knowledge-sharing and participation compliance obligations; recognised strategic project applications; SPC eligibility demonstrations; clinical trial sandbox reporting. Not quantified.</w:t>
            </w:r>
          </w:p>
          <w:p w14:paraId="5C2853C2" w14:textId="522CC832" w:rsidR="00441AB0" w:rsidRPr="00441AB0" w:rsidRDefault="00441AB0" w:rsidP="00441AB0">
            <w:pPr>
              <w:spacing w:line="256" w:lineRule="auto"/>
              <w:jc w:val="left"/>
              <w:rPr>
                <w:rFonts w:eastAsia="Aptos"/>
                <w:b/>
                <w:bCs/>
                <w:kern w:val="2"/>
                <w:sz w:val="20"/>
                <w:szCs w:val="20"/>
                <w14:ligatures w14:val="standardContextual"/>
              </w:rPr>
            </w:pPr>
            <w:r w:rsidRPr="00441AB0">
              <w:rPr>
                <w:rFonts w:eastAsia="Aptos"/>
                <w:b/>
                <w:bCs/>
                <w:kern w:val="2"/>
                <w:sz w:val="20"/>
                <w:szCs w:val="20"/>
                <w14:ligatures w14:val="standardContextual"/>
              </w:rPr>
              <w:t>Approx. EUR 16.5</w:t>
            </w:r>
            <w:r w:rsidR="00992616">
              <w:rPr>
                <w:rFonts w:eastAsia="Aptos"/>
                <w:b/>
                <w:bCs/>
                <w:kern w:val="2"/>
                <w:sz w:val="20"/>
                <w:szCs w:val="20"/>
                <w14:ligatures w14:val="standardContextual"/>
              </w:rPr>
              <w:t xml:space="preserve"> million</w:t>
            </w:r>
            <w:r w:rsidRPr="00441AB0">
              <w:rPr>
                <w:rFonts w:eastAsia="Aptos"/>
                <w:b/>
                <w:bCs/>
                <w:kern w:val="2"/>
                <w:sz w:val="20"/>
                <w:szCs w:val="20"/>
                <w14:ligatures w14:val="standardContextual"/>
              </w:rPr>
              <w:t>/year</w:t>
            </w:r>
          </w:p>
        </w:tc>
        <w:tc>
          <w:tcPr>
            <w:tcW w:w="3940" w:type="dxa"/>
            <w:tcBorders>
              <w:top w:val="single" w:sz="8" w:space="0" w:color="auto"/>
              <w:left w:val="nil"/>
              <w:bottom w:val="single" w:sz="8" w:space="0" w:color="auto"/>
              <w:right w:val="single" w:sz="4" w:space="0" w:color="auto"/>
            </w:tcBorders>
            <w:vAlign w:val="center"/>
            <w:hideMark/>
          </w:tcPr>
          <w:p w14:paraId="1222162A" w14:textId="6EC2C37A" w:rsidR="00441AB0" w:rsidRPr="00441AB0" w:rsidRDefault="00441AB0" w:rsidP="00441AB0">
            <w:pPr>
              <w:spacing w:line="256" w:lineRule="auto"/>
              <w:jc w:val="left"/>
              <w:rPr>
                <w:rFonts w:eastAsia="Aptos"/>
                <w:kern w:val="2"/>
                <w:sz w:val="20"/>
                <w:szCs w:val="20"/>
                <w14:ligatures w14:val="standardContextual"/>
              </w:rPr>
            </w:pPr>
            <w:r w:rsidRPr="00441AB0">
              <w:rPr>
                <w:rFonts w:eastAsia="Aptos"/>
                <w:kern w:val="2"/>
                <w:sz w:val="20"/>
                <w:szCs w:val="20"/>
                <w14:ligatures w14:val="standardContextual"/>
              </w:rPr>
              <w:lastRenderedPageBreak/>
              <w:t>(ATMP) Full ERA dossier and parallel national GMO submission obligations replaced by a simplified declaration per CTA. Saving: ~0.15–0.3 FTE-year per CTA application. GMO-specific workload of ~0.3–0.5 FTE-year per CTA is reduced by 50–70%. At ~8–15 CTAs/year subject to dual-track burden, and an indicative EU regulatory affairs cost approx. EUR 16,800–33,600 per CTA. Annual value: ~</w:t>
            </w:r>
            <w:r w:rsidR="00C107DB">
              <w:rPr>
                <w:rFonts w:eastAsia="Aptos"/>
                <w:kern w:val="2"/>
                <w:sz w:val="20"/>
                <w:szCs w:val="20"/>
                <w14:ligatures w14:val="standardContextual"/>
              </w:rPr>
              <w:t xml:space="preserve">EUR </w:t>
            </w:r>
            <w:r w:rsidRPr="00441AB0">
              <w:rPr>
                <w:rFonts w:eastAsia="Aptos"/>
                <w:kern w:val="2"/>
                <w:sz w:val="20"/>
                <w:szCs w:val="20"/>
                <w14:ligatures w14:val="standardContextual"/>
              </w:rPr>
              <w:t xml:space="preserve">0.13–0.50 </w:t>
            </w:r>
            <w:r w:rsidR="00C107DB">
              <w:rPr>
                <w:rFonts w:eastAsia="Aptos"/>
                <w:kern w:val="2"/>
                <w:sz w:val="20"/>
                <w:szCs w:val="20"/>
                <w14:ligatures w14:val="standardContextual"/>
              </w:rPr>
              <w:t>million</w:t>
            </w:r>
            <w:r w:rsidRPr="00441AB0">
              <w:rPr>
                <w:rFonts w:eastAsia="Aptos"/>
                <w:kern w:val="2"/>
                <w:sz w:val="20"/>
                <w:szCs w:val="20"/>
                <w14:ligatures w14:val="standardContextual"/>
              </w:rPr>
              <w:t>/year</w:t>
            </w:r>
          </w:p>
          <w:p w14:paraId="40B9172F" w14:textId="6BCA175F" w:rsidR="00441AB0" w:rsidRPr="00441AB0" w:rsidRDefault="00441AB0" w:rsidP="00441AB0">
            <w:pPr>
              <w:spacing w:line="256" w:lineRule="auto"/>
              <w:jc w:val="left"/>
              <w:rPr>
                <w:rFonts w:eastAsia="Aptos"/>
                <w:kern w:val="2"/>
                <w:sz w:val="20"/>
                <w:szCs w:val="20"/>
                <w14:ligatures w14:val="standardContextual"/>
              </w:rPr>
            </w:pPr>
            <w:r w:rsidRPr="00441AB0">
              <w:rPr>
                <w:rFonts w:eastAsia="Aptos"/>
                <w:kern w:val="2"/>
                <w:sz w:val="20"/>
                <w:szCs w:val="20"/>
                <w14:ligatures w14:val="standardContextual"/>
              </w:rPr>
              <w:t>(VMP) VNRA batching: 45–55% reduction in submission events for ~31,875 non-SPC VNRAs/year. Staff time saving: 14,930–29,859 hours/year saved sector-wide at ~EUR 65/hour. Annual value: ~</w:t>
            </w:r>
            <w:r w:rsidR="00992616">
              <w:rPr>
                <w:rFonts w:eastAsia="Aptos"/>
                <w:kern w:val="2"/>
                <w:sz w:val="20"/>
                <w:szCs w:val="20"/>
                <w14:ligatures w14:val="standardContextual"/>
              </w:rPr>
              <w:t xml:space="preserve">EUR </w:t>
            </w:r>
            <w:r w:rsidRPr="00441AB0">
              <w:rPr>
                <w:rFonts w:eastAsia="Aptos"/>
                <w:kern w:val="2"/>
                <w:sz w:val="20"/>
                <w:szCs w:val="20"/>
                <w14:ligatures w14:val="standardContextual"/>
              </w:rPr>
              <w:t xml:space="preserve">0.97–1.94 </w:t>
            </w:r>
            <w:r w:rsidR="00992616">
              <w:rPr>
                <w:rFonts w:eastAsia="Aptos"/>
                <w:kern w:val="2"/>
                <w:sz w:val="20"/>
                <w:szCs w:val="20"/>
                <w14:ligatures w14:val="standardContextual"/>
              </w:rPr>
              <w:t>million</w:t>
            </w:r>
            <w:r w:rsidRPr="00441AB0">
              <w:rPr>
                <w:rFonts w:eastAsia="Aptos"/>
                <w:kern w:val="2"/>
                <w:sz w:val="20"/>
                <w:szCs w:val="20"/>
                <w14:ligatures w14:val="standardContextual"/>
              </w:rPr>
              <w:t>/year (central: ~</w:t>
            </w:r>
            <w:r w:rsidR="00992616">
              <w:rPr>
                <w:rFonts w:eastAsia="Aptos"/>
                <w:kern w:val="2"/>
                <w:sz w:val="20"/>
                <w:szCs w:val="20"/>
                <w14:ligatures w14:val="standardContextual"/>
              </w:rPr>
              <w:t xml:space="preserve">EUR </w:t>
            </w:r>
            <w:r w:rsidRPr="00441AB0">
              <w:rPr>
                <w:rFonts w:eastAsia="Aptos"/>
                <w:kern w:val="2"/>
                <w:sz w:val="20"/>
                <w:szCs w:val="20"/>
                <w14:ligatures w14:val="standardContextual"/>
              </w:rPr>
              <w:t xml:space="preserve">1.46 </w:t>
            </w:r>
            <w:r w:rsidR="00992616">
              <w:rPr>
                <w:rFonts w:eastAsia="Aptos"/>
                <w:kern w:val="2"/>
                <w:sz w:val="20"/>
                <w:szCs w:val="20"/>
                <w14:ligatures w14:val="standardContextual"/>
              </w:rPr>
              <w:t>million</w:t>
            </w:r>
            <w:r w:rsidRPr="00441AB0">
              <w:rPr>
                <w:rFonts w:eastAsia="Aptos"/>
                <w:kern w:val="2"/>
                <w:sz w:val="20"/>
                <w:szCs w:val="20"/>
                <w14:ligatures w14:val="standardContextual"/>
              </w:rPr>
              <w:t>/year)</w:t>
            </w:r>
          </w:p>
          <w:p w14:paraId="17BB3C52" w14:textId="77777777" w:rsidR="00441AB0" w:rsidRPr="00441AB0" w:rsidRDefault="00441AB0" w:rsidP="00441AB0">
            <w:pPr>
              <w:spacing w:line="256" w:lineRule="auto"/>
              <w:jc w:val="left"/>
              <w:rPr>
                <w:rFonts w:eastAsia="Aptos"/>
                <w:kern w:val="2"/>
                <w:sz w:val="20"/>
                <w:szCs w:val="20"/>
                <w14:ligatures w14:val="standardContextual"/>
              </w:rPr>
            </w:pPr>
            <w:r w:rsidRPr="00441AB0">
              <w:rPr>
                <w:rFonts w:eastAsia="Aptos"/>
                <w:kern w:val="2"/>
                <w:sz w:val="20"/>
                <w:szCs w:val="20"/>
                <w14:ligatures w14:val="standardContextual"/>
              </w:rPr>
              <w:lastRenderedPageBreak/>
              <w:t>(VMP GMO exemption) Elimination of requirement to compile Annex III GMO documentation under Directive 2001/18/EC for GMO-containing VMP marketing authorisation applications. Saving: approximately EUR 7,000 per MA dossier. At approximately 5–10 GMO-VMP MA applications per year: annual aggregate value approximately EUR 0.035–0.070 million/year.</w:t>
            </w:r>
          </w:p>
          <w:p w14:paraId="0505CBE4" w14:textId="01191439" w:rsidR="00441AB0" w:rsidRPr="00441AB0" w:rsidRDefault="00441AB0" w:rsidP="00441AB0">
            <w:pPr>
              <w:spacing w:line="256" w:lineRule="auto"/>
              <w:jc w:val="left"/>
              <w:rPr>
                <w:rFonts w:eastAsia="Aptos"/>
                <w:kern w:val="2"/>
                <w:sz w:val="20"/>
                <w:szCs w:val="20"/>
                <w14:ligatures w14:val="standardContextual"/>
              </w:rPr>
            </w:pPr>
            <w:r w:rsidRPr="00441AB0">
              <w:rPr>
                <w:rFonts w:eastAsia="Aptos"/>
                <w:kern w:val="2"/>
                <w:sz w:val="20"/>
                <w:szCs w:val="20"/>
                <w:lang w:eastAsia="en-GB"/>
                <w14:ligatures w14:val="standardContextual"/>
              </w:rPr>
              <w:t xml:space="preserve">(Biosimilars) </w:t>
            </w:r>
            <w:r w:rsidRPr="00441AB0">
              <w:rPr>
                <w:rFonts w:eastAsia="Aptos"/>
                <w:kern w:val="2"/>
                <w:sz w:val="20"/>
                <w:szCs w:val="20"/>
                <w14:ligatures w14:val="standardContextual"/>
              </w:rPr>
              <w:t xml:space="preserve">Reduced MAA dossier preparation burden where CES is eliminated: ~75 person-days saved (EUR 30K–45K) per eligible MAA. At ~12–18 MAAs/year qualifying during 2025–2030. </w:t>
            </w:r>
            <w:r w:rsidRPr="00441AB0">
              <w:rPr>
                <w:rFonts w:eastAsia="Times New Roman"/>
                <w:kern w:val="2"/>
                <w:sz w:val="20"/>
                <w:szCs w:val="20"/>
                <w14:ligatures w14:val="standardContextual"/>
              </w:rPr>
              <w:t>Annual aggregate value: ~EUR 0.36–0.81 million/year (12–18 MAAs × EUR 30–45</w:t>
            </w:r>
            <w:r w:rsidR="00992616">
              <w:rPr>
                <w:rFonts w:eastAsia="Times New Roman"/>
                <w:kern w:val="2"/>
                <w:sz w:val="20"/>
                <w:szCs w:val="20"/>
                <w14:ligatures w14:val="standardContextual"/>
              </w:rPr>
              <w:t xml:space="preserve"> thousand</w:t>
            </w:r>
            <w:r w:rsidRPr="00441AB0">
              <w:rPr>
                <w:rFonts w:eastAsia="Times New Roman"/>
                <w:kern w:val="2"/>
                <w:sz w:val="20"/>
                <w:szCs w:val="20"/>
                <w14:ligatures w14:val="standardContextual"/>
              </w:rPr>
              <w:t xml:space="preserve">). </w:t>
            </w:r>
          </w:p>
          <w:p w14:paraId="4A6BA2D9" w14:textId="77777777" w:rsidR="00441AB0" w:rsidRPr="00441AB0" w:rsidRDefault="00441AB0" w:rsidP="00441AB0">
            <w:pPr>
              <w:spacing w:line="256" w:lineRule="auto"/>
              <w:jc w:val="left"/>
              <w:rPr>
                <w:rFonts w:eastAsia="Aptos"/>
                <w:kern w:val="2"/>
                <w:sz w:val="20"/>
                <w:szCs w:val="20"/>
                <w14:ligatures w14:val="standardContextual"/>
              </w:rPr>
            </w:pPr>
            <w:r w:rsidRPr="00441AB0">
              <w:rPr>
                <w:rFonts w:eastAsia="Aptos"/>
                <w:kern w:val="2"/>
                <w:sz w:val="20"/>
                <w:szCs w:val="20"/>
                <w14:ligatures w14:val="standardContextual"/>
              </w:rPr>
              <w:t>(GMMs) Reduced standard GMO dossier requirements for low-risk pathway applications: source explicitly estimates ~1% reduction per application (589 vs 593 working days NCA burden). Near-zero applications currently (no authorised non-food GMMs under current framework); net saving negligible at present</w:t>
            </w:r>
          </w:p>
          <w:p w14:paraId="1E534171" w14:textId="0A326C92" w:rsidR="00441AB0" w:rsidRPr="00441AB0" w:rsidRDefault="00441AB0" w:rsidP="00441AB0">
            <w:pPr>
              <w:tabs>
                <w:tab w:val="left" w:pos="0"/>
              </w:tabs>
              <w:spacing w:line="256" w:lineRule="auto"/>
              <w:jc w:val="left"/>
              <w:rPr>
                <w:rFonts w:eastAsia="Aptos"/>
                <w:kern w:val="2"/>
                <w:sz w:val="20"/>
                <w:szCs w:val="20"/>
                <w:lang w:eastAsia="en-GB"/>
                <w14:ligatures w14:val="standardContextual"/>
              </w:rPr>
            </w:pPr>
            <w:r w:rsidRPr="00441AB0">
              <w:rPr>
                <w:rFonts w:eastAsia="Aptos"/>
                <w:kern w:val="2"/>
                <w:sz w:val="20"/>
                <w:szCs w:val="20"/>
                <w:lang w:eastAsia="en-GB"/>
                <w14:ligatures w14:val="standardContextual"/>
              </w:rPr>
              <w:t xml:space="preserve">(Clinical trials) Reduced administrative FTE time per multinational clinical trial application through streamlined authorisation procedures: approximately EUR 2,714–4,496 per application (Standard Cost Model; 15–25% reduction in time spent with regulators). </w:t>
            </w:r>
            <w:r w:rsidRPr="00441AB0">
              <w:rPr>
                <w:rFonts w:eastAsia="Aptos"/>
                <w:kern w:val="2"/>
                <w:sz w:val="20"/>
                <w:szCs w:val="20"/>
                <w:lang w:eastAsia="en-GB"/>
                <w14:ligatures w14:val="standardContextual"/>
              </w:rPr>
              <w:lastRenderedPageBreak/>
              <w:t>At approximately 1,050 multinational trials/year: approximately EUR 2.8–4.7</w:t>
            </w:r>
            <w:r w:rsidR="00992616">
              <w:rPr>
                <w:rFonts w:eastAsia="Aptos"/>
                <w:kern w:val="2"/>
                <w:sz w:val="20"/>
                <w:szCs w:val="20"/>
                <w:lang w:eastAsia="en-GB"/>
                <w14:ligatures w14:val="standardContextual"/>
              </w:rPr>
              <w:t xml:space="preserve"> million</w:t>
            </w:r>
            <w:r w:rsidRPr="00441AB0">
              <w:rPr>
                <w:rFonts w:eastAsia="Aptos"/>
                <w:kern w:val="2"/>
                <w:sz w:val="20"/>
                <w:szCs w:val="20"/>
                <w:lang w:eastAsia="en-GB"/>
                <w14:ligatures w14:val="standardContextual"/>
              </w:rPr>
              <w:t>/year.</w:t>
            </w:r>
          </w:p>
          <w:p w14:paraId="7B024106" w14:textId="43B05E39" w:rsidR="00441AB0" w:rsidRPr="00441AB0" w:rsidRDefault="00441AB0" w:rsidP="00441AB0">
            <w:pPr>
              <w:tabs>
                <w:tab w:val="left" w:pos="0"/>
              </w:tabs>
              <w:spacing w:line="256" w:lineRule="auto"/>
              <w:jc w:val="left"/>
              <w:rPr>
                <w:rFonts w:eastAsia="Aptos"/>
                <w:kern w:val="2"/>
                <w:sz w:val="20"/>
                <w:szCs w:val="20"/>
                <w:lang w:eastAsia="en-GB"/>
                <w14:ligatures w14:val="standardContextual"/>
              </w:rPr>
            </w:pPr>
            <w:r w:rsidRPr="00441AB0">
              <w:rPr>
                <w:rFonts w:eastAsia="Aptos"/>
                <w:kern w:val="2"/>
                <w:sz w:val="20"/>
                <w:szCs w:val="20"/>
                <w:lang w:eastAsia="en-GB"/>
                <w14:ligatures w14:val="standardContextual"/>
              </w:rPr>
              <w:t>(Clinical trials) Elimination of duplicate parallel submissions for combined studies (medicinal products and medical devices/diagnostics). Coordinated assessment reduces excess submissions by approximately 30%; 381–748 excess submissions eliminated per year at EUR 2,239 processing cost per Member State. Annual value: approximately EUR 0.8–1.6</w:t>
            </w:r>
            <w:r w:rsidR="00992616">
              <w:rPr>
                <w:rFonts w:eastAsia="Aptos"/>
                <w:kern w:val="2"/>
                <w:sz w:val="20"/>
                <w:szCs w:val="20"/>
                <w:lang w:eastAsia="en-GB"/>
                <w14:ligatures w14:val="standardContextual"/>
              </w:rPr>
              <w:t xml:space="preserve"> million</w:t>
            </w:r>
            <w:r w:rsidRPr="00441AB0">
              <w:rPr>
                <w:rFonts w:eastAsia="Aptos"/>
                <w:kern w:val="2"/>
                <w:sz w:val="20"/>
                <w:szCs w:val="20"/>
                <w:lang w:eastAsia="en-GB"/>
                <w14:ligatures w14:val="standardContextual"/>
              </w:rPr>
              <w:t>/year.</w:t>
            </w:r>
          </w:p>
          <w:p w14:paraId="20856D21" w14:textId="0764F680" w:rsidR="00441AB0" w:rsidRPr="00441AB0" w:rsidRDefault="00441AB0" w:rsidP="00441AB0">
            <w:pPr>
              <w:tabs>
                <w:tab w:val="left" w:pos="0"/>
              </w:tabs>
              <w:spacing w:line="256" w:lineRule="auto"/>
              <w:jc w:val="left"/>
              <w:rPr>
                <w:rFonts w:eastAsia="Aptos"/>
                <w:b/>
                <w:bCs/>
                <w:kern w:val="2"/>
                <w:sz w:val="20"/>
                <w:szCs w:val="20"/>
                <w:lang w:eastAsia="en-GB"/>
                <w14:ligatures w14:val="standardContextual"/>
              </w:rPr>
            </w:pPr>
            <w:r w:rsidRPr="00441AB0">
              <w:rPr>
                <w:rFonts w:eastAsia="Aptos"/>
                <w:b/>
                <w:bCs/>
                <w:kern w:val="2"/>
                <w:sz w:val="20"/>
                <w:szCs w:val="20"/>
                <w:lang w:eastAsia="en-GB"/>
                <w14:ligatures w14:val="standardContextual"/>
              </w:rPr>
              <w:t>Approx. EUR 5.1–9.6</w:t>
            </w:r>
            <w:r w:rsidR="00992616">
              <w:rPr>
                <w:rFonts w:eastAsia="Aptos"/>
                <w:b/>
                <w:bCs/>
                <w:kern w:val="2"/>
                <w:sz w:val="20"/>
                <w:szCs w:val="20"/>
                <w:lang w:eastAsia="en-GB"/>
                <w14:ligatures w14:val="standardContextual"/>
              </w:rPr>
              <w:t xml:space="preserve"> million</w:t>
            </w:r>
            <w:r w:rsidRPr="00441AB0">
              <w:rPr>
                <w:rFonts w:eastAsia="Aptos"/>
                <w:b/>
                <w:bCs/>
                <w:kern w:val="2"/>
                <w:sz w:val="20"/>
                <w:szCs w:val="20"/>
                <w:lang w:eastAsia="en-GB"/>
                <w14:ligatures w14:val="standardContextual"/>
              </w:rPr>
              <w:t>/year</w:t>
            </w:r>
          </w:p>
        </w:tc>
        <w:tc>
          <w:tcPr>
            <w:tcW w:w="1985" w:type="dxa"/>
            <w:tcBorders>
              <w:top w:val="single" w:sz="8" w:space="0" w:color="auto"/>
              <w:left w:val="single" w:sz="4" w:space="0" w:color="auto"/>
              <w:bottom w:val="single" w:sz="8" w:space="0" w:color="auto"/>
              <w:right w:val="single" w:sz="4" w:space="0" w:color="auto"/>
            </w:tcBorders>
            <w:vAlign w:val="center"/>
            <w:hideMark/>
          </w:tcPr>
          <w:p w14:paraId="39B85ED5" w14:textId="4F1A3777" w:rsidR="00441AB0" w:rsidRPr="00441AB0" w:rsidRDefault="00441AB0" w:rsidP="00441AB0">
            <w:pPr>
              <w:spacing w:line="256" w:lineRule="auto"/>
              <w:jc w:val="left"/>
              <w:rPr>
                <w:rFonts w:eastAsia="Calibri"/>
                <w:kern w:val="2"/>
                <w:sz w:val="20"/>
                <w:szCs w:val="20"/>
                <w:lang w:eastAsia="en-GB"/>
                <w14:ligatures w14:val="standardContextual"/>
              </w:rPr>
            </w:pPr>
            <w:r w:rsidRPr="00441AB0">
              <w:rPr>
                <w:rFonts w:eastAsia="Aptos"/>
                <w:b/>
                <w:bCs/>
                <w:kern w:val="2"/>
                <w:sz w:val="20"/>
                <w:szCs w:val="20"/>
                <w14:ligatures w14:val="standardContextual"/>
              </w:rPr>
              <w:lastRenderedPageBreak/>
              <w:t xml:space="preserve">~  + EUR </w:t>
            </w:r>
            <w:r w:rsidRPr="00441AB0">
              <w:rPr>
                <w:rFonts w:eastAsia="Aptos"/>
                <w:b/>
                <w:bCs/>
                <w:kern w:val="2"/>
                <w14:ligatures w14:val="standardContextual"/>
              </w:rPr>
              <w:t>6.9</w:t>
            </w:r>
            <w:r w:rsidRPr="00441AB0">
              <w:rPr>
                <w:rFonts w:eastAsia="Aptos"/>
                <w:b/>
                <w:bCs/>
                <w:kern w:val="2"/>
                <w:sz w:val="20"/>
                <w:szCs w:val="20"/>
                <w14:ligatures w14:val="standardContextual"/>
              </w:rPr>
              <w:t>–11.4M/year</w:t>
            </w:r>
            <w:r w:rsidRPr="00441AB0">
              <w:rPr>
                <w:rFonts w:eastAsia="Aptos"/>
                <w:kern w:val="2"/>
                <w:sz w:val="20"/>
                <w:szCs w:val="20"/>
                <w14:ligatures w14:val="standardContextual"/>
              </w:rPr>
              <w:t xml:space="preserve"> (net increase, driven primarily by Action 17 biosecurity customer compliance at EUR 16.4</w:t>
            </w:r>
            <w:r w:rsidR="009D7563">
              <w:rPr>
                <w:rFonts w:eastAsia="Aptos"/>
                <w:kern w:val="2"/>
                <w:sz w:val="20"/>
                <w:szCs w:val="20"/>
                <w14:ligatures w14:val="standardContextual"/>
              </w:rPr>
              <w:t xml:space="preserve"> million</w:t>
            </w:r>
            <w:r w:rsidRPr="00441AB0">
              <w:rPr>
                <w:rFonts w:eastAsia="Aptos"/>
                <w:kern w:val="2"/>
                <w:sz w:val="20"/>
                <w:szCs w:val="20"/>
                <w14:ligatures w14:val="standardContextual"/>
              </w:rPr>
              <w:t>/year)</w:t>
            </w:r>
          </w:p>
        </w:tc>
        <w:tc>
          <w:tcPr>
            <w:tcW w:w="2525" w:type="dxa"/>
            <w:tcBorders>
              <w:top w:val="single" w:sz="8" w:space="0" w:color="auto"/>
              <w:left w:val="single" w:sz="4" w:space="0" w:color="auto"/>
              <w:bottom w:val="single" w:sz="8" w:space="0" w:color="auto"/>
              <w:right w:val="single" w:sz="4" w:space="0" w:color="auto"/>
            </w:tcBorders>
            <w:vAlign w:val="center"/>
            <w:hideMark/>
          </w:tcPr>
          <w:p w14:paraId="711AF508" w14:textId="70A5631E" w:rsidR="00441AB0" w:rsidRPr="00441AB0" w:rsidRDefault="00441AB0" w:rsidP="00441AB0">
            <w:pPr>
              <w:spacing w:line="256" w:lineRule="auto"/>
              <w:jc w:val="left"/>
              <w:rPr>
                <w:rFonts w:eastAsia="Calibri"/>
                <w:kern w:val="2"/>
                <w:sz w:val="20"/>
                <w:szCs w:val="20"/>
                <w:lang w:eastAsia="en-GB"/>
                <w14:ligatures w14:val="standardContextual"/>
              </w:rPr>
            </w:pPr>
            <w:r w:rsidRPr="00441AB0">
              <w:rPr>
                <w:rFonts w:eastAsia="Aptos"/>
                <w:kern w:val="2"/>
                <w:sz w:val="20"/>
                <w:szCs w:val="20"/>
                <w14:ligatures w14:val="standardContextual"/>
              </w:rPr>
              <w:t>(Organ processing) Authorisation applications for organ processing techniques during transition phase (2029–2031): total EUR 0.77–1.86</w:t>
            </w:r>
            <w:r w:rsidR="009D7563">
              <w:rPr>
                <w:rFonts w:eastAsia="Aptos"/>
                <w:kern w:val="2"/>
                <w:sz w:val="20"/>
                <w:szCs w:val="20"/>
                <w14:ligatures w14:val="standardContextual"/>
              </w:rPr>
              <w:t xml:space="preserve"> million</w:t>
            </w:r>
            <w:r w:rsidRPr="00441AB0">
              <w:rPr>
                <w:rFonts w:eastAsia="Aptos"/>
                <w:kern w:val="2"/>
                <w:sz w:val="20"/>
                <w:szCs w:val="20"/>
                <w14:ligatures w14:val="standardContextual"/>
              </w:rPr>
              <w:t xml:space="preserve"> (approx. 60–145 applications EU-27 at weighted average EUR 12,800 each); annualised NPV over 11-year assessment period (2028–2038): </w:t>
            </w:r>
            <w:r w:rsidRPr="00441AB0">
              <w:rPr>
                <w:rFonts w:eastAsia="Aptos"/>
                <w:b/>
                <w:bCs/>
                <w:kern w:val="2"/>
                <w:sz w:val="20"/>
                <w:szCs w:val="20"/>
                <w14:ligatures w14:val="standardContextual"/>
              </w:rPr>
              <w:t>approximately EUR 0.08–0.20</w:t>
            </w:r>
            <w:r w:rsidR="009D7563">
              <w:rPr>
                <w:rFonts w:eastAsia="Aptos"/>
                <w:b/>
                <w:bCs/>
                <w:kern w:val="2"/>
                <w:sz w:val="20"/>
                <w:szCs w:val="20"/>
                <w14:ligatures w14:val="standardContextual"/>
              </w:rPr>
              <w:t xml:space="preserve"> million</w:t>
            </w:r>
            <w:r w:rsidRPr="00441AB0">
              <w:rPr>
                <w:rFonts w:eastAsia="Aptos"/>
                <w:b/>
                <w:bCs/>
                <w:kern w:val="2"/>
                <w:sz w:val="20"/>
                <w:szCs w:val="20"/>
                <w14:ligatures w14:val="standardContextual"/>
              </w:rPr>
              <w:t>.</w:t>
            </w:r>
          </w:p>
        </w:tc>
        <w:tc>
          <w:tcPr>
            <w:tcW w:w="0" w:type="auto"/>
            <w:tcBorders>
              <w:top w:val="single" w:sz="8" w:space="0" w:color="auto"/>
              <w:left w:val="single" w:sz="4" w:space="0" w:color="auto"/>
              <w:bottom w:val="single" w:sz="8" w:space="0" w:color="auto"/>
              <w:right w:val="double" w:sz="4" w:space="0" w:color="auto"/>
            </w:tcBorders>
            <w:vAlign w:val="center"/>
            <w:hideMark/>
          </w:tcPr>
          <w:p w14:paraId="32372413" w14:textId="77777777" w:rsidR="00441AB0" w:rsidRPr="00441AB0" w:rsidRDefault="00441AB0" w:rsidP="00441AB0">
            <w:pPr>
              <w:spacing w:line="256" w:lineRule="auto"/>
              <w:jc w:val="left"/>
              <w:rPr>
                <w:rFonts w:eastAsia="Calibri"/>
                <w:kern w:val="2"/>
                <w:sz w:val="20"/>
                <w:szCs w:val="20"/>
                <w:lang w:eastAsia="en-GB"/>
                <w14:ligatures w14:val="standardContextual"/>
              </w:rPr>
            </w:pPr>
            <w:r w:rsidRPr="00441AB0">
              <w:rPr>
                <w:rFonts w:eastAsia="Calibri"/>
                <w:kern w:val="2"/>
                <w:sz w:val="20"/>
                <w:szCs w:val="20"/>
                <w:lang w:eastAsia="en-GB"/>
                <w14:ligatures w14:val="standardContextual"/>
              </w:rPr>
              <w:t>None</w:t>
            </w:r>
          </w:p>
        </w:tc>
      </w:tr>
      <w:tr w:rsidR="00441AB0" w:rsidRPr="00441AB0" w14:paraId="742707FB" w14:textId="77777777" w:rsidTr="00E5568D">
        <w:trPr>
          <w:trHeight w:val="300"/>
        </w:trPr>
        <w:tc>
          <w:tcPr>
            <w:tcW w:w="0" w:type="auto"/>
            <w:tcBorders>
              <w:top w:val="nil"/>
              <w:left w:val="double" w:sz="4" w:space="0" w:color="auto"/>
              <w:bottom w:val="single" w:sz="8" w:space="0" w:color="auto"/>
              <w:right w:val="single" w:sz="8" w:space="0" w:color="auto"/>
            </w:tcBorders>
            <w:vAlign w:val="center"/>
            <w:hideMark/>
          </w:tcPr>
          <w:p w14:paraId="42AF7E21" w14:textId="77777777" w:rsidR="00441AB0" w:rsidRPr="00441AB0" w:rsidRDefault="00441AB0" w:rsidP="00441AB0">
            <w:pPr>
              <w:numPr>
                <w:ilvl w:val="0"/>
                <w:numId w:val="564"/>
              </w:numPr>
              <w:spacing w:after="0" w:line="256" w:lineRule="auto"/>
              <w:ind w:left="475"/>
              <w:contextualSpacing/>
              <w:rPr>
                <w:rFonts w:eastAsia="Times New Roman"/>
                <w:kern w:val="2"/>
                <w:sz w:val="20"/>
                <w:szCs w:val="20"/>
                <w14:ligatures w14:val="standardContextual"/>
              </w:rPr>
            </w:pPr>
            <w:r w:rsidRPr="00441AB0">
              <w:rPr>
                <w:rFonts w:eastAsia="Times New Roman"/>
                <w:kern w:val="2"/>
                <w:sz w:val="20"/>
                <w:szCs w:val="20"/>
                <w14:ligatures w14:val="standardContextual"/>
              </w:rPr>
              <w:lastRenderedPageBreak/>
              <w:t>in which SMEs</w:t>
            </w:r>
          </w:p>
        </w:tc>
        <w:tc>
          <w:tcPr>
            <w:tcW w:w="2165" w:type="dxa"/>
            <w:tcBorders>
              <w:top w:val="single" w:sz="8" w:space="0" w:color="auto"/>
              <w:left w:val="nil"/>
              <w:bottom w:val="single" w:sz="8" w:space="0" w:color="auto"/>
              <w:right w:val="single" w:sz="4" w:space="0" w:color="auto"/>
            </w:tcBorders>
            <w:vAlign w:val="center"/>
          </w:tcPr>
          <w:p w14:paraId="61867EA5" w14:textId="77777777" w:rsidR="00441AB0" w:rsidRPr="00441AB0" w:rsidRDefault="00441AB0" w:rsidP="00441AB0">
            <w:pPr>
              <w:spacing w:line="256" w:lineRule="auto"/>
              <w:ind w:right="739"/>
              <w:jc w:val="right"/>
              <w:rPr>
                <w:rFonts w:eastAsia="Calibri"/>
                <w:kern w:val="2"/>
                <w:sz w:val="20"/>
                <w:szCs w:val="20"/>
                <w:lang w:eastAsia="en-GB"/>
                <w14:ligatures w14:val="standardContextual"/>
              </w:rPr>
            </w:pPr>
          </w:p>
        </w:tc>
        <w:tc>
          <w:tcPr>
            <w:tcW w:w="3940" w:type="dxa"/>
            <w:tcBorders>
              <w:top w:val="single" w:sz="8" w:space="0" w:color="auto"/>
              <w:left w:val="nil"/>
              <w:bottom w:val="single" w:sz="8" w:space="0" w:color="auto"/>
              <w:right w:val="single" w:sz="4" w:space="0" w:color="auto"/>
            </w:tcBorders>
            <w:vAlign w:val="center"/>
          </w:tcPr>
          <w:p w14:paraId="7FB564CB" w14:textId="77777777" w:rsidR="00441AB0" w:rsidRPr="00441AB0" w:rsidRDefault="00441AB0" w:rsidP="00441AB0">
            <w:pPr>
              <w:spacing w:line="256" w:lineRule="auto"/>
              <w:ind w:right="739"/>
              <w:jc w:val="right"/>
              <w:rPr>
                <w:rFonts w:eastAsia="Calibri"/>
                <w:kern w:val="2"/>
                <w:sz w:val="20"/>
                <w:szCs w:val="20"/>
                <w:lang w:eastAsia="en-GB"/>
                <w14:ligatures w14:val="standardContextual"/>
              </w:rPr>
            </w:pPr>
          </w:p>
        </w:tc>
        <w:tc>
          <w:tcPr>
            <w:tcW w:w="1985" w:type="dxa"/>
            <w:tcBorders>
              <w:top w:val="single" w:sz="8" w:space="0" w:color="auto"/>
              <w:left w:val="single" w:sz="4" w:space="0" w:color="auto"/>
              <w:bottom w:val="single" w:sz="8" w:space="0" w:color="auto"/>
              <w:right w:val="single" w:sz="4" w:space="0" w:color="auto"/>
            </w:tcBorders>
            <w:vAlign w:val="center"/>
          </w:tcPr>
          <w:p w14:paraId="6CE8AC51" w14:textId="77777777" w:rsidR="00441AB0" w:rsidRPr="00441AB0" w:rsidRDefault="00441AB0" w:rsidP="00441AB0">
            <w:pPr>
              <w:spacing w:line="256" w:lineRule="auto"/>
              <w:ind w:right="739"/>
              <w:jc w:val="right"/>
              <w:rPr>
                <w:rFonts w:eastAsia="Calibri"/>
                <w:kern w:val="2"/>
                <w:sz w:val="20"/>
                <w:szCs w:val="20"/>
                <w:lang w:eastAsia="en-GB"/>
                <w14:ligatures w14:val="standardContextual"/>
              </w:rPr>
            </w:pPr>
          </w:p>
        </w:tc>
        <w:tc>
          <w:tcPr>
            <w:tcW w:w="2525" w:type="dxa"/>
            <w:tcBorders>
              <w:top w:val="single" w:sz="8" w:space="0" w:color="auto"/>
              <w:left w:val="single" w:sz="4" w:space="0" w:color="auto"/>
              <w:bottom w:val="single" w:sz="8" w:space="0" w:color="auto"/>
              <w:right w:val="single" w:sz="4" w:space="0" w:color="auto"/>
            </w:tcBorders>
            <w:vAlign w:val="center"/>
          </w:tcPr>
          <w:p w14:paraId="352780E9" w14:textId="77777777" w:rsidR="00441AB0" w:rsidRPr="00441AB0" w:rsidRDefault="00441AB0" w:rsidP="00441AB0">
            <w:pPr>
              <w:spacing w:line="256" w:lineRule="auto"/>
              <w:ind w:right="739"/>
              <w:jc w:val="right"/>
              <w:rPr>
                <w:rFonts w:eastAsia="Calibri"/>
                <w:kern w:val="2"/>
                <w:sz w:val="20"/>
                <w:szCs w:val="20"/>
                <w:lang w:eastAsia="en-GB"/>
                <w14:ligatures w14:val="standardContextual"/>
              </w:rPr>
            </w:pPr>
          </w:p>
        </w:tc>
        <w:tc>
          <w:tcPr>
            <w:tcW w:w="0" w:type="auto"/>
            <w:tcBorders>
              <w:top w:val="single" w:sz="8" w:space="0" w:color="auto"/>
              <w:left w:val="single" w:sz="4" w:space="0" w:color="auto"/>
              <w:bottom w:val="single" w:sz="8" w:space="0" w:color="auto"/>
              <w:right w:val="double" w:sz="4" w:space="0" w:color="auto"/>
            </w:tcBorders>
            <w:vAlign w:val="center"/>
          </w:tcPr>
          <w:p w14:paraId="47892A42" w14:textId="77777777" w:rsidR="00441AB0" w:rsidRPr="00441AB0" w:rsidRDefault="00441AB0" w:rsidP="00441AB0">
            <w:pPr>
              <w:spacing w:line="256" w:lineRule="auto"/>
              <w:ind w:right="739"/>
              <w:jc w:val="right"/>
              <w:rPr>
                <w:rFonts w:eastAsia="Calibri"/>
                <w:kern w:val="2"/>
                <w:sz w:val="20"/>
                <w:szCs w:val="20"/>
                <w:lang w:eastAsia="en-GB"/>
                <w14:ligatures w14:val="standardContextual"/>
              </w:rPr>
            </w:pPr>
          </w:p>
        </w:tc>
      </w:tr>
      <w:tr w:rsidR="00441AB0" w:rsidRPr="00441AB0" w14:paraId="11A1EB9F" w14:textId="77777777" w:rsidTr="00E5568D">
        <w:trPr>
          <w:trHeight w:val="300"/>
        </w:trPr>
        <w:tc>
          <w:tcPr>
            <w:tcW w:w="0" w:type="auto"/>
            <w:tcBorders>
              <w:top w:val="nil"/>
              <w:left w:val="double" w:sz="4" w:space="0" w:color="auto"/>
              <w:bottom w:val="single" w:sz="8" w:space="0" w:color="auto"/>
              <w:right w:val="single" w:sz="8" w:space="0" w:color="auto"/>
            </w:tcBorders>
            <w:vAlign w:val="center"/>
            <w:hideMark/>
          </w:tcPr>
          <w:p w14:paraId="186A1881" w14:textId="77777777" w:rsidR="00441AB0" w:rsidRPr="00441AB0" w:rsidRDefault="00441AB0" w:rsidP="00441AB0">
            <w:pPr>
              <w:spacing w:after="0" w:line="256" w:lineRule="auto"/>
              <w:rPr>
                <w:rFonts w:eastAsia="Times New Roman"/>
                <w:kern w:val="2"/>
                <w:sz w:val="20"/>
                <w:szCs w:val="20"/>
                <w14:ligatures w14:val="standardContextual"/>
              </w:rPr>
            </w:pPr>
            <w:r w:rsidRPr="00441AB0">
              <w:rPr>
                <w:rFonts w:eastAsia="Times New Roman"/>
                <w:kern w:val="2"/>
                <w:sz w:val="20"/>
                <w:szCs w:val="20"/>
                <w14:ligatures w14:val="standardContextual"/>
              </w:rPr>
              <w:t>Public administrations</w:t>
            </w:r>
          </w:p>
        </w:tc>
        <w:tc>
          <w:tcPr>
            <w:tcW w:w="2165" w:type="dxa"/>
            <w:tcBorders>
              <w:top w:val="single" w:sz="8" w:space="0" w:color="auto"/>
              <w:left w:val="nil"/>
              <w:bottom w:val="single" w:sz="8" w:space="0" w:color="auto"/>
              <w:right w:val="single" w:sz="4" w:space="0" w:color="auto"/>
            </w:tcBorders>
            <w:vAlign w:val="center"/>
            <w:hideMark/>
          </w:tcPr>
          <w:p w14:paraId="393ACB21" w14:textId="77777777" w:rsidR="00441AB0" w:rsidRPr="00441AB0" w:rsidRDefault="00441AB0" w:rsidP="00441AB0">
            <w:pPr>
              <w:spacing w:line="256" w:lineRule="auto"/>
              <w:jc w:val="left"/>
              <w:rPr>
                <w:rFonts w:eastAsia="Calibri"/>
                <w:b/>
                <w:bCs/>
                <w:kern w:val="2"/>
                <w:sz w:val="20"/>
                <w:szCs w:val="20"/>
                <w:lang w:eastAsia="en-GB"/>
                <w14:ligatures w14:val="standardContextual"/>
              </w:rPr>
            </w:pPr>
            <w:r w:rsidRPr="00441AB0">
              <w:rPr>
                <w:rFonts w:eastAsia="Calibri"/>
                <w:b/>
                <w:bCs/>
                <w:kern w:val="2"/>
                <w:sz w:val="20"/>
                <w:szCs w:val="20"/>
                <w:lang w:eastAsia="en-GB"/>
                <w14:ligatures w14:val="standardContextual"/>
              </w:rPr>
              <w:t>Not monetised; qualitatively negligible to low:</w:t>
            </w:r>
          </w:p>
          <w:p w14:paraId="1F8F88A8" w14:textId="77777777" w:rsidR="00441AB0" w:rsidRPr="00441AB0" w:rsidRDefault="00441AB0" w:rsidP="00441AB0">
            <w:pPr>
              <w:spacing w:line="256" w:lineRule="auto"/>
              <w:jc w:val="left"/>
              <w:rPr>
                <w:rFonts w:eastAsia="Calibri"/>
                <w:kern w:val="2"/>
                <w:sz w:val="20"/>
                <w:szCs w:val="20"/>
                <w:lang w:eastAsia="en-GB"/>
                <w14:ligatures w14:val="standardContextual"/>
              </w:rPr>
            </w:pPr>
            <w:r w:rsidRPr="00441AB0">
              <w:rPr>
                <w:rFonts w:eastAsia="Calibri"/>
                <w:kern w:val="2"/>
                <w:sz w:val="20"/>
                <w:szCs w:val="20"/>
                <w:lang w:eastAsia="en-GB"/>
                <w14:ligatures w14:val="standardContextual"/>
              </w:rPr>
              <w:t>Biotech ecosystem: data provision for strategic mapping on Commission request (~0.25 FTE/MS/year)</w:t>
            </w:r>
          </w:p>
          <w:p w14:paraId="607A5C70" w14:textId="77777777" w:rsidR="00441AB0" w:rsidRPr="00441AB0" w:rsidRDefault="00441AB0" w:rsidP="00441AB0">
            <w:pPr>
              <w:spacing w:line="256" w:lineRule="auto"/>
              <w:jc w:val="left"/>
              <w:rPr>
                <w:rFonts w:eastAsia="Calibri"/>
                <w:kern w:val="2"/>
                <w:sz w:val="20"/>
                <w:szCs w:val="20"/>
                <w:lang w:eastAsia="en-GB"/>
                <w14:ligatures w14:val="standardContextual"/>
              </w:rPr>
            </w:pPr>
            <w:r w:rsidRPr="00441AB0">
              <w:rPr>
                <w:rFonts w:eastAsia="Calibri"/>
                <w:kern w:val="2"/>
                <w:sz w:val="20"/>
                <w:szCs w:val="20"/>
                <w:lang w:eastAsia="en-GB"/>
                <w14:ligatures w14:val="standardContextual"/>
              </w:rPr>
              <w:t>Strategic projects and biosimilars: reporting on recognised project pipeline under STEP information flows</w:t>
            </w:r>
          </w:p>
          <w:p w14:paraId="5139127F" w14:textId="77777777" w:rsidR="00441AB0" w:rsidRPr="00441AB0" w:rsidRDefault="00441AB0" w:rsidP="00441AB0">
            <w:pPr>
              <w:spacing w:line="256" w:lineRule="auto"/>
              <w:jc w:val="left"/>
              <w:rPr>
                <w:rFonts w:eastAsia="Calibri"/>
                <w:kern w:val="2"/>
                <w:sz w:val="20"/>
                <w:szCs w:val="20"/>
                <w:lang w:eastAsia="en-GB"/>
                <w14:ligatures w14:val="standardContextual"/>
              </w:rPr>
            </w:pPr>
            <w:r w:rsidRPr="00441AB0">
              <w:rPr>
                <w:rFonts w:eastAsia="Calibri"/>
                <w:kern w:val="2"/>
                <w:sz w:val="20"/>
                <w:szCs w:val="20"/>
                <w:lang w:eastAsia="en-GB"/>
                <w14:ligatures w14:val="standardContextual"/>
              </w:rPr>
              <w:lastRenderedPageBreak/>
              <w:t>Novel health products: maintaining the regulatory status repository</w:t>
            </w:r>
          </w:p>
          <w:p w14:paraId="15877BDD" w14:textId="77777777" w:rsidR="00441AB0" w:rsidRPr="00441AB0" w:rsidRDefault="00441AB0" w:rsidP="00441AB0">
            <w:pPr>
              <w:spacing w:line="256" w:lineRule="auto"/>
              <w:jc w:val="left"/>
              <w:rPr>
                <w:rFonts w:eastAsia="Calibri"/>
                <w:kern w:val="2"/>
                <w:sz w:val="20"/>
                <w:szCs w:val="20"/>
                <w:lang w:eastAsia="en-GB"/>
                <w14:ligatures w14:val="standardContextual"/>
              </w:rPr>
            </w:pPr>
            <w:r w:rsidRPr="00441AB0">
              <w:rPr>
                <w:rFonts w:eastAsia="Calibri"/>
                <w:kern w:val="2"/>
                <w:sz w:val="20"/>
                <w:szCs w:val="20"/>
                <w:lang w:eastAsia="en-GB"/>
                <w14:ligatures w14:val="standardContextual"/>
              </w:rPr>
              <w:t>Organ processing (Commission): maintaining publicly accessible list of authorised processing operations; facilitating exchange of clinical outcome data between competent authorities</w:t>
            </w:r>
          </w:p>
        </w:tc>
        <w:tc>
          <w:tcPr>
            <w:tcW w:w="3940" w:type="dxa"/>
            <w:tcBorders>
              <w:top w:val="single" w:sz="8" w:space="0" w:color="auto"/>
              <w:left w:val="nil"/>
              <w:bottom w:val="single" w:sz="8" w:space="0" w:color="auto"/>
              <w:right w:val="single" w:sz="4" w:space="0" w:color="auto"/>
            </w:tcBorders>
            <w:vAlign w:val="center"/>
            <w:hideMark/>
          </w:tcPr>
          <w:p w14:paraId="09A78C14" w14:textId="0F862B1E" w:rsidR="00441AB0" w:rsidRPr="00441AB0" w:rsidRDefault="00441AB0" w:rsidP="00441AB0">
            <w:pPr>
              <w:spacing w:line="256" w:lineRule="auto"/>
              <w:ind w:right="101"/>
              <w:jc w:val="left"/>
              <w:rPr>
                <w:rFonts w:eastAsia="Calibri"/>
                <w:kern w:val="2"/>
                <w:sz w:val="20"/>
                <w:szCs w:val="20"/>
                <w:lang w:eastAsia="en-GB"/>
                <w14:ligatures w14:val="standardContextual"/>
              </w:rPr>
            </w:pPr>
            <w:r w:rsidRPr="00441AB0">
              <w:rPr>
                <w:rFonts w:eastAsia="Calibri"/>
                <w:kern w:val="2"/>
                <w:sz w:val="20"/>
                <w:szCs w:val="20"/>
                <w:lang w:eastAsia="en-GB"/>
                <w14:ligatures w14:val="standardContextual"/>
              </w:rPr>
              <w:lastRenderedPageBreak/>
              <w:t>(Biotech ecosystem) Maintaining and updating strategic mapping outputs and reporting on recognised project pipeline under STEP information flows. Cost absorbed within EUR 2.6</w:t>
            </w:r>
            <w:r w:rsidR="009A4FAA">
              <w:rPr>
                <w:rFonts w:eastAsia="Calibri"/>
                <w:kern w:val="2"/>
                <w:sz w:val="20"/>
                <w:szCs w:val="20"/>
                <w:lang w:eastAsia="en-GB"/>
                <w14:ligatures w14:val="standardContextual"/>
              </w:rPr>
              <w:t xml:space="preserve"> million</w:t>
            </w:r>
            <w:r w:rsidRPr="00441AB0">
              <w:rPr>
                <w:rFonts w:eastAsia="Calibri"/>
                <w:kern w:val="2"/>
                <w:sz w:val="20"/>
                <w:szCs w:val="20"/>
                <w:lang w:eastAsia="en-GB"/>
                <w14:ligatures w14:val="standardContextual"/>
              </w:rPr>
              <w:t>/year Commission coordination appropriation reported under adjustment costs; not separately quantified to avoid double-counting.</w:t>
            </w:r>
          </w:p>
        </w:tc>
        <w:tc>
          <w:tcPr>
            <w:tcW w:w="1985" w:type="dxa"/>
            <w:tcBorders>
              <w:top w:val="single" w:sz="8" w:space="0" w:color="auto"/>
              <w:left w:val="single" w:sz="4" w:space="0" w:color="auto"/>
              <w:bottom w:val="single" w:sz="8" w:space="0" w:color="auto"/>
              <w:right w:val="single" w:sz="4" w:space="0" w:color="auto"/>
            </w:tcBorders>
            <w:vAlign w:val="center"/>
            <w:hideMark/>
          </w:tcPr>
          <w:p w14:paraId="7BB596FB" w14:textId="77777777" w:rsidR="00441AB0" w:rsidRPr="00441AB0" w:rsidRDefault="00441AB0" w:rsidP="00441AB0">
            <w:pPr>
              <w:spacing w:line="256" w:lineRule="auto"/>
              <w:ind w:right="156"/>
              <w:jc w:val="left"/>
              <w:rPr>
                <w:rFonts w:eastAsia="Calibri"/>
                <w:kern w:val="2"/>
                <w:sz w:val="20"/>
                <w:szCs w:val="20"/>
                <w:lang w:eastAsia="en-GB"/>
                <w14:ligatures w14:val="standardContextual"/>
              </w:rPr>
            </w:pPr>
            <w:r w:rsidRPr="00441AB0">
              <w:rPr>
                <w:rFonts w:eastAsia="Calibri"/>
                <w:kern w:val="2"/>
                <w:sz w:val="20"/>
                <w:szCs w:val="20"/>
                <w:lang w:eastAsia="en-GB"/>
                <w14:ligatures w14:val="standardContextual"/>
              </w:rPr>
              <w:t>Negligible (qualitatively assessed)</w:t>
            </w:r>
          </w:p>
        </w:tc>
        <w:tc>
          <w:tcPr>
            <w:tcW w:w="2525" w:type="dxa"/>
            <w:tcBorders>
              <w:top w:val="single" w:sz="8" w:space="0" w:color="auto"/>
              <w:left w:val="single" w:sz="4" w:space="0" w:color="auto"/>
              <w:bottom w:val="single" w:sz="8" w:space="0" w:color="auto"/>
              <w:right w:val="single" w:sz="4" w:space="0" w:color="auto"/>
            </w:tcBorders>
            <w:vAlign w:val="center"/>
            <w:hideMark/>
          </w:tcPr>
          <w:p w14:paraId="006E1279" w14:textId="77777777" w:rsidR="00441AB0" w:rsidRPr="00441AB0" w:rsidRDefault="00441AB0" w:rsidP="00441AB0">
            <w:pPr>
              <w:spacing w:line="256" w:lineRule="auto"/>
              <w:ind w:right="58"/>
              <w:jc w:val="left"/>
              <w:rPr>
                <w:rFonts w:eastAsia="Calibri"/>
                <w:kern w:val="2"/>
                <w:sz w:val="20"/>
                <w:szCs w:val="20"/>
                <w:lang w:eastAsia="en-GB"/>
                <w14:ligatures w14:val="standardContextual"/>
              </w:rPr>
            </w:pPr>
            <w:r w:rsidRPr="00441AB0">
              <w:rPr>
                <w:rFonts w:eastAsia="Calibri"/>
                <w:kern w:val="2"/>
                <w:sz w:val="20"/>
                <w:szCs w:val="20"/>
                <w:lang w:eastAsia="en-GB"/>
                <w14:ligatures w14:val="standardContextual"/>
              </w:rPr>
              <w:t>(Strategic projects and high-impact strategic projects) Front-loaded setup of single points of contact: process design, workload reallocation and establishment of service standards. Not quantified, assessed qualitatively as low to medium.</w:t>
            </w:r>
          </w:p>
        </w:tc>
        <w:tc>
          <w:tcPr>
            <w:tcW w:w="0" w:type="auto"/>
            <w:tcBorders>
              <w:top w:val="single" w:sz="8" w:space="0" w:color="auto"/>
              <w:left w:val="single" w:sz="4" w:space="0" w:color="auto"/>
              <w:bottom w:val="single" w:sz="8" w:space="0" w:color="auto"/>
              <w:right w:val="double" w:sz="4" w:space="0" w:color="auto"/>
            </w:tcBorders>
            <w:vAlign w:val="center"/>
            <w:hideMark/>
          </w:tcPr>
          <w:p w14:paraId="19C76607" w14:textId="77777777" w:rsidR="00441AB0" w:rsidRPr="00441AB0" w:rsidRDefault="00441AB0" w:rsidP="00441AB0">
            <w:pPr>
              <w:spacing w:line="256" w:lineRule="auto"/>
              <w:ind w:right="138"/>
              <w:jc w:val="left"/>
              <w:rPr>
                <w:rFonts w:eastAsia="Calibri"/>
                <w:kern w:val="2"/>
                <w:sz w:val="20"/>
                <w:szCs w:val="20"/>
                <w:lang w:eastAsia="en-GB"/>
                <w14:ligatures w14:val="standardContextual"/>
              </w:rPr>
            </w:pPr>
            <w:r w:rsidRPr="00441AB0">
              <w:rPr>
                <w:rFonts w:eastAsia="Calibri"/>
                <w:kern w:val="2"/>
                <w:sz w:val="20"/>
                <w:szCs w:val="20"/>
                <w:lang w:eastAsia="en-GB"/>
                <w14:ligatures w14:val="standardContextual"/>
              </w:rPr>
              <w:t>None</w:t>
            </w:r>
          </w:p>
        </w:tc>
      </w:tr>
      <w:tr w:rsidR="00441AB0" w:rsidRPr="00441AB0" w14:paraId="71477247" w14:textId="77777777" w:rsidTr="00E5568D">
        <w:trPr>
          <w:trHeight w:val="300"/>
        </w:trPr>
        <w:tc>
          <w:tcPr>
            <w:tcW w:w="0" w:type="auto"/>
            <w:tcBorders>
              <w:top w:val="nil"/>
              <w:left w:val="double" w:sz="4" w:space="0" w:color="auto"/>
              <w:bottom w:val="double" w:sz="4" w:space="0" w:color="auto"/>
              <w:right w:val="single" w:sz="8" w:space="0" w:color="auto"/>
            </w:tcBorders>
            <w:vAlign w:val="center"/>
            <w:hideMark/>
          </w:tcPr>
          <w:p w14:paraId="0BD8DFE9" w14:textId="77777777" w:rsidR="00441AB0" w:rsidRPr="00441AB0" w:rsidRDefault="00441AB0" w:rsidP="00441AB0">
            <w:pPr>
              <w:spacing w:before="60" w:after="60" w:line="256" w:lineRule="auto"/>
              <w:jc w:val="left"/>
              <w:rPr>
                <w:rFonts w:eastAsia="Times New Roman"/>
                <w:kern w:val="2"/>
                <w:sz w:val="20"/>
                <w:szCs w:val="20"/>
                <w14:ligatures w14:val="standardContextual"/>
              </w:rPr>
            </w:pPr>
            <w:r w:rsidRPr="00441AB0">
              <w:rPr>
                <w:rFonts w:eastAsia="Times New Roman"/>
                <w:kern w:val="2"/>
                <w:sz w:val="20"/>
                <w:szCs w:val="20"/>
                <w14:ligatures w14:val="standardContextual"/>
              </w:rPr>
              <w:t>Citizens</w:t>
            </w:r>
          </w:p>
        </w:tc>
        <w:tc>
          <w:tcPr>
            <w:tcW w:w="2165" w:type="dxa"/>
            <w:tcBorders>
              <w:top w:val="single" w:sz="8" w:space="0" w:color="auto"/>
              <w:left w:val="nil"/>
              <w:bottom w:val="double" w:sz="4" w:space="0" w:color="auto"/>
              <w:right w:val="single" w:sz="4" w:space="0" w:color="auto"/>
            </w:tcBorders>
            <w:vAlign w:val="center"/>
            <w:hideMark/>
          </w:tcPr>
          <w:p w14:paraId="1A129EC3" w14:textId="77777777" w:rsidR="00441AB0" w:rsidRPr="00441AB0" w:rsidRDefault="00441AB0" w:rsidP="00441AB0">
            <w:pPr>
              <w:spacing w:line="256" w:lineRule="auto"/>
              <w:ind w:right="739"/>
              <w:jc w:val="left"/>
              <w:rPr>
                <w:rFonts w:eastAsia="Calibri"/>
                <w:kern w:val="2"/>
                <w:sz w:val="20"/>
                <w:szCs w:val="20"/>
                <w:lang w:eastAsia="en-GB"/>
                <w14:ligatures w14:val="standardContextual"/>
              </w:rPr>
            </w:pPr>
            <w:r w:rsidRPr="00441AB0">
              <w:rPr>
                <w:rFonts w:eastAsia="Calibri"/>
                <w:kern w:val="2"/>
                <w:sz w:val="20"/>
                <w:szCs w:val="20"/>
                <w:lang w:eastAsia="en-GB"/>
                <w14:ligatures w14:val="standardContextual"/>
              </w:rPr>
              <w:t>None</w:t>
            </w:r>
          </w:p>
        </w:tc>
        <w:tc>
          <w:tcPr>
            <w:tcW w:w="3940" w:type="dxa"/>
            <w:tcBorders>
              <w:top w:val="single" w:sz="8" w:space="0" w:color="auto"/>
              <w:left w:val="nil"/>
              <w:bottom w:val="double" w:sz="4" w:space="0" w:color="auto"/>
              <w:right w:val="single" w:sz="4" w:space="0" w:color="auto"/>
            </w:tcBorders>
            <w:vAlign w:val="center"/>
            <w:hideMark/>
          </w:tcPr>
          <w:p w14:paraId="57616802" w14:textId="77777777" w:rsidR="00441AB0" w:rsidRPr="00441AB0" w:rsidRDefault="00441AB0" w:rsidP="00441AB0">
            <w:pPr>
              <w:spacing w:line="256" w:lineRule="auto"/>
              <w:ind w:right="739"/>
              <w:jc w:val="left"/>
              <w:rPr>
                <w:rFonts w:eastAsia="Calibri"/>
                <w:kern w:val="2"/>
                <w:sz w:val="20"/>
                <w:szCs w:val="20"/>
                <w:lang w:eastAsia="en-GB"/>
                <w14:ligatures w14:val="standardContextual"/>
              </w:rPr>
            </w:pPr>
            <w:r w:rsidRPr="00441AB0">
              <w:rPr>
                <w:rFonts w:eastAsia="Calibri"/>
                <w:kern w:val="2"/>
                <w:sz w:val="20"/>
                <w:szCs w:val="20"/>
                <w:lang w:eastAsia="en-GB"/>
                <w14:ligatures w14:val="standardContextual"/>
              </w:rPr>
              <w:t>None</w:t>
            </w:r>
          </w:p>
        </w:tc>
        <w:tc>
          <w:tcPr>
            <w:tcW w:w="1985" w:type="dxa"/>
            <w:tcBorders>
              <w:top w:val="single" w:sz="8" w:space="0" w:color="auto"/>
              <w:left w:val="single" w:sz="4" w:space="0" w:color="auto"/>
              <w:bottom w:val="double" w:sz="4" w:space="0" w:color="auto"/>
              <w:right w:val="single" w:sz="4" w:space="0" w:color="auto"/>
              <w:tl2br w:val="single" w:sz="4" w:space="0" w:color="auto"/>
              <w:tr2bl w:val="single" w:sz="4" w:space="0" w:color="auto"/>
            </w:tcBorders>
            <w:vAlign w:val="center"/>
          </w:tcPr>
          <w:p w14:paraId="4EDFE9A8" w14:textId="77777777" w:rsidR="00441AB0" w:rsidRPr="00441AB0" w:rsidRDefault="00441AB0" w:rsidP="00441AB0">
            <w:pPr>
              <w:spacing w:line="256" w:lineRule="auto"/>
              <w:ind w:right="739"/>
              <w:jc w:val="right"/>
              <w:rPr>
                <w:rFonts w:eastAsia="Calibri"/>
                <w:kern w:val="2"/>
                <w:sz w:val="20"/>
                <w:szCs w:val="20"/>
                <w:lang w:eastAsia="en-GB"/>
                <w14:ligatures w14:val="standardContextual"/>
              </w:rPr>
            </w:pPr>
          </w:p>
        </w:tc>
        <w:tc>
          <w:tcPr>
            <w:tcW w:w="2525" w:type="dxa"/>
            <w:tcBorders>
              <w:top w:val="single" w:sz="8" w:space="0" w:color="auto"/>
              <w:left w:val="single" w:sz="4" w:space="0" w:color="auto"/>
              <w:bottom w:val="double" w:sz="4" w:space="0" w:color="auto"/>
              <w:right w:val="single" w:sz="4" w:space="0" w:color="auto"/>
            </w:tcBorders>
            <w:vAlign w:val="center"/>
            <w:hideMark/>
          </w:tcPr>
          <w:p w14:paraId="7F13BAC7" w14:textId="77777777" w:rsidR="00441AB0" w:rsidRPr="00441AB0" w:rsidRDefault="00441AB0" w:rsidP="00441AB0">
            <w:pPr>
              <w:spacing w:line="256" w:lineRule="auto"/>
              <w:ind w:right="739"/>
              <w:jc w:val="left"/>
              <w:rPr>
                <w:rFonts w:eastAsia="Calibri"/>
                <w:kern w:val="2"/>
                <w:sz w:val="20"/>
                <w:szCs w:val="20"/>
                <w:lang w:eastAsia="en-GB"/>
                <w14:ligatures w14:val="standardContextual"/>
              </w:rPr>
            </w:pPr>
            <w:r w:rsidRPr="00441AB0">
              <w:rPr>
                <w:rFonts w:eastAsia="Calibri"/>
                <w:kern w:val="2"/>
                <w:sz w:val="20"/>
                <w:szCs w:val="20"/>
                <w:lang w:eastAsia="en-GB"/>
                <w14:ligatures w14:val="standardContextual"/>
              </w:rPr>
              <w:t>None</w:t>
            </w:r>
          </w:p>
        </w:tc>
        <w:tc>
          <w:tcPr>
            <w:tcW w:w="0" w:type="auto"/>
            <w:tcBorders>
              <w:top w:val="single" w:sz="8" w:space="0" w:color="auto"/>
              <w:left w:val="single" w:sz="4" w:space="0" w:color="auto"/>
              <w:bottom w:val="double" w:sz="4" w:space="0" w:color="auto"/>
              <w:right w:val="double" w:sz="4" w:space="0" w:color="auto"/>
            </w:tcBorders>
            <w:vAlign w:val="center"/>
            <w:hideMark/>
          </w:tcPr>
          <w:p w14:paraId="32F161F3" w14:textId="77777777" w:rsidR="00441AB0" w:rsidRPr="00441AB0" w:rsidRDefault="00441AB0" w:rsidP="00441AB0">
            <w:pPr>
              <w:spacing w:line="256" w:lineRule="auto"/>
              <w:ind w:right="739"/>
              <w:jc w:val="right"/>
              <w:rPr>
                <w:rFonts w:eastAsia="Calibri"/>
                <w:kern w:val="2"/>
                <w:sz w:val="20"/>
                <w:szCs w:val="20"/>
                <w:lang w:eastAsia="en-GB"/>
                <w14:ligatures w14:val="standardContextual"/>
              </w:rPr>
            </w:pPr>
            <w:r w:rsidRPr="00441AB0">
              <w:rPr>
                <w:rFonts w:eastAsia="Calibri"/>
                <w:kern w:val="2"/>
                <w:sz w:val="20"/>
                <w:szCs w:val="20"/>
                <w:lang w:eastAsia="en-GB"/>
                <w14:ligatures w14:val="standardContextual"/>
              </w:rPr>
              <w:t>None</w:t>
            </w:r>
          </w:p>
        </w:tc>
      </w:tr>
    </w:tbl>
    <w:p w14:paraId="5CF8072D" w14:textId="77777777" w:rsidR="00441AB0" w:rsidRPr="00441AB0" w:rsidRDefault="00441AB0" w:rsidP="00441AB0">
      <w:pPr>
        <w:ind w:left="-567"/>
        <w:rPr>
          <w:rFonts w:eastAsia="Aptos"/>
        </w:rPr>
      </w:pPr>
    </w:p>
    <w:p w14:paraId="37D9D5C3" w14:textId="77777777" w:rsidR="00BB2C31" w:rsidRPr="00DD0CE5" w:rsidRDefault="00BB2C31" w:rsidP="004570F2">
      <w:pPr>
        <w:pStyle w:val="Heading2"/>
        <w:numPr>
          <w:ilvl w:val="0"/>
          <w:numId w:val="530"/>
        </w:numPr>
      </w:pPr>
      <w:bookmarkStart w:id="106" w:name="_Toc220593617"/>
      <w:bookmarkStart w:id="107" w:name="_Toc220924765"/>
      <w:bookmarkStart w:id="108" w:name="_Toc220952050"/>
      <w:bookmarkStart w:id="109" w:name="_Toc222740602"/>
      <w:bookmarkStart w:id="110" w:name="_Toc222831785"/>
      <w:bookmarkStart w:id="111" w:name="_Toc224747252"/>
      <w:bookmarkStart w:id="112" w:name="_Toc224749722"/>
      <w:bookmarkStart w:id="113" w:name="_Toc225783192"/>
      <w:bookmarkStart w:id="114" w:name="_Toc225969770"/>
      <w:bookmarkStart w:id="115" w:name="_Toc225979082"/>
      <w:r w:rsidRPr="00DD0CE5">
        <w:t>Relevant sustainable development goals</w:t>
      </w:r>
      <w:bookmarkEnd w:id="106"/>
      <w:bookmarkEnd w:id="107"/>
      <w:bookmarkEnd w:id="108"/>
      <w:bookmarkEnd w:id="109"/>
      <w:bookmarkEnd w:id="110"/>
      <w:bookmarkEnd w:id="111"/>
      <w:bookmarkEnd w:id="112"/>
      <w:bookmarkEnd w:id="113"/>
      <w:bookmarkEnd w:id="114"/>
      <w:bookmarkEnd w:id="115"/>
    </w:p>
    <w:tbl>
      <w:tblPr>
        <w:tblStyle w:val="CV11"/>
        <w:tblW w:w="15470" w:type="dxa"/>
        <w:tblInd w:w="-459"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823"/>
        <w:gridCol w:w="6946"/>
        <w:gridCol w:w="1701"/>
      </w:tblGrid>
      <w:tr w:rsidR="00641462" w:rsidRPr="00DD0CE5" w14:paraId="01C2396A" w14:textId="77777777" w:rsidTr="004570F2">
        <w:tc>
          <w:tcPr>
            <w:tcW w:w="15470" w:type="dxa"/>
            <w:gridSpan w:val="3"/>
            <w:tcBorders>
              <w:top w:val="double" w:sz="4" w:space="0" w:color="auto"/>
              <w:bottom w:val="single" w:sz="4" w:space="0" w:color="auto"/>
            </w:tcBorders>
            <w:shd w:val="clear" w:color="auto" w:fill="C6D9F1" w:themeFill="text2" w:themeFillTint="33"/>
          </w:tcPr>
          <w:p w14:paraId="4EE351B4" w14:textId="57B8026D" w:rsidR="009409F1" w:rsidRPr="00DD0CE5" w:rsidRDefault="00315B43" w:rsidP="009D4C15">
            <w:pPr>
              <w:spacing w:after="0"/>
              <w:rPr>
                <w:b/>
                <w:sz w:val="20"/>
              </w:rPr>
            </w:pPr>
            <w:r w:rsidRPr="00DD0CE5">
              <w:rPr>
                <w:b/>
                <w:sz w:val="20"/>
              </w:rPr>
              <w:t>IV</w:t>
            </w:r>
            <w:r w:rsidR="009409F1" w:rsidRPr="00DD0CE5">
              <w:rPr>
                <w:b/>
                <w:sz w:val="20"/>
              </w:rPr>
              <w:t xml:space="preserve">. Overview of relevant Sustainable Development Goals </w:t>
            </w:r>
          </w:p>
        </w:tc>
      </w:tr>
      <w:tr w:rsidR="008B77E2" w:rsidRPr="00DD0CE5" w14:paraId="0CE86597" w14:textId="77777777" w:rsidTr="00E5568D">
        <w:tc>
          <w:tcPr>
            <w:tcW w:w="6823" w:type="dxa"/>
            <w:tcBorders>
              <w:top w:val="single" w:sz="4" w:space="0" w:color="auto"/>
            </w:tcBorders>
            <w:shd w:val="clear" w:color="auto" w:fill="C6D9F1" w:themeFill="text2" w:themeFillTint="33"/>
          </w:tcPr>
          <w:p w14:paraId="132154E1" w14:textId="77777777" w:rsidR="009409F1" w:rsidRPr="00DD0CE5" w:rsidRDefault="009409F1" w:rsidP="009D4C15">
            <w:pPr>
              <w:spacing w:after="0"/>
              <w:rPr>
                <w:b/>
                <w:sz w:val="20"/>
              </w:rPr>
            </w:pPr>
            <w:r w:rsidRPr="00DD0CE5">
              <w:rPr>
                <w:b/>
                <w:sz w:val="20"/>
              </w:rPr>
              <w:t>Relevant SDG</w:t>
            </w:r>
          </w:p>
        </w:tc>
        <w:tc>
          <w:tcPr>
            <w:tcW w:w="6946" w:type="dxa"/>
            <w:tcBorders>
              <w:top w:val="single" w:sz="4" w:space="0" w:color="auto"/>
            </w:tcBorders>
            <w:shd w:val="clear" w:color="auto" w:fill="C6D9F1" w:themeFill="text2" w:themeFillTint="33"/>
          </w:tcPr>
          <w:p w14:paraId="00C1E627" w14:textId="77777777" w:rsidR="009409F1" w:rsidRPr="00DD0CE5" w:rsidRDefault="009409F1" w:rsidP="009D4C15">
            <w:pPr>
              <w:spacing w:after="0"/>
              <w:rPr>
                <w:b/>
                <w:sz w:val="20"/>
              </w:rPr>
            </w:pPr>
            <w:r w:rsidRPr="00DD0CE5">
              <w:rPr>
                <w:b/>
                <w:sz w:val="20"/>
              </w:rPr>
              <w:t>Expected progress towards the Goal</w:t>
            </w:r>
          </w:p>
        </w:tc>
        <w:tc>
          <w:tcPr>
            <w:tcW w:w="1701" w:type="dxa"/>
            <w:tcBorders>
              <w:top w:val="single" w:sz="4" w:space="0" w:color="auto"/>
            </w:tcBorders>
            <w:shd w:val="clear" w:color="auto" w:fill="C6D9F1" w:themeFill="text2" w:themeFillTint="33"/>
            <w:tcMar>
              <w:top w:w="57" w:type="dxa"/>
              <w:left w:w="57" w:type="dxa"/>
              <w:bottom w:w="57" w:type="dxa"/>
              <w:right w:w="57" w:type="dxa"/>
            </w:tcMar>
          </w:tcPr>
          <w:p w14:paraId="29A7294E" w14:textId="77777777" w:rsidR="009409F1" w:rsidRPr="00DD0CE5" w:rsidRDefault="009409F1" w:rsidP="009D4C15">
            <w:pPr>
              <w:spacing w:after="0"/>
              <w:rPr>
                <w:b/>
                <w:sz w:val="20"/>
              </w:rPr>
            </w:pPr>
            <w:r w:rsidRPr="00DD0CE5">
              <w:rPr>
                <w:b/>
                <w:sz w:val="20"/>
              </w:rPr>
              <w:t>Comments</w:t>
            </w:r>
          </w:p>
        </w:tc>
      </w:tr>
      <w:tr w:rsidR="001F33CE" w:rsidRPr="00DD0CE5" w14:paraId="4CCA0544" w14:textId="77777777" w:rsidTr="00E5568D">
        <w:tc>
          <w:tcPr>
            <w:tcW w:w="6823" w:type="dxa"/>
            <w:tcBorders>
              <w:top w:val="double" w:sz="4" w:space="0" w:color="auto"/>
              <w:bottom w:val="single" w:sz="4" w:space="0" w:color="auto"/>
            </w:tcBorders>
          </w:tcPr>
          <w:p w14:paraId="4A8DFF13" w14:textId="199C44F8" w:rsidR="009409F1" w:rsidRPr="00E71499" w:rsidRDefault="005C1F49" w:rsidP="009D4C15">
            <w:pPr>
              <w:spacing w:after="0"/>
              <w:rPr>
                <w:b/>
                <w:sz w:val="20"/>
              </w:rPr>
            </w:pPr>
            <w:r w:rsidRPr="004F48D9">
              <w:rPr>
                <w:b/>
                <w:sz w:val="20"/>
              </w:rPr>
              <w:t>SDG 3</w:t>
            </w:r>
            <w:r w:rsidRPr="00E71499">
              <w:rPr>
                <w:b/>
                <w:sz w:val="20"/>
              </w:rPr>
              <w:t xml:space="preserve"> ‘Good health and well-being: Ensure healthy lives and promote well-being for all at all ages’</w:t>
            </w:r>
          </w:p>
        </w:tc>
        <w:tc>
          <w:tcPr>
            <w:tcW w:w="6946" w:type="dxa"/>
            <w:tcBorders>
              <w:top w:val="double" w:sz="4" w:space="0" w:color="auto"/>
              <w:bottom w:val="single" w:sz="4" w:space="0" w:color="auto"/>
            </w:tcBorders>
            <w:tcMar>
              <w:top w:w="57" w:type="dxa"/>
              <w:left w:w="57" w:type="dxa"/>
              <w:bottom w:w="57" w:type="dxa"/>
              <w:right w:w="57" w:type="dxa"/>
            </w:tcMar>
          </w:tcPr>
          <w:p w14:paraId="447F5A59" w14:textId="42AD2614" w:rsidR="009409F1" w:rsidRPr="00DD0CE5" w:rsidRDefault="00D041FE" w:rsidP="009D4C15">
            <w:pPr>
              <w:spacing w:after="0"/>
              <w:rPr>
                <w:sz w:val="20"/>
              </w:rPr>
            </w:pPr>
            <w:r>
              <w:rPr>
                <w:sz w:val="20"/>
              </w:rPr>
              <w:t xml:space="preserve">Expected increase of patients’ access to clinical trials in the EU and innovative products on the </w:t>
            </w:r>
            <w:r w:rsidR="00D57762">
              <w:rPr>
                <w:sz w:val="20"/>
              </w:rPr>
              <w:t>single</w:t>
            </w:r>
            <w:r>
              <w:rPr>
                <w:sz w:val="20"/>
              </w:rPr>
              <w:t xml:space="preserve"> market, including rare diseases.</w:t>
            </w:r>
          </w:p>
        </w:tc>
        <w:tc>
          <w:tcPr>
            <w:tcW w:w="1701" w:type="dxa"/>
            <w:tcBorders>
              <w:top w:val="double" w:sz="4" w:space="0" w:color="auto"/>
              <w:bottom w:val="single" w:sz="4" w:space="0" w:color="auto"/>
            </w:tcBorders>
            <w:tcMar>
              <w:top w:w="57" w:type="dxa"/>
              <w:left w:w="57" w:type="dxa"/>
              <w:bottom w:w="57" w:type="dxa"/>
              <w:right w:w="57" w:type="dxa"/>
            </w:tcMar>
          </w:tcPr>
          <w:p w14:paraId="64B9F3C7" w14:textId="77777777" w:rsidR="009409F1" w:rsidRPr="00DD0CE5" w:rsidRDefault="009409F1" w:rsidP="009D4C15">
            <w:pPr>
              <w:spacing w:after="0"/>
              <w:rPr>
                <w:sz w:val="20"/>
              </w:rPr>
            </w:pPr>
          </w:p>
        </w:tc>
      </w:tr>
      <w:tr w:rsidR="009409F1" w:rsidRPr="00DD0CE5" w14:paraId="7B54F29F" w14:textId="77777777" w:rsidTr="00E5568D">
        <w:tc>
          <w:tcPr>
            <w:tcW w:w="6823" w:type="dxa"/>
            <w:tcBorders>
              <w:top w:val="single" w:sz="4" w:space="0" w:color="auto"/>
              <w:bottom w:val="single" w:sz="4" w:space="0" w:color="auto"/>
            </w:tcBorders>
          </w:tcPr>
          <w:p w14:paraId="7D38D1B9" w14:textId="3C8F6C31" w:rsidR="009409F1" w:rsidRPr="00E71499" w:rsidRDefault="005C1F49" w:rsidP="009D4C15">
            <w:pPr>
              <w:spacing w:after="0"/>
              <w:rPr>
                <w:b/>
                <w:sz w:val="20"/>
              </w:rPr>
            </w:pPr>
            <w:r w:rsidRPr="004F48D9">
              <w:rPr>
                <w:b/>
                <w:sz w:val="20"/>
              </w:rPr>
              <w:t>SDG 9</w:t>
            </w:r>
            <w:r w:rsidRPr="00E71499">
              <w:rPr>
                <w:b/>
                <w:sz w:val="20"/>
              </w:rPr>
              <w:t xml:space="preserve"> ‘Industry, innovation and infrastructure: Build resilient infrastructure, promote inclusive and sustainable industrialisation and foster innovation’</w:t>
            </w:r>
          </w:p>
        </w:tc>
        <w:tc>
          <w:tcPr>
            <w:tcW w:w="6946" w:type="dxa"/>
            <w:tcBorders>
              <w:top w:val="single" w:sz="4" w:space="0" w:color="auto"/>
              <w:bottom w:val="single" w:sz="4" w:space="0" w:color="auto"/>
            </w:tcBorders>
            <w:tcMar>
              <w:top w:w="57" w:type="dxa"/>
              <w:left w:w="57" w:type="dxa"/>
              <w:bottom w:w="57" w:type="dxa"/>
              <w:right w:w="57" w:type="dxa"/>
            </w:tcMar>
          </w:tcPr>
          <w:p w14:paraId="2C579B40" w14:textId="77777777" w:rsidR="00EE3310" w:rsidRPr="0019478E" w:rsidRDefault="008650A1" w:rsidP="0019478E">
            <w:pPr>
              <w:spacing w:after="0"/>
              <w:rPr>
                <w:sz w:val="20"/>
              </w:rPr>
            </w:pPr>
            <w:r w:rsidRPr="0019478E">
              <w:rPr>
                <w:sz w:val="20"/>
              </w:rPr>
              <w:t>Increase</w:t>
            </w:r>
            <w:r w:rsidR="006447C5" w:rsidRPr="0019478E">
              <w:rPr>
                <w:sz w:val="20"/>
              </w:rPr>
              <w:t>d</w:t>
            </w:r>
            <w:r w:rsidRPr="0019478E">
              <w:rPr>
                <w:sz w:val="20"/>
              </w:rPr>
              <w:t xml:space="preserve"> access of </w:t>
            </w:r>
            <w:r w:rsidR="0031634C" w:rsidRPr="0019478E">
              <w:rPr>
                <w:sz w:val="20"/>
              </w:rPr>
              <w:t>biotechnology</w:t>
            </w:r>
            <w:r w:rsidR="006B31CC" w:rsidRPr="0019478E">
              <w:rPr>
                <w:sz w:val="20"/>
              </w:rPr>
              <w:t xml:space="preserve"> companies</w:t>
            </w:r>
            <w:r w:rsidR="0031634C" w:rsidRPr="0019478E">
              <w:rPr>
                <w:sz w:val="20"/>
              </w:rPr>
              <w:t xml:space="preserve"> to</w:t>
            </w:r>
            <w:r w:rsidR="006B31CC" w:rsidRPr="0019478E">
              <w:rPr>
                <w:sz w:val="20"/>
              </w:rPr>
              <w:t xml:space="preserve"> capital</w:t>
            </w:r>
            <w:r w:rsidR="00EE3310" w:rsidRPr="0019478E">
              <w:rPr>
                <w:sz w:val="20"/>
              </w:rPr>
              <w:t xml:space="preserve"> through the different stages of their development;</w:t>
            </w:r>
          </w:p>
          <w:p w14:paraId="07D2A61D" w14:textId="5585E96C" w:rsidR="00EE3310" w:rsidRPr="00EE3310" w:rsidRDefault="00EE3310" w:rsidP="00EE3310">
            <w:pPr>
              <w:spacing w:after="0"/>
              <w:rPr>
                <w:sz w:val="20"/>
              </w:rPr>
            </w:pPr>
            <w:r w:rsidRPr="0019478E">
              <w:rPr>
                <w:sz w:val="20"/>
              </w:rPr>
              <w:t>EU’s capabilities in research, development and production are reinforced.</w:t>
            </w:r>
          </w:p>
        </w:tc>
        <w:tc>
          <w:tcPr>
            <w:tcW w:w="1701" w:type="dxa"/>
            <w:tcBorders>
              <w:top w:val="single" w:sz="4" w:space="0" w:color="auto"/>
              <w:bottom w:val="single" w:sz="4" w:space="0" w:color="auto"/>
            </w:tcBorders>
            <w:tcMar>
              <w:top w:w="57" w:type="dxa"/>
              <w:left w:w="57" w:type="dxa"/>
              <w:bottom w:w="57" w:type="dxa"/>
              <w:right w:w="57" w:type="dxa"/>
            </w:tcMar>
          </w:tcPr>
          <w:p w14:paraId="373B5C69" w14:textId="77777777" w:rsidR="009409F1" w:rsidRPr="00DD0CE5" w:rsidRDefault="009409F1" w:rsidP="009D4C15">
            <w:pPr>
              <w:spacing w:after="0"/>
              <w:rPr>
                <w:sz w:val="20"/>
              </w:rPr>
            </w:pPr>
          </w:p>
        </w:tc>
      </w:tr>
      <w:tr w:rsidR="009409F1" w:rsidRPr="00DD0CE5" w14:paraId="018144AF" w14:textId="77777777" w:rsidTr="00E5568D">
        <w:tc>
          <w:tcPr>
            <w:tcW w:w="6823" w:type="dxa"/>
            <w:tcBorders>
              <w:top w:val="single" w:sz="4" w:space="0" w:color="auto"/>
            </w:tcBorders>
          </w:tcPr>
          <w:p w14:paraId="04ECACBC" w14:textId="2CCC4DFF" w:rsidR="009409F1" w:rsidRPr="00E71499" w:rsidRDefault="005C1F49" w:rsidP="009D4C15">
            <w:pPr>
              <w:spacing w:after="0"/>
              <w:rPr>
                <w:b/>
                <w:sz w:val="20"/>
              </w:rPr>
            </w:pPr>
            <w:r w:rsidRPr="004F48D9">
              <w:rPr>
                <w:b/>
                <w:sz w:val="20"/>
              </w:rPr>
              <w:t>SDG 12</w:t>
            </w:r>
            <w:r w:rsidRPr="00E71499">
              <w:rPr>
                <w:b/>
                <w:sz w:val="20"/>
              </w:rPr>
              <w:t xml:space="preserve"> ‘Responsible consumption and production: Ensure sustainable consumption and production patterns’</w:t>
            </w:r>
          </w:p>
        </w:tc>
        <w:tc>
          <w:tcPr>
            <w:tcW w:w="6946" w:type="dxa"/>
            <w:tcBorders>
              <w:top w:val="single" w:sz="4" w:space="0" w:color="auto"/>
            </w:tcBorders>
            <w:tcMar>
              <w:top w:w="57" w:type="dxa"/>
              <w:left w:w="57" w:type="dxa"/>
              <w:bottom w:w="57" w:type="dxa"/>
              <w:right w:w="57" w:type="dxa"/>
            </w:tcMar>
          </w:tcPr>
          <w:p w14:paraId="06AB5C3A" w14:textId="73F8A7D4" w:rsidR="00BE3147" w:rsidRPr="00DD0CE5" w:rsidRDefault="00BE3147" w:rsidP="009D4C15">
            <w:pPr>
              <w:spacing w:after="0"/>
              <w:rPr>
                <w:sz w:val="20"/>
                <w:szCs w:val="20"/>
              </w:rPr>
            </w:pPr>
            <w:r w:rsidRPr="411A14C4">
              <w:rPr>
                <w:sz w:val="20"/>
                <w:szCs w:val="20"/>
              </w:rPr>
              <w:t>Biotechnology products place</w:t>
            </w:r>
            <w:r w:rsidR="00E10248" w:rsidRPr="411A14C4">
              <w:rPr>
                <w:sz w:val="20"/>
                <w:szCs w:val="20"/>
              </w:rPr>
              <w:t>d</w:t>
            </w:r>
            <w:r w:rsidRPr="411A14C4">
              <w:rPr>
                <w:sz w:val="20"/>
                <w:szCs w:val="20"/>
              </w:rPr>
              <w:t xml:space="preserve"> on the market</w:t>
            </w:r>
            <w:r w:rsidR="00961889" w:rsidRPr="411A14C4">
              <w:rPr>
                <w:sz w:val="20"/>
                <w:szCs w:val="20"/>
              </w:rPr>
              <w:t xml:space="preserve"> </w:t>
            </w:r>
            <w:r w:rsidR="00E10248" w:rsidRPr="411A14C4">
              <w:rPr>
                <w:sz w:val="20"/>
                <w:szCs w:val="20"/>
              </w:rPr>
              <w:t xml:space="preserve">(such as microbial biocontrol and microbial fertilisers) </w:t>
            </w:r>
            <w:r w:rsidR="00961889" w:rsidRPr="411A14C4">
              <w:rPr>
                <w:sz w:val="20"/>
                <w:szCs w:val="20"/>
              </w:rPr>
              <w:t>will</w:t>
            </w:r>
            <w:r w:rsidRPr="411A14C4">
              <w:rPr>
                <w:sz w:val="20"/>
                <w:szCs w:val="20"/>
              </w:rPr>
              <w:t xml:space="preserve"> have the potential to replace products potentially harmful for the environment</w:t>
            </w:r>
            <w:r w:rsidR="007141C9" w:rsidRPr="411A14C4">
              <w:rPr>
                <w:sz w:val="20"/>
                <w:szCs w:val="20"/>
              </w:rPr>
              <w:t>.</w:t>
            </w:r>
          </w:p>
        </w:tc>
        <w:tc>
          <w:tcPr>
            <w:tcW w:w="1701" w:type="dxa"/>
            <w:tcBorders>
              <w:top w:val="single" w:sz="4" w:space="0" w:color="auto"/>
            </w:tcBorders>
            <w:tcMar>
              <w:top w:w="57" w:type="dxa"/>
              <w:left w:w="57" w:type="dxa"/>
              <w:bottom w:w="57" w:type="dxa"/>
              <w:right w:w="57" w:type="dxa"/>
            </w:tcMar>
          </w:tcPr>
          <w:p w14:paraId="76FDCBD3" w14:textId="3C6C160A" w:rsidR="009409F1" w:rsidRPr="00DD0CE5" w:rsidRDefault="009409F1" w:rsidP="009D4C15">
            <w:pPr>
              <w:spacing w:after="0"/>
              <w:rPr>
                <w:sz w:val="20"/>
              </w:rPr>
            </w:pPr>
            <w:r w:rsidRPr="00DD0CE5">
              <w:rPr>
                <w:sz w:val="20"/>
              </w:rPr>
              <w:t xml:space="preserve"> </w:t>
            </w:r>
          </w:p>
        </w:tc>
      </w:tr>
    </w:tbl>
    <w:p w14:paraId="79192A3C" w14:textId="40D0940A" w:rsidR="004C7FC8" w:rsidRPr="004C7FC8" w:rsidRDefault="004C7FC8" w:rsidP="00E71499"/>
    <w:p w14:paraId="3F980E74" w14:textId="77777777" w:rsidR="006A7C04" w:rsidRDefault="006A7C04" w:rsidP="00B35BA0">
      <w:pPr>
        <w:pStyle w:val="AnnexTitle"/>
        <w:sectPr w:rsidR="006A7C04" w:rsidSect="00E5568D">
          <w:headerReference w:type="default" r:id="rId28"/>
          <w:footerReference w:type="default" r:id="rId29"/>
          <w:headerReference w:type="first" r:id="rId30"/>
          <w:footerReference w:type="first" r:id="rId31"/>
          <w:pgSz w:w="16838" w:h="11906" w:orient="landscape"/>
          <w:pgMar w:top="1021" w:right="1701" w:bottom="1021" w:left="1588" w:header="601" w:footer="1077" w:gutter="0"/>
          <w:cols w:space="720"/>
          <w:titlePg/>
        </w:sectPr>
      </w:pPr>
      <w:bookmarkStart w:id="116" w:name="_Toc224898302"/>
      <w:bookmarkStart w:id="117" w:name="_Toc225783193"/>
      <w:bookmarkStart w:id="118" w:name="_Toc225979083"/>
    </w:p>
    <w:p w14:paraId="6A4420AA" w14:textId="226E7724" w:rsidR="006B087E" w:rsidRDefault="006B087E" w:rsidP="00B35BA0">
      <w:pPr>
        <w:pStyle w:val="AnnexTitle"/>
      </w:pPr>
      <w:r w:rsidRPr="00DD0CE5">
        <w:lastRenderedPageBreak/>
        <w:t>Annex 4: Analytical methods</w:t>
      </w:r>
      <w:bookmarkEnd w:id="116"/>
      <w:bookmarkEnd w:id="117"/>
      <w:bookmarkEnd w:id="118"/>
    </w:p>
    <w:p w14:paraId="45EB921C" w14:textId="635716AA" w:rsidR="00C17555" w:rsidRDefault="005D796C" w:rsidP="004570F2">
      <w:pPr>
        <w:pStyle w:val="Heading2"/>
        <w:numPr>
          <w:ilvl w:val="0"/>
          <w:numId w:val="0"/>
        </w:numPr>
      </w:pPr>
      <w:bookmarkStart w:id="119" w:name="_Toc224827675"/>
      <w:bookmarkStart w:id="120" w:name="_Toc225979084"/>
      <w:bookmarkStart w:id="121" w:name="_Toc224827676"/>
      <w:bookmarkStart w:id="122" w:name="_Toc225979085"/>
      <w:bookmarkStart w:id="123" w:name="_Toc225969772"/>
      <w:r>
        <w:t>Overarching a</w:t>
      </w:r>
      <w:r w:rsidR="00C17555" w:rsidRPr="005944F5">
        <w:t>nalytical framework</w:t>
      </w:r>
      <w:bookmarkEnd w:id="119"/>
      <w:bookmarkEnd w:id="120"/>
      <w:bookmarkEnd w:id="121"/>
      <w:bookmarkEnd w:id="122"/>
    </w:p>
    <w:p w14:paraId="35703227" w14:textId="46FD2C92" w:rsidR="00C17555" w:rsidRPr="00850503" w:rsidRDefault="00C17555" w:rsidP="005377F7">
      <w:pPr>
        <w:rPr>
          <w:rFonts w:eastAsia="Arial"/>
        </w:rPr>
      </w:pPr>
      <w:r>
        <w:rPr>
          <w:rFonts w:eastAsia="Arial"/>
        </w:rPr>
        <w:t xml:space="preserve">This section describes the overarching analytical framework applied across the </w:t>
      </w:r>
      <w:r w:rsidRPr="00C40E36">
        <w:rPr>
          <w:rFonts w:eastAsia="Arial"/>
          <w:b/>
          <w:bCs/>
        </w:rPr>
        <w:t>17 policy intervention assessments</w:t>
      </w:r>
      <w:r>
        <w:rPr>
          <w:rFonts w:eastAsia="Arial"/>
        </w:rPr>
        <w:t xml:space="preserve"> that together constitute the evidence base for the </w:t>
      </w:r>
      <w:r w:rsidR="00E473D5" w:rsidRPr="5DA36055">
        <w:rPr>
          <w:rFonts w:eastAsia="Arial"/>
        </w:rPr>
        <w:t>analysis</w:t>
      </w:r>
      <w:r w:rsidR="00CC6813">
        <w:rPr>
          <w:rStyle w:val="FootnoteReference"/>
          <w:rFonts w:eastAsia="Arial"/>
        </w:rPr>
        <w:footnoteReference w:id="27"/>
      </w:r>
      <w:r>
        <w:rPr>
          <w:rFonts w:eastAsia="Arial"/>
        </w:rPr>
        <w:t xml:space="preserve">. While each intervention-specific analysis was tailored to its thematic context, regulatory domain, and </w:t>
      </w:r>
      <w:r w:rsidR="00BA566B" w:rsidRPr="5DA36055">
        <w:rPr>
          <w:rFonts w:eastAsia="Arial"/>
        </w:rPr>
        <w:t xml:space="preserve">relevant </w:t>
      </w:r>
      <w:r>
        <w:rPr>
          <w:rFonts w:eastAsia="Arial"/>
        </w:rPr>
        <w:t xml:space="preserve">data, all assessments followed a common methodological architecture. </w:t>
      </w:r>
    </w:p>
    <w:p w14:paraId="2C40D351" w14:textId="77777777" w:rsidR="00C17555" w:rsidRDefault="00C17555" w:rsidP="004570F2">
      <w:pPr>
        <w:pStyle w:val="Heading3"/>
        <w:numPr>
          <w:ilvl w:val="0"/>
          <w:numId w:val="533"/>
        </w:numPr>
      </w:pPr>
      <w:bookmarkStart w:id="124" w:name="_Toc224827677"/>
      <w:bookmarkStart w:id="125" w:name="_Toc225979086"/>
      <w:r>
        <w:t>Alignment with the EU Better Regulation framework</w:t>
      </w:r>
      <w:bookmarkEnd w:id="124"/>
      <w:bookmarkEnd w:id="125"/>
    </w:p>
    <w:p w14:paraId="4DF79966" w14:textId="2AA7FB2A" w:rsidR="00C17555" w:rsidRDefault="00C17555" w:rsidP="005377F7">
      <w:r>
        <w:rPr>
          <w:rFonts w:eastAsia="Arial"/>
        </w:rPr>
        <w:t xml:space="preserve">The </w:t>
      </w:r>
      <w:r w:rsidRPr="004570F2">
        <w:rPr>
          <w:b/>
        </w:rPr>
        <w:t>baseline</w:t>
      </w:r>
      <w:r>
        <w:rPr>
          <w:rFonts w:eastAsia="Arial"/>
        </w:rPr>
        <w:t xml:space="preserve"> is constructed as a counterfactual scenario depicting how identified challenges would evolve absent the proposed intervention, rather than a static </w:t>
      </w:r>
      <w:r w:rsidR="008B3E9C">
        <w:rPr>
          <w:rFonts w:eastAsia="Arial"/>
        </w:rPr>
        <w:t xml:space="preserve">description </w:t>
      </w:r>
      <w:r>
        <w:rPr>
          <w:rFonts w:eastAsia="Arial"/>
        </w:rPr>
        <w:t xml:space="preserve">of current conditions. The </w:t>
      </w:r>
      <w:r w:rsidRPr="004570F2">
        <w:rPr>
          <w:b/>
        </w:rPr>
        <w:t>analysis of impacts</w:t>
      </w:r>
      <w:r>
        <w:rPr>
          <w:rFonts w:eastAsia="Arial"/>
        </w:rPr>
        <w:t xml:space="preserve"> is a standardised set of impact dimensions derived from the </w:t>
      </w:r>
      <w:r w:rsidR="00DB6AFB">
        <w:rPr>
          <w:rFonts w:eastAsia="Arial"/>
        </w:rPr>
        <w:t xml:space="preserve">Better Regulation </w:t>
      </w:r>
      <w:r>
        <w:rPr>
          <w:rFonts w:eastAsia="Arial"/>
        </w:rPr>
        <w:t xml:space="preserve">Toolbox’s analytical categories, and the depth of analysis is calibrated to the significance of each intervention and the availability of evidence. The analytical phases follow the </w:t>
      </w:r>
      <w:r w:rsidR="00565638">
        <w:rPr>
          <w:rFonts w:eastAsia="Arial"/>
          <w:b/>
          <w:bCs/>
        </w:rPr>
        <w:t>following sequence</w:t>
      </w:r>
      <w:r>
        <w:rPr>
          <w:rFonts w:eastAsia="Arial"/>
        </w:rPr>
        <w:t xml:space="preserve">: policy mapping (translating the legislative text into structured analytical units), baseline development (establishing the counterfactual), </w:t>
      </w:r>
      <w:r w:rsidR="00C478DE">
        <w:rPr>
          <w:rFonts w:eastAsia="Arial"/>
        </w:rPr>
        <w:t xml:space="preserve">assessment of </w:t>
      </w:r>
      <w:r>
        <w:rPr>
          <w:rFonts w:eastAsia="Arial"/>
        </w:rPr>
        <w:t>impact</w:t>
      </w:r>
      <w:r w:rsidR="00C478DE">
        <w:rPr>
          <w:rFonts w:eastAsia="Arial"/>
        </w:rPr>
        <w:t>s</w:t>
      </w:r>
      <w:r>
        <w:rPr>
          <w:rFonts w:eastAsia="Arial"/>
        </w:rPr>
        <w:t xml:space="preserve"> (evaluating costs, benefits, and broader effects against the baseline), and compilation of findings (including cumulative impacts).</w:t>
      </w:r>
    </w:p>
    <w:p w14:paraId="2EC4C921" w14:textId="77777777" w:rsidR="00C17555" w:rsidRDefault="00C17555" w:rsidP="004570F2">
      <w:pPr>
        <w:pStyle w:val="Heading3"/>
        <w:numPr>
          <w:ilvl w:val="0"/>
          <w:numId w:val="533"/>
        </w:numPr>
      </w:pPr>
      <w:bookmarkStart w:id="126" w:name="_Toc224827678"/>
      <w:bookmarkStart w:id="127" w:name="_Toc225979087"/>
      <w:r>
        <w:t>The policy intervention as the unit of analysis</w:t>
      </w:r>
      <w:bookmarkEnd w:id="126"/>
      <w:bookmarkEnd w:id="127"/>
    </w:p>
    <w:p w14:paraId="4E64C01E" w14:textId="34121780" w:rsidR="00C17555" w:rsidRDefault="0098598B" w:rsidP="005377F7">
      <w:r>
        <w:rPr>
          <w:rFonts w:eastAsia="Arial"/>
        </w:rPr>
        <w:t>T</w:t>
      </w:r>
      <w:r w:rsidR="00C17555">
        <w:rPr>
          <w:rFonts w:eastAsia="Arial"/>
        </w:rPr>
        <w:t xml:space="preserve">he policy intervention </w:t>
      </w:r>
      <w:r>
        <w:rPr>
          <w:rFonts w:eastAsia="Arial"/>
        </w:rPr>
        <w:t>was defined</w:t>
      </w:r>
      <w:r w:rsidR="00C17555">
        <w:rPr>
          <w:rFonts w:eastAsia="Arial"/>
        </w:rPr>
        <w:t xml:space="preserve"> as the primary unit of analysis, translating the </w:t>
      </w:r>
      <w:r w:rsidR="00172D8C">
        <w:rPr>
          <w:rFonts w:eastAsia="Arial"/>
        </w:rPr>
        <w:t xml:space="preserve">articles of the </w:t>
      </w:r>
      <w:r w:rsidR="00FE346E">
        <w:rPr>
          <w:rFonts w:eastAsia="Arial"/>
        </w:rPr>
        <w:t xml:space="preserve">proposed </w:t>
      </w:r>
      <w:r w:rsidR="00172D8C">
        <w:rPr>
          <w:rFonts w:eastAsia="Arial"/>
        </w:rPr>
        <w:t xml:space="preserve">Regulation and of the </w:t>
      </w:r>
      <w:r w:rsidR="00FE346E">
        <w:rPr>
          <w:rFonts w:eastAsia="Arial"/>
        </w:rPr>
        <w:t>proposed</w:t>
      </w:r>
      <w:r w:rsidR="00172D8C">
        <w:rPr>
          <w:rFonts w:eastAsia="Arial"/>
        </w:rPr>
        <w:t xml:space="preserve"> Directive</w:t>
      </w:r>
      <w:r w:rsidR="00C17555" w:rsidDel="00172D8C">
        <w:rPr>
          <w:rFonts w:eastAsia="Arial"/>
        </w:rPr>
        <w:t xml:space="preserve"> </w:t>
      </w:r>
      <w:r w:rsidR="00C17555">
        <w:rPr>
          <w:rFonts w:eastAsia="Arial"/>
        </w:rPr>
        <w:t xml:space="preserve">into </w:t>
      </w:r>
      <w:r w:rsidR="00C17555" w:rsidRPr="00C40E36">
        <w:rPr>
          <w:rFonts w:eastAsia="Arial"/>
          <w:b/>
          <w:bCs/>
        </w:rPr>
        <w:t>17 policy interventions</w:t>
      </w:r>
      <w:r w:rsidR="00C17555">
        <w:rPr>
          <w:rFonts w:eastAsia="Arial"/>
        </w:rPr>
        <w:t xml:space="preserve">, each encompassing one or more underlying policy measures that share common policy objectives, target stakeholders, and implementation mechanisms. The mapping operated at three hierarchical levels: broader policy areas corresponding to the structure of the </w:t>
      </w:r>
      <w:r w:rsidR="00A25C33">
        <w:rPr>
          <w:rFonts w:eastAsia="Arial"/>
        </w:rPr>
        <w:t xml:space="preserve">proposed European </w:t>
      </w:r>
      <w:r w:rsidR="00C17555">
        <w:rPr>
          <w:rFonts w:eastAsia="Arial"/>
        </w:rPr>
        <w:t>Biotech Act, policy interventions representing the intended aims of the proposed initiatives, and policy measures detailing the specific legislative changes</w:t>
      </w:r>
      <w:r w:rsidR="00C17555" w:rsidRPr="007B2FF3">
        <w:rPr>
          <w:rFonts w:eastAsia="Arial"/>
        </w:rPr>
        <w:t>.</w:t>
      </w:r>
      <w:r w:rsidR="00EA7D9F" w:rsidRPr="007B2FF3">
        <w:rPr>
          <w:rFonts w:eastAsia="Arial"/>
        </w:rPr>
        <w:t xml:space="preserve"> </w:t>
      </w:r>
      <w:r w:rsidR="00EA7D9F" w:rsidRPr="00933653">
        <w:rPr>
          <w:rFonts w:eastAsia="Arial"/>
        </w:rPr>
        <w:t>For the purpose of the SWD, the impacts of interventions n°9, 10 and 11 are presented together in the main report.</w:t>
      </w:r>
    </w:p>
    <w:p w14:paraId="0A2B2388" w14:textId="19EE56E1" w:rsidR="00C17555" w:rsidRDefault="00C17555" w:rsidP="005377F7">
      <w:r>
        <w:rPr>
          <w:rFonts w:eastAsia="Arial"/>
        </w:rPr>
        <w:t xml:space="preserve">The 17 policy interventions span </w:t>
      </w:r>
      <w:r w:rsidRPr="00C40E36">
        <w:rPr>
          <w:rFonts w:eastAsia="Arial"/>
          <w:b/>
          <w:bCs/>
        </w:rPr>
        <w:t>six thematic areas</w:t>
      </w:r>
      <w:r>
        <w:rPr>
          <w:rFonts w:eastAsia="Arial"/>
        </w:rPr>
        <w:t xml:space="preserve">: strategic projects and clusters (including biosimilars), time-to-market regulatory </w:t>
      </w:r>
      <w:r w:rsidR="00547654">
        <w:rPr>
          <w:rFonts w:eastAsia="Arial"/>
        </w:rPr>
        <w:t>proposed changes</w:t>
      </w:r>
      <w:r>
        <w:rPr>
          <w:rFonts w:eastAsia="Arial"/>
        </w:rPr>
        <w:t xml:space="preserve">, access to capital, intellectual property, AI and data, and biodefence and biosecurity. This grouping ensured coherence by combining related policy measures under unified assessment frameworks while maintaining sufficient granularity to capture intervention-specific dynamics. For each policy intervention, a dedicated baseline was established, a thorough assessment </w:t>
      </w:r>
      <w:r w:rsidR="00F95997">
        <w:rPr>
          <w:rFonts w:eastAsia="Arial"/>
        </w:rPr>
        <w:t xml:space="preserve">of the impacts of the proposed measures </w:t>
      </w:r>
      <w:r>
        <w:rPr>
          <w:rFonts w:eastAsia="Arial"/>
        </w:rPr>
        <w:t>was conducted</w:t>
      </w:r>
      <w:r w:rsidR="00073B3C">
        <w:rPr>
          <w:rFonts w:eastAsia="Arial"/>
        </w:rPr>
        <w:t>.</w:t>
      </w:r>
    </w:p>
    <w:p w14:paraId="33FEC9B6" w14:textId="77777777" w:rsidR="00C17555" w:rsidRDefault="00C17555" w:rsidP="004570F2">
      <w:pPr>
        <w:pStyle w:val="Heading3"/>
        <w:numPr>
          <w:ilvl w:val="0"/>
          <w:numId w:val="533"/>
        </w:numPr>
      </w:pPr>
      <w:bookmarkStart w:id="128" w:name="_Toc224827679"/>
      <w:bookmarkStart w:id="129" w:name="_Toc225979088"/>
      <w:r>
        <w:t>Impact framework development</w:t>
      </w:r>
      <w:bookmarkEnd w:id="128"/>
      <w:bookmarkEnd w:id="129"/>
    </w:p>
    <w:p w14:paraId="508D1286" w14:textId="77777777" w:rsidR="00C17555" w:rsidRDefault="00C17555" w:rsidP="005377F7">
      <w:r>
        <w:rPr>
          <w:rFonts w:eastAsia="Arial"/>
        </w:rPr>
        <w:t xml:space="preserve">The assessment of each intervention is anchored in an </w:t>
      </w:r>
      <w:r w:rsidRPr="00C40E36">
        <w:rPr>
          <w:rFonts w:eastAsia="Arial"/>
          <w:b/>
          <w:bCs/>
        </w:rPr>
        <w:t>intervention-specific impact framework</w:t>
      </w:r>
      <w:r>
        <w:rPr>
          <w:rFonts w:eastAsia="Arial"/>
        </w:rPr>
        <w:t xml:space="preserve"> that sets out the logic chain linking the proposed policy measures to their expected effects, the indicators selected to track those effects, the expected direction of </w:t>
      </w:r>
      <w:r>
        <w:rPr>
          <w:rFonts w:eastAsia="Arial"/>
        </w:rPr>
        <w:lastRenderedPageBreak/>
        <w:t>change, and the data sources available for baseline calibration and impact estimation. The impact framework serves as the analytical blueprint for the entire assessment, ensuring that the subsequent baseline and impact analysis are focused on the channels through which the intervention is expected to operate.</w:t>
      </w:r>
    </w:p>
    <w:p w14:paraId="2D10B123" w14:textId="3D833A7F" w:rsidR="00C17555" w:rsidRDefault="00C17555" w:rsidP="005377F7">
      <w:pPr>
        <w:rPr>
          <w:rFonts w:eastAsia="Arial"/>
        </w:rPr>
      </w:pPr>
      <w:r w:rsidRPr="007C177E">
        <w:rPr>
          <w:rFonts w:eastAsia="Arial"/>
          <w:b/>
          <w:bCs/>
        </w:rPr>
        <w:t>Seven standardised impact dimensions</w:t>
      </w:r>
      <w:r>
        <w:rPr>
          <w:rFonts w:eastAsia="Arial"/>
        </w:rPr>
        <w:t xml:space="preserve"> were applied across all 17 assessments, providing a common analytical structure:</w:t>
      </w:r>
    </w:p>
    <w:p w14:paraId="74684A80" w14:textId="77777777" w:rsidR="00C17555" w:rsidRPr="007C177E" w:rsidRDefault="00C17555" w:rsidP="005377F7">
      <w:pPr>
        <w:pStyle w:val="ListParagraph"/>
        <w:numPr>
          <w:ilvl w:val="0"/>
          <w:numId w:val="499"/>
        </w:numPr>
        <w:spacing w:after="270" w:line="270" w:lineRule="atLeast"/>
        <w:ind w:right="284"/>
        <w:rPr>
          <w:rFonts w:eastAsia="Arial"/>
        </w:rPr>
      </w:pPr>
      <w:r w:rsidRPr="007C177E">
        <w:rPr>
          <w:rFonts w:eastAsia="Arial"/>
        </w:rPr>
        <w:t xml:space="preserve">Conduct of business. </w:t>
      </w:r>
    </w:p>
    <w:p w14:paraId="5FFF18F1" w14:textId="77777777" w:rsidR="00C17555" w:rsidRPr="007C177E" w:rsidRDefault="00C17555" w:rsidP="005377F7">
      <w:pPr>
        <w:pStyle w:val="ListParagraph"/>
        <w:numPr>
          <w:ilvl w:val="0"/>
          <w:numId w:val="499"/>
        </w:numPr>
        <w:spacing w:after="270" w:line="270" w:lineRule="atLeast"/>
        <w:ind w:right="284"/>
        <w:rPr>
          <w:rFonts w:eastAsia="Arial"/>
        </w:rPr>
      </w:pPr>
      <w:r w:rsidRPr="007C177E">
        <w:rPr>
          <w:rFonts w:eastAsia="Arial"/>
        </w:rPr>
        <w:t xml:space="preserve">Administrative costs on businesses, including SMEs. </w:t>
      </w:r>
    </w:p>
    <w:p w14:paraId="586CCCE9" w14:textId="77777777" w:rsidR="00C17555" w:rsidRPr="007C177E" w:rsidRDefault="00C17555" w:rsidP="005377F7">
      <w:pPr>
        <w:pStyle w:val="ListParagraph"/>
        <w:numPr>
          <w:ilvl w:val="0"/>
          <w:numId w:val="499"/>
        </w:numPr>
        <w:spacing w:after="270" w:line="270" w:lineRule="atLeast"/>
        <w:ind w:right="284"/>
        <w:rPr>
          <w:rFonts w:eastAsia="Arial"/>
        </w:rPr>
      </w:pPr>
      <w:r w:rsidRPr="007C177E">
        <w:rPr>
          <w:rFonts w:eastAsia="Arial"/>
        </w:rPr>
        <w:t xml:space="preserve">Competitiveness, trade and investment flows. </w:t>
      </w:r>
    </w:p>
    <w:p w14:paraId="60FDEE0B" w14:textId="77777777" w:rsidR="00C17555" w:rsidRPr="007C177E" w:rsidRDefault="00C17555" w:rsidP="005377F7">
      <w:pPr>
        <w:pStyle w:val="ListParagraph"/>
        <w:numPr>
          <w:ilvl w:val="0"/>
          <w:numId w:val="499"/>
        </w:numPr>
        <w:spacing w:after="270" w:line="270" w:lineRule="atLeast"/>
        <w:ind w:right="284"/>
        <w:rPr>
          <w:rFonts w:eastAsia="Arial"/>
        </w:rPr>
      </w:pPr>
      <w:r w:rsidRPr="007C177E">
        <w:rPr>
          <w:rFonts w:eastAsia="Arial"/>
        </w:rPr>
        <w:t xml:space="preserve">Functioning of the internal market and competition. </w:t>
      </w:r>
    </w:p>
    <w:p w14:paraId="08A20F50" w14:textId="77777777" w:rsidR="00C17555" w:rsidRDefault="00C17555" w:rsidP="005377F7">
      <w:pPr>
        <w:pStyle w:val="ListParagraph"/>
        <w:numPr>
          <w:ilvl w:val="0"/>
          <w:numId w:val="499"/>
        </w:numPr>
        <w:spacing w:after="270" w:line="270" w:lineRule="atLeast"/>
        <w:ind w:right="284"/>
        <w:rPr>
          <w:rFonts w:eastAsia="Arial"/>
        </w:rPr>
      </w:pPr>
      <w:r w:rsidRPr="007C177E">
        <w:rPr>
          <w:rFonts w:eastAsia="Arial"/>
        </w:rPr>
        <w:t xml:space="preserve">Innovation and research. </w:t>
      </w:r>
    </w:p>
    <w:p w14:paraId="4C323871" w14:textId="77777777" w:rsidR="00C17555" w:rsidRPr="007C177E" w:rsidRDefault="00C17555" w:rsidP="005377F7">
      <w:pPr>
        <w:pStyle w:val="ListParagraph"/>
        <w:numPr>
          <w:ilvl w:val="0"/>
          <w:numId w:val="499"/>
        </w:numPr>
        <w:spacing w:after="270" w:line="270" w:lineRule="atLeast"/>
        <w:ind w:right="284"/>
        <w:rPr>
          <w:rFonts w:eastAsia="Arial"/>
        </w:rPr>
      </w:pPr>
      <w:r w:rsidRPr="007C177E">
        <w:rPr>
          <w:rFonts w:eastAsia="Arial"/>
        </w:rPr>
        <w:t xml:space="preserve">Administrative costs to public authorities. </w:t>
      </w:r>
    </w:p>
    <w:p w14:paraId="3DAC32B9" w14:textId="77777777" w:rsidR="00C17555" w:rsidRPr="007C177E" w:rsidRDefault="00C17555" w:rsidP="005377F7">
      <w:pPr>
        <w:pStyle w:val="ListParagraph"/>
        <w:numPr>
          <w:ilvl w:val="0"/>
          <w:numId w:val="499"/>
        </w:numPr>
        <w:spacing w:after="270" w:line="270" w:lineRule="atLeast"/>
        <w:ind w:right="284"/>
        <w:rPr>
          <w:rFonts w:eastAsia="Arial"/>
        </w:rPr>
      </w:pPr>
      <w:r w:rsidRPr="007C177E">
        <w:rPr>
          <w:rFonts w:eastAsia="Arial"/>
        </w:rPr>
        <w:t xml:space="preserve">Public health and safety. </w:t>
      </w:r>
    </w:p>
    <w:p w14:paraId="1222BDB9" w14:textId="77777777" w:rsidR="00C17555" w:rsidRDefault="00C17555" w:rsidP="005377F7">
      <w:r>
        <w:rPr>
          <w:rFonts w:eastAsia="Arial"/>
        </w:rPr>
        <w:t>All dimensions were screened for relevance for each intervention, with the analysis emphasising the most pertinent dimensions for each case while maintaining a minimum level of coverage across all seven to ensure comparability for the cumulative assessment. This standardised structure enables the cumulative impact analysis to aggregate findings by impact dimension across interventions and to identify synergies, trade-offs, and emergent systemic effects.</w:t>
      </w:r>
    </w:p>
    <w:p w14:paraId="59D525DE" w14:textId="6C495D18" w:rsidR="00C17555" w:rsidRDefault="00C17555" w:rsidP="005377F7">
      <w:r>
        <w:rPr>
          <w:rFonts w:eastAsia="Arial"/>
        </w:rPr>
        <w:t xml:space="preserve">For each impact dimension, the framework specifies </w:t>
      </w:r>
      <w:r w:rsidRPr="007C177E">
        <w:rPr>
          <w:rFonts w:eastAsia="Arial"/>
          <w:b/>
          <w:bCs/>
        </w:rPr>
        <w:t>indicators</w:t>
      </w:r>
      <w:r>
        <w:rPr>
          <w:rFonts w:eastAsia="Arial"/>
        </w:rPr>
        <w:t xml:space="preserve"> that are, to the extent possible, quantitative and measurable, together with the data sources used for baseline calibration. Where </w:t>
      </w:r>
      <w:r w:rsidRPr="004570F2">
        <w:rPr>
          <w:b/>
        </w:rPr>
        <w:t>quantitative indicators</w:t>
      </w:r>
      <w:r>
        <w:rPr>
          <w:rFonts w:eastAsia="Arial"/>
        </w:rPr>
        <w:t xml:space="preserve"> could not be established due to data constraints (a frequent occurrence, particularly for novel instruments such as regulatory sandboxes, the biothreat radar, and the foresight panel), </w:t>
      </w:r>
      <w:r w:rsidRPr="004570F2">
        <w:rPr>
          <w:b/>
        </w:rPr>
        <w:t>qualitative indicators</w:t>
      </w:r>
      <w:r>
        <w:rPr>
          <w:rFonts w:eastAsia="Arial"/>
        </w:rPr>
        <w:t xml:space="preserve"> based on directional assessments were used. This</w:t>
      </w:r>
      <w:r w:rsidDel="00E70763">
        <w:rPr>
          <w:rFonts w:eastAsia="Arial"/>
        </w:rPr>
        <w:t xml:space="preserve"> </w:t>
      </w:r>
      <w:r>
        <w:rPr>
          <w:rFonts w:eastAsia="Arial"/>
        </w:rPr>
        <w:t>approach ensured that the absence of quantitative data did not result in the exclusion of important impact channels from the analysis.</w:t>
      </w:r>
    </w:p>
    <w:p w14:paraId="611A904F" w14:textId="77777777" w:rsidR="00C17555" w:rsidRDefault="00C17555" w:rsidP="004570F2">
      <w:pPr>
        <w:pStyle w:val="Heading3"/>
        <w:numPr>
          <w:ilvl w:val="0"/>
          <w:numId w:val="533"/>
        </w:numPr>
      </w:pPr>
      <w:bookmarkStart w:id="130" w:name="_Toc224827680"/>
      <w:bookmarkStart w:id="131" w:name="_Toc225979089"/>
      <w:r>
        <w:t>Baseline construction</w:t>
      </w:r>
      <w:bookmarkEnd w:id="130"/>
      <w:bookmarkEnd w:id="131"/>
    </w:p>
    <w:p w14:paraId="531F1EA9" w14:textId="22921DC0" w:rsidR="00C17555" w:rsidRDefault="00C17555" w:rsidP="005377F7">
      <w:r>
        <w:rPr>
          <w:rFonts w:eastAsia="Arial"/>
        </w:rPr>
        <w:t xml:space="preserve">Consistent with the Better Regulation Toolbox (Tool #60), the baseline for each intervention describes the </w:t>
      </w:r>
      <w:r w:rsidRPr="007C177E">
        <w:rPr>
          <w:rFonts w:eastAsia="Arial"/>
          <w:b/>
          <w:bCs/>
        </w:rPr>
        <w:t>counterfactual scenario</w:t>
      </w:r>
      <w:r>
        <w:rPr>
          <w:rFonts w:eastAsia="Arial"/>
        </w:rPr>
        <w:t>: how identified problems and current conditions would evolve in the absence of the proposed policy intervention</w:t>
      </w:r>
      <w:r w:rsidR="00DA3F8A">
        <w:rPr>
          <w:rFonts w:eastAsia="Arial"/>
        </w:rPr>
        <w:t xml:space="preserve"> (see Annex 7)</w:t>
      </w:r>
      <w:r>
        <w:rPr>
          <w:rFonts w:eastAsia="Arial"/>
        </w:rPr>
        <w:t>. The baseline is</w:t>
      </w:r>
      <w:r w:rsidDel="00E70763">
        <w:rPr>
          <w:rFonts w:eastAsia="Arial"/>
        </w:rPr>
        <w:t xml:space="preserve"> </w:t>
      </w:r>
      <w:r>
        <w:rPr>
          <w:rFonts w:eastAsia="Arial"/>
        </w:rPr>
        <w:t xml:space="preserve">a dynamic projection that takes account of existing trends, </w:t>
      </w:r>
      <w:r w:rsidR="00AD25D1" w:rsidRPr="00933653">
        <w:rPr>
          <w:rFonts w:eastAsia="Arial"/>
        </w:rPr>
        <w:t>recent Commission proposals</w:t>
      </w:r>
      <w:r>
        <w:rPr>
          <w:rFonts w:eastAsia="Arial"/>
        </w:rPr>
        <w:t>, autonomous market developments, and foreseeable changes in the regulatory or technological environment. This dynamic character is essential because it establishes the reference point against which incremental impacts of the proposed intervention are measured.</w:t>
      </w:r>
    </w:p>
    <w:p w14:paraId="6BE80BD0" w14:textId="61613EFA" w:rsidR="00C17555" w:rsidRDefault="00C17555" w:rsidP="005377F7">
      <w:r>
        <w:rPr>
          <w:rFonts w:eastAsia="Arial"/>
        </w:rPr>
        <w:t xml:space="preserve">Across the 17 assessments, a common baseline architecture was applied. </w:t>
      </w:r>
      <w:r w:rsidRPr="007B2C87">
        <w:rPr>
          <w:rFonts w:eastAsia="Arial"/>
          <w:b/>
          <w:bCs/>
        </w:rPr>
        <w:t>Discussion of the time horizons</w:t>
      </w:r>
      <w:r>
        <w:rPr>
          <w:rFonts w:eastAsia="Arial"/>
        </w:rPr>
        <w:t xml:space="preserve"> adopted for baseline and </w:t>
      </w:r>
      <w:r w:rsidR="00594490">
        <w:rPr>
          <w:rFonts w:eastAsia="Arial"/>
        </w:rPr>
        <w:t xml:space="preserve">assessment of </w:t>
      </w:r>
      <w:r>
        <w:rPr>
          <w:rFonts w:eastAsia="Arial"/>
        </w:rPr>
        <w:t>impact</w:t>
      </w:r>
      <w:r w:rsidR="00594490">
        <w:rPr>
          <w:rFonts w:eastAsia="Arial"/>
        </w:rPr>
        <w:t>s</w:t>
      </w:r>
      <w:r>
        <w:rPr>
          <w:rFonts w:eastAsia="Arial"/>
        </w:rPr>
        <w:t xml:space="preserve"> is provided </w:t>
      </w:r>
      <w:r w:rsidR="00C21E5D">
        <w:rPr>
          <w:rFonts w:eastAsia="Arial"/>
        </w:rPr>
        <w:t>below</w:t>
      </w:r>
      <w:r w:rsidRPr="00B96C2C">
        <w:rPr>
          <w:rFonts w:eastAsia="Arial"/>
          <w:b/>
          <w:bCs/>
        </w:rPr>
        <w:t>.</w:t>
      </w:r>
      <w:r>
        <w:rPr>
          <w:rFonts w:eastAsia="Arial"/>
        </w:rPr>
        <w:t xml:space="preserve"> </w:t>
      </w:r>
    </w:p>
    <w:p w14:paraId="401A2346" w14:textId="534BF0C0" w:rsidR="00C17555" w:rsidRDefault="00C21E5D" w:rsidP="005377F7">
      <w:r>
        <w:rPr>
          <w:rFonts w:eastAsia="Arial"/>
        </w:rPr>
        <w:t xml:space="preserve">Across all interventions, the baseline is also based on </w:t>
      </w:r>
      <w:r w:rsidR="00C17555" w:rsidRPr="005D5446">
        <w:rPr>
          <w:rFonts w:eastAsia="Arial"/>
        </w:rPr>
        <w:t>explicit</w:t>
      </w:r>
      <w:r w:rsidR="00C17555" w:rsidRPr="005D5446">
        <w:rPr>
          <w:rFonts w:eastAsia="Arial"/>
          <w:b/>
          <w:bCs/>
        </w:rPr>
        <w:t xml:space="preserve"> assumptions</w:t>
      </w:r>
      <w:r w:rsidR="00C17555">
        <w:rPr>
          <w:rFonts w:eastAsia="Arial"/>
          <w:b/>
          <w:bCs/>
        </w:rPr>
        <w:t xml:space="preserve">, </w:t>
      </w:r>
      <w:r w:rsidR="00C17555">
        <w:rPr>
          <w:rFonts w:eastAsia="Arial"/>
        </w:rPr>
        <w:t xml:space="preserve">which are presented </w:t>
      </w:r>
      <w:r>
        <w:rPr>
          <w:rFonts w:eastAsia="Arial"/>
        </w:rPr>
        <w:t>into details</w:t>
      </w:r>
      <w:r w:rsidR="00C17555">
        <w:rPr>
          <w:rFonts w:eastAsia="Arial"/>
        </w:rPr>
        <w:t xml:space="preserve"> in the supporting study</w:t>
      </w:r>
      <w:r>
        <w:rPr>
          <w:rFonts w:eastAsia="Arial"/>
        </w:rPr>
        <w:t xml:space="preserve"> (Rapid Assessment Scenario Study)</w:t>
      </w:r>
      <w:r w:rsidR="00C17555">
        <w:rPr>
          <w:rFonts w:eastAsia="Arial"/>
        </w:rPr>
        <w:t>.</w:t>
      </w:r>
    </w:p>
    <w:p w14:paraId="45C7FFE2" w14:textId="77777777" w:rsidR="00C17555" w:rsidRDefault="00C17555" w:rsidP="004570F2">
      <w:pPr>
        <w:pStyle w:val="Heading3"/>
        <w:numPr>
          <w:ilvl w:val="0"/>
          <w:numId w:val="533"/>
        </w:numPr>
      </w:pPr>
      <w:bookmarkStart w:id="132" w:name="_Toc224827682"/>
      <w:bookmarkStart w:id="133" w:name="_Toc225979090"/>
      <w:r>
        <w:lastRenderedPageBreak/>
        <w:t>Evidence base and data collection methods</w:t>
      </w:r>
      <w:bookmarkEnd w:id="132"/>
      <w:bookmarkEnd w:id="133"/>
    </w:p>
    <w:p w14:paraId="24B05792" w14:textId="77777777" w:rsidR="00C17555" w:rsidRDefault="00C17555" w:rsidP="005377F7">
      <w:r>
        <w:rPr>
          <w:rFonts w:eastAsia="Arial"/>
        </w:rPr>
        <w:t>The assessments draw on a multi-layered evidence base assembled through three complementary data collection methods: desk research, targeted stakeholder consultations, and analysis of the public consultation and call for evidence responses.</w:t>
      </w:r>
    </w:p>
    <w:p w14:paraId="1C1C470B" w14:textId="77777777" w:rsidR="00C17555" w:rsidRDefault="00C17555" w:rsidP="004570F2">
      <w:pPr>
        <w:pStyle w:val="Heading3"/>
        <w:numPr>
          <w:ilvl w:val="0"/>
          <w:numId w:val="533"/>
        </w:numPr>
      </w:pPr>
      <w:bookmarkStart w:id="134" w:name="_Toc224827683"/>
      <w:bookmarkStart w:id="135" w:name="_Toc225979091"/>
      <w:r>
        <w:t>Proportionality and analytical transparency</w:t>
      </w:r>
      <w:bookmarkEnd w:id="134"/>
      <w:bookmarkEnd w:id="135"/>
    </w:p>
    <w:p w14:paraId="03DE4405" w14:textId="2F0D359F" w:rsidR="00C17555" w:rsidRDefault="00C17555" w:rsidP="005377F7">
      <w:pPr>
        <w:rPr>
          <w:rFonts w:eastAsia="Arial"/>
        </w:rPr>
      </w:pPr>
      <w:r>
        <w:rPr>
          <w:rFonts w:eastAsia="Arial"/>
        </w:rPr>
        <w:t xml:space="preserve">While the overarching framework is common, its application was adapted to the thematic and context of each intervention. This adaptation reflects the </w:t>
      </w:r>
      <w:r w:rsidRPr="00312A71">
        <w:rPr>
          <w:rFonts w:eastAsia="Arial"/>
          <w:b/>
          <w:bCs/>
        </w:rPr>
        <w:t>proportionality principle</w:t>
      </w:r>
      <w:r>
        <w:rPr>
          <w:rFonts w:eastAsia="Arial"/>
        </w:rPr>
        <w:t xml:space="preserve">: the depth and method of analysis were calibrated to the significance of the intervention, the novelty of the proposed measures, and the availability and quality of evidence. </w:t>
      </w:r>
    </w:p>
    <w:p w14:paraId="00E43130" w14:textId="28CEE5FC" w:rsidR="00C17555" w:rsidRPr="00312A71" w:rsidRDefault="00C17555" w:rsidP="005377F7">
      <w:r>
        <w:rPr>
          <w:rFonts w:eastAsia="Arial"/>
        </w:rPr>
        <w:t>The adaptations occurred for example</w:t>
      </w:r>
      <w:r w:rsidRPr="00312A71">
        <w:rPr>
          <w:rFonts w:eastAsia="Arial"/>
        </w:rPr>
        <w:t>,</w:t>
      </w:r>
      <w:r>
        <w:rPr>
          <w:rFonts w:eastAsia="Arial"/>
        </w:rPr>
        <w:t xml:space="preserve"> on</w:t>
      </w:r>
      <w:r w:rsidRPr="00312A71">
        <w:rPr>
          <w:rFonts w:eastAsia="Arial"/>
        </w:rPr>
        <w:t xml:space="preserve"> the </w:t>
      </w:r>
      <w:r w:rsidRPr="00312A71">
        <w:rPr>
          <w:rFonts w:eastAsia="Arial"/>
          <w:b/>
          <w:bCs/>
        </w:rPr>
        <w:t>degree of measure-level disaggregation</w:t>
      </w:r>
      <w:r>
        <w:rPr>
          <w:rFonts w:eastAsia="Arial"/>
          <w:b/>
          <w:bCs/>
        </w:rPr>
        <w:t xml:space="preserve">. </w:t>
      </w:r>
      <w:r w:rsidRPr="00850503">
        <w:rPr>
          <w:rFonts w:eastAsia="Arial"/>
        </w:rPr>
        <w:t>These</w:t>
      </w:r>
      <w:r w:rsidRPr="00312A71">
        <w:rPr>
          <w:rFonts w:eastAsia="Arial"/>
        </w:rPr>
        <w:t xml:space="preserve"> varies across </w:t>
      </w:r>
      <w:r>
        <w:rPr>
          <w:rFonts w:eastAsia="Arial"/>
        </w:rPr>
        <w:t>interventions</w:t>
      </w:r>
      <w:r w:rsidRPr="00312A71">
        <w:rPr>
          <w:rFonts w:eastAsia="Arial"/>
        </w:rPr>
        <w:t>. Interventions encompassing multiple distinct policy measures with separable effects</w:t>
      </w:r>
      <w:r>
        <w:rPr>
          <w:rFonts w:eastAsia="Arial"/>
        </w:rPr>
        <w:t xml:space="preserve">, </w:t>
      </w:r>
      <w:r w:rsidRPr="00312A71">
        <w:rPr>
          <w:rFonts w:eastAsia="Arial"/>
        </w:rPr>
        <w:t xml:space="preserve">such as the VMPs intervention (four distinct measures: GMO exemption, SPC extension for zoonotic products, regulatory sandbox, and VNRA burden reduction) or the general food law intervention (EFSA procedural </w:t>
      </w:r>
      <w:r w:rsidR="00547654">
        <w:rPr>
          <w:rFonts w:eastAsia="Arial"/>
        </w:rPr>
        <w:t>revision</w:t>
      </w:r>
      <w:r w:rsidR="00547654" w:rsidRPr="00312A71">
        <w:rPr>
          <w:rFonts w:eastAsia="Arial"/>
        </w:rPr>
        <w:t xml:space="preserve"> </w:t>
      </w:r>
      <w:r w:rsidRPr="00312A71">
        <w:rPr>
          <w:rFonts w:eastAsia="Arial"/>
        </w:rPr>
        <w:t>and food chain sandboxes)</w:t>
      </w:r>
      <w:r>
        <w:rPr>
          <w:rFonts w:eastAsia="Arial"/>
        </w:rPr>
        <w:t xml:space="preserve">, </w:t>
      </w:r>
      <w:r w:rsidRPr="00312A71">
        <w:rPr>
          <w:rFonts w:eastAsia="Arial"/>
        </w:rPr>
        <w:t>conduct assessments at both the measure level and the intervention level, enabling the identification of measure-specific effects. Interventions consisting of a single unified measure or a tightly integrated package (such as the SPC extension or the biosecurity framework) are assessed primarily at the intervention level.</w:t>
      </w:r>
    </w:p>
    <w:p w14:paraId="4D3FA8D9" w14:textId="32462D4A" w:rsidR="00C17555" w:rsidRPr="003A170E" w:rsidRDefault="00C17555" w:rsidP="005377F7">
      <w:pPr>
        <w:spacing w:after="270" w:line="270" w:lineRule="atLeast"/>
        <w:ind w:right="284"/>
      </w:pPr>
      <w:r>
        <w:rPr>
          <w:rFonts w:eastAsia="Arial"/>
        </w:rPr>
        <w:t>T</w:t>
      </w:r>
      <w:r w:rsidRPr="00850503">
        <w:rPr>
          <w:rFonts w:eastAsia="Arial"/>
        </w:rPr>
        <w:t xml:space="preserve">he </w:t>
      </w:r>
      <w:r w:rsidRPr="00850503">
        <w:rPr>
          <w:rFonts w:eastAsia="Arial"/>
          <w:b/>
          <w:bCs/>
        </w:rPr>
        <w:t xml:space="preserve">use of scenario analysis and comparator evidence </w:t>
      </w:r>
      <w:r w:rsidRPr="00850503">
        <w:rPr>
          <w:rFonts w:eastAsia="Arial"/>
        </w:rPr>
        <w:t>was</w:t>
      </w:r>
      <w:r>
        <w:rPr>
          <w:rFonts w:eastAsia="Arial"/>
        </w:rPr>
        <w:t xml:space="preserve"> also</w:t>
      </w:r>
      <w:r w:rsidRPr="00850503">
        <w:rPr>
          <w:rFonts w:eastAsia="Arial"/>
        </w:rPr>
        <w:t xml:space="preserve"> deployed selectively. Where the intervention creates new instruments without direct EU precedent (such as regulatory sandboxes, strategic project recognition, or the biothreat radar), the </w:t>
      </w:r>
      <w:r>
        <w:rPr>
          <w:rFonts w:eastAsia="Arial"/>
        </w:rPr>
        <w:t>analysis</w:t>
      </w:r>
      <w:r w:rsidRPr="00850503">
        <w:rPr>
          <w:rFonts w:eastAsia="Arial"/>
        </w:rPr>
        <w:t xml:space="preserve"> draw on comparator evidence from analogous frameworks in other jurisdictions (e.g., the UK FCA sandbox, the US Nucleic Acid Observatory, the Net-Zero Industry Act) or from other policy domains (e.g.</w:t>
      </w:r>
      <w:r w:rsidRPr="00850503" w:rsidDel="0044795A">
        <w:rPr>
          <w:rFonts w:eastAsia="Arial"/>
        </w:rPr>
        <w:t xml:space="preserve">, </w:t>
      </w:r>
      <w:r w:rsidRPr="00850503">
        <w:rPr>
          <w:rFonts w:eastAsia="Arial"/>
        </w:rPr>
        <w:t xml:space="preserve">InvestEU) to calibrate assumptions and bracket plausible ranges. Where the </w:t>
      </w:r>
      <w:r w:rsidRPr="003A170E">
        <w:rPr>
          <w:rFonts w:eastAsia="Arial"/>
        </w:rPr>
        <w:t>intervention amends existing procedures with observable cost parameters, the analysis rel</w:t>
      </w:r>
      <w:r w:rsidR="007C1D42">
        <w:rPr>
          <w:rFonts w:eastAsia="Arial"/>
        </w:rPr>
        <w:t>ies</w:t>
      </w:r>
      <w:r w:rsidRPr="003A170E">
        <w:rPr>
          <w:rFonts w:eastAsia="Arial"/>
        </w:rPr>
        <w:t xml:space="preserve"> more directly on existing regulatory data and stakeholder-validated estimates.</w:t>
      </w:r>
    </w:p>
    <w:p w14:paraId="1E3D5F55" w14:textId="5CE3E355" w:rsidR="00C17555" w:rsidRDefault="00C17555" w:rsidP="005377F7">
      <w:pPr>
        <w:spacing w:after="270" w:line="270" w:lineRule="atLeast"/>
        <w:ind w:right="284"/>
      </w:pPr>
      <w:r w:rsidRPr="003A170E">
        <w:rPr>
          <w:rFonts w:eastAsia="Arial"/>
        </w:rPr>
        <w:t xml:space="preserve">Finally, a principle of </w:t>
      </w:r>
      <w:r w:rsidRPr="003A170E">
        <w:rPr>
          <w:rFonts w:eastAsia="Arial"/>
          <w:b/>
          <w:bCs/>
        </w:rPr>
        <w:t>analytical transparency</w:t>
      </w:r>
      <w:r w:rsidRPr="003A170E">
        <w:rPr>
          <w:rFonts w:eastAsia="Arial"/>
        </w:rPr>
        <w:t xml:space="preserve"> was applied throughout. Each analysis explicitly identifies data limitations, evidentiary gaps, and areas of uncertainty</w:t>
      </w:r>
      <w:r w:rsidR="007103B6" w:rsidRPr="003A170E">
        <w:rPr>
          <w:rFonts w:eastAsia="Arial"/>
        </w:rPr>
        <w:t xml:space="preserve"> (see the </w:t>
      </w:r>
      <w:r w:rsidR="003A170E" w:rsidRPr="00933653">
        <w:rPr>
          <w:rFonts w:eastAsia="Arial"/>
        </w:rPr>
        <w:t>Rapid Assessment Scenario</w:t>
      </w:r>
      <w:r w:rsidR="007103B6" w:rsidRPr="003A170E">
        <w:rPr>
          <w:rFonts w:eastAsia="Arial"/>
        </w:rPr>
        <w:t xml:space="preserve"> study for more information)</w:t>
      </w:r>
      <w:r w:rsidRPr="003A170E">
        <w:rPr>
          <w:rFonts w:eastAsia="Arial"/>
        </w:rPr>
        <w:t>. Where assumptions cannot be empirically validated, they are flagged as such. Where quantitative</w:t>
      </w:r>
      <w:r w:rsidRPr="00850503">
        <w:rPr>
          <w:rFonts w:eastAsia="Arial"/>
        </w:rPr>
        <w:t xml:space="preserve"> estimates are derived from proxy data or comparator evidence, the degree of approximation is stated</w:t>
      </w:r>
      <w:r w:rsidRPr="00850503" w:rsidDel="00C14DA1">
        <w:rPr>
          <w:rFonts w:eastAsia="Arial"/>
        </w:rPr>
        <w:t>.</w:t>
      </w:r>
    </w:p>
    <w:p w14:paraId="337EFE4C" w14:textId="2D952386" w:rsidR="00C17555" w:rsidRDefault="00C17555" w:rsidP="004570F2">
      <w:pPr>
        <w:pStyle w:val="Heading3"/>
        <w:numPr>
          <w:ilvl w:val="0"/>
          <w:numId w:val="533"/>
        </w:numPr>
      </w:pPr>
      <w:bookmarkStart w:id="136" w:name="_Toc224827684"/>
      <w:bookmarkStart w:id="137" w:name="_Toc225979092"/>
      <w:r>
        <w:t xml:space="preserve">Time horizon for baseline and </w:t>
      </w:r>
      <w:r w:rsidR="00594490">
        <w:t xml:space="preserve">assessment of </w:t>
      </w:r>
      <w:r>
        <w:t>impact</w:t>
      </w:r>
      <w:r w:rsidR="00594490">
        <w:t>s</w:t>
      </w:r>
      <w:bookmarkEnd w:id="136"/>
      <w:bookmarkEnd w:id="137"/>
    </w:p>
    <w:p w14:paraId="29EE68DA" w14:textId="4D8097E2" w:rsidR="00C17555" w:rsidRDefault="00C17555" w:rsidP="005377F7">
      <w:r>
        <w:t xml:space="preserve">A </w:t>
      </w:r>
      <w:r>
        <w:rPr>
          <w:rStyle w:val="Strong"/>
        </w:rPr>
        <w:t>default temporal framework</w:t>
      </w:r>
      <w:r>
        <w:t xml:space="preserve"> structured around two projection periods was adopted: a </w:t>
      </w:r>
      <w:r>
        <w:rPr>
          <w:rStyle w:val="Strong"/>
        </w:rPr>
        <w:t>near-term horizon of 2025-2030</w:t>
      </w:r>
      <w:r>
        <w:t xml:space="preserve"> and a </w:t>
      </w:r>
      <w:r>
        <w:rPr>
          <w:rStyle w:val="Strong"/>
        </w:rPr>
        <w:t>medium-term horizon of 2030-2038</w:t>
      </w:r>
      <w:r>
        <w:t xml:space="preserve">, with 2025 serving as the base year (T0). The selection of 2038 as the default medium-term endpoint reflects two reinforcing considerations: alignment with the EU Multiannual Financial Framework (MFF) programming cycle, which provides the institutional and budgetary context within which the </w:t>
      </w:r>
      <w:r w:rsidR="00A25C33">
        <w:t xml:space="preserve">proposed European </w:t>
      </w:r>
      <w:r>
        <w:t xml:space="preserve">Biotech Act's instruments will operate, and the expectation that a period of </w:t>
      </w:r>
      <w:r w:rsidRPr="00837855">
        <w:rPr>
          <w:b/>
          <w:bCs/>
        </w:rPr>
        <w:t xml:space="preserve">approximately </w:t>
      </w:r>
      <w:r w:rsidR="00234E1D">
        <w:rPr>
          <w:b/>
          <w:bCs/>
        </w:rPr>
        <w:t>ten</w:t>
      </w:r>
      <w:r w:rsidRPr="00837855">
        <w:rPr>
          <w:b/>
          <w:bCs/>
        </w:rPr>
        <w:t xml:space="preserve"> years from the expected regulatory transposition</w:t>
      </w:r>
      <w:r>
        <w:t xml:space="preserve"> at EU and national levels date (likely by 2028) represents a reasonable timeframe for the proposed policy measures to produce observable impacts across the </w:t>
      </w:r>
      <w:r>
        <w:lastRenderedPageBreak/>
        <w:t>majority of intervention areas (also accounting for institutional establishment, stakeholder adaptation, and the initial materialisation of structural effects).</w:t>
      </w:r>
    </w:p>
    <w:p w14:paraId="3A39325C" w14:textId="77777777" w:rsidR="00C17555" w:rsidRDefault="00C17555" w:rsidP="005377F7">
      <w:r>
        <w:t xml:space="preserve">Within this common framework, a principle of </w:t>
      </w:r>
      <w:r>
        <w:rPr>
          <w:rStyle w:val="Strong"/>
        </w:rPr>
        <w:t>intervention-specific temporal calibration was applied</w:t>
      </w:r>
      <w:r>
        <w:t>, whereby the precise time horizons were adapted to the causal logic, sectoral dynamics, and primary evidence base of each intervention. This approach reflects a deliberate methodological choice to prioritise analytical coherence and evidential integrity within each assessment over rigid temporal uniformity across the portfolio. Three categories of adaptation were applied.</w:t>
      </w:r>
    </w:p>
    <w:p w14:paraId="3F4DD1FB" w14:textId="594F8886" w:rsidR="00C17555" w:rsidRDefault="00C17555" w:rsidP="004570F2">
      <w:pPr>
        <w:pStyle w:val="ListParagraph"/>
        <w:numPr>
          <w:ilvl w:val="0"/>
          <w:numId w:val="505"/>
        </w:numPr>
      </w:pPr>
      <w:r>
        <w:t xml:space="preserve">First, </w:t>
      </w:r>
      <w:r w:rsidRPr="004570F2">
        <w:rPr>
          <w:b/>
        </w:rPr>
        <w:t>two assessments</w:t>
      </w:r>
      <w:r>
        <w:t xml:space="preserve"> extended the baseline projection horizon </w:t>
      </w:r>
      <w:r>
        <w:rPr>
          <w:rStyle w:val="Strong"/>
        </w:rPr>
        <w:t>to 2040</w:t>
      </w:r>
      <w:r>
        <w:t xml:space="preserve">: the </w:t>
      </w:r>
      <w:r w:rsidRPr="004570F2">
        <w:rPr>
          <w:b/>
        </w:rPr>
        <w:t>veterinary medicinal products framework and the organ processing directive</w:t>
      </w:r>
      <w:r>
        <w:t xml:space="preserve">. In both cases, the extension was driven by the sector-specific product development and adoption cycles that define the relevant causal pathways. The veterinary sector is characterised by lengthy product development pipelines and a small, commercially constrained market in which effects of </w:t>
      </w:r>
      <w:r w:rsidR="00BF08C0">
        <w:t xml:space="preserve">the proposed </w:t>
      </w:r>
      <w:r>
        <w:t xml:space="preserve">regulatory </w:t>
      </w:r>
      <w:r w:rsidR="00BF08C0">
        <w:t xml:space="preserve">changes </w:t>
      </w:r>
      <w:r>
        <w:t xml:space="preserve">on innovation throughput require longer observation windows to materialise in measurable form. The organ processing assessment relies on compound annual growth rate (CAGR) projections of transplant volumes in a sector where substantial shifts in supply-demand dynamics are unlikely. However, when it came to the cumulative impacts, a more conservative time horizon (until 2035) was adopted since the proposed measures are highly contentious on the pace of technological development in organ processing and the ability of the legal/regulatory environment to cope with such technological shifts. </w:t>
      </w:r>
    </w:p>
    <w:p w14:paraId="38D34884" w14:textId="7494E101" w:rsidR="00325F39" w:rsidRDefault="00C17555" w:rsidP="004570F2">
      <w:pPr>
        <w:pStyle w:val="ListParagraph"/>
        <w:numPr>
          <w:ilvl w:val="0"/>
          <w:numId w:val="505"/>
        </w:numPr>
      </w:pPr>
      <w:r>
        <w:t xml:space="preserve">Second, the biosecurity framework assessment employed a </w:t>
      </w:r>
      <w:r>
        <w:rPr>
          <w:rStyle w:val="Strong"/>
        </w:rPr>
        <w:t>distinct set of temporal milestones</w:t>
      </w:r>
      <w:r>
        <w:t xml:space="preserve">: short term (~2027), medium term (~2031), and long term (~2036). </w:t>
      </w:r>
    </w:p>
    <w:p w14:paraId="4FE3D7A5" w14:textId="77777777" w:rsidR="00C17555" w:rsidRDefault="00C17555" w:rsidP="004570F2">
      <w:pPr>
        <w:pStyle w:val="ListParagraph"/>
        <w:numPr>
          <w:ilvl w:val="0"/>
          <w:numId w:val="505"/>
        </w:numPr>
      </w:pPr>
      <w:r>
        <w:t xml:space="preserve">Third, five assessments: the biotech ecosystem, general food law, SoHO sandbox, AI and data guidance, and biodefence, employ </w:t>
      </w:r>
      <w:r>
        <w:rPr>
          <w:rStyle w:val="Strong"/>
        </w:rPr>
        <w:t>qualitative temporal descriptors</w:t>
      </w:r>
      <w:r>
        <w:t xml:space="preserve"> (short-term, medium-term, longer-term) without specifying year ranges. These interventions share a common feature: they establish enabling institutional frameworks, coordination structures, or guidance mechanisms whose effects are inherently structural and emergent rather than discrete and time-phased. </w:t>
      </w:r>
    </w:p>
    <w:p w14:paraId="72D4A749" w14:textId="77777777" w:rsidR="00C17555" w:rsidRPr="005512F0" w:rsidRDefault="00C17555" w:rsidP="005377F7">
      <w:r>
        <w:t xml:space="preserve">This differentiated approach to temporal framing remains consistent with the </w:t>
      </w:r>
      <w:r>
        <w:rPr>
          <w:rStyle w:val="Strong"/>
        </w:rPr>
        <w:t>proportionality principle</w:t>
      </w:r>
      <w:r>
        <w:t xml:space="preserve"> that governs the overarching methodology.</w:t>
      </w:r>
    </w:p>
    <w:p w14:paraId="63228D42" w14:textId="77777777" w:rsidR="00C17555" w:rsidRDefault="00C17555" w:rsidP="004570F2">
      <w:pPr>
        <w:pStyle w:val="Heading3"/>
        <w:numPr>
          <w:ilvl w:val="0"/>
          <w:numId w:val="533"/>
        </w:numPr>
      </w:pPr>
      <w:bookmarkStart w:id="138" w:name="_Toc224827685"/>
      <w:bookmarkStart w:id="139" w:name="_Toc225979093"/>
      <w:r>
        <w:t>Impact estimation and modelling approaches</w:t>
      </w:r>
      <w:bookmarkEnd w:id="138"/>
      <w:bookmarkEnd w:id="139"/>
      <w:r>
        <w:t xml:space="preserve"> </w:t>
      </w:r>
    </w:p>
    <w:p w14:paraId="3F9212FD" w14:textId="5B356B33" w:rsidR="00C17555" w:rsidRDefault="00C17555" w:rsidP="00325F39">
      <w:r>
        <w:t>The 17 intervention-specific assessments employed a differentiated set of approaches to impact estimation, reflecting the heterogeneous nature of the interventions, the maturity and availability of evidence, and the directness of the causal chains linking proposed measures to observable outcomes.</w:t>
      </w:r>
    </w:p>
    <w:p w14:paraId="61EF50F8" w14:textId="77777777" w:rsidR="00C17555" w:rsidRPr="00C24FA8" w:rsidRDefault="00C17555" w:rsidP="00C17555">
      <w:pPr>
        <w:rPr>
          <w:b/>
          <w:bCs/>
          <w:u w:val="single"/>
          <w:lang w:val="en-US"/>
        </w:rPr>
      </w:pPr>
      <w:r w:rsidRPr="00EE677D">
        <w:rPr>
          <w:rFonts w:eastAsia="Arial"/>
          <w:b/>
          <w:bCs/>
          <w:u w:val="single"/>
        </w:rPr>
        <w:t>Spectrum of quantification approaches</w:t>
      </w:r>
    </w:p>
    <w:p w14:paraId="2F3321EC" w14:textId="2B5E5A4C" w:rsidR="00C17555" w:rsidRPr="004570F2" w:rsidRDefault="00C17555" w:rsidP="00325F39">
      <w:pPr>
        <w:rPr>
          <w:b/>
          <w:u w:val="single"/>
        </w:rPr>
      </w:pPr>
      <w:r>
        <w:t xml:space="preserve">No single modelling framework was imposed across all 17 assessments. The overarching analytical framework prescribed a common architecture of impact dimensions, baseline construction, and qualitative summary ratings, but left the choice of estimation technique to the intervention-specific context. Five broad categories of estimation approach can be </w:t>
      </w:r>
      <w:r>
        <w:lastRenderedPageBreak/>
        <w:t>identified, arranged along a spectrum from formal quantitative modelling to qualitative directional assessment.</w:t>
      </w:r>
    </w:p>
    <w:p w14:paraId="57A93911" w14:textId="77777777" w:rsidR="00C17555" w:rsidRPr="00EE677D" w:rsidRDefault="00C17555" w:rsidP="00C17555">
      <w:pPr>
        <w:rPr>
          <w:b/>
          <w:bCs/>
          <w:u w:val="single"/>
        </w:rPr>
      </w:pPr>
      <w:r w:rsidRPr="00EE677D">
        <w:rPr>
          <w:rFonts w:eastAsia="Arial"/>
          <w:b/>
          <w:bCs/>
          <w:u w:val="single"/>
        </w:rPr>
        <w:t>Category A: Formal quantitative modelling</w:t>
      </w:r>
    </w:p>
    <w:p w14:paraId="11FF3551" w14:textId="77777777" w:rsidR="00C17555" w:rsidRDefault="00C17555" w:rsidP="00325F39">
      <w:r>
        <w:t xml:space="preserve">The analysis of three interventions employed dedicated quantitative modelling frameworks. For the </w:t>
      </w:r>
      <w:r>
        <w:rPr>
          <w:b/>
          <w:bCs/>
        </w:rPr>
        <w:t xml:space="preserve">biosecurity assessment, </w:t>
      </w:r>
      <w:r>
        <w:t xml:space="preserve">its core cost-benefit analysis draws directly on an external quantitative model developed by RAND Europe, itself adapted from the Centre for Long-Term Resilience (CLTR) framework for the United Kingdom. The RAND model estimates costs (provider screening costs, customer compliance costs, research productivity losses, public enforcement costs) and benefits (attack-prevention and accident-prevention value, derived from probabilistic risk modelling) over a ten-year horizon, producing monetised net benefit estimates at defined temporal milestones (short-term ~2027, medium-term ~2031, long-term ~2036). </w:t>
      </w:r>
    </w:p>
    <w:p w14:paraId="06AD2CBC" w14:textId="5DBAD61F" w:rsidR="00C17555" w:rsidRDefault="00C17555" w:rsidP="00C17555">
      <w:r>
        <w:rPr>
          <w:rFonts w:eastAsia="Arial"/>
        </w:rPr>
        <w:t xml:space="preserve">The </w:t>
      </w:r>
      <w:r>
        <w:rPr>
          <w:rFonts w:eastAsia="Arial"/>
          <w:b/>
          <w:bCs/>
        </w:rPr>
        <w:t xml:space="preserve">organ processing assessment </w:t>
      </w:r>
      <w:r>
        <w:rPr>
          <w:rFonts w:eastAsia="Arial"/>
        </w:rPr>
        <w:t>deployed a</w:t>
      </w:r>
      <w:r w:rsidDel="00696444">
        <w:rPr>
          <w:rFonts w:eastAsia="Arial"/>
        </w:rPr>
        <w:t xml:space="preserve"> </w:t>
      </w:r>
      <w:r>
        <w:rPr>
          <w:rFonts w:eastAsia="Arial"/>
        </w:rPr>
        <w:t>modelling framework</w:t>
      </w:r>
      <w:r w:rsidR="00696444">
        <w:rPr>
          <w:rFonts w:eastAsia="Arial"/>
        </w:rPr>
        <w:t xml:space="preserve"> constructed in the context of the supporting study</w:t>
      </w:r>
      <w:r>
        <w:rPr>
          <w:rFonts w:eastAsia="Arial"/>
        </w:rPr>
        <w:t>. It uses a triangulated estimation approach combining three analytical pillars: CAGR-proxy logic (deriving an incremental policy acceleration effect of +0.95 percentage points per annum from observed pre- and post-Directive transplant growth rates), programme-level adoption modelling (projecting the share of EU transplant programmes adopting processing technologies under three scenarios at 25%, 50%, and 100% of the gap between baseline plateau and clinical ceiling), and organ-level intensity logic (estimating the shift from selective to systematic processing within adopting programmes). Baseline projections to 2040 used compound annual growth rates anchored to EDQM trend data, and impact estimation applied scaling factors to the identified adoption headroom. This three-pillar approach was necessitated by the absence of a directly comparable historical precedent for the proposed regulatory intervention.</w:t>
      </w:r>
    </w:p>
    <w:p w14:paraId="3C99E6A3" w14:textId="2F24F190" w:rsidR="00C17555" w:rsidRPr="00850503" w:rsidRDefault="00C17555" w:rsidP="00C17555">
      <w:pPr>
        <w:rPr>
          <w:rFonts w:eastAsia="Arial"/>
        </w:rPr>
      </w:pPr>
      <w:r>
        <w:rPr>
          <w:rFonts w:eastAsia="Arial"/>
        </w:rPr>
        <w:t xml:space="preserve">The </w:t>
      </w:r>
      <w:r>
        <w:rPr>
          <w:rFonts w:eastAsia="Arial"/>
          <w:b/>
          <w:bCs/>
        </w:rPr>
        <w:t xml:space="preserve">VMPs assessment </w:t>
      </w:r>
      <w:r>
        <w:rPr>
          <w:rFonts w:eastAsia="Arial"/>
        </w:rPr>
        <w:t>employed bottom-up process-level cost estimation, calculating per-unit administrative savings (FTE-equivalents, person-days, cost per regulatory action) for each of its four policy measures and aggregating these over a 15-year horizon (2025-2040) with a 3</w:t>
      </w:r>
      <w:r w:rsidR="006856C2">
        <w:rPr>
          <w:rFonts w:eastAsia="Arial"/>
        </w:rPr>
        <w:t>%</w:t>
      </w:r>
      <w:r>
        <w:rPr>
          <w:rFonts w:eastAsia="Arial"/>
        </w:rPr>
        <w:t xml:space="preserve"> social discount rate to produce cumulative present-value estimates. It quantified product-day delays eliminated, VNRA redistribution effects across the sector, and staff-time savings using stakeholder-validated parameters. </w:t>
      </w:r>
    </w:p>
    <w:p w14:paraId="7731D9D9" w14:textId="77777777" w:rsidR="00C17555" w:rsidRPr="00EE677D" w:rsidRDefault="00C17555" w:rsidP="00C17555">
      <w:pPr>
        <w:rPr>
          <w:b/>
          <w:bCs/>
          <w:u w:val="single"/>
        </w:rPr>
      </w:pPr>
      <w:r w:rsidRPr="00EE677D">
        <w:rPr>
          <w:rFonts w:eastAsia="Arial"/>
          <w:b/>
          <w:bCs/>
          <w:u w:val="single"/>
        </w:rPr>
        <w:t>Category B: Market-level quantification</w:t>
      </w:r>
    </w:p>
    <w:p w14:paraId="4E7F437B" w14:textId="0BCCB5DE" w:rsidR="00C17555" w:rsidRDefault="00C17555" w:rsidP="00C17555">
      <w:r>
        <w:rPr>
          <w:rFonts w:eastAsia="Arial"/>
        </w:rPr>
        <w:t xml:space="preserve">The </w:t>
      </w:r>
      <w:r w:rsidR="00415245">
        <w:rPr>
          <w:rFonts w:eastAsia="Arial"/>
        </w:rPr>
        <w:t xml:space="preserve">impacts </w:t>
      </w:r>
      <w:r>
        <w:rPr>
          <w:rFonts w:eastAsia="Arial"/>
        </w:rPr>
        <w:t xml:space="preserve">of two interventions </w:t>
      </w:r>
      <w:r w:rsidR="00415245">
        <w:rPr>
          <w:rFonts w:eastAsia="Arial"/>
        </w:rPr>
        <w:t>were quantified</w:t>
      </w:r>
      <w:r>
        <w:rPr>
          <w:rFonts w:eastAsia="Arial"/>
        </w:rPr>
        <w:t xml:space="preserve"> by scaling product-level or firm-level data to the sector, without deploying formal multi-year projection models with discount rates. The </w:t>
      </w:r>
      <w:r>
        <w:rPr>
          <w:rFonts w:eastAsia="Arial"/>
          <w:b/>
          <w:bCs/>
        </w:rPr>
        <w:t xml:space="preserve">biosimilars assessment </w:t>
      </w:r>
      <w:r>
        <w:rPr>
          <w:rFonts w:eastAsia="Arial"/>
        </w:rPr>
        <w:t xml:space="preserve">estimated per-product development cost savings from CES elimination and scaled these to sector-level annual aggregate savings using observed MAA submission volumes and transition-rate assumptions. It drew on published cumulative healthcare savings data, </w:t>
      </w:r>
      <w:r w:rsidR="004571B0">
        <w:rPr>
          <w:rFonts w:eastAsia="Arial"/>
        </w:rPr>
        <w:t xml:space="preserve">published </w:t>
      </w:r>
      <w:r>
        <w:rPr>
          <w:rFonts w:eastAsia="Arial"/>
        </w:rPr>
        <w:t xml:space="preserve">IQVIA market data on therapeutic-area price reductions, and EMA pipeline activity trends to construct a quantified baseline against which incremental effects were assessed. The </w:t>
      </w:r>
      <w:r>
        <w:rPr>
          <w:rFonts w:eastAsia="Arial"/>
          <w:b/>
          <w:bCs/>
        </w:rPr>
        <w:t xml:space="preserve">SPC extension assessment </w:t>
      </w:r>
      <w:r>
        <w:rPr>
          <w:rFonts w:eastAsia="Arial"/>
        </w:rPr>
        <w:t>used revenue-profile analysis drawing on the European Commission modelling based on a cohort of 198 innovative medicines</w:t>
      </w:r>
      <w:r w:rsidR="000C0DB6">
        <w:rPr>
          <w:rFonts w:eastAsia="Arial"/>
        </w:rPr>
        <w:t xml:space="preserve"> </w:t>
      </w:r>
      <w:r w:rsidR="00C33D17">
        <w:rPr>
          <w:rFonts w:eastAsia="Arial"/>
        </w:rPr>
        <w:t xml:space="preserve">for which </w:t>
      </w:r>
      <w:r w:rsidR="00C33D17">
        <w:t>d</w:t>
      </w:r>
      <w:r w:rsidR="000C0DB6" w:rsidRPr="00DD4265">
        <w:t>ata on the value and volume of sales were drawn from IQVIA MIDAS</w:t>
      </w:r>
      <w:r w:rsidR="000C0DB6">
        <w:t xml:space="preserve">, </w:t>
      </w:r>
      <w:r w:rsidR="000C0DB6" w:rsidRPr="001C7CFE">
        <w:t>last layer of protection</w:t>
      </w:r>
      <w:r w:rsidR="001B2B4B">
        <w:t xml:space="preserve"> was determined through</w:t>
      </w:r>
      <w:r w:rsidR="000C0DB6" w:rsidRPr="001C7CFE">
        <w:rPr>
          <w:rFonts w:eastAsia="Times New Roman"/>
        </w:rPr>
        <w:t xml:space="preserve"> </w:t>
      </w:r>
      <w:r w:rsidR="000C0DB6" w:rsidRPr="001C7CFE">
        <w:t>IQVIA Patent Intelligen</w:t>
      </w:r>
      <w:r w:rsidR="00C33D17">
        <w:t>ce</w:t>
      </w:r>
      <w:r w:rsidR="00997F07">
        <w:t xml:space="preserve"> and product eligibility</w:t>
      </w:r>
      <w:r w:rsidR="001B2B4B">
        <w:t xml:space="preserve"> though</w:t>
      </w:r>
      <w:r w:rsidR="00997F07">
        <w:t xml:space="preserve"> EMA data</w:t>
      </w:r>
      <w:r>
        <w:rPr>
          <w:rFonts w:eastAsia="Arial"/>
        </w:rPr>
        <w:t xml:space="preserve">, manufacturing footprint analysis using EudraGMDP data (624 manufacturing and import authorisations, 2012–2025), and clinical trial location data from EMA databases to construct a quantified baseline of the </w:t>
      </w:r>
      <w:r>
        <w:rPr>
          <w:rFonts w:eastAsia="Arial"/>
        </w:rPr>
        <w:lastRenderedPageBreak/>
        <w:t>IP-protection landscape. Impact estimation combined these empirical baselines with published evidence on loss-of-exclusivity revenue dynamics and patenting trends.</w:t>
      </w:r>
    </w:p>
    <w:p w14:paraId="034CA406" w14:textId="77777777" w:rsidR="00C17555" w:rsidRPr="00EE677D" w:rsidRDefault="00C17555" w:rsidP="00C17555">
      <w:pPr>
        <w:rPr>
          <w:b/>
          <w:bCs/>
          <w:u w:val="single"/>
        </w:rPr>
      </w:pPr>
      <w:r w:rsidRPr="00EE677D">
        <w:rPr>
          <w:rFonts w:eastAsia="Arial"/>
          <w:b/>
          <w:bCs/>
          <w:u w:val="single"/>
        </w:rPr>
        <w:t>Category C: Scenario-based order-of-magnitude estimation</w:t>
      </w:r>
    </w:p>
    <w:p w14:paraId="2E3D2198" w14:textId="77777777" w:rsidR="00C17555" w:rsidRDefault="00C17555" w:rsidP="00C17555">
      <w:r>
        <w:rPr>
          <w:rFonts w:eastAsia="Arial"/>
        </w:rPr>
        <w:t xml:space="preserve">The analysis of three interventions employed scenario-based approaches to generate illustrative order-of-magnitude ranges, without claiming the precision of formal modelling. The </w:t>
      </w:r>
      <w:r>
        <w:rPr>
          <w:rFonts w:eastAsia="Arial"/>
          <w:b/>
          <w:bCs/>
        </w:rPr>
        <w:t xml:space="preserve">strategic projects and high-impact projects assessments </w:t>
      </w:r>
      <w:r>
        <w:rPr>
          <w:rFonts w:eastAsia="Arial"/>
        </w:rPr>
        <w:t xml:space="preserve">used a common estimation architecture: three uptake scenarios (low, medium, high) defined in terms of project numbers by 2038, combined with monetisation calibrations for avoided delay costs (using an illustrative project value range and a 34% cost-overrun assumption for delays exceeding 12 months) and investment mobilisation ranges (using observed leverage multipliers from EU financial instruments, e.g. ~1.3x for loans, ~4.8x for guarantees). These produced cumulative order-of-magnitude ranges (e.g. millions in avoided delay costs for strategic projects under different uptake scenarios). The </w:t>
      </w:r>
      <w:r>
        <w:rPr>
          <w:rFonts w:eastAsia="Arial"/>
          <w:b/>
          <w:bCs/>
        </w:rPr>
        <w:t xml:space="preserve">access to funding assessment </w:t>
      </w:r>
      <w:r>
        <w:rPr>
          <w:rFonts w:eastAsia="Arial"/>
        </w:rPr>
        <w:t>similarly used published financial benchmarks (VC round sizes, EIB mobilisation data, institutional capital estimates) to calibrate plausible impact ranges, while noting that attribution of incremental effects to the specific policy measures remains sensitive to the broader financing environment.</w:t>
      </w:r>
    </w:p>
    <w:p w14:paraId="7A3E8C86" w14:textId="77777777" w:rsidR="00C17555" w:rsidRPr="00EE677D" w:rsidRDefault="00C17555" w:rsidP="00C17555">
      <w:pPr>
        <w:rPr>
          <w:b/>
          <w:bCs/>
          <w:u w:val="single"/>
        </w:rPr>
      </w:pPr>
      <w:r w:rsidRPr="00EE677D">
        <w:rPr>
          <w:rFonts w:eastAsia="Arial"/>
          <w:b/>
          <w:bCs/>
          <w:u w:val="single"/>
        </w:rPr>
        <w:t>Category D: Benchmark-anchored partial quantification</w:t>
      </w:r>
    </w:p>
    <w:p w14:paraId="4CA1EC63" w14:textId="2B5EE89A" w:rsidR="00C17555" w:rsidRDefault="00C17555" w:rsidP="00C17555">
      <w:r>
        <w:rPr>
          <w:rFonts w:eastAsia="Arial"/>
        </w:rPr>
        <w:t xml:space="preserve">The analysis of two interventions embedded specific quantified parameters within predominantly qualitative frameworks. The </w:t>
      </w:r>
      <w:r>
        <w:rPr>
          <w:rFonts w:eastAsia="Arial"/>
          <w:b/>
          <w:bCs/>
        </w:rPr>
        <w:t xml:space="preserve">clinical trials assessment </w:t>
      </w:r>
      <w:r>
        <w:rPr>
          <w:rFonts w:eastAsia="Arial"/>
        </w:rPr>
        <w:t>drew on published cost-modelling evidence to anchor key parameters: administrative expenses accounting for 11-29</w:t>
      </w:r>
      <w:r w:rsidR="006856C2">
        <w:rPr>
          <w:rFonts w:eastAsia="Arial"/>
        </w:rPr>
        <w:t>%</w:t>
      </w:r>
      <w:r>
        <w:rPr>
          <w:rFonts w:eastAsia="Arial"/>
        </w:rPr>
        <w:t xml:space="preserve"> of total clinical trial costs, an indicative net present value return of approximately five times the investment for phase II decentralised trials and approximately thirteen times for phase III, and time savings of 1-3 months from decentralised elements. However, it did not construct a cumulative cost-benefit model, instead using these benchmarks as illustrative reference points within a qualitative assessment of each policy measure. The </w:t>
      </w:r>
      <w:r>
        <w:rPr>
          <w:rFonts w:eastAsia="Arial"/>
          <w:b/>
          <w:bCs/>
        </w:rPr>
        <w:t xml:space="preserve">novel health products assessment </w:t>
      </w:r>
      <w:r>
        <w:rPr>
          <w:rFonts w:eastAsia="Arial"/>
        </w:rPr>
        <w:t>adopted a similar approach, using comparator evidence from analogous frameworks (notably the UK FCA regulatory sandbox) to calibrate expectations, while acknowledging the absence of directly comparable EU-level precedent for the proposed instruments.</w:t>
      </w:r>
    </w:p>
    <w:p w14:paraId="7AF6679B" w14:textId="77777777" w:rsidR="00C17555" w:rsidRPr="00EE677D" w:rsidRDefault="00C17555" w:rsidP="00C17555">
      <w:pPr>
        <w:rPr>
          <w:b/>
          <w:bCs/>
          <w:u w:val="single"/>
        </w:rPr>
      </w:pPr>
      <w:r w:rsidRPr="00EE677D">
        <w:rPr>
          <w:rFonts w:eastAsia="Arial"/>
          <w:b/>
          <w:bCs/>
          <w:u w:val="single"/>
        </w:rPr>
        <w:t>Category E: Qualitative directional assessment</w:t>
      </w:r>
    </w:p>
    <w:p w14:paraId="59F196C0" w14:textId="3EFB2645" w:rsidR="00C17555" w:rsidRDefault="00C17555" w:rsidP="00C17555">
      <w:r>
        <w:rPr>
          <w:rFonts w:eastAsia="Arial"/>
        </w:rPr>
        <w:t xml:space="preserve">The analysis of sever interventions relied predominantly on qualitative assessment. These cover the biotech ecosystem, general food law, ATMPs, SoHO sandbox, GMMs, data and AI, and biodefence. Their interventions either create entirely new institutional structures without quantifiable precedent (the biothreat radar, the SoHO sandbox, the foresight panel), establish enabling or coordination frameworks whose value is inherently structural and emergent (the biotech ecosystem support network, the AI guidance mandate), or operate in regulatory domains where the primary effects are qualitative changes in regulatory coherence, clarity, or flexibility rather than directly monetisable cost or revenue changes (ATMP classification </w:t>
      </w:r>
      <w:r w:rsidR="00BF08C0">
        <w:rPr>
          <w:rFonts w:eastAsia="Arial"/>
        </w:rPr>
        <w:t>proposed changes</w:t>
      </w:r>
      <w:r>
        <w:rPr>
          <w:rFonts w:eastAsia="Arial"/>
        </w:rPr>
        <w:t xml:space="preserve">, GMM-specific risk assessment criteria, EFSA procedural </w:t>
      </w:r>
      <w:r w:rsidR="00BF08C0">
        <w:rPr>
          <w:rFonts w:eastAsia="Arial"/>
        </w:rPr>
        <w:t>proposed changes</w:t>
      </w:r>
      <w:r>
        <w:rPr>
          <w:rFonts w:eastAsia="Arial"/>
        </w:rPr>
        <w:t>). The analysis relied on causal-chain reasoning grounded in intervention logic, comparator evidence from analogous frameworks in other jurisdictions or policy domains, stakeholder-validated assumptions, and the standardised qualitative rating scale (strongly negative to strongly positive) applied across all seven impact dimensions.</w:t>
      </w:r>
    </w:p>
    <w:p w14:paraId="24311DE4" w14:textId="77777777" w:rsidR="00C17555" w:rsidRPr="00EE677D" w:rsidRDefault="00C17555" w:rsidP="00C17555">
      <w:pPr>
        <w:rPr>
          <w:b/>
          <w:bCs/>
          <w:u w:val="single"/>
        </w:rPr>
      </w:pPr>
      <w:r w:rsidRPr="00EE677D">
        <w:rPr>
          <w:rFonts w:eastAsia="Arial"/>
          <w:b/>
          <w:bCs/>
          <w:u w:val="single"/>
        </w:rPr>
        <w:lastRenderedPageBreak/>
        <w:t>Cross-cutting methodological features</w:t>
      </w:r>
    </w:p>
    <w:p w14:paraId="208BEDC5" w14:textId="77777777" w:rsidR="008B17D8" w:rsidRDefault="00C17555" w:rsidP="00C17555">
      <w:pPr>
        <w:rPr>
          <w:rFonts w:eastAsia="Arial"/>
        </w:rPr>
      </w:pPr>
      <w:r>
        <w:rPr>
          <w:rFonts w:eastAsia="Arial"/>
        </w:rPr>
        <w:t xml:space="preserve">Several methodological features cut across the categories described above and merit specific note. </w:t>
      </w:r>
    </w:p>
    <w:p w14:paraId="634D9068" w14:textId="138E8F24" w:rsidR="008B17D8" w:rsidRPr="00C635AA" w:rsidRDefault="00C17555" w:rsidP="00C17555">
      <w:pPr>
        <w:rPr>
          <w:rFonts w:eastAsia="Arial"/>
        </w:rPr>
      </w:pPr>
      <w:r w:rsidRPr="004570F2">
        <w:t>First</w:t>
      </w:r>
      <w:r w:rsidRPr="00C635AA">
        <w:rPr>
          <w:rFonts w:eastAsia="Arial"/>
        </w:rPr>
        <w:t>, all 17 analys</w:t>
      </w:r>
      <w:r w:rsidR="00F058F3" w:rsidRPr="00C635AA">
        <w:rPr>
          <w:rFonts w:eastAsia="Arial"/>
        </w:rPr>
        <w:t>e</w:t>
      </w:r>
      <w:r w:rsidRPr="00C635AA">
        <w:rPr>
          <w:rFonts w:eastAsia="Arial"/>
        </w:rPr>
        <w:t xml:space="preserve">s applied the </w:t>
      </w:r>
      <w:r w:rsidRPr="004570F2">
        <w:rPr>
          <w:b/>
        </w:rPr>
        <w:t>same qualitative summary rating</w:t>
      </w:r>
      <w:r w:rsidRPr="00C635AA">
        <w:rPr>
          <w:rFonts w:eastAsia="Arial"/>
        </w:rPr>
        <w:t xml:space="preserve"> (from ++ to - -) across the seven impact dimensions. This ensures that the cumulative impact analysis can draw on a consistent set of structured qualitative judgements even where quantified estimates are unavailable. </w:t>
      </w:r>
    </w:p>
    <w:p w14:paraId="5A9EA9C0" w14:textId="77777777" w:rsidR="008B17D8" w:rsidRPr="00C635AA" w:rsidRDefault="00C17555" w:rsidP="00C17555">
      <w:pPr>
        <w:rPr>
          <w:rFonts w:eastAsia="Arial"/>
        </w:rPr>
      </w:pPr>
      <w:r w:rsidRPr="004570F2">
        <w:t>Second</w:t>
      </w:r>
      <w:r w:rsidRPr="00C635AA">
        <w:rPr>
          <w:rFonts w:eastAsia="Arial"/>
        </w:rPr>
        <w:t xml:space="preserve">, where scenario analysis was employed (Categories A-C), the </w:t>
      </w:r>
      <w:r w:rsidRPr="004570F2">
        <w:rPr>
          <w:b/>
        </w:rPr>
        <w:t>scenarios were explicitly labelled</w:t>
      </w:r>
      <w:r w:rsidRPr="00C635AA">
        <w:rPr>
          <w:rFonts w:eastAsia="Arial"/>
        </w:rPr>
        <w:t xml:space="preserve"> as illustrative and designed to bracket plausible ranges under different assumptions about uptake, implementation pace, and market response, rather than as probabilistic forecasts. </w:t>
      </w:r>
    </w:p>
    <w:p w14:paraId="550FF6AE" w14:textId="219AACD3" w:rsidR="008B17D8" w:rsidRPr="00C635AA" w:rsidRDefault="00C17555" w:rsidP="00C17555">
      <w:pPr>
        <w:rPr>
          <w:rFonts w:eastAsia="Arial"/>
        </w:rPr>
      </w:pPr>
      <w:r w:rsidRPr="004570F2">
        <w:t>Third</w:t>
      </w:r>
      <w:r w:rsidRPr="00C635AA">
        <w:rPr>
          <w:rFonts w:eastAsia="Arial"/>
        </w:rPr>
        <w:t xml:space="preserve">, the </w:t>
      </w:r>
      <w:r w:rsidRPr="004570F2">
        <w:rPr>
          <w:b/>
        </w:rPr>
        <w:t>use of comparator evidence</w:t>
      </w:r>
      <w:r w:rsidRPr="00C635AA">
        <w:rPr>
          <w:rFonts w:eastAsia="Arial"/>
        </w:rPr>
        <w:t xml:space="preserve"> from analogous frameworks, whether from other EU instruments or from other jurisdictions, was deployed selectively across the spectrum: as calibration input for quantitative models in Categories A-B, as anchor points for scenario ranges in Category C, and as the primary basis for directional assessment in Categories D-E. </w:t>
      </w:r>
    </w:p>
    <w:p w14:paraId="0B547B03" w14:textId="46F80FAF" w:rsidR="00C17555" w:rsidRDefault="00C17555" w:rsidP="00C17555">
      <w:r w:rsidRPr="004570F2">
        <w:t>Fourth</w:t>
      </w:r>
      <w:r w:rsidRPr="00C635AA">
        <w:rPr>
          <w:rFonts w:eastAsia="Arial"/>
        </w:rPr>
        <w:t xml:space="preserve">, </w:t>
      </w:r>
      <w:r w:rsidRPr="004570F2">
        <w:rPr>
          <w:b/>
        </w:rPr>
        <w:t>assumptions</w:t>
      </w:r>
      <w:r>
        <w:rPr>
          <w:rFonts w:eastAsia="Arial"/>
        </w:rPr>
        <w:t xml:space="preserve"> </w:t>
      </w:r>
      <w:r w:rsidR="00C635AA">
        <w:rPr>
          <w:rFonts w:eastAsia="Arial"/>
        </w:rPr>
        <w:t>are explicitly stated (see the supporting study)</w:t>
      </w:r>
      <w:r>
        <w:rPr>
          <w:rFonts w:eastAsia="Arial"/>
        </w:rPr>
        <w:t xml:space="preserve">, with each impact dimension within each </w:t>
      </w:r>
      <w:r w:rsidR="00C635AA">
        <w:rPr>
          <w:rFonts w:eastAsia="Arial"/>
        </w:rPr>
        <w:t xml:space="preserve">analysis </w:t>
      </w:r>
      <w:r>
        <w:rPr>
          <w:rFonts w:eastAsia="Arial"/>
        </w:rPr>
        <w:t>opening with a clearly delineated assumptions box.</w:t>
      </w:r>
    </w:p>
    <w:p w14:paraId="42FFEAFF" w14:textId="77777777" w:rsidR="00C17555" w:rsidRDefault="00C17555" w:rsidP="004570F2">
      <w:pPr>
        <w:pStyle w:val="Heading2"/>
        <w:numPr>
          <w:ilvl w:val="0"/>
          <w:numId w:val="0"/>
        </w:numPr>
      </w:pPr>
      <w:bookmarkStart w:id="140" w:name="_Toc224827686"/>
      <w:bookmarkStart w:id="141" w:name="_Toc225979094"/>
      <w:r>
        <w:t>Approach to cumulative impact</w:t>
      </w:r>
      <w:bookmarkEnd w:id="140"/>
      <w:bookmarkEnd w:id="141"/>
    </w:p>
    <w:p w14:paraId="6EE7085C" w14:textId="77777777" w:rsidR="00C17555" w:rsidRPr="005512F0" w:rsidRDefault="00C17555" w:rsidP="004570F2">
      <w:pPr>
        <w:pStyle w:val="Heading3"/>
        <w:numPr>
          <w:ilvl w:val="0"/>
          <w:numId w:val="542"/>
        </w:numPr>
      </w:pPr>
      <w:bookmarkStart w:id="142" w:name="_Toc224827687"/>
      <w:bookmarkStart w:id="143" w:name="_Toc225979095"/>
      <w:r w:rsidRPr="005512F0">
        <w:t>Outline of the overall approach</w:t>
      </w:r>
      <w:bookmarkEnd w:id="142"/>
      <w:bookmarkEnd w:id="143"/>
    </w:p>
    <w:p w14:paraId="30389574" w14:textId="2033044B" w:rsidR="00C17555" w:rsidRPr="005512F0" w:rsidRDefault="00C17555" w:rsidP="00C17555">
      <w:r w:rsidRPr="005512F0">
        <w:t xml:space="preserve">The analysis </w:t>
      </w:r>
      <w:r>
        <w:t>was</w:t>
      </w:r>
      <w:r w:rsidRPr="005512F0">
        <w:t xml:space="preserve"> organi</w:t>
      </w:r>
      <w:r>
        <w:t>s</w:t>
      </w:r>
      <w:r w:rsidRPr="005512F0">
        <w:t xml:space="preserve">ed in terms of the impact areas that </w:t>
      </w:r>
      <w:r w:rsidR="00F4277E">
        <w:t xml:space="preserve">are reflected in </w:t>
      </w:r>
      <w:r w:rsidRPr="005512F0" w:rsidDel="00F4277E">
        <w:t>the</w:t>
      </w:r>
      <w:r w:rsidRPr="005512F0">
        <w:t xml:space="preserve"> 17 analys</w:t>
      </w:r>
      <w:r w:rsidR="00F4277E">
        <w:t>e</w:t>
      </w:r>
      <w:r w:rsidRPr="005512F0">
        <w:t>s:</w:t>
      </w:r>
    </w:p>
    <w:p w14:paraId="05CA4981" w14:textId="77777777" w:rsidR="00C17555" w:rsidRPr="005512F0" w:rsidRDefault="00C17555" w:rsidP="00C17555">
      <w:pPr>
        <w:pStyle w:val="ListParagraph"/>
        <w:numPr>
          <w:ilvl w:val="0"/>
          <w:numId w:val="497"/>
        </w:numPr>
        <w:spacing w:after="270" w:line="270" w:lineRule="atLeast"/>
        <w:ind w:right="284"/>
      </w:pPr>
      <w:r w:rsidRPr="005512F0">
        <w:t>Conduct of business</w:t>
      </w:r>
    </w:p>
    <w:p w14:paraId="3C727C7B" w14:textId="77777777" w:rsidR="00C17555" w:rsidRPr="005512F0" w:rsidRDefault="00C17555" w:rsidP="00C17555">
      <w:pPr>
        <w:pStyle w:val="ListParagraph"/>
        <w:numPr>
          <w:ilvl w:val="0"/>
          <w:numId w:val="497"/>
        </w:numPr>
        <w:spacing w:after="270" w:line="270" w:lineRule="atLeast"/>
        <w:ind w:right="284"/>
      </w:pPr>
      <w:r w:rsidRPr="005512F0">
        <w:t>Administrative costs on businesses, including SMEs</w:t>
      </w:r>
    </w:p>
    <w:p w14:paraId="0F1E5161" w14:textId="77777777" w:rsidR="00C17555" w:rsidRPr="005512F0" w:rsidRDefault="00C17555" w:rsidP="00C17555">
      <w:pPr>
        <w:pStyle w:val="ListParagraph"/>
        <w:numPr>
          <w:ilvl w:val="0"/>
          <w:numId w:val="497"/>
        </w:numPr>
        <w:spacing w:after="270" w:line="270" w:lineRule="atLeast"/>
        <w:ind w:right="284"/>
      </w:pPr>
      <w:r w:rsidRPr="005512F0">
        <w:t>Competitiveness, trade and investment flows</w:t>
      </w:r>
    </w:p>
    <w:p w14:paraId="1924AFC9" w14:textId="77777777" w:rsidR="00C17555" w:rsidRPr="005512F0" w:rsidRDefault="00C17555" w:rsidP="00C17555">
      <w:pPr>
        <w:pStyle w:val="ListParagraph"/>
        <w:numPr>
          <w:ilvl w:val="0"/>
          <w:numId w:val="497"/>
        </w:numPr>
        <w:spacing w:after="270" w:line="270" w:lineRule="atLeast"/>
        <w:ind w:right="284"/>
      </w:pPr>
      <w:r w:rsidRPr="005512F0">
        <w:t>Functioning of the internal market and competition</w:t>
      </w:r>
    </w:p>
    <w:p w14:paraId="2F7878AE" w14:textId="77777777" w:rsidR="00C17555" w:rsidRPr="005512F0" w:rsidRDefault="00C17555" w:rsidP="00C17555">
      <w:pPr>
        <w:pStyle w:val="ListParagraph"/>
        <w:numPr>
          <w:ilvl w:val="0"/>
          <w:numId w:val="497"/>
        </w:numPr>
        <w:spacing w:after="270" w:line="270" w:lineRule="atLeast"/>
        <w:ind w:right="284"/>
      </w:pPr>
      <w:r w:rsidRPr="005512F0">
        <w:t>Innovation and research</w:t>
      </w:r>
    </w:p>
    <w:p w14:paraId="3BBA69B4" w14:textId="77777777" w:rsidR="00C17555" w:rsidRPr="005512F0" w:rsidRDefault="00C17555" w:rsidP="00C17555">
      <w:pPr>
        <w:pStyle w:val="ListParagraph"/>
        <w:numPr>
          <w:ilvl w:val="0"/>
          <w:numId w:val="497"/>
        </w:numPr>
        <w:spacing w:after="270" w:line="270" w:lineRule="atLeast"/>
        <w:ind w:right="284"/>
      </w:pPr>
      <w:r w:rsidRPr="005512F0">
        <w:t>Administrative costs to public authorities</w:t>
      </w:r>
    </w:p>
    <w:p w14:paraId="7975E498" w14:textId="77777777" w:rsidR="00C17555" w:rsidRPr="005512F0" w:rsidRDefault="00C17555" w:rsidP="00C17555">
      <w:pPr>
        <w:pStyle w:val="ListParagraph"/>
        <w:numPr>
          <w:ilvl w:val="0"/>
          <w:numId w:val="497"/>
        </w:numPr>
        <w:spacing w:after="270" w:line="270" w:lineRule="atLeast"/>
        <w:ind w:right="284"/>
      </w:pPr>
      <w:r w:rsidRPr="005512F0">
        <w:t>Public health and safety</w:t>
      </w:r>
    </w:p>
    <w:p w14:paraId="3ACFA2FD" w14:textId="3F86C6B0" w:rsidR="00C17555" w:rsidRPr="005512F0" w:rsidRDefault="00C17555" w:rsidP="00C17555">
      <w:r w:rsidRPr="005512F0">
        <w:t>In each impact area</w:t>
      </w:r>
      <w:r>
        <w:t>, the following question was</w:t>
      </w:r>
      <w:r w:rsidRPr="005512F0">
        <w:t xml:space="preserve"> ask</w:t>
      </w:r>
      <w:r>
        <w:t>ed</w:t>
      </w:r>
      <w:r w:rsidRPr="005512F0">
        <w:t xml:space="preserve">: </w:t>
      </w:r>
      <w:r w:rsidRPr="005512F0">
        <w:rPr>
          <w:b/>
          <w:bCs/>
        </w:rPr>
        <w:t xml:space="preserve">through what distinct mechanism does the </w:t>
      </w:r>
      <w:r w:rsidR="00A25C33">
        <w:rPr>
          <w:b/>
          <w:bCs/>
        </w:rPr>
        <w:t xml:space="preserve">proposed European </w:t>
      </w:r>
      <w:r w:rsidRPr="005512F0">
        <w:rPr>
          <w:b/>
          <w:bCs/>
        </w:rPr>
        <w:t>Biotech Act change this dimension?</w:t>
      </w:r>
      <w:r w:rsidRPr="005512F0">
        <w:t xml:space="preserve"> Each mechanism is driven by a specific combination of interventions, some of which are direct movers, some as conditions or amplifiers.</w:t>
      </w:r>
    </w:p>
    <w:p w14:paraId="4AACA2D8" w14:textId="77777777" w:rsidR="00C17555" w:rsidRPr="005512F0" w:rsidRDefault="00C17555" w:rsidP="00C17555">
      <w:r w:rsidRPr="005512F0">
        <w:t>To prepare the analysis the following steps</w:t>
      </w:r>
      <w:r>
        <w:t xml:space="preserve"> were followed</w:t>
      </w:r>
      <w:r w:rsidRPr="005512F0">
        <w:t>:</w:t>
      </w:r>
    </w:p>
    <w:p w14:paraId="5BF017A0" w14:textId="77777777" w:rsidR="00C17555" w:rsidRPr="005512F0" w:rsidRDefault="00C17555" w:rsidP="00C17555">
      <w:pPr>
        <w:rPr>
          <w:u w:val="single"/>
        </w:rPr>
      </w:pPr>
      <w:r w:rsidRPr="005512F0">
        <w:rPr>
          <w:b/>
          <w:bCs/>
          <w:u w:val="single"/>
        </w:rPr>
        <w:t xml:space="preserve">Step 1. </w:t>
      </w:r>
      <w:r>
        <w:rPr>
          <w:b/>
          <w:bCs/>
          <w:u w:val="single"/>
        </w:rPr>
        <w:t>Identification of</w:t>
      </w:r>
      <w:r w:rsidRPr="005512F0">
        <w:rPr>
          <w:b/>
          <w:bCs/>
          <w:u w:val="single"/>
        </w:rPr>
        <w:t xml:space="preserve"> the mechanisms operative in this impact area</w:t>
      </w:r>
      <w:r>
        <w:rPr>
          <w:b/>
          <w:bCs/>
          <w:u w:val="single"/>
        </w:rPr>
        <w:t>:</w:t>
      </w:r>
    </w:p>
    <w:p w14:paraId="24C74931" w14:textId="60388191" w:rsidR="00C17555" w:rsidRPr="005512F0" w:rsidRDefault="00C17555" w:rsidP="00C17555">
      <w:r w:rsidRPr="005512F0">
        <w:t xml:space="preserve">Each impact area </w:t>
      </w:r>
      <w:r w:rsidR="00F2028F" w:rsidRPr="005512F0">
        <w:t>has</w:t>
      </w:r>
      <w:r w:rsidRPr="005512F0">
        <w:t xml:space="preserve"> 2-3 distinct mechanisms. These are distinct processes, driven by different combinations of interventions, producing different types of competitive effect.  </w:t>
      </w:r>
    </w:p>
    <w:p w14:paraId="0C4F9E24" w14:textId="77777777" w:rsidR="00C17555" w:rsidRPr="005512F0" w:rsidRDefault="00C17555" w:rsidP="00C17555">
      <w:pPr>
        <w:rPr>
          <w:u w:val="single"/>
        </w:rPr>
      </w:pPr>
      <w:r w:rsidRPr="005512F0">
        <w:rPr>
          <w:b/>
          <w:bCs/>
          <w:u w:val="single"/>
        </w:rPr>
        <w:lastRenderedPageBreak/>
        <w:t xml:space="preserve">Step 2. For each mechanism, </w:t>
      </w:r>
      <w:r>
        <w:rPr>
          <w:b/>
          <w:bCs/>
          <w:u w:val="single"/>
        </w:rPr>
        <w:t>identification of</w:t>
      </w:r>
      <w:r w:rsidRPr="005512F0">
        <w:rPr>
          <w:b/>
          <w:bCs/>
          <w:u w:val="single"/>
        </w:rPr>
        <w:t xml:space="preserve"> the intervention combination that drives it:</w:t>
      </w:r>
    </w:p>
    <w:p w14:paraId="65728D8A" w14:textId="77777777" w:rsidR="00C17555" w:rsidRPr="005512F0" w:rsidRDefault="00C17555" w:rsidP="00C17555">
      <w:r w:rsidRPr="005512F0">
        <w:t xml:space="preserve">Each mechanism identified in Step 1 is driven by a combination of multiple interventions. This is where multiplier effects become visible from the interventions that do not lead to impacts themselves but enable other interventions. </w:t>
      </w:r>
    </w:p>
    <w:p w14:paraId="76ACC564" w14:textId="77777777" w:rsidR="00C17555" w:rsidRPr="005512F0" w:rsidRDefault="00C17555" w:rsidP="00C17555">
      <w:pPr>
        <w:rPr>
          <w:u w:val="single"/>
        </w:rPr>
      </w:pPr>
      <w:r w:rsidRPr="005512F0">
        <w:rPr>
          <w:b/>
          <w:bCs/>
          <w:u w:val="single"/>
        </w:rPr>
        <w:t xml:space="preserve">Step 3. </w:t>
      </w:r>
      <w:r>
        <w:rPr>
          <w:b/>
          <w:bCs/>
          <w:u w:val="single"/>
        </w:rPr>
        <w:t>Assessment of</w:t>
      </w:r>
      <w:r w:rsidRPr="005512F0">
        <w:rPr>
          <w:b/>
          <w:bCs/>
          <w:u w:val="single"/>
        </w:rPr>
        <w:t xml:space="preserve"> the cumulative effects mechanism by mechanism:</w:t>
      </w:r>
    </w:p>
    <w:p w14:paraId="5D1D7A7F" w14:textId="72CF8D16" w:rsidR="00C17555" w:rsidRPr="005512F0" w:rsidRDefault="00C17555" w:rsidP="00C17555">
      <w:r w:rsidRPr="005512F0">
        <w:t>This step involves combining the analyses from the individual intervention and arriving at a comprehensive narrative. For each mechanism relevant information corresponding to impact area</w:t>
      </w:r>
      <w:r>
        <w:t xml:space="preserve"> was identified</w:t>
      </w:r>
      <w:r w:rsidRPr="005512F0">
        <w:t xml:space="preserve">. For example, when </w:t>
      </w:r>
      <w:r>
        <w:t>working</w:t>
      </w:r>
      <w:r w:rsidRPr="005512F0">
        <w:t xml:space="preserve"> on “Reduction of overlapping regulatory obligations across frameworks”, the analyses under Conduct of business for </w:t>
      </w:r>
      <w:r w:rsidR="00496EDC">
        <w:t xml:space="preserve">the proposed </w:t>
      </w:r>
      <w:r w:rsidRPr="005512F0">
        <w:t xml:space="preserve">ATMP </w:t>
      </w:r>
      <w:r w:rsidR="00496EDC">
        <w:t>revision</w:t>
      </w:r>
      <w:r w:rsidRPr="005512F0">
        <w:t xml:space="preserve">, Vet medicinal product proposed amendments, </w:t>
      </w:r>
      <w:r w:rsidR="00496EDC">
        <w:t xml:space="preserve">proposed </w:t>
      </w:r>
      <w:r w:rsidRPr="005512F0">
        <w:t xml:space="preserve">clinical trial coordinated assessment for combined studies, and </w:t>
      </w:r>
      <w:r w:rsidR="00496EDC">
        <w:t xml:space="preserve">the proposed </w:t>
      </w:r>
      <w:r w:rsidRPr="005512F0">
        <w:t>EU Health Biotechnology Support Network</w:t>
      </w:r>
      <w:r>
        <w:t xml:space="preserve"> were used</w:t>
      </w:r>
      <w:r w:rsidRPr="005512F0">
        <w:t xml:space="preserve">. </w:t>
      </w:r>
    </w:p>
    <w:p w14:paraId="4EF14D00" w14:textId="77777777" w:rsidR="00C17555" w:rsidRDefault="00C17555" w:rsidP="00C17555">
      <w:pPr>
        <w:rPr>
          <w:lang w:val="en-US"/>
        </w:rPr>
      </w:pPr>
      <w:r w:rsidRPr="005512F0">
        <w:rPr>
          <w:lang w:val="en-US"/>
        </w:rPr>
        <w:t>In the cumulative assessment, impacts are analysed indicator by indicator. This is necessary because the interventions generate heterogeneous types of impacts and indicators, which cannot be combined using a single quantitative methodology. Several mechanisms may affect the same indicator (e.g. administrative costs to authorities, clinical trial timelines, investment levels). In such cases, impacts are combined only where they arise from distinct regulatory drivers.</w:t>
      </w:r>
    </w:p>
    <w:p w14:paraId="1A23E44D" w14:textId="77777777" w:rsidR="00C17555" w:rsidRPr="005512F0" w:rsidRDefault="00C17555" w:rsidP="00C17555">
      <w:pPr>
        <w:rPr>
          <w:b/>
          <w:bCs/>
          <w:u w:val="single"/>
          <w:lang w:val="en-US"/>
        </w:rPr>
      </w:pPr>
      <w:r w:rsidRPr="005512F0">
        <w:rPr>
          <w:b/>
          <w:bCs/>
          <w:u w:val="single"/>
          <w:lang w:val="en-US"/>
        </w:rPr>
        <w:t>Double counting is avoided by distinguishing between:</w:t>
      </w:r>
    </w:p>
    <w:p w14:paraId="6DFA15A4" w14:textId="154D1550" w:rsidR="00C17555" w:rsidRPr="005512F0" w:rsidRDefault="00C17555" w:rsidP="00C17555">
      <w:pPr>
        <w:pStyle w:val="ListParagraph"/>
        <w:numPr>
          <w:ilvl w:val="0"/>
          <w:numId w:val="498"/>
        </w:numPr>
        <w:spacing w:after="270" w:line="270" w:lineRule="atLeast"/>
        <w:ind w:right="284"/>
        <w:rPr>
          <w:lang w:val="en-US"/>
        </w:rPr>
      </w:pPr>
      <w:r w:rsidRPr="005512F0">
        <w:rPr>
          <w:lang w:val="en-US"/>
        </w:rPr>
        <w:t xml:space="preserve">Independent policy drivers, where different interventions create separate cost or benefit effects affecting the same indicator. In such cases, the </w:t>
      </w:r>
      <w:r w:rsidRPr="00AB7910">
        <w:rPr>
          <w:lang w:val="en-US"/>
        </w:rPr>
        <w:t>impacts are treated as additive</w:t>
      </w:r>
      <w:r w:rsidRPr="005512F0" w:rsidDel="00784E7A">
        <w:rPr>
          <w:lang w:val="en-US"/>
        </w:rPr>
        <w:t xml:space="preserve"> (for example, administrative workload generated by AI-related regulatory guidance and workload generated by SPC-related measures affecting the same authority).</w:t>
      </w:r>
    </w:p>
    <w:p w14:paraId="2E1D3335" w14:textId="77777777" w:rsidR="00C17555" w:rsidRPr="005512F0" w:rsidRDefault="00C17555" w:rsidP="00C17555">
      <w:pPr>
        <w:pStyle w:val="ListParagraph"/>
        <w:numPr>
          <w:ilvl w:val="0"/>
          <w:numId w:val="498"/>
        </w:numPr>
        <w:spacing w:after="270" w:line="270" w:lineRule="atLeast"/>
        <w:ind w:right="284"/>
        <w:rPr>
          <w:lang w:val="en-US"/>
        </w:rPr>
      </w:pPr>
      <w:r w:rsidRPr="005512F0">
        <w:rPr>
          <w:lang w:val="en-US"/>
        </w:rPr>
        <w:t xml:space="preserve">Shared administrative or regulatory processes, where several measures rely on the same underlying procedure or institutional activity. In these cases, </w:t>
      </w:r>
      <w:r w:rsidRPr="00AB7910">
        <w:rPr>
          <w:lang w:val="en-US"/>
        </w:rPr>
        <w:t>the impact is counted once</w:t>
      </w:r>
      <w:r w:rsidRPr="005512F0">
        <w:rPr>
          <w:lang w:val="en-US"/>
        </w:rPr>
        <w:t>, even if multiple policy measures refer to that process (for example, different categories of strategic project designation relying on the same workflow).</w:t>
      </w:r>
    </w:p>
    <w:p w14:paraId="31425132" w14:textId="77777777" w:rsidR="00C17555" w:rsidRDefault="00C17555" w:rsidP="00C17555">
      <w:pPr>
        <w:rPr>
          <w:lang w:val="en-US"/>
        </w:rPr>
      </w:pPr>
      <w:r w:rsidRPr="005512F0">
        <w:rPr>
          <w:lang w:val="en-US"/>
        </w:rPr>
        <w:t>This distinction ensures that cumulative impacts reflect the true incremental effects of policy measures, while avoiding artificial inflation of costs or benefits where measures operate through the same administrative mechanism.</w:t>
      </w:r>
    </w:p>
    <w:p w14:paraId="19A7CB7C" w14:textId="77777777" w:rsidR="00272754" w:rsidRDefault="00272754" w:rsidP="00C17555">
      <w:pPr>
        <w:rPr>
          <w:lang w:val="en-US"/>
        </w:rPr>
      </w:pPr>
    </w:p>
    <w:p w14:paraId="29F5AE42" w14:textId="77777777" w:rsidR="00272754" w:rsidRDefault="00272754" w:rsidP="00C17555">
      <w:pPr>
        <w:rPr>
          <w:lang w:val="en-US"/>
        </w:rPr>
      </w:pPr>
    </w:p>
    <w:p w14:paraId="6FC73DCA" w14:textId="77777777" w:rsidR="00272754" w:rsidRDefault="00272754" w:rsidP="00C17555">
      <w:pPr>
        <w:rPr>
          <w:lang w:val="en-US"/>
        </w:rPr>
      </w:pPr>
    </w:p>
    <w:p w14:paraId="58367384" w14:textId="77777777" w:rsidR="00272754" w:rsidRPr="005512F0" w:rsidRDefault="00272754" w:rsidP="00C17555">
      <w:pPr>
        <w:rPr>
          <w:lang w:val="en-US"/>
        </w:rPr>
      </w:pPr>
    </w:p>
    <w:p w14:paraId="5831B5F1" w14:textId="77777777" w:rsidR="00C17555" w:rsidRPr="005512F0" w:rsidRDefault="00C17555" w:rsidP="004570F2">
      <w:pPr>
        <w:pStyle w:val="Heading3"/>
        <w:numPr>
          <w:ilvl w:val="0"/>
          <w:numId w:val="542"/>
        </w:numPr>
      </w:pPr>
      <w:bookmarkStart w:id="144" w:name="_Toc224827688"/>
      <w:bookmarkStart w:id="145" w:name="_Toc225979096"/>
      <w:r w:rsidRPr="005512F0">
        <w:lastRenderedPageBreak/>
        <w:t>Mapping of the mechanisms of change and interventions</w:t>
      </w:r>
      <w:bookmarkEnd w:id="144"/>
      <w:bookmarkEnd w:id="145"/>
    </w:p>
    <w:p w14:paraId="061DC309" w14:textId="089E8330" w:rsidR="00C17555" w:rsidRPr="005512F0" w:rsidRDefault="00784E7A" w:rsidP="00AF0D54">
      <w:r>
        <w:t>C</w:t>
      </w:r>
      <w:r w:rsidR="00C17555">
        <w:t xml:space="preserve">ausal chain for each of the impact area and mechanisms is </w:t>
      </w:r>
      <w:r>
        <w:t>presented into details in the supporting study</w:t>
      </w:r>
      <w:r w:rsidR="00AB7910">
        <w:t xml:space="preserve"> (Rapid Assessment Scenario Study)</w:t>
      </w:r>
      <w:r>
        <w:t>, together with a</w:t>
      </w:r>
      <w:r w:rsidR="00C17555">
        <w:t xml:space="preserve"> precise narrative, assumptions, and implications. </w:t>
      </w:r>
    </w:p>
    <w:p w14:paraId="4265CEAC" w14:textId="2CB419E2" w:rsidR="00C17555" w:rsidRPr="004570F2" w:rsidRDefault="00C17555" w:rsidP="004570F2">
      <w:pPr>
        <w:pStyle w:val="Heading4"/>
        <w:numPr>
          <w:ilvl w:val="0"/>
          <w:numId w:val="0"/>
        </w:numPr>
        <w:rPr>
          <w:b/>
        </w:rPr>
      </w:pPr>
      <w:bookmarkStart w:id="146" w:name="_Toc224827689"/>
      <w:bookmarkStart w:id="147" w:name="_Toc225979097"/>
      <w:r w:rsidRPr="004570F2">
        <w:rPr>
          <w:b/>
          <w:i/>
        </w:rPr>
        <w:t>Conduct of Business</w:t>
      </w:r>
      <w:bookmarkEnd w:id="146"/>
      <w:bookmarkEnd w:id="147"/>
    </w:p>
    <w:p w14:paraId="45F6E3DD" w14:textId="77777777" w:rsidR="00C17555" w:rsidRPr="005512F0" w:rsidRDefault="00C17555" w:rsidP="00AF0D54">
      <w:pPr>
        <w:rPr>
          <w:b/>
          <w:bCs/>
          <w:u w:val="single"/>
        </w:rPr>
      </w:pPr>
      <w:r w:rsidRPr="005512F0">
        <w:rPr>
          <w:b/>
          <w:bCs/>
          <w:u w:val="single"/>
        </w:rPr>
        <w:t>Change mechanism 1: Reduction of overlapping regulatory obligations across frameworks</w:t>
      </w:r>
    </w:p>
    <w:p w14:paraId="2B907259" w14:textId="035CF0BE" w:rsidR="00C17555" w:rsidRPr="005512F0" w:rsidRDefault="00C17555" w:rsidP="00AF0D54">
      <w:r w:rsidRPr="005512F0">
        <w:t xml:space="preserve">Biotech companies developing products that span multiple regulatory regimes (ATMPs with GMO components, organ-derived products, combination products involving devices and diagnostics, veterinary medicinal products with GMO elements) currently face parallel and often duplicative assessments under separate legal frameworks. The </w:t>
      </w:r>
      <w:r w:rsidR="00E30CCC">
        <w:t xml:space="preserve">proposed </w:t>
      </w:r>
      <w:r w:rsidRPr="005512F0">
        <w:t>Act</w:t>
      </w:r>
      <w:r w:rsidR="00726A96">
        <w:t xml:space="preserve"> aim at</w:t>
      </w:r>
      <w:r w:rsidRPr="005512F0">
        <w:t xml:space="preserve"> address</w:t>
      </w:r>
      <w:r w:rsidR="00726A96">
        <w:t>ing</w:t>
      </w:r>
      <w:r w:rsidRPr="005512F0">
        <w:t xml:space="preserve"> this through five distinct regulatory channels. The </w:t>
      </w:r>
      <w:r w:rsidR="004605C4">
        <w:t xml:space="preserve">changes in the </w:t>
      </w:r>
      <w:r w:rsidRPr="005512F0">
        <w:t xml:space="preserve">ATMP </w:t>
      </w:r>
      <w:r w:rsidR="004605C4">
        <w:t>framework</w:t>
      </w:r>
      <w:r w:rsidR="004605C4" w:rsidRPr="005512F0">
        <w:t xml:space="preserve"> </w:t>
      </w:r>
      <w:r w:rsidRPr="005512F0">
        <w:t xml:space="preserve">eliminates procedural duplication in the relationship between the ATMP and general medicinal product frameworks. The </w:t>
      </w:r>
      <w:r w:rsidR="00726A96">
        <w:t>proposed</w:t>
      </w:r>
      <w:r w:rsidRPr="005512F0">
        <w:t xml:space="preserve"> clinical trial </w:t>
      </w:r>
      <w:r w:rsidR="00B5256E">
        <w:t>framework</w:t>
      </w:r>
      <w:r w:rsidRPr="005512F0" w:rsidDel="00B5256E">
        <w:t xml:space="preserve"> </w:t>
      </w:r>
      <w:r w:rsidRPr="005512F0">
        <w:t xml:space="preserve">introduces a coordinated assessment pathway for combined studies that span the CTR and IVD/MDR frameworks simultaneously. The </w:t>
      </w:r>
      <w:r w:rsidR="00726A96">
        <w:t>proposed intervention on VMP</w:t>
      </w:r>
      <w:r w:rsidR="00D51393">
        <w:t>s</w:t>
      </w:r>
      <w:r w:rsidRPr="005512F0">
        <w:t xml:space="preserve"> creates a single 'one-stop-shop' pathway for GMO veterinary medicinal products, eliminating the need for a separate GMO environmental risk assessment alongside the marketing authorisation procedure. The </w:t>
      </w:r>
      <w:r w:rsidR="00D51393">
        <w:t>intervention on</w:t>
      </w:r>
      <w:r w:rsidRPr="005512F0">
        <w:t xml:space="preserve"> organ transplantation </w:t>
      </w:r>
      <w:r w:rsidR="00D51393" w:rsidRPr="005512F0">
        <w:t xml:space="preserve"> </w:t>
      </w:r>
      <w:r w:rsidRPr="005512F0">
        <w:t>expands the scope of the transplantation directive to cover organ processing and establishes a clear authorisation regime for processing techniques, resolving a currently unaddressed overlap with tissue and cellular frameworks. The regulatory status repository addresses a foundational source of framework overlap: uncertainty about which legal regime governs a given product, which currently forces companies to engage with multiple frameworks simultaneously as a precautionary measure.</w:t>
      </w:r>
    </w:p>
    <w:p w14:paraId="5F189169" w14:textId="67EA9EFA" w:rsidR="00D51393" w:rsidRDefault="00C17555" w:rsidP="00AF0D54">
      <w:r w:rsidRPr="005512F0">
        <w:t xml:space="preserve">Each </w:t>
      </w:r>
      <w:r w:rsidR="00D51393">
        <w:t>proposed intervention</w:t>
      </w:r>
      <w:r w:rsidR="00D51393" w:rsidRPr="005512F0">
        <w:t xml:space="preserve"> </w:t>
      </w:r>
      <w:r w:rsidRPr="005512F0">
        <w:t>reduces a specific source of overlap; together they address the full landscape of cross-framework friction. The EU Health Biotechnology Support Network and AI guidance framework amplify the</w:t>
      </w:r>
      <w:r w:rsidR="00D51393">
        <w:t xml:space="preserve"> proposed</w:t>
      </w:r>
      <w:r w:rsidRPr="005512F0" w:rsidDel="00D51393">
        <w:t xml:space="preserve"> </w:t>
      </w:r>
      <w:r w:rsidR="00D51393">
        <w:t>measures</w:t>
      </w:r>
      <w:r w:rsidRPr="005512F0">
        <w:t xml:space="preserve"> by reducing the navigation costs that persist even after formal regulatory overlap has been removed. </w:t>
      </w:r>
    </w:p>
    <w:p w14:paraId="335F1D4D" w14:textId="77777777" w:rsidR="00D51393" w:rsidRDefault="00C17555" w:rsidP="00AF0D54">
      <w:r w:rsidRPr="005512F0">
        <w:t xml:space="preserve">Emergent effect: Firms developing complex biotech products face a qualitatively more coherent regulatory environment, not just an incrementally less burdensome one. </w:t>
      </w:r>
    </w:p>
    <w:p w14:paraId="5F7F8ABC" w14:textId="2A16FEC9" w:rsidR="00C17555" w:rsidRPr="005512F0" w:rsidRDefault="00C17555" w:rsidP="00AF0D54">
      <w:r w:rsidRPr="005512F0">
        <w:t xml:space="preserve">Risk: </w:t>
      </w:r>
      <w:r w:rsidR="00D51393">
        <w:t xml:space="preserve">Proposed interventions </w:t>
      </w:r>
      <w:r w:rsidRPr="005512F0">
        <w:t xml:space="preserve">are enacted under different frameworks at different speeds; residual fragmentation may persist where one </w:t>
      </w:r>
      <w:r w:rsidR="00AD2E0C">
        <w:t>intervention</w:t>
      </w:r>
      <w:r w:rsidR="00AD2E0C" w:rsidRPr="005512F0">
        <w:t xml:space="preserve"> </w:t>
      </w:r>
      <w:r w:rsidRPr="005512F0">
        <w:t>advances and another stalls.</w:t>
      </w:r>
    </w:p>
    <w:p w14:paraId="3AFA364C" w14:textId="77777777" w:rsidR="00C17555" w:rsidRPr="005512F0" w:rsidRDefault="00C17555" w:rsidP="00AF0D54">
      <w:pPr>
        <w:rPr>
          <w:b/>
          <w:bCs/>
          <w:u w:val="single"/>
        </w:rPr>
      </w:pPr>
      <w:r w:rsidRPr="005512F0">
        <w:rPr>
          <w:b/>
          <w:bCs/>
          <w:u w:val="single"/>
        </w:rPr>
        <w:t>Change mechanism 2: Predictability and certainty in permitting and project development</w:t>
      </w:r>
    </w:p>
    <w:p w14:paraId="2C01DFF2" w14:textId="4F3922D6" w:rsidR="00C17555" w:rsidRPr="005512F0" w:rsidRDefault="00C17555" w:rsidP="00AF0D54">
      <w:r w:rsidRPr="005512F0">
        <w:t>Regulatory uncertainty operates as a material business risk when firms cannot form reliable expectations about the timeline, applicable pathway, or outcome of their regulatory interactions. The</w:t>
      </w:r>
      <w:r w:rsidRPr="005512F0" w:rsidDel="00E30CCC">
        <w:t xml:space="preserve"> </w:t>
      </w:r>
      <w:r w:rsidR="00E30CCC">
        <w:t>proposal</w:t>
      </w:r>
      <w:r w:rsidR="00E30CCC" w:rsidRPr="005512F0">
        <w:t xml:space="preserve"> </w:t>
      </w:r>
      <w:r w:rsidRPr="005512F0">
        <w:t xml:space="preserve">addresses this across several distinct dimensions. Strategic project recognition introduces mandatory timelines, single points of contact, tacit approval provisions, and highest national significance status, converting a previously discretionary and variable permitting process into a structured, time-bounded one. The regulatory status repository and Foresight Panel reduce a further category of uncertainty: firms developing genuinely novel products currently face extended pre-application periods of regulatory </w:t>
      </w:r>
      <w:r w:rsidRPr="005512F0">
        <w:lastRenderedPageBreak/>
        <w:t>status ambiguity, during which they cannot reliably plan development timelines. By establishing clear classification procedures and expert horizon-scanning, this mechanism resolves pathway uncertainty before the formal application process begins. In the area of organ transplantation, the proposed organ processing authorisation regime provides legal certainty and a clear regulatory pathway for transplantation centres and national authorities, replacing ad hoc national practices with a structured authorisation procedure.</w:t>
      </w:r>
    </w:p>
    <w:p w14:paraId="21FA9269" w14:textId="0D49F011" w:rsidR="00B5256E" w:rsidRDefault="00C17555" w:rsidP="00AF0D54">
      <w:r w:rsidRPr="005512F0">
        <w:t xml:space="preserve">Recognition must be granted and classification must be completed before the predictability benefits materialise; the quality of Member State implementation determines the actual gain. </w:t>
      </w:r>
    </w:p>
    <w:p w14:paraId="496D986C" w14:textId="2D30C9D1" w:rsidR="00B5256E" w:rsidRDefault="00C17555" w:rsidP="00AF0D54">
      <w:r w:rsidRPr="005512F0">
        <w:t xml:space="preserve">Emergent effect: Firms can make capital allocation decisions based on a known permitting and pathway horizon rather than an open-ended one, materially changing project feasibility assessments. </w:t>
      </w:r>
    </w:p>
    <w:p w14:paraId="5EF914B0" w14:textId="24CF8D54" w:rsidR="00C17555" w:rsidRPr="005512F0" w:rsidRDefault="00C17555" w:rsidP="00AF0D54">
      <w:r w:rsidRPr="005512F0">
        <w:t>Risk: Dependent on Member State implementation quality; tacit approval provisions may create legal uncertainty in some jurisdictions.</w:t>
      </w:r>
    </w:p>
    <w:p w14:paraId="149B929C" w14:textId="77777777" w:rsidR="00C17555" w:rsidRPr="005512F0" w:rsidRDefault="00C17555" w:rsidP="00AF0D54">
      <w:pPr>
        <w:rPr>
          <w:b/>
          <w:bCs/>
          <w:u w:val="single"/>
        </w:rPr>
      </w:pPr>
      <w:r w:rsidRPr="005512F0">
        <w:rPr>
          <w:b/>
          <w:bCs/>
          <w:u w:val="single"/>
        </w:rPr>
        <w:t>Change mechanism 3: Reduced friction for SMEs, start-ups and scale-ups in accessing regulatory and market pathways</w:t>
      </w:r>
    </w:p>
    <w:p w14:paraId="2F542903" w14:textId="5DFA3FF6" w:rsidR="00C17555" w:rsidRPr="005512F0" w:rsidRDefault="00C17555" w:rsidP="00AF0D54">
      <w:r w:rsidRPr="005512F0">
        <w:t>SMEs and start-ups face disproportionate burdens from regulatory complexity because they lack the in-house capacity that large firms use to navigate it. The</w:t>
      </w:r>
      <w:r w:rsidRPr="005512F0" w:rsidDel="00E30CCC">
        <w:t xml:space="preserve"> </w:t>
      </w:r>
      <w:r w:rsidR="00E30CCC">
        <w:t>proposal</w:t>
      </w:r>
      <w:r w:rsidR="00E30CCC" w:rsidRPr="005512F0">
        <w:t xml:space="preserve"> </w:t>
      </w:r>
      <w:r w:rsidRPr="005512F0">
        <w:t>creates dedicated support through three direct mechanisms: strategic project recognition includes mandatory dedicated communication channels and personalised administrative support for smaller firms; high-impact project recognition maintains and extends these provisions with particular attention to scale-ups and biotechnology development accelerators; and the EU Health Biotechnology Support Network provides regulatory navigation, IP support, investor connection, and AI integration assistance targeted specifically at developers who lack these capabilities in-house.</w:t>
      </w:r>
    </w:p>
    <w:p w14:paraId="3AB23909" w14:textId="693E2A0F" w:rsidR="00B5256E" w:rsidRDefault="00C17555" w:rsidP="00AF0D54">
      <w:r>
        <w:t xml:space="preserve">Four further interventions amplify these direct measures by reducing the underlying complexity that smaller firms must navigate: the regulatory status repository reduces the cost of pathway determination; the </w:t>
      </w:r>
      <w:r w:rsidR="004605C4">
        <w:t xml:space="preserve">changes in the </w:t>
      </w:r>
      <w:r>
        <w:t xml:space="preserve">ATMP </w:t>
      </w:r>
      <w:r w:rsidR="004605C4">
        <w:t xml:space="preserve">framework </w:t>
      </w:r>
      <w:r>
        <w:t>simplif</w:t>
      </w:r>
      <w:r w:rsidR="004605C4">
        <w:t>y</w:t>
      </w:r>
      <w:r>
        <w:t xml:space="preserve"> a product category where SMEs are disproportionately represented as innovators; the </w:t>
      </w:r>
      <w:r w:rsidR="00AD2E0C">
        <w:t xml:space="preserve">proposed </w:t>
      </w:r>
      <w:r>
        <w:t xml:space="preserve">clinical trial </w:t>
      </w:r>
      <w:r w:rsidR="00AD2E0C">
        <w:t>framework</w:t>
      </w:r>
      <w:r>
        <w:t xml:space="preserve"> reduces the variable costs of multinational trial applications; and AI tools under the AI and data guidance framework provide technology-enabled efficiencies that partially substitute for human regulatory capacity. </w:t>
      </w:r>
    </w:p>
    <w:p w14:paraId="38E10D99" w14:textId="10E0804E" w:rsidR="00B5256E" w:rsidRDefault="00C17555" w:rsidP="00AF0D54">
      <w:r>
        <w:t>Emergent effect: Smaller firms can access the same regulatory pathways and support infrastructure that were previously accessible mainly to large, well-resourced companies.</w:t>
      </w:r>
    </w:p>
    <w:p w14:paraId="4AB636B9" w14:textId="56711D2C" w:rsidR="00C17555" w:rsidRPr="005512F0" w:rsidRDefault="00C17555" w:rsidP="00AF0D54">
      <w:r>
        <w:t>Risk: Effectiveness depends on the Network's actual operational quality and coverage, which is difficult to guarantee at design stage.</w:t>
      </w:r>
    </w:p>
    <w:p w14:paraId="12AD0846" w14:textId="77777777" w:rsidR="00C17555" w:rsidRPr="004570F2" w:rsidRDefault="00C17555" w:rsidP="004570F2">
      <w:pPr>
        <w:pStyle w:val="Heading4"/>
        <w:numPr>
          <w:ilvl w:val="0"/>
          <w:numId w:val="0"/>
        </w:numPr>
        <w:rPr>
          <w:b/>
        </w:rPr>
      </w:pPr>
      <w:bookmarkStart w:id="148" w:name="_Toc224827690"/>
      <w:bookmarkStart w:id="149" w:name="_Toc225979098"/>
      <w:r w:rsidRPr="004570F2">
        <w:rPr>
          <w:b/>
          <w:i/>
        </w:rPr>
        <w:t>Administrative Costs on Businesses, including SMEs</w:t>
      </w:r>
      <w:bookmarkEnd w:id="148"/>
      <w:bookmarkEnd w:id="149"/>
    </w:p>
    <w:p w14:paraId="79EAEFBE" w14:textId="77777777" w:rsidR="00C17555" w:rsidRPr="005512F0" w:rsidRDefault="00C17555" w:rsidP="00AF0D54">
      <w:pPr>
        <w:rPr>
          <w:b/>
          <w:bCs/>
          <w:u w:val="single"/>
        </w:rPr>
      </w:pPr>
      <w:r w:rsidRPr="005512F0">
        <w:rPr>
          <w:b/>
          <w:bCs/>
          <w:u w:val="single"/>
        </w:rPr>
        <w:t>Change mechanism 1: Direct reduction of procedural steps and timelines in clinical development</w:t>
      </w:r>
    </w:p>
    <w:p w14:paraId="44FC323A" w14:textId="74D93465" w:rsidR="00C17555" w:rsidRPr="005512F0" w:rsidRDefault="00C17555" w:rsidP="00AF0D54">
      <w:r w:rsidRPr="005512F0">
        <w:t xml:space="preserve">The </w:t>
      </w:r>
      <w:r w:rsidR="004605C4">
        <w:t xml:space="preserve">changes in the </w:t>
      </w:r>
      <w:r w:rsidRPr="005512F0">
        <w:t>ATMP</w:t>
      </w:r>
      <w:r w:rsidR="004605C4" w:rsidRPr="005512F0">
        <w:t xml:space="preserve"> </w:t>
      </w:r>
      <w:r w:rsidRPr="005512F0">
        <w:t xml:space="preserve">and clinical trial </w:t>
      </w:r>
      <w:r w:rsidR="00BC154A">
        <w:t>frameworks</w:t>
      </w:r>
      <w:r w:rsidR="00BC154A" w:rsidRPr="005512F0">
        <w:t xml:space="preserve"> </w:t>
      </w:r>
      <w:r w:rsidRPr="005512F0">
        <w:t xml:space="preserve">each reduce direct administrative costs in clinical development through distinct but complementary procedural interventions. </w:t>
      </w:r>
      <w:r w:rsidRPr="005512F0">
        <w:lastRenderedPageBreak/>
        <w:t xml:space="preserve">The </w:t>
      </w:r>
      <w:r w:rsidR="00BC154A">
        <w:t xml:space="preserve">revised </w:t>
      </w:r>
      <w:r w:rsidRPr="005512F0">
        <w:t>ATMP</w:t>
      </w:r>
      <w:r w:rsidRPr="005512F0" w:rsidDel="00BC154A">
        <w:t xml:space="preserve"> </w:t>
      </w:r>
      <w:r w:rsidR="00BC154A">
        <w:t>framework</w:t>
      </w:r>
      <w:r w:rsidR="00BC154A" w:rsidRPr="005512F0">
        <w:t xml:space="preserve"> </w:t>
      </w:r>
      <w:r w:rsidRPr="005512F0">
        <w:t xml:space="preserve">eliminates the additional 50-day ATMP assessment period that currently applies to advanced therapy products within the clinical trial procedure, removing a time and cost burden specific to this product category. The </w:t>
      </w:r>
      <w:r w:rsidR="00AD2E0C">
        <w:t>proposed</w:t>
      </w:r>
      <w:r w:rsidRPr="005512F0">
        <w:t xml:space="preserve"> clinical trial</w:t>
      </w:r>
      <w:r w:rsidRPr="005512F0" w:rsidDel="00B5256E">
        <w:t xml:space="preserve"> </w:t>
      </w:r>
      <w:r w:rsidR="00B5256E">
        <w:t>framework</w:t>
      </w:r>
      <w:r w:rsidRPr="005512F0">
        <w:t xml:space="preserve"> delivers broader reductions across all multinational trials: authorisation timelines fall from 106 to 75 days (47 days without a request for information), substantial modifications from 96 to 47 days; harmonised templates for Part II applications reduce drafting costs; parallel submission of distinct modifications eliminates sequential procedural bottlenecks; and the investigational medicinal product core dossier enables reuse of validated documentation across multiple trials.</w:t>
      </w:r>
    </w:p>
    <w:p w14:paraId="7B97AD12" w14:textId="4BBBEC4B" w:rsidR="00B5256E" w:rsidRDefault="00C17555" w:rsidP="00AF0D54">
      <w:r w:rsidRPr="005512F0">
        <w:t>These direct procedural reductions are amplified by three enabling conditions. The EU Health Biotechnology Support Network reduces the cost of inadequate dossier preparation by providing early navigation support and connecting developers to relevant expertise. The regulatory status repository reduces pre-application uncertainty costs by ensuring developers enter the formal procedure with a confirmed regulatory classification. AI tools under the AI and data guidance framework enable technology-assisted dossier preparation and submission management, reducing the variable cost per application. Each procedural</w:t>
      </w:r>
      <w:r w:rsidRPr="005512F0" w:rsidDel="00AD2E0C">
        <w:t xml:space="preserve"> </w:t>
      </w:r>
      <w:r w:rsidR="00AD2E0C">
        <w:t>intervention</w:t>
      </w:r>
      <w:r w:rsidRPr="005512F0">
        <w:t xml:space="preserve"> reduces a distinct category of administrative cost independently. </w:t>
      </w:r>
    </w:p>
    <w:p w14:paraId="5AE257BC" w14:textId="52B07DED" w:rsidR="00B5256E" w:rsidRDefault="00C17555" w:rsidP="00AF0D54">
      <w:r w:rsidRPr="005512F0">
        <w:t xml:space="preserve">Emergent effect: The cumulative reduction across a full clinical development programme is substantially larger than any single timeline saving, as the savings compound across multiple applications, modifications, and Member States. </w:t>
      </w:r>
    </w:p>
    <w:p w14:paraId="1A1FAB9F" w14:textId="04D783A7" w:rsidR="00C17555" w:rsidRPr="005512F0" w:rsidRDefault="00C17555" w:rsidP="00AF0D54">
      <w:r w:rsidRPr="005512F0">
        <w:t>Risk: Realisation depends on consistent implementation across all Member States; variable quality of reporting Member State performance could erode the gains.</w:t>
      </w:r>
    </w:p>
    <w:p w14:paraId="4C07B05A" w14:textId="77777777" w:rsidR="00C17555" w:rsidRPr="005512F0" w:rsidRDefault="00C17555" w:rsidP="00AF0D54">
      <w:pPr>
        <w:rPr>
          <w:b/>
          <w:bCs/>
          <w:u w:val="single"/>
        </w:rPr>
      </w:pPr>
      <w:r w:rsidRPr="005512F0">
        <w:rPr>
          <w:b/>
          <w:bCs/>
          <w:u w:val="single"/>
        </w:rPr>
        <w:t>Change mechanism 2: Streamlined/improved risk assessment processes for GMMs, food, feed and food chain inputs and promotion of innovation in the food chain</w:t>
      </w:r>
    </w:p>
    <w:p w14:paraId="5E05525F" w14:textId="010274A8" w:rsidR="00C17555" w:rsidRPr="005512F0" w:rsidRDefault="00C17555" w:rsidP="00AF0D54">
      <w:r w:rsidRPr="005512F0">
        <w:t>EFSA's general pre-submission advice to applicants upon request is expanded to cover study design and testing strategies, replacing also the existing renewal pre-submission advice, reducing the cost of inadequate study design at the application stage. The procedural delay for non-compliance at pre-submission phase (study notification requirement) is shortened from six months to three months. The governance of EFSA's Scientific Panels and Scientific Committee is adapted (EFSA staff chairing with no voting rights) to strengthen the coherence of risk assessment while EFSA's mandate on nutrition matters is expanded to cover all nutrition matters. A harmonised framework for the set-up of regulatory sandboxes is also introduced to test products and technologies as well as data and alternative regulatory requirements for food (except novel foods), feed, all GMO uses, and food contact materials (except recycled plastics).</w:t>
      </w:r>
    </w:p>
    <w:p w14:paraId="0C548E5F" w14:textId="54CB0FB2" w:rsidR="00B5256E" w:rsidRDefault="00C17555" w:rsidP="00AF0D54">
      <w:r w:rsidRPr="005512F0">
        <w:t xml:space="preserve">For companies developing biotech products pertaining to the food chain, the cumulative effect of these targeted amendments is expected to reduce both direct assessment costs and the indirect costs of prolonged authorisation procedures, as well as the costs of testing innovative technologies and products. Regulatory sandboxes allow risk assessors and risk managers to harvest useful evidence from testing data and alternative regulatory requirements, contributing to their faster adaptation. In the area of GMMs in products for deliberate release into the environment, the authorisation procedure is adapted to better suit micro-organisms, to reduce some disproportionate burden, and to accelerate and streamline the procedure for some low-risk products, without lowering the level of safety. </w:t>
      </w:r>
    </w:p>
    <w:p w14:paraId="4C2C3179" w14:textId="4FC3307D" w:rsidR="00B5256E" w:rsidRDefault="00C17555" w:rsidP="00AF0D54">
      <w:r w:rsidRPr="005512F0">
        <w:lastRenderedPageBreak/>
        <w:t xml:space="preserve">Emergent effect: The combination of expanded pre-submission guidance, shorter procedural delays, and governance </w:t>
      </w:r>
      <w:r w:rsidR="00AD2E0C">
        <w:t>proposed changes</w:t>
      </w:r>
      <w:r w:rsidR="00AD2E0C" w:rsidRPr="005512F0">
        <w:t xml:space="preserve"> </w:t>
      </w:r>
      <w:r w:rsidRPr="005512F0">
        <w:t xml:space="preserve">to Scientific Panels could reduce the total cost of a food/feed biotech application (especially for SMEs) more than either </w:t>
      </w:r>
      <w:r w:rsidR="00AD2E0C">
        <w:t>intervention</w:t>
      </w:r>
      <w:r w:rsidR="00AD2E0C" w:rsidRPr="005512F0">
        <w:t xml:space="preserve"> </w:t>
      </w:r>
      <w:r w:rsidRPr="005512F0">
        <w:t xml:space="preserve">alone, while ensuring the coherence of risk assessment. </w:t>
      </w:r>
    </w:p>
    <w:p w14:paraId="0D35F303" w14:textId="569C7B1F" w:rsidR="00C17555" w:rsidRPr="005512F0" w:rsidRDefault="00C17555" w:rsidP="00AF0D54">
      <w:r w:rsidRPr="005512F0">
        <w:t>Risk: EFSA capacity to absorb expanded pre-submission advice tasks is a constraint and should not be detrimental to its core business (risk assessment tasks).</w:t>
      </w:r>
    </w:p>
    <w:p w14:paraId="69B86E2A" w14:textId="77777777" w:rsidR="00C17555" w:rsidRPr="004570F2" w:rsidRDefault="00C17555" w:rsidP="004570F2">
      <w:pPr>
        <w:pStyle w:val="Heading4"/>
        <w:numPr>
          <w:ilvl w:val="0"/>
          <w:numId w:val="0"/>
        </w:numPr>
        <w:rPr>
          <w:b/>
        </w:rPr>
      </w:pPr>
      <w:bookmarkStart w:id="150" w:name="_Toc224827691"/>
      <w:bookmarkStart w:id="151" w:name="_Toc225979099"/>
      <w:r w:rsidRPr="004570F2">
        <w:rPr>
          <w:b/>
          <w:i/>
        </w:rPr>
        <w:t>Competitiveness, Trade and Investment Flows</w:t>
      </w:r>
      <w:bookmarkEnd w:id="150"/>
      <w:bookmarkEnd w:id="151"/>
    </w:p>
    <w:p w14:paraId="63672450" w14:textId="77777777" w:rsidR="00C17555" w:rsidRPr="005512F0" w:rsidRDefault="00C17555" w:rsidP="00AF0D54">
      <w:pPr>
        <w:rPr>
          <w:b/>
          <w:bCs/>
          <w:u w:val="single"/>
        </w:rPr>
      </w:pPr>
      <w:r w:rsidRPr="005512F0">
        <w:rPr>
          <w:b/>
          <w:bCs/>
          <w:u w:val="single"/>
        </w:rPr>
        <w:t>Change mechanism 1: Shifting late-stage investment and scale-up decisions towards the EU</w:t>
      </w:r>
    </w:p>
    <w:p w14:paraId="06E8EFDA" w14:textId="7E55BB38" w:rsidR="00C17555" w:rsidRPr="005512F0" w:rsidRDefault="00C17555" w:rsidP="00AF0D54">
      <w:r w:rsidRPr="005512F0">
        <w:t>The EU currently loses late-stage investment to the US and other regions primarily because the risk-adjusted return on EU-domiciled scale-up is inferior: regulatory timelines are longer, permitting is unpredictable, capital is scarcer, and the return horizon is shorter. The</w:t>
      </w:r>
      <w:r w:rsidRPr="005512F0" w:rsidDel="00E30CCC">
        <w:t xml:space="preserve"> </w:t>
      </w:r>
      <w:r w:rsidR="00E30CCC">
        <w:t>proposal</w:t>
      </w:r>
      <w:r w:rsidR="00E30CCC" w:rsidRPr="005512F0">
        <w:t xml:space="preserve"> </w:t>
      </w:r>
      <w:r w:rsidRPr="005512F0">
        <w:t xml:space="preserve">addresses all four dimensions simultaneously through four direct mechanisms. Strategic project recognition directly changes the investment calculus by de-risking the permitting pathway that investors price into their return expectations: mandatory timelines, single points of contact, and priority status convert a variable and opaque process into a bounded and transparent one. High-impact project recognition extends and enhances these effects, adding Commission-level recognition and Union-level financial support mechanisms. </w:t>
      </w:r>
      <w:r w:rsidR="00B5256E">
        <w:t xml:space="preserve">The </w:t>
      </w:r>
      <w:r w:rsidR="00AD2E0C">
        <w:t xml:space="preserve">changes to the </w:t>
      </w:r>
      <w:r w:rsidR="00B5256E">
        <w:t>c</w:t>
      </w:r>
      <w:r w:rsidRPr="005512F0">
        <w:t xml:space="preserve">linical trial </w:t>
      </w:r>
      <w:r w:rsidR="00B5256E">
        <w:t>framework</w:t>
      </w:r>
      <w:r w:rsidR="00B5256E" w:rsidRPr="005512F0">
        <w:t xml:space="preserve"> </w:t>
      </w:r>
      <w:r w:rsidRPr="005512F0">
        <w:t>shorten the development timeline, directly improving time-to-market projections. The investment pilot and late-stage capital booster address the capital availability dimension, providing financial instruments specifically designed for the scale-up phase where EU funding gaps are most acute.</w:t>
      </w:r>
    </w:p>
    <w:p w14:paraId="3146290E" w14:textId="45E75858" w:rsidR="00C17555" w:rsidRPr="005512F0" w:rsidRDefault="00C17555" w:rsidP="00AF0D54">
      <w:r w:rsidRPr="005512F0">
        <w:t xml:space="preserve">The </w:t>
      </w:r>
      <w:r w:rsidR="00B5256E">
        <w:t>proposed</w:t>
      </w:r>
      <w:r w:rsidRPr="005512F0">
        <w:t xml:space="preserve"> SPC extension amplifies the returns generated by all four direct mechanisms by extending the period of protected commercialisation, making the full investment package more financially attractive. No single instrument shifts the investment calculus; the combination does. Emergent effect: A fundamentally different risk-adjusted return profile for EU-domiciled biotech investment, sufficient to change location decisions at the margin for a non-trivial number of companies.</w:t>
      </w:r>
    </w:p>
    <w:p w14:paraId="6BA1D407" w14:textId="77777777" w:rsidR="00C17555" w:rsidRPr="005512F0" w:rsidRDefault="00C17555" w:rsidP="00AF0D54">
      <w:pPr>
        <w:rPr>
          <w:b/>
          <w:bCs/>
          <w:u w:val="single"/>
        </w:rPr>
      </w:pPr>
      <w:r w:rsidRPr="005512F0">
        <w:rPr>
          <w:b/>
          <w:bCs/>
          <w:u w:val="single"/>
        </w:rPr>
        <w:t>Change mechanism 2: Strengthening the EU's global competitive position in biosimilars</w:t>
      </w:r>
    </w:p>
    <w:p w14:paraId="3A4FF77F" w14:textId="39FC4DC7" w:rsidR="00C17555" w:rsidRPr="005512F0" w:rsidRDefault="00C17555" w:rsidP="00AF0D54">
      <w:r w:rsidRPr="005512F0">
        <w:t xml:space="preserve">The EU has strong existing expertise in biosimilars but has not converted that expertise into dominant manufacturing capacity. The biosimilars competitiveness framework is the direct driver of this mechanism, operating across three dimensions: EMA guidance on tailored regulatory approaches potentially reduces clinical data requirements; a dedicated strategic project track for biosimilars manufacturing provides the full administrative and financial support package available to strategic projects, focused specifically on the biosimilars category; and international partnership provisions </w:t>
      </w:r>
      <w:r w:rsidR="5D16F3C3">
        <w:t>encouraging partnership among economic operators</w:t>
      </w:r>
      <w:r>
        <w:t>.</w:t>
      </w:r>
      <w:r w:rsidRPr="005512F0">
        <w:t xml:space="preserve"> This addresses both the regulatory cost competitiveness of EU biosimilars development and the strategic visibility of the EU as a biosimilars manufacturing hub.</w:t>
      </w:r>
    </w:p>
    <w:p w14:paraId="49E4106D" w14:textId="77777777" w:rsidR="00C17555" w:rsidRPr="005512F0" w:rsidRDefault="00C17555" w:rsidP="00AF0D54">
      <w:pPr>
        <w:rPr>
          <w:b/>
          <w:bCs/>
          <w:u w:val="single"/>
        </w:rPr>
      </w:pPr>
      <w:r w:rsidRPr="005512F0">
        <w:rPr>
          <w:b/>
          <w:bCs/>
          <w:u w:val="single"/>
        </w:rPr>
        <w:t>Change mechanism 3: Improving EU attractiveness for commercial clinical research</w:t>
      </w:r>
    </w:p>
    <w:p w14:paraId="4D5706C7" w14:textId="645CF180" w:rsidR="00C17555" w:rsidRPr="005512F0" w:rsidRDefault="00C17555" w:rsidP="00AF0D54">
      <w:r w:rsidRPr="005512F0">
        <w:t>The EU's share of global commercial clinical trials has fallen from 22</w:t>
      </w:r>
      <w:r w:rsidR="006856C2">
        <w:t>%</w:t>
      </w:r>
      <w:r w:rsidRPr="005512F0">
        <w:t xml:space="preserve"> to 12</w:t>
      </w:r>
      <w:r w:rsidR="006856C2">
        <w:t>%</w:t>
      </w:r>
      <w:r w:rsidRPr="005512F0">
        <w:t xml:space="preserve"> in a decade. This is primarily a competitiveness problem: sponsors locate trials where authorisation is </w:t>
      </w:r>
      <w:r w:rsidRPr="005512F0">
        <w:lastRenderedPageBreak/>
        <w:t xml:space="preserve">fastest, most predictable, and most administratively manageable. The </w:t>
      </w:r>
      <w:r w:rsidR="00AD2E0C">
        <w:t xml:space="preserve">changes to the </w:t>
      </w:r>
      <w:r w:rsidRPr="005512F0">
        <w:t xml:space="preserve">clinical trial </w:t>
      </w:r>
      <w:r w:rsidR="00AD2E0C">
        <w:t>framework</w:t>
      </w:r>
      <w:r w:rsidR="00AD2E0C" w:rsidRPr="005512F0">
        <w:t xml:space="preserve"> </w:t>
      </w:r>
      <w:r w:rsidR="00B249E8">
        <w:t>are</w:t>
      </w:r>
      <w:r w:rsidRPr="005512F0">
        <w:t xml:space="preserve"> the direct driver, addressing the principal factors sponsors use to make trial location decisions: multinational authorisation timelines, administrative harmonisation, digital infrastructure for trial management, and operational flexibility through parallel modifications and electronic consent.</w:t>
      </w:r>
    </w:p>
    <w:p w14:paraId="1EABF0B0" w14:textId="74F7AC8E" w:rsidR="00C17555" w:rsidRPr="005512F0" w:rsidRDefault="00C17555" w:rsidP="00AF0D54">
      <w:r w:rsidRPr="005512F0">
        <w:t xml:space="preserve">Four interventions amplify the competitiveness effect of </w:t>
      </w:r>
      <w:r w:rsidR="00B249E8">
        <w:t>the proposed</w:t>
      </w:r>
      <w:r w:rsidRPr="005512F0">
        <w:t xml:space="preserve"> clinical trial </w:t>
      </w:r>
      <w:r w:rsidR="00B249E8">
        <w:t>framework</w:t>
      </w:r>
      <w:r w:rsidR="00B249E8" w:rsidRPr="005512F0">
        <w:t xml:space="preserve"> </w:t>
      </w:r>
      <w:r w:rsidRPr="005512F0">
        <w:t xml:space="preserve">by improving associated conditions. </w:t>
      </w:r>
      <w:r w:rsidR="00BC154A">
        <w:t xml:space="preserve">Changes to the </w:t>
      </w:r>
      <w:r w:rsidRPr="005512F0">
        <w:t xml:space="preserve">ATMP </w:t>
      </w:r>
      <w:r w:rsidR="00BC154A">
        <w:t>framework</w:t>
      </w:r>
      <w:r w:rsidR="00BC154A" w:rsidRPr="005512F0">
        <w:t xml:space="preserve"> </w:t>
      </w:r>
      <w:r w:rsidRPr="005512F0">
        <w:t>make EU clinical development for advanced therapies more operationally attractive, addressing a category where sponsors currently face additional procedural burden relative to other jurisdictions. Financing instruments improve the financial attractiveness of EU-domiciled trial investment by providing capital instruments oriented toward the biotech development stage at which sponsors make location decisions. SPC extension increases the commercial value of products developed through EU clinical programmes, strengthening the financial case for EU-based development. AI guidance reduces the operational cost of trial management, an increasingly important factor in sponsor location decisions. Emergent effect: The EU becomes competitive on the factors sponsors actually use to make trial location decisions, reversing a decade-long structural decline.</w:t>
      </w:r>
    </w:p>
    <w:p w14:paraId="453D5519" w14:textId="77777777" w:rsidR="00C17555" w:rsidRPr="004570F2" w:rsidRDefault="00C17555" w:rsidP="004570F2">
      <w:pPr>
        <w:pStyle w:val="Heading4"/>
        <w:numPr>
          <w:ilvl w:val="0"/>
          <w:numId w:val="0"/>
        </w:numPr>
        <w:rPr>
          <w:b/>
        </w:rPr>
      </w:pPr>
      <w:bookmarkStart w:id="152" w:name="_Toc224827692"/>
      <w:bookmarkStart w:id="153" w:name="_Toc225979100"/>
      <w:r w:rsidRPr="004570F2">
        <w:rPr>
          <w:b/>
          <w:i/>
        </w:rPr>
        <w:t>Functioning of the Internal Market and Competition</w:t>
      </w:r>
      <w:bookmarkEnd w:id="152"/>
      <w:bookmarkEnd w:id="153"/>
    </w:p>
    <w:p w14:paraId="5CF66CA8" w14:textId="77777777" w:rsidR="00C17555" w:rsidRPr="005512F0" w:rsidRDefault="00C17555" w:rsidP="00AF0D54">
      <w:pPr>
        <w:rPr>
          <w:b/>
          <w:bCs/>
          <w:u w:val="single"/>
        </w:rPr>
      </w:pPr>
      <w:r w:rsidRPr="005512F0">
        <w:rPr>
          <w:b/>
          <w:bCs/>
          <w:u w:val="single"/>
        </w:rPr>
        <w:t>Change mechanism 1: Reducing regulatory fragmentation across Member States</w:t>
      </w:r>
    </w:p>
    <w:p w14:paraId="74B35B4B" w14:textId="001C5ECF" w:rsidR="00C17555" w:rsidRPr="005512F0" w:rsidRDefault="00C17555" w:rsidP="00AF0D54">
      <w:r w:rsidRPr="005512F0">
        <w:t>The internal market for biotech products is currently impaired by divergent national implementation across multiple regulatory domains. The</w:t>
      </w:r>
      <w:r w:rsidRPr="005512F0" w:rsidDel="00E30CCC">
        <w:t xml:space="preserve"> </w:t>
      </w:r>
      <w:r w:rsidR="00E30CCC">
        <w:t>proposal</w:t>
      </w:r>
      <w:r w:rsidR="00E30CCC" w:rsidRPr="005512F0">
        <w:t xml:space="preserve"> </w:t>
      </w:r>
      <w:r w:rsidRPr="005512F0">
        <w:t xml:space="preserve">introduces harmonisation through four direct regulatory interventions, each targeting a distinct layer of fragmentation. The </w:t>
      </w:r>
      <w:r w:rsidR="00AD2E0C">
        <w:t xml:space="preserve">proposed </w:t>
      </w:r>
      <w:r w:rsidRPr="005512F0">
        <w:t xml:space="preserve">clinical trial </w:t>
      </w:r>
      <w:r w:rsidR="00AD2E0C">
        <w:t>framework</w:t>
      </w:r>
      <w:r w:rsidRPr="005512F0">
        <w:t xml:space="preserve"> introduces mandatory harmonised templates, strengthened reporting Member State roles, and mutual trust and reliance principles, directly reducing the degree to which clinical trial authorisation operates as 27 separate systems under a nominal common framework. The </w:t>
      </w:r>
      <w:r w:rsidR="00B249E8">
        <w:t xml:space="preserve">changes to the </w:t>
      </w:r>
      <w:r w:rsidRPr="005512F0">
        <w:t xml:space="preserve">veterinary medicinal products </w:t>
      </w:r>
      <w:r w:rsidR="00B249E8">
        <w:t>framework</w:t>
      </w:r>
      <w:r w:rsidR="00B249E8" w:rsidRPr="005512F0">
        <w:t xml:space="preserve"> </w:t>
      </w:r>
      <w:r w:rsidRPr="005512F0">
        <w:t xml:space="preserve">create a single 'one-stop-shop' regulatory pathway for GMO veterinary medicinal products, eliminating the divergent dual-track national procedures that currently apply. The </w:t>
      </w:r>
      <w:r w:rsidR="00B249E8">
        <w:t>changes to the</w:t>
      </w:r>
      <w:r w:rsidRPr="005512F0">
        <w:t xml:space="preserve"> General Food Law harmonise EFSA procedures and governance, reducing divergent national approaches to food and feed biotech risk assessment. The biosecurity framework establishes common screening, verification, and reporting rules for biotechnology products of concern, replacing the patchwork of divergent or absent national rules that currently creates an uneven regulatory environment across Member States.</w:t>
      </w:r>
    </w:p>
    <w:p w14:paraId="107DEDB7" w14:textId="5B6DE724" w:rsidR="00AD2E0C" w:rsidRDefault="00C17555" w:rsidP="00AF0D54">
      <w:r w:rsidRPr="005512F0">
        <w:t xml:space="preserve">Four further interventions amplify the fragmentation-reduction effect. The regulatory status repository provides a shared reference point that reduces divergent national interpretations of applicable frameworks. SoHO regulatory status coordination extends coherence to the substances of human origin domain. The </w:t>
      </w:r>
      <w:r w:rsidR="00B249E8">
        <w:t xml:space="preserve">changes to the </w:t>
      </w:r>
      <w:r w:rsidRPr="005512F0">
        <w:t xml:space="preserve">organ transplantation </w:t>
      </w:r>
      <w:r w:rsidR="00B249E8">
        <w:t>EU rules</w:t>
      </w:r>
      <w:r w:rsidR="00B249E8" w:rsidRPr="005512F0">
        <w:t xml:space="preserve"> </w:t>
      </w:r>
      <w:r w:rsidRPr="005512F0">
        <w:t xml:space="preserve">reduce fragmentation in organ processing authorisation practices across Member States. The biodefence framework adds a cross-Member State intelligence-sharing dimension that reinforces the common biosecurity rules. </w:t>
      </w:r>
    </w:p>
    <w:p w14:paraId="1FC24C87" w14:textId="6FDD1BBC" w:rsidR="00C17555" w:rsidRPr="005512F0" w:rsidRDefault="00C17555" w:rsidP="00AF0D54">
      <w:r w:rsidRPr="005512F0">
        <w:t>Emergent effect: A meaningfully more integrated regulatory space across multiple biotech product categories, reducing the effective cost of operating simultaneously across multiple Member States.</w:t>
      </w:r>
    </w:p>
    <w:p w14:paraId="7BFE8951" w14:textId="77777777" w:rsidR="00C17555" w:rsidRPr="005512F0" w:rsidRDefault="00C17555" w:rsidP="00AF0D54">
      <w:pPr>
        <w:rPr>
          <w:b/>
          <w:bCs/>
          <w:u w:val="single"/>
        </w:rPr>
      </w:pPr>
      <w:r w:rsidRPr="005512F0">
        <w:rPr>
          <w:b/>
          <w:bCs/>
          <w:u w:val="single"/>
        </w:rPr>
        <w:lastRenderedPageBreak/>
        <w:t>Change mechanism 2: Levelling the competitive playing field through common biosecurity rules</w:t>
      </w:r>
    </w:p>
    <w:p w14:paraId="6EE6E40E" w14:textId="11822DD3" w:rsidR="00C17555" w:rsidRPr="005512F0" w:rsidRDefault="00C17555" w:rsidP="00AF0D54">
      <w:r w:rsidRPr="005512F0">
        <w:t>Currently, divergent or absent national rules on screening biotechnology products of concern create an uneven competitive environment: companies in jurisdictions with stricter national rules face higher compliance costs than those in jurisdictions with weaker rules, without any corresponding public safety justification. The</w:t>
      </w:r>
      <w:r w:rsidR="00CD39C5">
        <w:t xml:space="preserve"> proposed</w:t>
      </w:r>
      <w:r w:rsidRPr="005512F0">
        <w:t xml:space="preserve"> Act harmonises these rules at Union level, establishing common screening, verification, and reporting obligations applicable to all economic operators across all Member States.</w:t>
      </w:r>
    </w:p>
    <w:p w14:paraId="240F091B" w14:textId="77777777" w:rsidR="00AD2E0C" w:rsidRDefault="00C17555" w:rsidP="00AF0D54">
      <w:r w:rsidRPr="005512F0">
        <w:t xml:space="preserve">The EU Biothreat Radar amplifies the level-playing-field effect by providing the ongoing intelligence and monitoring infrastructure that enables consistent updating of the products-of-concern list across Member States, ensuring that the common rules remain current and are not systematically circumvented through product redesign. </w:t>
      </w:r>
    </w:p>
    <w:p w14:paraId="2AC7E233" w14:textId="3BEA3C10" w:rsidR="00C17555" w:rsidRPr="005512F0" w:rsidRDefault="00C17555" w:rsidP="00AF0D54">
      <w:r w:rsidRPr="005512F0">
        <w:t>Emergent effect: A genuinely common competitive environment for the handling of dual-use biotech products, replacing a patchwork of national regimes that currently distorts competition and compliance costs.</w:t>
      </w:r>
    </w:p>
    <w:p w14:paraId="513D94C5" w14:textId="77777777" w:rsidR="00C17555" w:rsidRPr="005512F0" w:rsidRDefault="00C17555" w:rsidP="00AF0D54">
      <w:pPr>
        <w:rPr>
          <w:b/>
          <w:bCs/>
          <w:u w:val="single"/>
        </w:rPr>
      </w:pPr>
      <w:r w:rsidRPr="005512F0">
        <w:rPr>
          <w:b/>
          <w:bCs/>
          <w:u w:val="single"/>
        </w:rPr>
        <w:t>Change mechanism 3: Enabling/supporting new market entrants through regulatory sandboxes and clarified pathways</w:t>
      </w:r>
    </w:p>
    <w:p w14:paraId="42812607" w14:textId="6692B664" w:rsidR="00C17555" w:rsidRPr="005512F0" w:rsidRDefault="00C17555" w:rsidP="00AF0D54">
      <w:r w:rsidRPr="005512F0">
        <w:t>Novel biotech products that do not fit existing regulatory categories face a structural market access barrier: the absence of a clear pathway either prevents market entry or forces products into ill-fitting categories that impose disproportionate requirements. The</w:t>
      </w:r>
      <w:r w:rsidRPr="005512F0" w:rsidDel="00E30CCC">
        <w:t xml:space="preserve"> </w:t>
      </w:r>
      <w:r w:rsidR="00E30CCC">
        <w:t>proposal</w:t>
      </w:r>
      <w:r w:rsidR="00E30CCC" w:rsidRPr="005512F0">
        <w:t xml:space="preserve"> </w:t>
      </w:r>
      <w:r w:rsidRPr="005512F0">
        <w:t xml:space="preserve">creates structured routes to market through four direct mechanisms. The novel health biotechnology framework establishes a Commission-led sandbox for health biotech products not falling under other existing sandbox </w:t>
      </w:r>
      <w:r w:rsidRPr="005512F0" w:rsidDel="007E72BA">
        <w:t>regimes</w:t>
      </w:r>
      <w:r w:rsidR="007E72BA" w:rsidRPr="005512F0">
        <w:t xml:space="preserve"> and</w:t>
      </w:r>
      <w:r w:rsidRPr="005512F0">
        <w:t xml:space="preserve"> provides the regulatory status repository and Foresight Panel that reduce classification uncertainty across all categories. The </w:t>
      </w:r>
      <w:r w:rsidR="00547654">
        <w:t>revision of the</w:t>
      </w:r>
      <w:r w:rsidRPr="005512F0">
        <w:t xml:space="preserve"> General Food Law introduce</w:t>
      </w:r>
      <w:r w:rsidR="00547654">
        <w:t>s</w:t>
      </w:r>
      <w:r w:rsidRPr="005512F0">
        <w:t xml:space="preserve"> a harmonised sandbox framework covering food (except novel foods), feed, all GMO uses, and food contact materials (except recycled plastics). The </w:t>
      </w:r>
      <w:r w:rsidR="00AF057A">
        <w:t>proposed</w:t>
      </w:r>
      <w:r w:rsidRPr="005512F0">
        <w:t xml:space="preserve"> veterinary medicinal products </w:t>
      </w:r>
      <w:r w:rsidR="00AF057A">
        <w:t>framework</w:t>
      </w:r>
      <w:r w:rsidR="00AF057A" w:rsidRPr="005512F0">
        <w:t xml:space="preserve"> </w:t>
      </w:r>
      <w:r w:rsidRPr="005512F0">
        <w:t xml:space="preserve">establishes a sandbox for innovative technologies, methods, or products related to animal health. The </w:t>
      </w:r>
      <w:r w:rsidR="00AF057A">
        <w:t xml:space="preserve">proposed </w:t>
      </w:r>
      <w:r w:rsidRPr="005512F0">
        <w:t xml:space="preserve">SoHO </w:t>
      </w:r>
      <w:r w:rsidR="00AF057A">
        <w:t>framework</w:t>
      </w:r>
      <w:r w:rsidRPr="005512F0">
        <w:t xml:space="preserve"> introduces a regulatory sandbox framework for substances of human origin.</w:t>
      </w:r>
    </w:p>
    <w:p w14:paraId="2F07E75A" w14:textId="256C1955" w:rsidR="00AF057A" w:rsidRDefault="00C17555" w:rsidP="00AF0D54">
      <w:r w:rsidRPr="005512F0">
        <w:t xml:space="preserve">Three interventions amplify market entry enablement without operating dedicated sandbox frameworks of their own. The EU Health Biotechnology Support Network helps developers identify, access, and navigate sandbox procedures and clarified pathways. The </w:t>
      </w:r>
      <w:r w:rsidR="00BC154A">
        <w:t xml:space="preserve">changes in the </w:t>
      </w:r>
      <w:r w:rsidRPr="005512F0">
        <w:t xml:space="preserve">ATMP </w:t>
      </w:r>
      <w:r w:rsidR="00BC154A">
        <w:t xml:space="preserve">framework </w:t>
      </w:r>
      <w:r w:rsidRPr="005512F0">
        <w:t xml:space="preserve">reduce the cost of accessing the advanced therapy pathway, lowering the threshold for products approaching but not yet qualifying for ATMP classification. The GMM framework provides an accelerated low-risk pathway that functions analogously to a sandbox for a specific product category. The cross-framework sandbox coordination mechanism ensures that the four sandbox regimes do not create regulatory arbitrage opportunities between themselves. </w:t>
      </w:r>
    </w:p>
    <w:p w14:paraId="3D128DC8" w14:textId="4E2290E8" w:rsidR="00AF057A" w:rsidRDefault="00C17555" w:rsidP="00AF0D54">
      <w:r w:rsidRPr="005512F0">
        <w:t xml:space="preserve">Emergent effect: A structured route to market for product categories that currently have no viable pathway, increasing competitive diversity in the biotech market. </w:t>
      </w:r>
    </w:p>
    <w:p w14:paraId="6F9CB9ED" w14:textId="4996E66C" w:rsidR="00C17555" w:rsidRPr="005512F0" w:rsidRDefault="00C17555" w:rsidP="00AF0D54">
      <w:r w:rsidRPr="005512F0">
        <w:t>Risk: Sandboxes create temporary regulatory accommodations that may advantage sandbox participants over non-participants, raising competition concerns within the transition period.</w:t>
      </w:r>
    </w:p>
    <w:p w14:paraId="6A959BB3" w14:textId="77777777" w:rsidR="00C17555" w:rsidRPr="004570F2" w:rsidRDefault="00C17555" w:rsidP="004570F2">
      <w:pPr>
        <w:pStyle w:val="Heading4"/>
        <w:numPr>
          <w:ilvl w:val="0"/>
          <w:numId w:val="0"/>
        </w:numPr>
        <w:rPr>
          <w:b/>
        </w:rPr>
      </w:pPr>
      <w:bookmarkStart w:id="154" w:name="_Toc224827693"/>
      <w:bookmarkStart w:id="155" w:name="_Toc225979101"/>
      <w:r w:rsidRPr="004570F2">
        <w:rPr>
          <w:b/>
          <w:i/>
        </w:rPr>
        <w:lastRenderedPageBreak/>
        <w:t>Innovation and Research</w:t>
      </w:r>
      <w:bookmarkEnd w:id="154"/>
      <w:bookmarkEnd w:id="155"/>
    </w:p>
    <w:p w14:paraId="088323BB" w14:textId="77777777" w:rsidR="00C17555" w:rsidRPr="005512F0" w:rsidRDefault="00C17555" w:rsidP="00AF0D54">
      <w:pPr>
        <w:rPr>
          <w:b/>
          <w:bCs/>
          <w:u w:val="single"/>
        </w:rPr>
      </w:pPr>
      <w:r w:rsidRPr="005512F0">
        <w:rPr>
          <w:b/>
          <w:bCs/>
          <w:u w:val="single"/>
        </w:rPr>
        <w:t>Change mechanism 1: Accelerating the translation of research into clinical development</w:t>
      </w:r>
    </w:p>
    <w:p w14:paraId="29FE8085" w14:textId="173539D4" w:rsidR="00C17555" w:rsidRPr="005512F0" w:rsidRDefault="00C17555" w:rsidP="00AF0D54">
      <w:r w:rsidRPr="005512F0">
        <w:t>The EU's core innovation problem is not insufficient scientific output but insufficient translation of that output into clinical and commercial development. The</w:t>
      </w:r>
      <w:r w:rsidRPr="005512F0" w:rsidDel="00E97A3D">
        <w:t xml:space="preserve"> </w:t>
      </w:r>
      <w:r w:rsidR="00E97A3D">
        <w:t>proposal</w:t>
      </w:r>
      <w:r w:rsidR="00E97A3D" w:rsidRPr="005512F0">
        <w:t xml:space="preserve"> </w:t>
      </w:r>
      <w:r w:rsidRPr="005512F0">
        <w:t xml:space="preserve">addresses the translation gap through three simultaneous direct levers. The regulatory status repository and Foresight Panel reduce the regulatory pathway uncertainty that currently delays translation decisions: developers currently face extended periods of ambiguity about which framework governs their product and what evidence requirements apply, before they can plan a development programme. By resolving classification and establishing forward-looking pathway guidance, this mechanism removes a structural pre-application barrier that currently delays translation even before costs are formally incurred. The </w:t>
      </w:r>
      <w:r w:rsidR="00BC154A">
        <w:t xml:space="preserve">changes in the </w:t>
      </w:r>
      <w:r w:rsidRPr="005512F0">
        <w:t>ATMP</w:t>
      </w:r>
      <w:r w:rsidRPr="005512F0" w:rsidDel="00BC154A">
        <w:t xml:space="preserve"> </w:t>
      </w:r>
      <w:r w:rsidR="00BC154A">
        <w:t>framework</w:t>
      </w:r>
      <w:r w:rsidR="00BC154A" w:rsidRPr="005512F0">
        <w:t xml:space="preserve"> </w:t>
      </w:r>
      <w:r w:rsidRPr="005512F0">
        <w:t xml:space="preserve">directly reduce the regulatory distance between research-stage advanced therapy products and clinical entry, eliminating duplicative procedural steps for a product category where the translation gap is most acute. The </w:t>
      </w:r>
      <w:r w:rsidR="00547654">
        <w:t xml:space="preserve">changes in the </w:t>
      </w:r>
      <w:r w:rsidRPr="005512F0">
        <w:t xml:space="preserve">clinical trial </w:t>
      </w:r>
      <w:r w:rsidR="00547654">
        <w:t>framework</w:t>
      </w:r>
      <w:r w:rsidR="00547654" w:rsidRPr="005512F0">
        <w:t xml:space="preserve"> </w:t>
      </w:r>
      <w:r w:rsidRPr="005512F0">
        <w:t>reduces the cost and time of the clinical entry point itself, lowering the threshold at which a translation decision becomes financially viable for developers.</w:t>
      </w:r>
    </w:p>
    <w:p w14:paraId="50396EED" w14:textId="78962B49" w:rsidR="00CE798C" w:rsidRDefault="00C17555" w:rsidP="00AF0D54">
      <w:r w:rsidRPr="005512F0">
        <w:t xml:space="preserve">Three amplifying interventions improve the conditions under which the direct mechanisms operate. High-impact project support provides resources, priority access, and administrative support specifically for projects in the translation phase, accelerating progress without shortening the formal regulatory pathway. Financing instruments reduce the capital constraints that prevent translation decisions from being taken even when the regulatory pathway is clear. AI tools accelerate evidence generation, reducing the time between the translation decision and the first regulatory submission. </w:t>
      </w:r>
    </w:p>
    <w:p w14:paraId="1F090DEC" w14:textId="49EF8E12" w:rsidR="00CE798C" w:rsidRDefault="00C17555" w:rsidP="00AF0D54">
      <w:r w:rsidRPr="005512F0">
        <w:t xml:space="preserve">Emergent effect: The translation gap narrows structurally, not just for products that happen to fit existing pathways but also for genuinely novel products that currently have no viable translation route. </w:t>
      </w:r>
    </w:p>
    <w:p w14:paraId="23954203" w14:textId="4661550F" w:rsidR="00C17555" w:rsidRPr="005512F0" w:rsidRDefault="00C17555" w:rsidP="00AF0D54">
      <w:r w:rsidRPr="005512F0">
        <w:t>Risk: The Foresight Panel's effectiveness depends on the quality and independence of its expert composition; a poorly functioning Panel could increase rather than reduce pathway uncertainty.</w:t>
      </w:r>
    </w:p>
    <w:p w14:paraId="301242CF" w14:textId="77777777" w:rsidR="00C17555" w:rsidRPr="005512F0" w:rsidRDefault="00C17555" w:rsidP="00AF0D54">
      <w:pPr>
        <w:rPr>
          <w:b/>
          <w:bCs/>
          <w:u w:val="single"/>
        </w:rPr>
      </w:pPr>
      <w:r w:rsidRPr="005512F0">
        <w:rPr>
          <w:b/>
          <w:bCs/>
          <w:u w:val="single"/>
        </w:rPr>
        <w:t>Change mechanism 2: Building the infrastructure for AI-enabled biotechnology innovation</w:t>
      </w:r>
    </w:p>
    <w:p w14:paraId="4799D13F" w14:textId="140845C9" w:rsidR="00C17555" w:rsidRPr="005512F0" w:rsidRDefault="00C17555" w:rsidP="00AF0D54">
      <w:r w:rsidRPr="005512F0">
        <w:t xml:space="preserve">AI has transformative potential for biotech R&amp;D across functions such as target identification, molecule design, clinical trial optimisation and manufacturing process development, but its application is currently constrained by fragmented data, limited testing environments, and unclear governance. The </w:t>
      </w:r>
      <w:r w:rsidR="00CD39C5">
        <w:t xml:space="preserve">proposed </w:t>
      </w:r>
      <w:r w:rsidRPr="005512F0">
        <w:t>Act establishes three direct infrastructure components through the AI and data guidance framework: EMA guidance on AI deployment across the medicinal product lifecycle, which resolves the regulatory acceptance uncertainty that currently limits use of AI-generated evidence in submissions; biotechnology testing environments, which provide the controlled infrastructure needed to develop and validate AI tools for biotech applications; and a data quality accelerator, which addresses the data fragmentation and quality constraints that currently limit AI model development and training.</w:t>
      </w:r>
    </w:p>
    <w:p w14:paraId="3D0C116D" w14:textId="6FF83668" w:rsidR="00CE798C" w:rsidRDefault="00C17555" w:rsidP="00AF0D54">
      <w:r w:rsidRPr="005512F0">
        <w:lastRenderedPageBreak/>
        <w:t>Three interventions amplify this infrastructure by creating demand-side conditions for its use. High-impact project recognition includes AI integration as a qualifying criterion, creating institutional incentives for AI adoption among project promoters. The Foresight Panel explicitly addresses AI-biotech convergence in its horizon-scanning mandate, ensuring that emerging AI-biotech applications are mapped to regulatory pathways before they reach market-ready stage. The clinical trial</w:t>
      </w:r>
      <w:r w:rsidRPr="005512F0" w:rsidDel="00CE798C">
        <w:t xml:space="preserve"> </w:t>
      </w:r>
      <w:r w:rsidR="00CE798C">
        <w:t>framework</w:t>
      </w:r>
      <w:r w:rsidRPr="005512F0">
        <w:t xml:space="preserve"> introduces AI-specific provisions including AI use in trial design and electronic consent, creating a regulated application domain within which AI tools can be deployed and validated against real regulatory requirements. </w:t>
      </w:r>
    </w:p>
    <w:p w14:paraId="72FD33C0" w14:textId="004DA052" w:rsidR="00C17555" w:rsidRPr="005512F0" w:rsidRDefault="00C17555" w:rsidP="00AF0D54">
      <w:r w:rsidRPr="005512F0">
        <w:t>Emergent effect: A functioning infrastructure for AI-enabled biotech research that does not currently exist in a coherent form, enabling a category of research acceleration that is otherwise blocked by infrastructure and governance gaps.</w:t>
      </w:r>
    </w:p>
    <w:p w14:paraId="76B75318" w14:textId="77777777" w:rsidR="00C17555" w:rsidRPr="004570F2" w:rsidRDefault="00C17555" w:rsidP="004570F2">
      <w:pPr>
        <w:pStyle w:val="Heading4"/>
        <w:numPr>
          <w:ilvl w:val="0"/>
          <w:numId w:val="0"/>
        </w:numPr>
        <w:rPr>
          <w:b/>
        </w:rPr>
      </w:pPr>
      <w:bookmarkStart w:id="156" w:name="_Toc224827694"/>
      <w:bookmarkStart w:id="157" w:name="_Toc225979102"/>
      <w:r w:rsidRPr="004570F2">
        <w:rPr>
          <w:b/>
          <w:i/>
        </w:rPr>
        <w:t>Administrative Costs to Public Authorities</w:t>
      </w:r>
      <w:bookmarkEnd w:id="156"/>
      <w:bookmarkEnd w:id="157"/>
    </w:p>
    <w:p w14:paraId="71FBB3C8" w14:textId="77777777" w:rsidR="00C17555" w:rsidRPr="005512F0" w:rsidRDefault="00C17555" w:rsidP="00AF0D54">
      <w:pPr>
        <w:rPr>
          <w:b/>
          <w:bCs/>
          <w:u w:val="single"/>
        </w:rPr>
      </w:pPr>
      <w:r w:rsidRPr="005512F0">
        <w:rPr>
          <w:b/>
          <w:bCs/>
          <w:u w:val="single"/>
        </w:rPr>
        <w:t>Change mechanism 1: Increased administrative burden from new coordination and governance obligations</w:t>
      </w:r>
    </w:p>
    <w:p w14:paraId="602CE76E" w14:textId="204C1D0F" w:rsidR="00C17555" w:rsidRPr="005512F0" w:rsidRDefault="00C17555" w:rsidP="00AF0D54">
      <w:r w:rsidRPr="005512F0">
        <w:t>The</w:t>
      </w:r>
      <w:r w:rsidRPr="005512F0" w:rsidDel="00E97A3D">
        <w:t xml:space="preserve"> </w:t>
      </w:r>
      <w:r w:rsidR="00E97A3D">
        <w:t>proposal</w:t>
      </w:r>
      <w:r w:rsidR="00E97A3D" w:rsidRPr="005512F0">
        <w:t xml:space="preserve"> </w:t>
      </w:r>
      <w:r w:rsidRPr="005512F0">
        <w:t xml:space="preserve">creates substantial new institutional infrastructure across four direct sources of burden on public authorities. Strategic project recognition frameworks require each Member State to designate competent authorities, establish single points of contact, process recognition applications, manage priority status grants, coordinate with the European Health Biotechnology Steering Group, and provide ongoing administrative support to recognised projects (including dedicated channels for SMEs and start-ups). High-impact project recognition extends these obligations and adds Commission-level recognition processes, coordination with EU-level financial instruments, and additional reporting requirements. The </w:t>
      </w:r>
      <w:r w:rsidR="00CE798C">
        <w:t>proposed</w:t>
      </w:r>
      <w:r w:rsidRPr="005512F0">
        <w:t xml:space="preserve"> clinical trial governance and enforcement framework expands the mandate of the CTAG, requires Member States to designate national contact points, strengthens ethics committee coordination obligations, introduces new inspection and Union control provisions, and creates the operational requirements for the expanded EU Portal. The biosecurity enforcement framework requires Member States to designate national inspection authorities for products of concern, implement verification of legitimate need procedures, establish benchtop equipment screening obligations, create suspicious transaction reporting systems, and participate in Commission-coordinated enforcement and audit activities.</w:t>
      </w:r>
    </w:p>
    <w:p w14:paraId="4861405F" w14:textId="07353E26" w:rsidR="00CE798C" w:rsidRDefault="00C17555" w:rsidP="00AF0D54">
      <w:r w:rsidRPr="005512F0">
        <w:t xml:space="preserve">Three further interventions amplify the aggregate administrative load without independently generating major new institutional structures. The veterinary framework adds coordination obligations for the single GMO/VMP pathway and sandbox administration. AI guidance creates new EMA obligations for guidance production and ongoing revision as technology evolves. The biodefence framework adds monitoring and intelligence-sharing obligations that build on but exceed the structures established by the biosecurity enforcement framework. </w:t>
      </w:r>
    </w:p>
    <w:p w14:paraId="60DFA698" w14:textId="00A2A0AF" w:rsidR="00CE798C" w:rsidRDefault="00C17555" w:rsidP="00AF0D54">
      <w:r w:rsidRPr="005512F0">
        <w:t xml:space="preserve">Emergent effect: A significantly expanded public sector role in biotech governance, requiring new capacities in regulatory coordination, scientific expertise, investment facilitation, and biosecurity enforcement simultaneously. </w:t>
      </w:r>
    </w:p>
    <w:p w14:paraId="35B756D4" w14:textId="4ABD7288" w:rsidR="00C17555" w:rsidRPr="005512F0" w:rsidRDefault="00C17555" w:rsidP="00AF0D54">
      <w:r w:rsidRPr="005512F0">
        <w:t xml:space="preserve">Risk: Member States vary substantially in their existing administrative capacity; the </w:t>
      </w:r>
      <w:r w:rsidR="00E97A3D">
        <w:t xml:space="preserve">proposed </w:t>
      </w:r>
      <w:r w:rsidRPr="005512F0">
        <w:t>Act's obligations may be feasible for large Member States and seriously burdensome for smaller ones, creating implementation asymmetry.</w:t>
      </w:r>
    </w:p>
    <w:p w14:paraId="558AE41F" w14:textId="77777777" w:rsidR="00C17555" w:rsidRPr="005512F0" w:rsidRDefault="00C17555" w:rsidP="00AF0D54">
      <w:pPr>
        <w:rPr>
          <w:b/>
          <w:bCs/>
          <w:u w:val="single"/>
        </w:rPr>
      </w:pPr>
      <w:r w:rsidRPr="005512F0">
        <w:rPr>
          <w:b/>
          <w:bCs/>
          <w:u w:val="single"/>
        </w:rPr>
        <w:lastRenderedPageBreak/>
        <w:t>Change mechanism 2: Enhanced coordination capacity and reduced duplication through common platforms and tools</w:t>
      </w:r>
    </w:p>
    <w:p w14:paraId="4C5E62AF" w14:textId="63B6A203" w:rsidR="00C17555" w:rsidRPr="005512F0" w:rsidRDefault="00C17555" w:rsidP="00AF0D54">
      <w:r w:rsidRPr="005512F0">
        <w:t>Against the burden generated by Mechanism 1, the</w:t>
      </w:r>
      <w:r w:rsidR="00CD39C5">
        <w:t xml:space="preserve"> proposed</w:t>
      </w:r>
      <w:r w:rsidRPr="005512F0">
        <w:t xml:space="preserve"> Act also creates tools that reduce the unit cost of coordination between authorities. Three direct infrastructure elements provide the core shared platforms. The EU Health Biotechnology Support Network and cluster framework creates structured coordination channels between national authorities, the Commission, and ecosystem actors, reducing the transaction costs of multi-authority interactions and providing a shared operational layer for implementation. The regulatory status repository and Foresight Panel serve as shared reference points that reduce the need for each authority to develop independent interpretive positions on novel product classifications, reducing duplication of analytical effort across Member States. The EU Portal development plan and expanded CTAG mandate provide the digital infrastructure and governance forum that reduce the cost of multi-Member State clinical trial administration.</w:t>
      </w:r>
    </w:p>
    <w:p w14:paraId="387159B6" w14:textId="2D5FDBB0" w:rsidR="00CE798C" w:rsidRDefault="00C17555" w:rsidP="00AF0D54">
      <w:r w:rsidRPr="005512F0">
        <w:t xml:space="preserve">Four interventions amplify coordination capacity without themselves constituting primary shared infrastructure. Strategic project support and high-impact project support generate structured coordination needs that the shared platforms are designed to address, creating demand for the infrastructure while also feeding it with standardised information from recognised projects. The veterinary single pathway reduces coordination friction between marketing authorisation and environmental risk assessment authorities. AI tools enable technology-assisted coordination functions across the shared platforms. </w:t>
      </w:r>
    </w:p>
    <w:p w14:paraId="2C58AD01" w14:textId="2FC1BEEC" w:rsidR="00CE798C" w:rsidRDefault="00C17555" w:rsidP="00AF0D54">
      <w:r w:rsidRPr="005512F0">
        <w:t xml:space="preserve">Emergent effect: Over time, the coordination tools reduce the marginal cost of managing an increasingly complex regulatory environment, partially offsetting the burden from Mechanism 1. </w:t>
      </w:r>
    </w:p>
    <w:p w14:paraId="5BFCC337" w14:textId="0A4FA424" w:rsidR="00C17555" w:rsidRPr="005512F0" w:rsidRDefault="00C17555" w:rsidP="00AF0D54">
      <w:r w:rsidRPr="005512F0">
        <w:t>Risk: The offset is likely to be partial and delayed; in the short term, building new institutions and tools imposes costs before they generate savings.</w:t>
      </w:r>
    </w:p>
    <w:p w14:paraId="0ADA078D" w14:textId="77777777" w:rsidR="00C17555" w:rsidRPr="004570F2" w:rsidRDefault="00C17555" w:rsidP="004570F2">
      <w:pPr>
        <w:pStyle w:val="Heading4"/>
        <w:numPr>
          <w:ilvl w:val="0"/>
          <w:numId w:val="0"/>
        </w:numPr>
        <w:rPr>
          <w:b/>
        </w:rPr>
      </w:pPr>
      <w:bookmarkStart w:id="158" w:name="_Toc224827695"/>
      <w:bookmarkStart w:id="159" w:name="_Toc225979103"/>
      <w:r w:rsidRPr="004570F2">
        <w:rPr>
          <w:b/>
          <w:i/>
        </w:rPr>
        <w:t>Public Health and Safety</w:t>
      </w:r>
      <w:bookmarkEnd w:id="158"/>
      <w:bookmarkEnd w:id="159"/>
    </w:p>
    <w:p w14:paraId="69605548" w14:textId="77777777" w:rsidR="00C17555" w:rsidRPr="007F5BDE" w:rsidRDefault="00C17555" w:rsidP="00C17555">
      <w:pPr>
        <w:rPr>
          <w:b/>
          <w:bCs/>
          <w:u w:val="single"/>
        </w:rPr>
      </w:pPr>
      <w:r w:rsidRPr="007F5BDE">
        <w:rPr>
          <w:b/>
          <w:bCs/>
          <w:u w:val="single"/>
        </w:rPr>
        <w:t>Change mechanism 1: Earlier and broader patient access to innovative biotech therapies</w:t>
      </w:r>
    </w:p>
    <w:p w14:paraId="2FB499AD" w14:textId="58E6B70F" w:rsidR="00C17555" w:rsidRPr="005512F0" w:rsidRDefault="00C17555" w:rsidP="00C17555">
      <w:r w:rsidRPr="005512F0">
        <w:t xml:space="preserve">Two direct mechanisms drive earlier patient access. High-impact strategic project support accelerates access along two pathways: the 'centres of excellence for advanced therapies' designation creates specialised infrastructure that brings cutting-edge therapies to patients in settings that currently lack access, while the high-impact recognition criteria explicitly include therapies addressing unmet medical needs, ensuring that the full administrative and financial support package is directed toward the products where access delay has the greatest clinical consequence. </w:t>
      </w:r>
      <w:r w:rsidR="00CE798C">
        <w:t>The c</w:t>
      </w:r>
      <w:r w:rsidRPr="005512F0">
        <w:t>linical trial</w:t>
      </w:r>
      <w:r w:rsidRPr="005512F0" w:rsidDel="00CE798C">
        <w:t xml:space="preserve"> </w:t>
      </w:r>
      <w:r w:rsidR="00CE798C">
        <w:t>framework</w:t>
      </w:r>
      <w:r w:rsidRPr="005512F0">
        <w:t xml:space="preserve"> reduces the time between a therapy's first clinical evidence and its availability to patients by shortening authorisation timelines, eliminating duplicative assessments, enabling faster evidence generation through combined studies, and introducing digital innovations that reduce trial setup and operational burden.</w:t>
      </w:r>
    </w:p>
    <w:p w14:paraId="4CD48546" w14:textId="5245F91C" w:rsidR="00CE798C" w:rsidRDefault="00C17555" w:rsidP="00C17555">
      <w:r w:rsidRPr="005512F0">
        <w:t xml:space="preserve">Three amplifying mechanisms extend the breadth and sustainability of patient access improvements. The novel health biotechnology sandbox creates pathways for therapies that currently have no viable route to patients because they do not fit existing regulatory categories, thereby expanding the range of products that can reach clinical and ultimately </w:t>
      </w:r>
      <w:r w:rsidRPr="005512F0">
        <w:lastRenderedPageBreak/>
        <w:t xml:space="preserve">market-ready stage. Financing instruments sustain investment in therapeutic categories where commercial incentives are weakest, including rare diseases, advanced therapies and precision medicine, and access delays are greatest. SPC extension maintains the commercial incentives to bring innovative therapies to EU patients, rather than prioritising markets where protected return periods are longer. </w:t>
      </w:r>
    </w:p>
    <w:p w14:paraId="3E78589D" w14:textId="3354873A" w:rsidR="00C17555" w:rsidRPr="005512F0" w:rsidRDefault="00C17555" w:rsidP="00C17555">
      <w:r w:rsidRPr="005512F0">
        <w:t>Emergent effect: A structurally faster and more inclusive pathway to patient access, particularly for the advanced therapy categories where the EU currently has the greatest access delays relative to other jurisdictions.</w:t>
      </w:r>
    </w:p>
    <w:p w14:paraId="29EC65EA" w14:textId="77777777" w:rsidR="00C17555" w:rsidRPr="007F5BDE" w:rsidRDefault="00C17555" w:rsidP="00C17555">
      <w:pPr>
        <w:rPr>
          <w:b/>
          <w:bCs/>
          <w:u w:val="single"/>
        </w:rPr>
      </w:pPr>
      <w:r w:rsidRPr="007F5BDE">
        <w:rPr>
          <w:b/>
          <w:bCs/>
          <w:u w:val="single"/>
        </w:rPr>
        <w:t>Change mechanism 2: Strengthening supply resilience for critical biotech medicines</w:t>
      </w:r>
    </w:p>
    <w:p w14:paraId="6D0E848B" w14:textId="4DEDCFBA" w:rsidR="00C17555" w:rsidRPr="005512F0" w:rsidRDefault="00C17555" w:rsidP="00C17555">
      <w:r w:rsidRPr="005512F0">
        <w:t>Strategic project recognition explicitly includes supply resilience as a qualifying criterion for both standard and high-impact strategic projects, ensuring that manufacturing capacity and supply chain security are weighed alongside scientific and clinical merit in project support decisions. The biosimilars competitiveness framework strengthens EU manufacturing capacity in a product category where supply concentration creates structural vulnerability: a more competitive EU biosimilars market directly reduces dependence on a small number of dominant external suppliers.</w:t>
      </w:r>
    </w:p>
    <w:p w14:paraId="18C454A3" w14:textId="764E0C40" w:rsidR="00CE798C" w:rsidRDefault="00C17555" w:rsidP="00C17555">
      <w:r w:rsidRPr="005512F0">
        <w:t xml:space="preserve">Financing instruments amplify by supporting the scale-up of domestic manufacturing capacity for projects meeting the resilience criterion. The EU Biothreat Radar and biodefence framework address the specific resilience gap in medical countermeasures against biological threats, representing the extreme tail of supply risk where commercial market mechanisms cannot be relied upon. Strategic project support builds general manufacturing resilience; the biosimilars framework addresses a specific product category where EU capacity is underutilised; biodefence projects address the emergency scenario. </w:t>
      </w:r>
    </w:p>
    <w:p w14:paraId="2652643D" w14:textId="5C902EE9" w:rsidR="00CE798C" w:rsidRDefault="00C17555" w:rsidP="00C17555">
      <w:r w:rsidRPr="005512F0">
        <w:t xml:space="preserve">Emergent effect: A more resilient EU supply base for biotech medicines across normal market conditions and emergency scenarios, reducing dependence on external suppliers in both contexts. </w:t>
      </w:r>
    </w:p>
    <w:p w14:paraId="60FFADB9" w14:textId="187D9F3B" w:rsidR="00C17555" w:rsidRPr="005512F0" w:rsidRDefault="00C17555" w:rsidP="00C17555">
      <w:r w:rsidRPr="005512F0">
        <w:t>Risk: Supply resilience measures may increase costs for healthcare systems that currently benefit from lower-cost external supply; the public health gain in resilience may come at a cost to healthcare budget efficiency.</w:t>
      </w:r>
    </w:p>
    <w:p w14:paraId="4BB87B55" w14:textId="77777777" w:rsidR="00C17555" w:rsidRPr="007F5BDE" w:rsidRDefault="00C17555" w:rsidP="00C17555">
      <w:pPr>
        <w:rPr>
          <w:b/>
          <w:bCs/>
          <w:u w:val="single"/>
        </w:rPr>
      </w:pPr>
      <w:r w:rsidRPr="007F5BDE">
        <w:rPr>
          <w:b/>
          <w:bCs/>
          <w:u w:val="single"/>
        </w:rPr>
        <w:t>Change mechanism 3: Mitigating biosecurity risks from the wider accessibility of biotechnologies</w:t>
      </w:r>
    </w:p>
    <w:p w14:paraId="7F603FA5" w14:textId="265343AE" w:rsidR="00C17555" w:rsidRPr="005512F0" w:rsidRDefault="00C17555" w:rsidP="00C17555">
      <w:r w:rsidRPr="005512F0">
        <w:t xml:space="preserve">As biotechnology tools become more accessible and AI lowers barriers to misuse, the public health risk from deliberate or accidental release of dangerous biological materials increases. The </w:t>
      </w:r>
      <w:r w:rsidR="00E97A3D">
        <w:t xml:space="preserve">proposed </w:t>
      </w:r>
      <w:r w:rsidRPr="005512F0">
        <w:t>Act's biosecurity framework addresses this through a comprehensive suite of direct regulatory tools: product-of-concern regulation establishing common definitions and obligations, benchtop device screening requirements, transaction verification and verification of legitimate need, suspicious transaction reporting obligations, national inspection authorities with enforcement powers, penalties, and AI model monitoring provisions for biological applications.</w:t>
      </w:r>
    </w:p>
    <w:p w14:paraId="1384665E" w14:textId="2609AB5E" w:rsidR="00CE798C" w:rsidRDefault="00C17555" w:rsidP="00C17555">
      <w:r w:rsidRPr="005512F0">
        <w:t xml:space="preserve">The EU Biothreat Radar amplifies the framework established by </w:t>
      </w:r>
      <w:r w:rsidR="00E53E13">
        <w:t>the intervention n°17</w:t>
      </w:r>
      <w:r w:rsidR="00E53E13" w:rsidRPr="005512F0">
        <w:t xml:space="preserve"> </w:t>
      </w:r>
      <w:r w:rsidRPr="005512F0">
        <w:t xml:space="preserve">by providing the ongoing intelligence and monitoring infrastructure that keeps the regulatory response current: the Biothreat Radar identifies emerging threats and technologies that should be added to the products-of-concern list before they reach widespread availability, </w:t>
      </w:r>
      <w:r w:rsidRPr="005512F0">
        <w:lastRenderedPageBreak/>
        <w:t xml:space="preserve">enabling the biosecurity framework to operate proactively rather than reactively. The Advisory Group on Biosecurity and the Commission guidance on legitimate need assessment ensure that the common rules are interpreted and applied consistently across Member States. </w:t>
      </w:r>
    </w:p>
    <w:p w14:paraId="2365F1CA" w14:textId="415AC61A" w:rsidR="00CE798C" w:rsidRDefault="00C17555" w:rsidP="00C17555">
      <w:r w:rsidRPr="005512F0">
        <w:t xml:space="preserve">Emergent effect: A proactive rather than reactive biosecurity governance system, capable of responding to technological change rather than only to known threats. </w:t>
      </w:r>
    </w:p>
    <w:p w14:paraId="2A769FFE" w14:textId="7D82F109" w:rsidR="00C17555" w:rsidRPr="0053316B" w:rsidRDefault="00C17555" w:rsidP="00C17555">
      <w:r w:rsidRPr="005512F0">
        <w:t>Risk: The effectiveness of the framework depends heavily on keeping the products-of-concern list current; a static list rapidly becomes obsolete in a fast-moving technological landscape. The AI monitoring provisions are novel and their practical implementation is untested</w:t>
      </w:r>
      <w:r>
        <w:t>.</w:t>
      </w:r>
    </w:p>
    <w:p w14:paraId="13B21BAF" w14:textId="1B5F12E5" w:rsidR="00AD1990" w:rsidRPr="003A2CA1" w:rsidRDefault="00541B56" w:rsidP="0071277A">
      <w:pPr>
        <w:pStyle w:val="Heading2"/>
        <w:numPr>
          <w:ilvl w:val="0"/>
          <w:numId w:val="0"/>
        </w:numPr>
      </w:pPr>
      <w:r>
        <w:t>Additional methodological information</w:t>
      </w:r>
      <w:r w:rsidR="00AD1990">
        <w:t xml:space="preserve"> </w:t>
      </w:r>
      <w:r w:rsidR="00AD1990" w:rsidRPr="0071277A">
        <w:t>on specific measures</w:t>
      </w:r>
      <w:r>
        <w:t>:</w:t>
      </w:r>
    </w:p>
    <w:p w14:paraId="03D6AD7C" w14:textId="6CDD883A" w:rsidR="00367DF4" w:rsidRDefault="00D26571" w:rsidP="004570F2">
      <w:pPr>
        <w:pStyle w:val="Heading3"/>
        <w:numPr>
          <w:ilvl w:val="0"/>
          <w:numId w:val="560"/>
        </w:numPr>
      </w:pPr>
      <w:bookmarkStart w:id="160" w:name="_Toc225979104"/>
      <w:r w:rsidRPr="009649A3">
        <w:t>Intervention n°13: SPC extension for biotechnology medicines</w:t>
      </w:r>
      <w:bookmarkEnd w:id="123"/>
      <w:bookmarkEnd w:id="160"/>
    </w:p>
    <w:p w14:paraId="3BDD95F9" w14:textId="0E6ABD90" w:rsidR="00D20377" w:rsidRDefault="00D20377" w:rsidP="00C2147A">
      <w:pPr>
        <w:spacing w:after="160" w:line="259" w:lineRule="auto"/>
        <w:rPr>
          <w:lang w:val="en-IE"/>
        </w:rPr>
      </w:pPr>
      <w:r>
        <w:rPr>
          <w:lang w:val="en-IE"/>
        </w:rPr>
        <w:t>While in line with the overall methodology used for impact quantification of the other measures on the Biotech Act proposal, the methodology to assess the SPC extension also draws from the model used for the impact assessment of the pharmaceutical legislation. To provide a more complete overview and comprehensive background to the approach utilised, we provide further details in this dedicated section.</w:t>
      </w:r>
    </w:p>
    <w:p w14:paraId="103A4165" w14:textId="135EEE03" w:rsidR="00C2147A" w:rsidRPr="00535D22" w:rsidRDefault="00C2147A" w:rsidP="00C2147A">
      <w:pPr>
        <w:spacing w:after="160" w:line="259" w:lineRule="auto"/>
        <w:rPr>
          <w:lang w:val="en-IE"/>
        </w:rPr>
      </w:pPr>
      <w:r w:rsidRPr="00535D22">
        <w:rPr>
          <w:lang w:val="en-IE"/>
        </w:rPr>
        <w:t xml:space="preserve">The assessment of the proposed 12-month extension of the Supplementary Protection Certificate (SPC) for biotechnology medicines is based on a structured analytical framework combining quantitative modelling, empirical data analysis and supporting qualitative evidence. The objective of the methodology is to estimate the economic, budgetary and </w:t>
      </w:r>
      <w:r>
        <w:t xml:space="preserve">public health </w:t>
      </w:r>
      <w:r w:rsidRPr="00535D22">
        <w:rPr>
          <w:lang w:val="en-IE"/>
        </w:rPr>
        <w:t>impacts associated with extending the effective period of protection for a defined subset of innovative biotechnology-derived medicinal products.</w:t>
      </w:r>
      <w:r w:rsidR="00541CB1">
        <w:rPr>
          <w:lang w:val="en-IE"/>
        </w:rPr>
        <w:t xml:space="preserve"> </w:t>
      </w:r>
    </w:p>
    <w:p w14:paraId="25EB672E" w14:textId="42A7D30C" w:rsidR="00C2147A" w:rsidRPr="00535D22" w:rsidRDefault="59BB6D43" w:rsidP="00C2147A">
      <w:pPr>
        <w:spacing w:after="160" w:line="259" w:lineRule="auto"/>
        <w:rPr>
          <w:lang w:val="en-IE"/>
        </w:rPr>
      </w:pPr>
      <w:r w:rsidRPr="4E26AC25">
        <w:rPr>
          <w:lang w:val="en-IE"/>
        </w:rPr>
        <w:t>The modelling undertaken draws on a cohort of 198 innovative medicines</w:t>
      </w:r>
      <w:r>
        <w:t xml:space="preserve"> (other than vaccines)</w:t>
      </w:r>
      <w:r w:rsidRPr="4E26AC25">
        <w:rPr>
          <w:lang w:val="en-IE"/>
        </w:rPr>
        <w:t xml:space="preserve"> that lost patent or regulatory protection between 2016 and 2024 and that have </w:t>
      </w:r>
      <w:r w:rsidR="00EE551E">
        <w:rPr>
          <w:lang w:val="en-IE"/>
        </w:rPr>
        <w:t xml:space="preserve">since </w:t>
      </w:r>
      <w:r w:rsidRPr="4E26AC25">
        <w:rPr>
          <w:lang w:val="en-IE"/>
        </w:rPr>
        <w:t>remained on the market. Within this broader sample, a sub-sample of 31 biological medicines was identified, of which 12</w:t>
      </w:r>
      <w:r w:rsidR="003B4C30">
        <w:rPr>
          <w:rStyle w:val="FootnoteReference"/>
        </w:rPr>
        <w:footnoteReference w:id="28"/>
      </w:r>
      <w:r w:rsidRPr="4E26AC25">
        <w:rPr>
          <w:lang w:val="en-IE"/>
        </w:rPr>
        <w:t xml:space="preserve"> products rely on the SPC as the last form of protection to expire. </w:t>
      </w:r>
    </w:p>
    <w:p w14:paraId="52E21EFC" w14:textId="2E230226" w:rsidR="00C2147A" w:rsidRDefault="00C2147A" w:rsidP="00C2147A">
      <w:r w:rsidRPr="00535D22">
        <w:rPr>
          <w:lang w:val="en-IE"/>
        </w:rPr>
        <w:t xml:space="preserve">The policy scenario introduces a one-year extension of SPC protection for eligible products. The modelling is carried out over a 20-year product lifecycle horizon. </w:t>
      </w:r>
      <w:r w:rsidR="004D4CD1">
        <w:rPr>
          <w:lang w:val="en-IE"/>
        </w:rPr>
        <w:t xml:space="preserve">In the baseline, the </w:t>
      </w:r>
      <w:r w:rsidR="004D4CD1">
        <w:t>t</w:t>
      </w:r>
      <w:r w:rsidR="004D4CD1" w:rsidRPr="00DD4265">
        <w:t xml:space="preserve">wenty years </w:t>
      </w:r>
      <w:r w:rsidR="0033287C">
        <w:t>began</w:t>
      </w:r>
      <w:r w:rsidR="004D4CD1">
        <w:t xml:space="preserve"> </w:t>
      </w:r>
      <w:r w:rsidR="004D4CD1" w:rsidRPr="00DD4265">
        <w:t>fifteen years before loss of exclusivity (most SPC-reliant medicines lose exclusivity after fifteen years) to four years after loss of exclusivity</w:t>
      </w:r>
      <w:r w:rsidR="0033287C">
        <w:t>, i.e. five years of contested sales including year zero</w:t>
      </w:r>
      <w:r w:rsidR="004D4CD1" w:rsidRPr="00DD4265">
        <w:t xml:space="preserve">. </w:t>
      </w:r>
      <w:r w:rsidRPr="00535D22">
        <w:rPr>
          <w:lang w:val="en-IE"/>
        </w:rPr>
        <w:t xml:space="preserve">In the policy scenario, this timeline is adjusted to incorporate one additional year of uncontested sales, during which revenues and volumes are assumed to remain at the level observed in the final year prior to expiry. At the same time, the period of post-expiry competition is reduced by one year. </w:t>
      </w:r>
    </w:p>
    <w:p w14:paraId="47CB8A21" w14:textId="25F7AF3D" w:rsidR="00C2147A" w:rsidRPr="00DD4265" w:rsidRDefault="00C2147A" w:rsidP="00C2147A">
      <w:r w:rsidRPr="00DD4265">
        <w:t>Data on the value and volume of sales</w:t>
      </w:r>
      <w:r w:rsidR="00C21F2D">
        <w:t xml:space="preserve"> of the products</w:t>
      </w:r>
      <w:r w:rsidR="003A2CA1">
        <w:t xml:space="preserve"> used for the </w:t>
      </w:r>
      <w:r w:rsidR="00B06327">
        <w:t>sample products</w:t>
      </w:r>
      <w:r w:rsidRPr="00DD4265">
        <w:t xml:space="preserve"> were drawn from IQVIA MIDAS for the years 2008 to 2024</w:t>
      </w:r>
      <w:r w:rsidR="008807E9">
        <w:t xml:space="preserve">, while to determine the last layer </w:t>
      </w:r>
      <w:r w:rsidR="008807E9">
        <w:lastRenderedPageBreak/>
        <w:t>of protection, data were drawn from</w:t>
      </w:r>
      <w:r w:rsidR="008807E9" w:rsidRPr="5DA36055">
        <w:rPr>
          <w:rFonts w:eastAsia="Times New Roman"/>
        </w:rPr>
        <w:t xml:space="preserve"> </w:t>
      </w:r>
      <w:r w:rsidR="008807E9">
        <w:t>IQVIA Patent Intelligence</w:t>
      </w:r>
      <w:r w:rsidR="00710255">
        <w:t>.</w:t>
      </w:r>
      <w:r w:rsidR="0033744C">
        <w:rPr>
          <w:rStyle w:val="FootnoteReference"/>
        </w:rPr>
        <w:footnoteReference w:id="29"/>
      </w:r>
      <w:r w:rsidR="00710255">
        <w:t xml:space="preserve"> </w:t>
      </w:r>
      <w:r w:rsidRPr="00DD4265">
        <w:t xml:space="preserve">The twelve medicines considered were authorised between 2003 and 2009 with loss of protection correspondingly between 2017 and 2024. Thus, for all medicines, there were data available for the year preceding loss of protection (year -1). However, for a number of medicines that were used for the years -15 to -1, the years after loss of protection were not available. Conversely, for some of those used for years 1 to 4, only a few years were available before loss of protection. Thus, the model is, by necessity, based on a </w:t>
      </w:r>
      <w:r w:rsidR="00582DDC">
        <w:t>‘</w:t>
      </w:r>
      <w:r w:rsidRPr="00DD4265">
        <w:t>moving cohort</w:t>
      </w:r>
      <w:r w:rsidR="00582DDC">
        <w:t>’</w:t>
      </w:r>
      <w:r w:rsidRPr="00DD4265">
        <w:t xml:space="preserve">. Nonetheless, the data for the different years are comparable because for each medicine, the data are normalised, i.e. expressed as a percentage of the value/volume in year -1, the year before </w:t>
      </w:r>
      <w:r>
        <w:t>loss of protection.</w:t>
      </w:r>
      <w:r w:rsidRPr="00DD4265">
        <w:t xml:space="preserve"> It was then possible to take the average of these normalised quantities.</w:t>
      </w:r>
    </w:p>
    <w:p w14:paraId="59F10A8F" w14:textId="30268882" w:rsidR="00313C32" w:rsidRDefault="00313C32" w:rsidP="00C2147A">
      <w:r>
        <w:t>The results are presented in the graphs below.</w:t>
      </w:r>
      <w:r w:rsidR="00DC598C">
        <w:t xml:space="preserve"> A full table of </w:t>
      </w:r>
      <w:r w:rsidR="00982046">
        <w:t xml:space="preserve">results are </w:t>
      </w:r>
      <w:r w:rsidR="001A65C5">
        <w:t>presented at the end of this Annex for both scenarios.</w:t>
      </w:r>
    </w:p>
    <w:p w14:paraId="0BCD3EB1" w14:textId="6FAC9A4B" w:rsidR="002F1787" w:rsidRDefault="00DB665E" w:rsidP="00B305D1">
      <w:pPr>
        <w:pStyle w:val="Caption"/>
        <w:jc w:val="both"/>
        <w:rPr>
          <w:noProof/>
        </w:rPr>
      </w:pPr>
      <w:r w:rsidRPr="004570F2">
        <w:rPr>
          <w:rFonts w:ascii="Times New Roman" w:hAnsi="Times New Roman"/>
          <w:sz w:val="22"/>
        </w:rPr>
        <w:t xml:space="preserve">Figure </w:t>
      </w:r>
      <w:r w:rsidRPr="004570F2">
        <w:rPr>
          <w:sz w:val="22"/>
        </w:rPr>
        <w:fldChar w:fldCharType="begin"/>
      </w:r>
      <w:r w:rsidRPr="002A3337">
        <w:rPr>
          <w:rFonts w:ascii="Times New Roman" w:hAnsi="Times New Roman"/>
          <w:sz w:val="22"/>
          <w:szCs w:val="28"/>
        </w:rPr>
        <w:instrText xml:space="preserve"> SEQ Figure \* ARABIC </w:instrText>
      </w:r>
      <w:r w:rsidRPr="004570F2">
        <w:rPr>
          <w:sz w:val="22"/>
        </w:rPr>
        <w:fldChar w:fldCharType="separate"/>
      </w:r>
      <w:r w:rsidRPr="004570F2">
        <w:rPr>
          <w:rFonts w:ascii="Times New Roman" w:hAnsi="Times New Roman"/>
          <w:sz w:val="22"/>
        </w:rPr>
        <w:t>1</w:t>
      </w:r>
      <w:r w:rsidRPr="004570F2">
        <w:rPr>
          <w:sz w:val="22"/>
        </w:rPr>
        <w:fldChar w:fldCharType="end"/>
      </w:r>
      <w:r>
        <w:rPr>
          <w:rFonts w:ascii="Times New Roman" w:hAnsi="Times New Roman"/>
          <w:sz w:val="22"/>
          <w:szCs w:val="28"/>
        </w:rPr>
        <w:t>.</w:t>
      </w:r>
      <w:r w:rsidRPr="004570F2">
        <w:rPr>
          <w:rFonts w:ascii="Times New Roman" w:hAnsi="Times New Roman"/>
          <w:sz w:val="22"/>
        </w:rPr>
        <w:t xml:space="preserve"> </w:t>
      </w:r>
      <w:r w:rsidR="00B305D1" w:rsidRPr="004570F2">
        <w:rPr>
          <w:rFonts w:ascii="Times New Roman" w:hAnsi="Times New Roman"/>
          <w:sz w:val="22"/>
        </w:rPr>
        <w:t xml:space="preserve">Normalised sales and volume for </w:t>
      </w:r>
      <w:r w:rsidR="00B305D1" w:rsidRPr="00B305D1">
        <w:rPr>
          <w:rFonts w:ascii="Times New Roman" w:hAnsi="Times New Roman"/>
          <w:sz w:val="22"/>
          <w:szCs w:val="28"/>
        </w:rPr>
        <w:t>SPC-reliant biological medicines</w:t>
      </w:r>
      <w:r w:rsidR="00B305D1" w:rsidRPr="004570F2">
        <w:rPr>
          <w:rFonts w:ascii="Times New Roman" w:hAnsi="Times New Roman"/>
          <w:sz w:val="22"/>
        </w:rPr>
        <w:t xml:space="preserve"> with </w:t>
      </w:r>
      <w:r w:rsidR="00B305D1" w:rsidRPr="00B305D1">
        <w:rPr>
          <w:rFonts w:ascii="Times New Roman" w:hAnsi="Times New Roman"/>
          <w:sz w:val="22"/>
          <w:szCs w:val="28"/>
        </w:rPr>
        <w:t>current duration of</w:t>
      </w:r>
      <w:r w:rsidR="00B305D1" w:rsidRPr="004570F2">
        <w:rPr>
          <w:rFonts w:ascii="Times New Roman" w:hAnsi="Times New Roman"/>
          <w:sz w:val="22"/>
        </w:rPr>
        <w:t xml:space="preserve"> SPC</w:t>
      </w:r>
      <w:r w:rsidR="00B305D1" w:rsidRPr="004570F2" w:rsidDel="00B305D1">
        <w:rPr>
          <w:rFonts w:ascii="Times New Roman" w:hAnsi="Times New Roman"/>
          <w:sz w:val="22"/>
        </w:rPr>
        <w:t xml:space="preserve"> </w:t>
      </w:r>
    </w:p>
    <w:p w14:paraId="75092A4B" w14:textId="271FD8CF" w:rsidR="00313C32" w:rsidRDefault="00313C32" w:rsidP="00B305D1">
      <w:pPr>
        <w:pStyle w:val="Caption"/>
        <w:jc w:val="both"/>
      </w:pPr>
      <w:r>
        <w:rPr>
          <w:noProof/>
        </w:rPr>
        <w:drawing>
          <wp:inline distT="0" distB="0" distL="0" distR="0" wp14:anchorId="354575D8" wp14:editId="7161ECA2">
            <wp:extent cx="3693226" cy="3107176"/>
            <wp:effectExtent l="0" t="0" r="2540" b="0"/>
            <wp:docPr id="1" name="Picture 2"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graph with numbers and lines&#10;&#10;AI-generated content may be incorrect."/>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93226" cy="3107176"/>
                    </a:xfrm>
                    <a:prstGeom prst="rect">
                      <a:avLst/>
                    </a:prstGeom>
                    <a:noFill/>
                    <a:ln>
                      <a:noFill/>
                    </a:ln>
                  </pic:spPr>
                </pic:pic>
              </a:graphicData>
            </a:graphic>
          </wp:inline>
        </w:drawing>
      </w:r>
    </w:p>
    <w:p w14:paraId="7BA8684B" w14:textId="0AD22DAB" w:rsidR="00313C32" w:rsidRDefault="00313C32" w:rsidP="00313C32">
      <w:pPr>
        <w:pStyle w:val="Caption"/>
        <w:jc w:val="both"/>
        <w:rPr>
          <w:rFonts w:ascii="Times New Roman" w:hAnsi="Times New Roman"/>
          <w:sz w:val="22"/>
          <w:szCs w:val="28"/>
        </w:rPr>
      </w:pPr>
    </w:p>
    <w:p w14:paraId="1AE9B6B3" w14:textId="77777777" w:rsidR="009922A6" w:rsidRDefault="009922A6" w:rsidP="009922A6">
      <w:pPr>
        <w:rPr>
          <w:lang w:eastAsia="de-DE"/>
        </w:rPr>
      </w:pPr>
    </w:p>
    <w:p w14:paraId="0F28DB06" w14:textId="77777777" w:rsidR="009922A6" w:rsidRDefault="009922A6" w:rsidP="009922A6">
      <w:pPr>
        <w:rPr>
          <w:lang w:eastAsia="de-DE"/>
        </w:rPr>
      </w:pPr>
    </w:p>
    <w:p w14:paraId="1EF23F09" w14:textId="77777777" w:rsidR="009922A6" w:rsidRDefault="009922A6" w:rsidP="009922A6">
      <w:pPr>
        <w:rPr>
          <w:lang w:eastAsia="de-DE"/>
        </w:rPr>
      </w:pPr>
    </w:p>
    <w:p w14:paraId="5D169407" w14:textId="77777777" w:rsidR="009922A6" w:rsidRDefault="009922A6" w:rsidP="009922A6">
      <w:pPr>
        <w:rPr>
          <w:lang w:eastAsia="de-DE"/>
        </w:rPr>
      </w:pPr>
    </w:p>
    <w:p w14:paraId="75B9B3E9" w14:textId="0AA4FC51" w:rsidR="00DB665E" w:rsidRPr="004570F2" w:rsidRDefault="00DB665E" w:rsidP="00DB665E">
      <w:pPr>
        <w:pStyle w:val="Caption"/>
        <w:jc w:val="both"/>
        <w:rPr>
          <w:rFonts w:ascii="Times New Roman" w:hAnsi="Times New Roman"/>
          <w:sz w:val="24"/>
        </w:rPr>
      </w:pPr>
      <w:r w:rsidRPr="004570F2">
        <w:rPr>
          <w:rFonts w:ascii="Times New Roman" w:hAnsi="Times New Roman"/>
          <w:sz w:val="24"/>
        </w:rPr>
        <w:lastRenderedPageBreak/>
        <w:t>Figure 2</w:t>
      </w:r>
      <w:r>
        <w:rPr>
          <w:rFonts w:ascii="Times New Roman" w:hAnsi="Times New Roman"/>
          <w:sz w:val="24"/>
        </w:rPr>
        <w:t>.</w:t>
      </w:r>
      <w:r w:rsidRPr="004570F2">
        <w:rPr>
          <w:rFonts w:ascii="Times New Roman" w:hAnsi="Times New Roman"/>
          <w:sz w:val="24"/>
        </w:rPr>
        <w:t xml:space="preserve"> </w:t>
      </w:r>
      <w:r w:rsidR="00186E79" w:rsidRPr="004570F2">
        <w:rPr>
          <w:rFonts w:ascii="Times New Roman" w:hAnsi="Times New Roman"/>
          <w:sz w:val="24"/>
        </w:rPr>
        <w:t xml:space="preserve">Normalised sales and volume for </w:t>
      </w:r>
      <w:r w:rsidR="00186E79" w:rsidRPr="00186E79">
        <w:rPr>
          <w:rFonts w:ascii="Times New Roman" w:hAnsi="Times New Roman"/>
          <w:sz w:val="24"/>
        </w:rPr>
        <w:t>SPC-reliant biological medicines</w:t>
      </w:r>
      <w:r w:rsidR="00186E79" w:rsidRPr="004570F2">
        <w:rPr>
          <w:rFonts w:ascii="Times New Roman" w:hAnsi="Times New Roman"/>
          <w:sz w:val="24"/>
        </w:rPr>
        <w:t xml:space="preserve"> with </w:t>
      </w:r>
      <w:r w:rsidR="00186E79" w:rsidRPr="00186E79">
        <w:rPr>
          <w:rFonts w:ascii="Times New Roman" w:hAnsi="Times New Roman"/>
          <w:sz w:val="24"/>
        </w:rPr>
        <w:t xml:space="preserve">a </w:t>
      </w:r>
      <w:r w:rsidR="00186E79" w:rsidRPr="004570F2">
        <w:rPr>
          <w:rFonts w:ascii="Times New Roman" w:hAnsi="Times New Roman"/>
          <w:sz w:val="24"/>
        </w:rPr>
        <w:t>12</w:t>
      </w:r>
      <w:r w:rsidR="00186E79" w:rsidRPr="00186E79">
        <w:rPr>
          <w:rFonts w:ascii="Times New Roman" w:hAnsi="Times New Roman"/>
          <w:sz w:val="24"/>
        </w:rPr>
        <w:t>-month</w:t>
      </w:r>
      <w:r w:rsidR="00186E79" w:rsidRPr="004570F2">
        <w:rPr>
          <w:rFonts w:ascii="Times New Roman" w:hAnsi="Times New Roman"/>
          <w:sz w:val="24"/>
        </w:rPr>
        <w:t xml:space="preserve"> SPC extension</w:t>
      </w:r>
    </w:p>
    <w:p w14:paraId="0B9874DB" w14:textId="6AA64963" w:rsidR="00DB665E" w:rsidRDefault="00313C32" w:rsidP="00DB665E">
      <w:pPr>
        <w:keepNext/>
      </w:pPr>
      <w:r w:rsidRPr="00BB2222">
        <w:rPr>
          <w:noProof/>
        </w:rPr>
        <w:t xml:space="preserve"> </w:t>
      </w:r>
      <w:r>
        <w:rPr>
          <w:noProof/>
        </w:rPr>
        <w:drawing>
          <wp:inline distT="0" distB="0" distL="0" distR="0" wp14:anchorId="163BA353" wp14:editId="21DAFACF">
            <wp:extent cx="3550722" cy="2868302"/>
            <wp:effectExtent l="0" t="0" r="0" b="8255"/>
            <wp:docPr id="1160661803" name="Picture 1"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661803" name="Picture 1" descr="A graph with different colored lines&#10;&#10;AI-generated content may be incorrect."/>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50722" cy="2868302"/>
                    </a:xfrm>
                    <a:prstGeom prst="rect">
                      <a:avLst/>
                    </a:prstGeom>
                    <a:noFill/>
                    <a:ln>
                      <a:noFill/>
                    </a:ln>
                  </pic:spPr>
                </pic:pic>
              </a:graphicData>
            </a:graphic>
          </wp:inline>
        </w:drawing>
      </w:r>
    </w:p>
    <w:p w14:paraId="08E92D97" w14:textId="43D49331" w:rsidR="00C2147A" w:rsidRPr="002A3337" w:rsidRDefault="2465C935" w:rsidP="00C2147A">
      <w:r>
        <w:t xml:space="preserve">For the purposes of calculating profits, </w:t>
      </w:r>
      <w:r w:rsidR="37C024C7">
        <w:t xml:space="preserve">unit </w:t>
      </w:r>
      <w:r>
        <w:t>manufacturing, marketing and distribution costs</w:t>
      </w:r>
      <w:r w:rsidR="2926C2BF">
        <w:t xml:space="preserve"> were assumed to be equal to </w:t>
      </w:r>
      <w:r w:rsidR="58409B7E">
        <w:t>20</w:t>
      </w:r>
      <w:r w:rsidR="006856C2">
        <w:t>%</w:t>
      </w:r>
      <w:r w:rsidR="4BA3A06B">
        <w:t xml:space="preserve"> of </w:t>
      </w:r>
      <w:r w:rsidR="37C024C7">
        <w:t xml:space="preserve">the </w:t>
      </w:r>
      <w:r w:rsidR="4A3DF022">
        <w:t xml:space="preserve">price in </w:t>
      </w:r>
      <w:r w:rsidR="37C024C7">
        <w:t>the year before expiry for originators and 33</w:t>
      </w:r>
      <w:r w:rsidR="006856C2">
        <w:t>%</w:t>
      </w:r>
      <w:r w:rsidR="37C024C7">
        <w:t xml:space="preserve"> of th</w:t>
      </w:r>
      <w:r w:rsidR="0B0B437E">
        <w:t xml:space="preserve">at </w:t>
      </w:r>
      <w:r w:rsidR="37C024C7">
        <w:t>price</w:t>
      </w:r>
      <w:r w:rsidR="0B0B437E">
        <w:t xml:space="preserve"> for </w:t>
      </w:r>
      <w:r w:rsidR="46D4D6AC">
        <w:t>biosimilars</w:t>
      </w:r>
      <w:r w:rsidR="0B0B437E">
        <w:t>.</w:t>
      </w:r>
    </w:p>
    <w:p w14:paraId="54890537" w14:textId="0889B83E" w:rsidR="00F0494A" w:rsidRPr="002A3337" w:rsidRDefault="00D00341" w:rsidP="00C2147A">
      <w:pPr>
        <w:spacing w:after="160" w:line="259" w:lineRule="auto"/>
      </w:pPr>
      <w:r w:rsidRPr="002A3337">
        <w:t xml:space="preserve">Spending by payers in the </w:t>
      </w:r>
      <w:r w:rsidR="0005559D" w:rsidRPr="002A3337">
        <w:t xml:space="preserve">SPC extension </w:t>
      </w:r>
      <w:r w:rsidRPr="002A3337">
        <w:t xml:space="preserve">scenario is compared to spending in the baseline. </w:t>
      </w:r>
      <w:r w:rsidR="00FC093D" w:rsidRPr="002A3337">
        <w:t xml:space="preserve">In addition to </w:t>
      </w:r>
      <w:r w:rsidR="0084552D" w:rsidRPr="002A3337">
        <w:t>this</w:t>
      </w:r>
      <w:r w:rsidR="00FC093D" w:rsidRPr="002A3337">
        <w:t xml:space="preserve"> direct cost to payers</w:t>
      </w:r>
      <w:r w:rsidR="0084552D" w:rsidRPr="002A3337">
        <w:t>,</w:t>
      </w:r>
      <w:r w:rsidR="00FC093D" w:rsidRPr="002A3337">
        <w:t xml:space="preserve"> </w:t>
      </w:r>
      <w:r w:rsidR="0084552D" w:rsidRPr="002A3337">
        <w:t>the</w:t>
      </w:r>
      <w:r w:rsidR="009F2F56" w:rsidRPr="002A3337">
        <w:t xml:space="preserve"> increase in price results in fewer </w:t>
      </w:r>
      <w:r w:rsidR="000B6022" w:rsidRPr="002A3337">
        <w:t xml:space="preserve">doses being bought by payers and consequently fewer patients being treated. </w:t>
      </w:r>
      <w:r w:rsidR="009866EF" w:rsidRPr="002A3337">
        <w:t xml:space="preserve">To quantify the </w:t>
      </w:r>
      <w:r w:rsidR="00526DE2" w:rsidRPr="002A3337">
        <w:t>cost to patients resulting from this lower coverage, we calculate the additional spending that would be required to achieve</w:t>
      </w:r>
      <w:r w:rsidR="000B6022" w:rsidRPr="002A3337">
        <w:t xml:space="preserve"> </w:t>
      </w:r>
      <w:r w:rsidR="00526DE2" w:rsidRPr="002A3337">
        <w:t>the volume that is reached at the lower prices seen in the baseline.</w:t>
      </w:r>
      <w:r w:rsidR="00506B74" w:rsidRPr="002A3337">
        <w:t xml:space="preserve"> </w:t>
      </w:r>
    </w:p>
    <w:p w14:paraId="77EDC2C8" w14:textId="0A8A3D2D" w:rsidR="00B35E3F" w:rsidRPr="002A3337" w:rsidRDefault="00414F4F" w:rsidP="00C2147A">
      <w:pPr>
        <w:spacing w:after="160" w:line="259" w:lineRule="auto"/>
      </w:pPr>
      <w:r w:rsidRPr="002A3337">
        <w:t xml:space="preserve">The impacts in </w:t>
      </w:r>
      <w:r w:rsidR="00CE45C7" w:rsidRPr="002A3337">
        <w:t xml:space="preserve">normalised amounts, i.e. </w:t>
      </w:r>
      <w:r w:rsidR="00DF143C" w:rsidRPr="002A3337">
        <w:t xml:space="preserve">set out as a multiple of </w:t>
      </w:r>
      <w:r w:rsidR="00EA307A" w:rsidRPr="002A3337">
        <w:t xml:space="preserve">the value in </w:t>
      </w:r>
      <w:r w:rsidR="00F70FD6" w:rsidRPr="002A3337">
        <w:t xml:space="preserve">the </w:t>
      </w:r>
      <w:r w:rsidR="00EA307A" w:rsidRPr="002A3337">
        <w:t xml:space="preserve">year </w:t>
      </w:r>
      <w:r w:rsidR="00F70FD6" w:rsidRPr="002A3337">
        <w:t xml:space="preserve">preceding loss of protection, are presented in the table below. </w:t>
      </w:r>
      <w:r w:rsidR="009E5D58" w:rsidRPr="002A3337">
        <w:t xml:space="preserve">The change is </w:t>
      </w:r>
      <w:r w:rsidR="009F7058" w:rsidRPr="002A3337">
        <w:t xml:space="preserve">multiplied by </w:t>
      </w:r>
      <w:r w:rsidR="007E722D" w:rsidRPr="002A3337">
        <w:t xml:space="preserve">average sales in year -1 for SPC-reliant biological medicines (e.g. for </w:t>
      </w:r>
      <w:r w:rsidR="00564E88" w:rsidRPr="002A3337">
        <w:t>the impact on</w:t>
      </w:r>
      <w:r w:rsidR="007E722D" w:rsidRPr="002A3337">
        <w:t xml:space="preserve"> originator sales, we take 36</w:t>
      </w:r>
      <w:r w:rsidR="006856C2">
        <w:t>%</w:t>
      </w:r>
      <w:r w:rsidR="00D35E1A" w:rsidRPr="002A3337">
        <w:t xml:space="preserve"> of </w:t>
      </w:r>
      <w:r w:rsidR="00564E88" w:rsidRPr="002A3337">
        <w:t>average sales in year -1</w:t>
      </w:r>
      <w:r w:rsidR="00D35E1A" w:rsidRPr="002A3337">
        <w:t>).</w:t>
      </w:r>
    </w:p>
    <w:p w14:paraId="795B2EA0" w14:textId="745999C6" w:rsidR="00A010A2" w:rsidRPr="002A3337" w:rsidRDefault="00DD3DB5" w:rsidP="00367DF4">
      <w:pPr>
        <w:keepNext/>
        <w:spacing w:after="160" w:line="259" w:lineRule="auto"/>
        <w:rPr>
          <w:b/>
        </w:rPr>
      </w:pPr>
      <w:r w:rsidRPr="002A3337">
        <w:rPr>
          <w:b/>
        </w:rPr>
        <w:t>Table 1</w:t>
      </w:r>
      <w:r w:rsidR="006819F0">
        <w:rPr>
          <w:b/>
        </w:rPr>
        <w:t xml:space="preserve">. </w:t>
      </w:r>
      <w:r w:rsidR="002B4187" w:rsidRPr="002A3337">
        <w:rPr>
          <w:b/>
        </w:rPr>
        <w:t xml:space="preserve">Comparison of key </w:t>
      </w:r>
      <w:r w:rsidR="00FB7D72" w:rsidRPr="002A3337">
        <w:rPr>
          <w:b/>
        </w:rPr>
        <w:t xml:space="preserve">indicators in the two scenarios summed over the 20-year reference </w:t>
      </w:r>
      <w:r w:rsidR="00F174D1" w:rsidRPr="002A3337">
        <w:rPr>
          <w:b/>
        </w:rPr>
        <w:t>and</w:t>
      </w:r>
      <w:r w:rsidR="00FB7D72" w:rsidRPr="002A3337">
        <w:rPr>
          <w:b/>
        </w:rPr>
        <w:t xml:space="preserve"> expressed in terms of</w:t>
      </w:r>
      <w:r w:rsidR="00F174D1" w:rsidRPr="002A3337">
        <w:rPr>
          <w:b/>
        </w:rPr>
        <w:t xml:space="preserve"> revenues in the year before loss of protection (revenues in y-1=100)</w:t>
      </w:r>
    </w:p>
    <w:tbl>
      <w:tblPr>
        <w:tblStyle w:val="TableGridLight"/>
        <w:tblpPr w:leftFromText="180" w:rightFromText="180" w:vertAnchor="text" w:horzAnchor="margin" w:tblpY="185"/>
        <w:tblW w:w="8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1304"/>
        <w:gridCol w:w="1304"/>
        <w:gridCol w:w="1304"/>
        <w:gridCol w:w="1304"/>
      </w:tblGrid>
      <w:tr w:rsidR="00E5568D" w:rsidRPr="00E85B89" w14:paraId="34B5CD66" w14:textId="6910459C" w:rsidTr="00E5568D">
        <w:trPr>
          <w:trHeight w:val="290"/>
        </w:trPr>
        <w:tc>
          <w:tcPr>
            <w:tcW w:w="3345" w:type="dxa"/>
            <w:noWrap/>
            <w:hideMark/>
          </w:tcPr>
          <w:p w14:paraId="636E13F9" w14:textId="6B41C627" w:rsidR="00B35E3F" w:rsidRPr="004570F2" w:rsidRDefault="00B35E3F">
            <w:pPr>
              <w:spacing w:after="0"/>
              <w:rPr>
                <w:sz w:val="22"/>
                <w:lang w:val="en-IE"/>
              </w:rPr>
            </w:pPr>
          </w:p>
        </w:tc>
        <w:tc>
          <w:tcPr>
            <w:tcW w:w="1304" w:type="dxa"/>
            <w:noWrap/>
            <w:hideMark/>
          </w:tcPr>
          <w:p w14:paraId="11012169" w14:textId="6BA8C4BF" w:rsidR="00B35E3F" w:rsidRPr="004570F2" w:rsidRDefault="00B35E3F" w:rsidP="00367DF4">
            <w:pPr>
              <w:spacing w:after="0"/>
              <w:jc w:val="center"/>
              <w:rPr>
                <w:b/>
                <w:sz w:val="22"/>
                <w:lang w:val="en-IE"/>
              </w:rPr>
            </w:pPr>
            <w:r w:rsidRPr="004570F2">
              <w:rPr>
                <w:b/>
                <w:sz w:val="22"/>
                <w:lang w:val="en-IE"/>
              </w:rPr>
              <w:t>Baseline</w:t>
            </w:r>
          </w:p>
        </w:tc>
        <w:tc>
          <w:tcPr>
            <w:tcW w:w="1304" w:type="dxa"/>
          </w:tcPr>
          <w:p w14:paraId="1B46EEEF" w14:textId="4010488F" w:rsidR="00B35E3F" w:rsidRPr="004570F2" w:rsidRDefault="006D43B3" w:rsidP="00367DF4">
            <w:pPr>
              <w:spacing w:after="0"/>
              <w:jc w:val="center"/>
              <w:rPr>
                <w:b/>
                <w:sz w:val="22"/>
                <w:lang w:val="en-IE"/>
              </w:rPr>
            </w:pPr>
            <w:r w:rsidRPr="004570F2">
              <w:rPr>
                <w:b/>
                <w:sz w:val="22"/>
                <w:lang w:val="en-IE"/>
              </w:rPr>
              <w:t>SPC</w:t>
            </w:r>
            <w:r w:rsidR="00533920" w:rsidRPr="004570F2">
              <w:rPr>
                <w:b/>
                <w:sz w:val="22"/>
                <w:lang w:val="en-IE"/>
              </w:rPr>
              <w:t>+1</w:t>
            </w:r>
          </w:p>
        </w:tc>
        <w:tc>
          <w:tcPr>
            <w:tcW w:w="1304" w:type="dxa"/>
          </w:tcPr>
          <w:p w14:paraId="6A071778" w14:textId="6E24144C" w:rsidR="00B35E3F" w:rsidRPr="004570F2" w:rsidRDefault="00533920" w:rsidP="00367DF4">
            <w:pPr>
              <w:spacing w:after="0"/>
              <w:jc w:val="center"/>
              <w:rPr>
                <w:b/>
                <w:sz w:val="22"/>
                <w:lang w:val="en-IE"/>
              </w:rPr>
            </w:pPr>
            <w:r w:rsidRPr="004570F2">
              <w:rPr>
                <w:b/>
                <w:sz w:val="22"/>
                <w:lang w:val="en-IE"/>
              </w:rPr>
              <w:t>Change</w:t>
            </w:r>
          </w:p>
        </w:tc>
        <w:tc>
          <w:tcPr>
            <w:tcW w:w="1304" w:type="dxa"/>
          </w:tcPr>
          <w:p w14:paraId="304B71E0" w14:textId="39895C7B" w:rsidR="00B35E3F" w:rsidRPr="004570F2" w:rsidRDefault="00533920" w:rsidP="00367DF4">
            <w:pPr>
              <w:spacing w:after="0"/>
              <w:jc w:val="center"/>
              <w:rPr>
                <w:b/>
                <w:sz w:val="22"/>
                <w:lang w:val="en-IE"/>
              </w:rPr>
            </w:pPr>
            <w:r w:rsidRPr="004570F2">
              <w:rPr>
                <w:b/>
                <w:sz w:val="22"/>
                <w:lang w:val="en-IE"/>
              </w:rPr>
              <w:t>% change</w:t>
            </w:r>
          </w:p>
        </w:tc>
      </w:tr>
      <w:tr w:rsidR="00E5568D" w:rsidRPr="00E85B89" w14:paraId="70BDE227" w14:textId="351E620D" w:rsidTr="00E5568D">
        <w:trPr>
          <w:trHeight w:val="290"/>
        </w:trPr>
        <w:tc>
          <w:tcPr>
            <w:tcW w:w="3345" w:type="dxa"/>
            <w:noWrap/>
            <w:hideMark/>
          </w:tcPr>
          <w:p w14:paraId="7A472C09" w14:textId="51E20D91" w:rsidR="00985469" w:rsidRPr="004570F2" w:rsidRDefault="00985469">
            <w:pPr>
              <w:spacing w:after="0"/>
              <w:rPr>
                <w:b/>
                <w:sz w:val="22"/>
                <w:lang w:val="en-IE"/>
              </w:rPr>
            </w:pPr>
            <w:r w:rsidRPr="004570F2">
              <w:rPr>
                <w:sz w:val="22"/>
              </w:rPr>
              <w:t xml:space="preserve">Originator </w:t>
            </w:r>
            <w:r w:rsidR="00B35E3F" w:rsidRPr="004570F2">
              <w:rPr>
                <w:sz w:val="22"/>
              </w:rPr>
              <w:t>sales</w:t>
            </w:r>
          </w:p>
        </w:tc>
        <w:tc>
          <w:tcPr>
            <w:tcW w:w="1304" w:type="dxa"/>
            <w:noWrap/>
          </w:tcPr>
          <w:p w14:paraId="17714DAF" w14:textId="02999067" w:rsidR="00985469" w:rsidRPr="004570F2" w:rsidRDefault="00B35E3F" w:rsidP="00367DF4">
            <w:pPr>
              <w:spacing w:after="0"/>
              <w:jc w:val="center"/>
              <w:rPr>
                <w:b/>
                <w:color w:val="00B050"/>
                <w:sz w:val="22"/>
                <w:lang w:val="en-IE"/>
              </w:rPr>
            </w:pPr>
            <w:r w:rsidRPr="004570F2">
              <w:rPr>
                <w:sz w:val="22"/>
              </w:rPr>
              <w:t>1395</w:t>
            </w:r>
            <w:r w:rsidR="00332702" w:rsidRPr="00E85B89">
              <w:rPr>
                <w:sz w:val="22"/>
                <w:szCs w:val="22"/>
              </w:rPr>
              <w:t xml:space="preserve"> m</w:t>
            </w:r>
          </w:p>
        </w:tc>
        <w:tc>
          <w:tcPr>
            <w:tcW w:w="1304" w:type="dxa"/>
          </w:tcPr>
          <w:p w14:paraId="7B0DDE5B" w14:textId="3AC74347" w:rsidR="00B35E3F" w:rsidRPr="004570F2" w:rsidRDefault="00B35E3F" w:rsidP="00B35E3F">
            <w:pPr>
              <w:spacing w:after="0"/>
              <w:jc w:val="center"/>
              <w:rPr>
                <w:sz w:val="22"/>
              </w:rPr>
            </w:pPr>
            <w:r w:rsidRPr="004570F2">
              <w:rPr>
                <w:sz w:val="22"/>
              </w:rPr>
              <w:t>1432</w:t>
            </w:r>
            <w:r w:rsidR="00332702" w:rsidRPr="00E85B89">
              <w:rPr>
                <w:sz w:val="22"/>
                <w:szCs w:val="22"/>
              </w:rPr>
              <w:t xml:space="preserve"> m</w:t>
            </w:r>
          </w:p>
        </w:tc>
        <w:tc>
          <w:tcPr>
            <w:tcW w:w="1304" w:type="dxa"/>
          </w:tcPr>
          <w:p w14:paraId="1453C8A6" w14:textId="2E0F4912" w:rsidR="00B35E3F" w:rsidRPr="004570F2" w:rsidRDefault="00B35E3F" w:rsidP="00B35E3F">
            <w:pPr>
              <w:spacing w:after="0"/>
              <w:jc w:val="center"/>
              <w:rPr>
                <w:color w:val="00B050"/>
                <w:sz w:val="22"/>
              </w:rPr>
            </w:pPr>
            <w:r w:rsidRPr="004570F2">
              <w:rPr>
                <w:color w:val="00B050"/>
                <w:sz w:val="22"/>
              </w:rPr>
              <w:t>36</w:t>
            </w:r>
            <w:r w:rsidR="00332702" w:rsidRPr="00E85B89">
              <w:rPr>
                <w:color w:val="00B050"/>
                <w:sz w:val="22"/>
                <w:szCs w:val="22"/>
              </w:rPr>
              <w:t xml:space="preserve"> m</w:t>
            </w:r>
          </w:p>
        </w:tc>
        <w:tc>
          <w:tcPr>
            <w:tcW w:w="1304" w:type="dxa"/>
          </w:tcPr>
          <w:p w14:paraId="0D595599" w14:textId="2C6D2423" w:rsidR="00B35E3F" w:rsidRPr="004570F2" w:rsidRDefault="00B35E3F" w:rsidP="00B35E3F">
            <w:pPr>
              <w:spacing w:after="0"/>
              <w:jc w:val="center"/>
              <w:rPr>
                <w:color w:val="00B050"/>
                <w:sz w:val="22"/>
              </w:rPr>
            </w:pPr>
            <w:r w:rsidRPr="004570F2">
              <w:rPr>
                <w:color w:val="00B050"/>
                <w:sz w:val="22"/>
              </w:rPr>
              <w:t>2.6</w:t>
            </w:r>
            <w:r w:rsidR="006856C2" w:rsidRPr="004570F2">
              <w:rPr>
                <w:color w:val="00B050"/>
                <w:sz w:val="22"/>
              </w:rPr>
              <w:t>%</w:t>
            </w:r>
          </w:p>
        </w:tc>
      </w:tr>
      <w:tr w:rsidR="00E5568D" w:rsidRPr="00E85B89" w14:paraId="72D9570C" w14:textId="06F4B151" w:rsidTr="00E5568D">
        <w:trPr>
          <w:trHeight w:val="290"/>
        </w:trPr>
        <w:tc>
          <w:tcPr>
            <w:tcW w:w="3345" w:type="dxa"/>
            <w:noWrap/>
            <w:hideMark/>
          </w:tcPr>
          <w:p w14:paraId="3F99D91F" w14:textId="242F292A" w:rsidR="00985469" w:rsidRPr="004570F2" w:rsidRDefault="00B35E3F">
            <w:pPr>
              <w:spacing w:after="0"/>
              <w:rPr>
                <w:sz w:val="22"/>
                <w:lang w:val="en-IE"/>
              </w:rPr>
            </w:pPr>
            <w:r w:rsidRPr="004570F2">
              <w:rPr>
                <w:sz w:val="22"/>
              </w:rPr>
              <w:t>Originator</w:t>
            </w:r>
            <w:r w:rsidR="00985469" w:rsidRPr="004570F2">
              <w:rPr>
                <w:sz w:val="22"/>
              </w:rPr>
              <w:t xml:space="preserve"> gross profit</w:t>
            </w:r>
          </w:p>
        </w:tc>
        <w:tc>
          <w:tcPr>
            <w:tcW w:w="1304" w:type="dxa"/>
            <w:noWrap/>
          </w:tcPr>
          <w:p w14:paraId="0C2B43EB" w14:textId="79BD5F3A" w:rsidR="00985469" w:rsidRPr="004570F2" w:rsidRDefault="00B35E3F" w:rsidP="00367DF4">
            <w:pPr>
              <w:spacing w:after="0"/>
              <w:jc w:val="center"/>
              <w:rPr>
                <w:color w:val="FF0000"/>
                <w:sz w:val="22"/>
                <w:lang w:val="en-IE"/>
              </w:rPr>
            </w:pPr>
            <w:r w:rsidRPr="004570F2">
              <w:rPr>
                <w:sz w:val="22"/>
              </w:rPr>
              <w:t>1135</w:t>
            </w:r>
            <w:r w:rsidR="00332702" w:rsidRPr="00E85B89">
              <w:rPr>
                <w:sz w:val="22"/>
                <w:szCs w:val="22"/>
              </w:rPr>
              <w:t xml:space="preserve"> m</w:t>
            </w:r>
          </w:p>
        </w:tc>
        <w:tc>
          <w:tcPr>
            <w:tcW w:w="1304" w:type="dxa"/>
          </w:tcPr>
          <w:p w14:paraId="016B92A9" w14:textId="0163ABCF" w:rsidR="00B35E3F" w:rsidRPr="004570F2" w:rsidRDefault="00B35E3F" w:rsidP="00B35E3F">
            <w:pPr>
              <w:spacing w:after="0"/>
              <w:jc w:val="center"/>
              <w:rPr>
                <w:sz w:val="22"/>
              </w:rPr>
            </w:pPr>
            <w:r w:rsidRPr="004570F2">
              <w:rPr>
                <w:sz w:val="22"/>
              </w:rPr>
              <w:t>1166</w:t>
            </w:r>
            <w:r w:rsidR="00332702" w:rsidRPr="00E85B89">
              <w:rPr>
                <w:sz w:val="22"/>
                <w:szCs w:val="22"/>
              </w:rPr>
              <w:t xml:space="preserve"> m</w:t>
            </w:r>
          </w:p>
        </w:tc>
        <w:tc>
          <w:tcPr>
            <w:tcW w:w="1304" w:type="dxa"/>
          </w:tcPr>
          <w:p w14:paraId="2D405607" w14:textId="25078F19" w:rsidR="00B35E3F" w:rsidRPr="004570F2" w:rsidRDefault="00B35E3F" w:rsidP="00B35E3F">
            <w:pPr>
              <w:spacing w:after="0"/>
              <w:jc w:val="center"/>
              <w:rPr>
                <w:color w:val="FF0000"/>
                <w:sz w:val="22"/>
              </w:rPr>
            </w:pPr>
            <w:r w:rsidRPr="004570F2">
              <w:rPr>
                <w:color w:val="FF0000"/>
                <w:sz w:val="22"/>
              </w:rPr>
              <w:t>31</w:t>
            </w:r>
            <w:r w:rsidR="00332702" w:rsidRPr="00E85B89">
              <w:rPr>
                <w:color w:val="FF0000"/>
                <w:sz w:val="22"/>
                <w:szCs w:val="22"/>
              </w:rPr>
              <w:t xml:space="preserve"> m</w:t>
            </w:r>
          </w:p>
        </w:tc>
        <w:tc>
          <w:tcPr>
            <w:tcW w:w="1304" w:type="dxa"/>
          </w:tcPr>
          <w:p w14:paraId="08D0BB8A" w14:textId="72101912" w:rsidR="00B35E3F" w:rsidRPr="004570F2" w:rsidRDefault="00B35E3F" w:rsidP="00B35E3F">
            <w:pPr>
              <w:spacing w:after="0"/>
              <w:jc w:val="center"/>
              <w:rPr>
                <w:color w:val="FF0000"/>
                <w:sz w:val="22"/>
              </w:rPr>
            </w:pPr>
            <w:r w:rsidRPr="004570F2">
              <w:rPr>
                <w:color w:val="FF0000"/>
                <w:sz w:val="22"/>
              </w:rPr>
              <w:t>2.7</w:t>
            </w:r>
            <w:r w:rsidR="006856C2" w:rsidRPr="004570F2">
              <w:rPr>
                <w:color w:val="FF0000"/>
                <w:sz w:val="22"/>
              </w:rPr>
              <w:t>%</w:t>
            </w:r>
          </w:p>
        </w:tc>
      </w:tr>
      <w:tr w:rsidR="00E5568D" w:rsidRPr="00E85B89" w14:paraId="67179617" w14:textId="755CF730" w:rsidTr="00E5568D">
        <w:trPr>
          <w:trHeight w:val="290"/>
        </w:trPr>
        <w:tc>
          <w:tcPr>
            <w:tcW w:w="3345" w:type="dxa"/>
            <w:noWrap/>
            <w:hideMark/>
          </w:tcPr>
          <w:p w14:paraId="16ED6EE8" w14:textId="6E9EB6E1" w:rsidR="00985469" w:rsidRPr="004570F2" w:rsidRDefault="2520F092">
            <w:pPr>
              <w:spacing w:after="0"/>
              <w:rPr>
                <w:sz w:val="22"/>
                <w:lang w:val="en-IE"/>
              </w:rPr>
            </w:pPr>
            <w:r w:rsidRPr="00E85B89">
              <w:rPr>
                <w:sz w:val="22"/>
                <w:szCs w:val="22"/>
              </w:rPr>
              <w:t>Biosimilar</w:t>
            </w:r>
            <w:r w:rsidRPr="004570F2">
              <w:rPr>
                <w:sz w:val="22"/>
              </w:rPr>
              <w:t xml:space="preserve"> </w:t>
            </w:r>
            <w:r w:rsidR="7FA6C20F" w:rsidRPr="004570F2">
              <w:rPr>
                <w:sz w:val="22"/>
              </w:rPr>
              <w:t>sales</w:t>
            </w:r>
          </w:p>
        </w:tc>
        <w:tc>
          <w:tcPr>
            <w:tcW w:w="1304" w:type="dxa"/>
            <w:noWrap/>
          </w:tcPr>
          <w:p w14:paraId="2DC48463" w14:textId="6F285DB9" w:rsidR="00985469" w:rsidRPr="004570F2" w:rsidRDefault="00B35E3F" w:rsidP="00367DF4">
            <w:pPr>
              <w:spacing w:after="0"/>
              <w:jc w:val="center"/>
              <w:rPr>
                <w:color w:val="FF0000"/>
                <w:sz w:val="22"/>
                <w:lang w:val="en-IE"/>
              </w:rPr>
            </w:pPr>
            <w:r w:rsidRPr="004570F2">
              <w:rPr>
                <w:sz w:val="22"/>
              </w:rPr>
              <w:t>68</w:t>
            </w:r>
            <w:r w:rsidR="00332702" w:rsidRPr="00E85B89">
              <w:rPr>
                <w:sz w:val="22"/>
                <w:szCs w:val="22"/>
              </w:rPr>
              <w:t xml:space="preserve"> m</w:t>
            </w:r>
          </w:p>
        </w:tc>
        <w:tc>
          <w:tcPr>
            <w:tcW w:w="1304" w:type="dxa"/>
          </w:tcPr>
          <w:p w14:paraId="0E4016BE" w14:textId="3C1B2B0F" w:rsidR="00B35E3F" w:rsidRPr="004570F2" w:rsidRDefault="00B35E3F" w:rsidP="00B35E3F">
            <w:pPr>
              <w:spacing w:after="0"/>
              <w:jc w:val="center"/>
              <w:rPr>
                <w:sz w:val="22"/>
              </w:rPr>
            </w:pPr>
            <w:r w:rsidRPr="004570F2">
              <w:rPr>
                <w:sz w:val="22"/>
              </w:rPr>
              <w:t>41</w:t>
            </w:r>
            <w:r w:rsidR="00332702" w:rsidRPr="00E85B89">
              <w:rPr>
                <w:sz w:val="22"/>
                <w:szCs w:val="22"/>
              </w:rPr>
              <w:t xml:space="preserve"> m</w:t>
            </w:r>
          </w:p>
        </w:tc>
        <w:tc>
          <w:tcPr>
            <w:tcW w:w="1304" w:type="dxa"/>
          </w:tcPr>
          <w:p w14:paraId="35F748C7" w14:textId="29182671" w:rsidR="00B35E3F" w:rsidRPr="004570F2" w:rsidRDefault="00B35E3F" w:rsidP="00B35E3F">
            <w:pPr>
              <w:spacing w:after="0"/>
              <w:jc w:val="center"/>
              <w:rPr>
                <w:color w:val="00B050"/>
                <w:sz w:val="22"/>
              </w:rPr>
            </w:pPr>
            <w:r w:rsidRPr="004570F2">
              <w:rPr>
                <w:color w:val="00B050"/>
                <w:sz w:val="22"/>
              </w:rPr>
              <w:t>-27</w:t>
            </w:r>
            <w:r w:rsidR="00282BDB" w:rsidRPr="00E85B89">
              <w:rPr>
                <w:color w:val="00B050"/>
                <w:sz w:val="22"/>
                <w:szCs w:val="22"/>
              </w:rPr>
              <w:t xml:space="preserve"> m</w:t>
            </w:r>
          </w:p>
        </w:tc>
        <w:tc>
          <w:tcPr>
            <w:tcW w:w="1304" w:type="dxa"/>
          </w:tcPr>
          <w:p w14:paraId="7593D255" w14:textId="59DAD2F1" w:rsidR="00B35E3F" w:rsidRPr="004570F2" w:rsidRDefault="00B35E3F" w:rsidP="00B35E3F">
            <w:pPr>
              <w:spacing w:after="0"/>
              <w:jc w:val="center"/>
              <w:rPr>
                <w:color w:val="00B050"/>
                <w:sz w:val="22"/>
              </w:rPr>
            </w:pPr>
            <w:r w:rsidRPr="004570F2">
              <w:rPr>
                <w:color w:val="00B050"/>
                <w:sz w:val="22"/>
              </w:rPr>
              <w:t>-39.2</w:t>
            </w:r>
            <w:r w:rsidR="006856C2" w:rsidRPr="004570F2">
              <w:rPr>
                <w:color w:val="00B050"/>
                <w:sz w:val="22"/>
              </w:rPr>
              <w:t>%</w:t>
            </w:r>
          </w:p>
        </w:tc>
      </w:tr>
      <w:tr w:rsidR="00E5568D" w:rsidRPr="00E85B89" w14:paraId="20D90985" w14:textId="54C439BA" w:rsidTr="00E5568D">
        <w:trPr>
          <w:trHeight w:val="290"/>
        </w:trPr>
        <w:tc>
          <w:tcPr>
            <w:tcW w:w="3345" w:type="dxa"/>
            <w:noWrap/>
            <w:hideMark/>
          </w:tcPr>
          <w:p w14:paraId="0EE5DF2D" w14:textId="3ADB5579" w:rsidR="00985469" w:rsidRPr="004570F2" w:rsidRDefault="65E52936">
            <w:pPr>
              <w:spacing w:after="0"/>
              <w:rPr>
                <w:sz w:val="22"/>
                <w:lang w:val="en-IE"/>
              </w:rPr>
            </w:pPr>
            <w:r w:rsidRPr="00E85B89">
              <w:rPr>
                <w:sz w:val="22"/>
                <w:szCs w:val="22"/>
              </w:rPr>
              <w:t>Biosimilar</w:t>
            </w:r>
            <w:r w:rsidRPr="004570F2">
              <w:rPr>
                <w:sz w:val="22"/>
              </w:rPr>
              <w:t xml:space="preserve"> </w:t>
            </w:r>
            <w:r w:rsidR="7FA6C20F" w:rsidRPr="004570F2">
              <w:rPr>
                <w:sz w:val="22"/>
              </w:rPr>
              <w:t>gross profit</w:t>
            </w:r>
          </w:p>
        </w:tc>
        <w:tc>
          <w:tcPr>
            <w:tcW w:w="1304" w:type="dxa"/>
            <w:noWrap/>
          </w:tcPr>
          <w:p w14:paraId="23AF8DA0" w14:textId="7B084444" w:rsidR="00985469" w:rsidRPr="004570F2" w:rsidRDefault="00B35E3F" w:rsidP="00367DF4">
            <w:pPr>
              <w:spacing w:after="0"/>
              <w:jc w:val="center"/>
              <w:rPr>
                <w:color w:val="FF0000"/>
                <w:sz w:val="22"/>
                <w:lang w:val="en-IE"/>
              </w:rPr>
            </w:pPr>
            <w:r w:rsidRPr="004570F2">
              <w:rPr>
                <w:sz w:val="22"/>
              </w:rPr>
              <w:t>30</w:t>
            </w:r>
            <w:r w:rsidR="00332702" w:rsidRPr="00E85B89">
              <w:rPr>
                <w:sz w:val="22"/>
                <w:szCs w:val="22"/>
              </w:rPr>
              <w:t xml:space="preserve"> m</w:t>
            </w:r>
          </w:p>
        </w:tc>
        <w:tc>
          <w:tcPr>
            <w:tcW w:w="1304" w:type="dxa"/>
          </w:tcPr>
          <w:p w14:paraId="5B476EF1" w14:textId="056BABA0" w:rsidR="00B35E3F" w:rsidRPr="004570F2" w:rsidRDefault="00B35E3F" w:rsidP="00B35E3F">
            <w:pPr>
              <w:spacing w:after="0"/>
              <w:jc w:val="center"/>
              <w:rPr>
                <w:sz w:val="22"/>
              </w:rPr>
            </w:pPr>
            <w:r w:rsidRPr="004570F2">
              <w:rPr>
                <w:sz w:val="22"/>
              </w:rPr>
              <w:t>19</w:t>
            </w:r>
            <w:r w:rsidR="00332702" w:rsidRPr="00E85B89">
              <w:rPr>
                <w:sz w:val="22"/>
                <w:szCs w:val="22"/>
              </w:rPr>
              <w:t xml:space="preserve"> m</w:t>
            </w:r>
          </w:p>
        </w:tc>
        <w:tc>
          <w:tcPr>
            <w:tcW w:w="1304" w:type="dxa"/>
          </w:tcPr>
          <w:p w14:paraId="1DB9FEE7" w14:textId="4F56214C" w:rsidR="00B35E3F" w:rsidRPr="004570F2" w:rsidRDefault="00B35E3F" w:rsidP="00B35E3F">
            <w:pPr>
              <w:spacing w:after="0"/>
              <w:jc w:val="center"/>
              <w:rPr>
                <w:color w:val="FF0000"/>
                <w:sz w:val="22"/>
              </w:rPr>
            </w:pPr>
            <w:r w:rsidRPr="004570F2">
              <w:rPr>
                <w:color w:val="FF0000"/>
                <w:sz w:val="22"/>
              </w:rPr>
              <w:t>-11</w:t>
            </w:r>
            <w:r w:rsidR="00282BDB" w:rsidRPr="00E85B89">
              <w:rPr>
                <w:color w:val="FF0000"/>
                <w:sz w:val="22"/>
                <w:szCs w:val="22"/>
              </w:rPr>
              <w:t xml:space="preserve"> m</w:t>
            </w:r>
          </w:p>
        </w:tc>
        <w:tc>
          <w:tcPr>
            <w:tcW w:w="1304" w:type="dxa"/>
          </w:tcPr>
          <w:p w14:paraId="50E83456" w14:textId="0B6AC858" w:rsidR="00B35E3F" w:rsidRPr="004570F2" w:rsidRDefault="00B35E3F" w:rsidP="00B35E3F">
            <w:pPr>
              <w:spacing w:after="0"/>
              <w:jc w:val="center"/>
              <w:rPr>
                <w:color w:val="FF0000"/>
                <w:sz w:val="22"/>
              </w:rPr>
            </w:pPr>
            <w:r w:rsidRPr="004570F2">
              <w:rPr>
                <w:color w:val="FF0000"/>
                <w:sz w:val="22"/>
              </w:rPr>
              <w:t>-35.9</w:t>
            </w:r>
            <w:r w:rsidR="006856C2" w:rsidRPr="004570F2">
              <w:rPr>
                <w:color w:val="FF0000"/>
                <w:sz w:val="22"/>
              </w:rPr>
              <w:t>%</w:t>
            </w:r>
          </w:p>
        </w:tc>
      </w:tr>
      <w:tr w:rsidR="00E5568D" w:rsidRPr="00E85B89" w14:paraId="386A0B19" w14:textId="16620098" w:rsidTr="00E5568D">
        <w:trPr>
          <w:trHeight w:val="290"/>
        </w:trPr>
        <w:tc>
          <w:tcPr>
            <w:tcW w:w="3345" w:type="dxa"/>
            <w:noWrap/>
            <w:hideMark/>
          </w:tcPr>
          <w:p w14:paraId="414EF75A" w14:textId="7E84D28E" w:rsidR="00985469" w:rsidRPr="004570F2" w:rsidRDefault="00B35E3F">
            <w:pPr>
              <w:spacing w:after="0"/>
              <w:rPr>
                <w:b/>
                <w:sz w:val="22"/>
                <w:lang w:val="en-IE"/>
              </w:rPr>
            </w:pPr>
            <w:r w:rsidRPr="004570F2">
              <w:rPr>
                <w:sz w:val="22"/>
              </w:rPr>
              <w:t>Cost to public payer</w:t>
            </w:r>
          </w:p>
        </w:tc>
        <w:tc>
          <w:tcPr>
            <w:tcW w:w="1304" w:type="dxa"/>
            <w:noWrap/>
          </w:tcPr>
          <w:p w14:paraId="0D740ED7" w14:textId="545EDF2A" w:rsidR="00985469" w:rsidRPr="004570F2" w:rsidRDefault="00B35E3F" w:rsidP="00367DF4">
            <w:pPr>
              <w:spacing w:after="0"/>
              <w:jc w:val="center"/>
              <w:rPr>
                <w:b/>
                <w:color w:val="FF0000"/>
                <w:sz w:val="22"/>
                <w:lang w:val="en-IE"/>
              </w:rPr>
            </w:pPr>
            <w:r w:rsidRPr="004570F2">
              <w:rPr>
                <w:sz w:val="22"/>
              </w:rPr>
              <w:t>1463</w:t>
            </w:r>
            <w:r w:rsidR="00332702" w:rsidRPr="00E85B89">
              <w:rPr>
                <w:sz w:val="22"/>
                <w:szCs w:val="22"/>
              </w:rPr>
              <w:t xml:space="preserve"> m</w:t>
            </w:r>
          </w:p>
        </w:tc>
        <w:tc>
          <w:tcPr>
            <w:tcW w:w="1304" w:type="dxa"/>
          </w:tcPr>
          <w:p w14:paraId="67936164" w14:textId="70BB0A48" w:rsidR="00B35E3F" w:rsidRPr="004570F2" w:rsidRDefault="00B35E3F" w:rsidP="00B35E3F">
            <w:pPr>
              <w:spacing w:after="0"/>
              <w:jc w:val="center"/>
              <w:rPr>
                <w:sz w:val="22"/>
              </w:rPr>
            </w:pPr>
            <w:r w:rsidRPr="004570F2">
              <w:rPr>
                <w:sz w:val="22"/>
              </w:rPr>
              <w:t>1473</w:t>
            </w:r>
            <w:r w:rsidR="00332702" w:rsidRPr="00E85B89">
              <w:rPr>
                <w:sz w:val="22"/>
                <w:szCs w:val="22"/>
              </w:rPr>
              <w:t xml:space="preserve"> m</w:t>
            </w:r>
          </w:p>
        </w:tc>
        <w:tc>
          <w:tcPr>
            <w:tcW w:w="1304" w:type="dxa"/>
          </w:tcPr>
          <w:p w14:paraId="2F2FD22E" w14:textId="0D33513A" w:rsidR="00B35E3F" w:rsidRPr="004570F2" w:rsidRDefault="00B35E3F" w:rsidP="00B35E3F">
            <w:pPr>
              <w:spacing w:after="0"/>
              <w:jc w:val="center"/>
              <w:rPr>
                <w:color w:val="FF0000"/>
                <w:sz w:val="22"/>
              </w:rPr>
            </w:pPr>
            <w:r w:rsidRPr="004570F2">
              <w:rPr>
                <w:color w:val="FF0000"/>
                <w:sz w:val="22"/>
              </w:rPr>
              <w:t>10</w:t>
            </w:r>
            <w:r w:rsidR="00282BDB" w:rsidRPr="00E85B89">
              <w:rPr>
                <w:color w:val="FF0000"/>
                <w:sz w:val="22"/>
                <w:szCs w:val="22"/>
              </w:rPr>
              <w:t xml:space="preserve"> m</w:t>
            </w:r>
          </w:p>
        </w:tc>
        <w:tc>
          <w:tcPr>
            <w:tcW w:w="1304" w:type="dxa"/>
          </w:tcPr>
          <w:p w14:paraId="75979B25" w14:textId="1A949317" w:rsidR="00B35E3F" w:rsidRPr="004570F2" w:rsidRDefault="00B35E3F" w:rsidP="00B35E3F">
            <w:pPr>
              <w:spacing w:after="0"/>
              <w:jc w:val="center"/>
              <w:rPr>
                <w:color w:val="FF0000"/>
                <w:sz w:val="22"/>
              </w:rPr>
            </w:pPr>
            <w:r w:rsidRPr="004570F2">
              <w:rPr>
                <w:color w:val="FF0000"/>
                <w:sz w:val="22"/>
              </w:rPr>
              <w:t>0.7</w:t>
            </w:r>
            <w:r w:rsidR="006856C2" w:rsidRPr="004570F2">
              <w:rPr>
                <w:color w:val="FF0000"/>
                <w:sz w:val="22"/>
              </w:rPr>
              <w:t>%</w:t>
            </w:r>
          </w:p>
        </w:tc>
      </w:tr>
      <w:tr w:rsidR="00E5568D" w:rsidRPr="00E85B89" w14:paraId="3258D035" w14:textId="454F64A4" w:rsidTr="00E5568D">
        <w:trPr>
          <w:trHeight w:val="290"/>
        </w:trPr>
        <w:tc>
          <w:tcPr>
            <w:tcW w:w="3345" w:type="dxa"/>
            <w:noWrap/>
          </w:tcPr>
          <w:p w14:paraId="61C649A6" w14:textId="488E8593" w:rsidR="00B35E3F" w:rsidRPr="004570F2" w:rsidRDefault="00B35E3F" w:rsidP="00B35E3F">
            <w:pPr>
              <w:spacing w:after="0"/>
              <w:rPr>
                <w:b/>
                <w:sz w:val="22"/>
                <w:lang w:val="en-IE"/>
              </w:rPr>
            </w:pPr>
            <w:r w:rsidRPr="004570F2">
              <w:rPr>
                <w:sz w:val="22"/>
              </w:rPr>
              <w:t>Volume (patients treated)</w:t>
            </w:r>
          </w:p>
        </w:tc>
        <w:tc>
          <w:tcPr>
            <w:tcW w:w="1304" w:type="dxa"/>
            <w:noWrap/>
          </w:tcPr>
          <w:p w14:paraId="0F04485D" w14:textId="1AD8CB40" w:rsidR="00B35E3F" w:rsidRPr="004570F2" w:rsidRDefault="00B35E3F" w:rsidP="00367DF4">
            <w:pPr>
              <w:spacing w:after="0"/>
              <w:jc w:val="center"/>
              <w:rPr>
                <w:b/>
                <w:color w:val="FF0000"/>
                <w:sz w:val="22"/>
              </w:rPr>
            </w:pPr>
            <w:r w:rsidRPr="004570F2">
              <w:rPr>
                <w:sz w:val="22"/>
              </w:rPr>
              <w:t>1416</w:t>
            </w:r>
          </w:p>
        </w:tc>
        <w:tc>
          <w:tcPr>
            <w:tcW w:w="1304" w:type="dxa"/>
          </w:tcPr>
          <w:p w14:paraId="6CE3F788" w14:textId="09FA289A" w:rsidR="00B35E3F" w:rsidRPr="004570F2" w:rsidRDefault="00B35E3F" w:rsidP="00367DF4">
            <w:pPr>
              <w:spacing w:after="0"/>
              <w:jc w:val="center"/>
              <w:rPr>
                <w:b/>
                <w:color w:val="FF0000"/>
                <w:sz w:val="22"/>
              </w:rPr>
            </w:pPr>
            <w:r w:rsidRPr="004570F2">
              <w:rPr>
                <w:sz w:val="22"/>
              </w:rPr>
              <w:t>1395</w:t>
            </w:r>
          </w:p>
        </w:tc>
        <w:tc>
          <w:tcPr>
            <w:tcW w:w="1304" w:type="dxa"/>
          </w:tcPr>
          <w:p w14:paraId="6F3F46FA" w14:textId="4ED3AE26" w:rsidR="00B35E3F" w:rsidRPr="004570F2" w:rsidRDefault="00B35E3F" w:rsidP="00367DF4">
            <w:pPr>
              <w:spacing w:after="0"/>
              <w:jc w:val="center"/>
              <w:rPr>
                <w:b/>
                <w:color w:val="FF0000"/>
                <w:sz w:val="22"/>
              </w:rPr>
            </w:pPr>
            <w:r w:rsidRPr="004570F2">
              <w:rPr>
                <w:color w:val="FF0000"/>
                <w:sz w:val="22"/>
              </w:rPr>
              <w:t>-21</w:t>
            </w:r>
            <w:r w:rsidR="00282BDB" w:rsidRPr="00E85B89">
              <w:rPr>
                <w:color w:val="FF0000"/>
                <w:sz w:val="22"/>
                <w:szCs w:val="22"/>
              </w:rPr>
              <w:t xml:space="preserve"> m</w:t>
            </w:r>
          </w:p>
        </w:tc>
        <w:tc>
          <w:tcPr>
            <w:tcW w:w="1304" w:type="dxa"/>
          </w:tcPr>
          <w:p w14:paraId="11D4B3EF" w14:textId="50DB98E5" w:rsidR="00B35E3F" w:rsidRPr="004570F2" w:rsidRDefault="00B35E3F" w:rsidP="00367DF4">
            <w:pPr>
              <w:spacing w:after="0"/>
              <w:jc w:val="center"/>
              <w:rPr>
                <w:b/>
                <w:color w:val="FF0000"/>
                <w:sz w:val="22"/>
              </w:rPr>
            </w:pPr>
            <w:r w:rsidRPr="004570F2">
              <w:rPr>
                <w:color w:val="FF0000"/>
                <w:sz w:val="22"/>
              </w:rPr>
              <w:t>-1.5</w:t>
            </w:r>
            <w:r w:rsidR="006856C2" w:rsidRPr="004570F2">
              <w:rPr>
                <w:color w:val="FF0000"/>
                <w:sz w:val="22"/>
              </w:rPr>
              <w:t>%</w:t>
            </w:r>
          </w:p>
        </w:tc>
      </w:tr>
      <w:tr w:rsidR="00E5568D" w:rsidRPr="00E85B89" w14:paraId="5CA88E04" w14:textId="03F93632" w:rsidTr="00E5568D">
        <w:trPr>
          <w:trHeight w:val="290"/>
        </w:trPr>
        <w:tc>
          <w:tcPr>
            <w:tcW w:w="3345" w:type="dxa"/>
            <w:noWrap/>
          </w:tcPr>
          <w:p w14:paraId="5968E5DF" w14:textId="61BBEC67" w:rsidR="00B35E3F" w:rsidRPr="004570F2" w:rsidRDefault="00B35E3F" w:rsidP="00B35E3F">
            <w:pPr>
              <w:spacing w:after="0"/>
              <w:rPr>
                <w:b/>
                <w:sz w:val="22"/>
                <w:lang w:val="en-IE"/>
              </w:rPr>
            </w:pPr>
            <w:r w:rsidRPr="004570F2">
              <w:rPr>
                <w:sz w:val="22"/>
              </w:rPr>
              <w:t>Patients + payer monetised gain/</w:t>
            </w:r>
            <w:r w:rsidR="006D43B3" w:rsidRPr="004570F2">
              <w:rPr>
                <w:sz w:val="22"/>
              </w:rPr>
              <w:t>loss</w:t>
            </w:r>
            <w:r w:rsidRPr="004570F2">
              <w:rPr>
                <w:sz w:val="22"/>
              </w:rPr>
              <w:t xml:space="preserve"> (cost of baseline volume)</w:t>
            </w:r>
          </w:p>
        </w:tc>
        <w:tc>
          <w:tcPr>
            <w:tcW w:w="1304" w:type="dxa"/>
            <w:noWrap/>
          </w:tcPr>
          <w:p w14:paraId="28479193" w14:textId="737AAF0D" w:rsidR="00B35E3F" w:rsidRPr="004570F2" w:rsidRDefault="00B35E3F" w:rsidP="00367DF4">
            <w:pPr>
              <w:spacing w:after="0"/>
              <w:jc w:val="center"/>
              <w:rPr>
                <w:b/>
                <w:color w:val="FF0000"/>
                <w:sz w:val="22"/>
              </w:rPr>
            </w:pPr>
            <w:r w:rsidRPr="004570F2">
              <w:rPr>
                <w:sz w:val="22"/>
              </w:rPr>
              <w:t>1463</w:t>
            </w:r>
            <w:r w:rsidR="00332702" w:rsidRPr="00E85B89">
              <w:rPr>
                <w:sz w:val="22"/>
                <w:szCs w:val="22"/>
              </w:rPr>
              <w:t xml:space="preserve"> m</w:t>
            </w:r>
          </w:p>
        </w:tc>
        <w:tc>
          <w:tcPr>
            <w:tcW w:w="1304" w:type="dxa"/>
          </w:tcPr>
          <w:p w14:paraId="7884B6AC" w14:textId="76AC0B4B" w:rsidR="00B35E3F" w:rsidRPr="004570F2" w:rsidRDefault="00B35E3F" w:rsidP="00367DF4">
            <w:pPr>
              <w:spacing w:after="0"/>
              <w:jc w:val="center"/>
              <w:rPr>
                <w:b/>
                <w:color w:val="FF0000"/>
                <w:sz w:val="22"/>
              </w:rPr>
            </w:pPr>
            <w:r w:rsidRPr="004570F2">
              <w:rPr>
                <w:sz w:val="22"/>
              </w:rPr>
              <w:t>1491</w:t>
            </w:r>
            <w:r w:rsidR="00332702" w:rsidRPr="00E85B89">
              <w:rPr>
                <w:sz w:val="22"/>
                <w:szCs w:val="22"/>
              </w:rPr>
              <w:t xml:space="preserve"> m</w:t>
            </w:r>
          </w:p>
        </w:tc>
        <w:tc>
          <w:tcPr>
            <w:tcW w:w="1304" w:type="dxa"/>
          </w:tcPr>
          <w:p w14:paraId="46D808EE" w14:textId="3241452E" w:rsidR="00B35E3F" w:rsidRPr="004570F2" w:rsidRDefault="00B35E3F" w:rsidP="00367DF4">
            <w:pPr>
              <w:spacing w:after="0"/>
              <w:jc w:val="center"/>
              <w:rPr>
                <w:b/>
                <w:color w:val="FF0000"/>
                <w:sz w:val="22"/>
              </w:rPr>
            </w:pPr>
            <w:r w:rsidRPr="004570F2">
              <w:rPr>
                <w:color w:val="FF0000"/>
                <w:sz w:val="22"/>
              </w:rPr>
              <w:t>28</w:t>
            </w:r>
            <w:r w:rsidR="00282BDB" w:rsidRPr="00E85B89">
              <w:rPr>
                <w:color w:val="FF0000"/>
                <w:sz w:val="22"/>
                <w:szCs w:val="22"/>
              </w:rPr>
              <w:t xml:space="preserve"> m</w:t>
            </w:r>
          </w:p>
        </w:tc>
        <w:tc>
          <w:tcPr>
            <w:tcW w:w="1304" w:type="dxa"/>
          </w:tcPr>
          <w:p w14:paraId="0AA0D5A3" w14:textId="1385643B" w:rsidR="00B35E3F" w:rsidRPr="004570F2" w:rsidRDefault="00B35E3F" w:rsidP="00367DF4">
            <w:pPr>
              <w:spacing w:after="0"/>
              <w:jc w:val="center"/>
              <w:rPr>
                <w:b/>
                <w:color w:val="FF0000"/>
                <w:sz w:val="22"/>
              </w:rPr>
            </w:pPr>
            <w:r w:rsidRPr="004570F2">
              <w:rPr>
                <w:color w:val="FF0000"/>
                <w:sz w:val="22"/>
              </w:rPr>
              <w:t>1.9</w:t>
            </w:r>
            <w:r w:rsidR="006856C2" w:rsidRPr="004570F2">
              <w:rPr>
                <w:color w:val="FF0000"/>
                <w:sz w:val="22"/>
              </w:rPr>
              <w:t>%</w:t>
            </w:r>
          </w:p>
        </w:tc>
      </w:tr>
    </w:tbl>
    <w:p w14:paraId="5C482B17" w14:textId="54AB3413" w:rsidR="00CA6442" w:rsidRPr="00D60FAE" w:rsidRDefault="00CA6442" w:rsidP="00CA6442">
      <w:pPr>
        <w:rPr>
          <w:i/>
          <w:sz w:val="20"/>
          <w:szCs w:val="20"/>
        </w:rPr>
      </w:pPr>
      <w:r w:rsidRPr="00D60FAE">
        <w:rPr>
          <w:b/>
          <w:bCs/>
          <w:i/>
          <w:iCs/>
          <w:sz w:val="20"/>
          <w:szCs w:val="20"/>
        </w:rPr>
        <w:t>Source</w:t>
      </w:r>
      <w:r w:rsidRPr="00D60FAE">
        <w:rPr>
          <w:i/>
          <w:iCs/>
          <w:sz w:val="20"/>
          <w:szCs w:val="20"/>
        </w:rPr>
        <w:t xml:space="preserve">: author </w:t>
      </w:r>
      <w:r w:rsidR="00DB5A71">
        <w:rPr>
          <w:i/>
          <w:iCs/>
          <w:sz w:val="20"/>
          <w:szCs w:val="20"/>
        </w:rPr>
        <w:t>analysis</w:t>
      </w:r>
      <w:r w:rsidRPr="00D60FAE">
        <w:rPr>
          <w:i/>
          <w:iCs/>
          <w:sz w:val="20"/>
          <w:szCs w:val="20"/>
        </w:rPr>
        <w:t xml:space="preserve"> based on IQVIA MIDAS</w:t>
      </w:r>
    </w:p>
    <w:p w14:paraId="05A2E202" w14:textId="66870531" w:rsidR="000542B4" w:rsidRDefault="000542B4" w:rsidP="00C2147A">
      <w:pPr>
        <w:spacing w:after="160" w:line="259" w:lineRule="auto"/>
      </w:pPr>
      <w:r>
        <w:lastRenderedPageBreak/>
        <w:t>When applied to a</w:t>
      </w:r>
      <w:r w:rsidR="005D60A5">
        <w:t xml:space="preserve">n average sales value </w:t>
      </w:r>
      <w:r w:rsidR="00B8271A">
        <w:t>for an SPC-reliant biological medicine</w:t>
      </w:r>
      <w:r w:rsidR="005D60A5">
        <w:t xml:space="preserve"> in the year prior to expiry of </w:t>
      </w:r>
      <w:r w:rsidR="00273B89">
        <w:t>EUR 7</w:t>
      </w:r>
      <w:r w:rsidR="002B4187">
        <w:t>40</w:t>
      </w:r>
      <w:r w:rsidR="00273B89">
        <w:t xml:space="preserve"> million, these </w:t>
      </w:r>
      <w:r w:rsidR="00014ABF">
        <w:t>proportions give the following results in euro terms:</w:t>
      </w:r>
    </w:p>
    <w:p w14:paraId="72DB2A16" w14:textId="7F62F981" w:rsidR="0098464B" w:rsidRPr="00592B81" w:rsidRDefault="0098464B" w:rsidP="0098464B">
      <w:pPr>
        <w:spacing w:after="0"/>
        <w:rPr>
          <w:b/>
        </w:rPr>
      </w:pPr>
      <w:r w:rsidRPr="00367DF4">
        <w:rPr>
          <w:b/>
        </w:rPr>
        <w:t xml:space="preserve">Table </w:t>
      </w:r>
      <w:r w:rsidRPr="00367DF4">
        <w:rPr>
          <w:b/>
          <w:bCs/>
        </w:rPr>
        <w:t>2</w:t>
      </w:r>
      <w:r w:rsidR="00C23F88">
        <w:rPr>
          <w:b/>
        </w:rPr>
        <w:t xml:space="preserve">. </w:t>
      </w:r>
      <w:r w:rsidRPr="00367DF4">
        <w:rPr>
          <w:b/>
        </w:rPr>
        <w:t>Impact of change</w:t>
      </w:r>
      <w:r w:rsidRPr="00592B81">
        <w:rPr>
          <w:b/>
        </w:rPr>
        <w:t xml:space="preserve"> of +1 SPC extension for biotechnology medicines</w:t>
      </w:r>
    </w:p>
    <w:tbl>
      <w:tblPr>
        <w:tblStyle w:val="TableGridLight"/>
        <w:tblpPr w:leftFromText="180" w:rightFromText="180" w:vertAnchor="text" w:horzAnchor="margin" w:tblpY="185"/>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871"/>
        <w:gridCol w:w="2665"/>
      </w:tblGrid>
      <w:tr w:rsidR="0098464B" w:rsidRPr="002A3337" w14:paraId="48DF82F5" w14:textId="77777777" w:rsidTr="00E5568D">
        <w:trPr>
          <w:trHeight w:val="290"/>
        </w:trPr>
        <w:tc>
          <w:tcPr>
            <w:tcW w:w="3969" w:type="dxa"/>
            <w:noWrap/>
            <w:hideMark/>
          </w:tcPr>
          <w:p w14:paraId="5CEA9097" w14:textId="77777777" w:rsidR="0098464B" w:rsidRPr="004570F2" w:rsidRDefault="0098464B">
            <w:pPr>
              <w:spacing w:after="0"/>
              <w:rPr>
                <w:b/>
                <w:lang w:val="en-IE"/>
              </w:rPr>
            </w:pPr>
            <w:r w:rsidRPr="004570F2">
              <w:rPr>
                <w:b/>
                <w:lang w:val="en-IE"/>
              </w:rPr>
              <w:t>1 year increase in protection</w:t>
            </w:r>
          </w:p>
        </w:tc>
        <w:tc>
          <w:tcPr>
            <w:tcW w:w="1871" w:type="dxa"/>
            <w:noWrap/>
            <w:hideMark/>
          </w:tcPr>
          <w:p w14:paraId="2DB9E1C6" w14:textId="77777777" w:rsidR="0098464B" w:rsidRPr="004570F2" w:rsidRDefault="0098464B">
            <w:pPr>
              <w:spacing w:after="0"/>
              <w:rPr>
                <w:b/>
                <w:lang w:val="en-IE"/>
              </w:rPr>
            </w:pPr>
            <w:r w:rsidRPr="004570F2">
              <w:rPr>
                <w:b/>
                <w:lang w:val="en-IE"/>
              </w:rPr>
              <w:t xml:space="preserve">Per med </w:t>
            </w:r>
          </w:p>
        </w:tc>
        <w:tc>
          <w:tcPr>
            <w:tcW w:w="2665" w:type="dxa"/>
          </w:tcPr>
          <w:p w14:paraId="4F173881" w14:textId="77777777" w:rsidR="0098464B" w:rsidRPr="004570F2" w:rsidRDefault="0098464B">
            <w:pPr>
              <w:spacing w:after="0"/>
              <w:rPr>
                <w:b/>
                <w:lang w:val="en-IE"/>
              </w:rPr>
            </w:pPr>
            <w:r w:rsidRPr="004570F2">
              <w:rPr>
                <w:b/>
                <w:lang w:val="en-IE"/>
              </w:rPr>
              <w:t>Annual (3 meds)</w:t>
            </w:r>
          </w:p>
        </w:tc>
      </w:tr>
      <w:tr w:rsidR="0098464B" w:rsidRPr="002A3337" w14:paraId="5319A333" w14:textId="77777777" w:rsidTr="00E5568D">
        <w:trPr>
          <w:trHeight w:val="290"/>
        </w:trPr>
        <w:tc>
          <w:tcPr>
            <w:tcW w:w="3969" w:type="dxa"/>
            <w:noWrap/>
            <w:hideMark/>
          </w:tcPr>
          <w:p w14:paraId="41AFBF87" w14:textId="77777777" w:rsidR="0098464B" w:rsidRPr="004570F2" w:rsidRDefault="0098464B">
            <w:pPr>
              <w:spacing w:after="0"/>
              <w:rPr>
                <w:b/>
                <w:lang w:val="en-IE"/>
              </w:rPr>
            </w:pPr>
            <w:r w:rsidRPr="004570F2">
              <w:rPr>
                <w:b/>
                <w:lang w:val="en-IE"/>
              </w:rPr>
              <w:t>Originator gross profit</w:t>
            </w:r>
          </w:p>
        </w:tc>
        <w:tc>
          <w:tcPr>
            <w:tcW w:w="1871" w:type="dxa"/>
            <w:noWrap/>
            <w:hideMark/>
          </w:tcPr>
          <w:p w14:paraId="0E5385AC" w14:textId="470DA707" w:rsidR="0098464B" w:rsidRPr="004570F2" w:rsidRDefault="00113ED0">
            <w:pPr>
              <w:spacing w:after="0"/>
              <w:jc w:val="right"/>
              <w:rPr>
                <w:b/>
                <w:color w:val="00B050"/>
                <w:lang w:val="en-IE"/>
              </w:rPr>
            </w:pPr>
            <w:r>
              <w:rPr>
                <w:b/>
                <w:color w:val="00B050"/>
              </w:rPr>
              <w:t xml:space="preserve">230 </w:t>
            </w:r>
            <w:r w:rsidR="00282BDB">
              <w:rPr>
                <w:b/>
                <w:color w:val="00B050"/>
              </w:rPr>
              <w:t>m</w:t>
            </w:r>
          </w:p>
        </w:tc>
        <w:tc>
          <w:tcPr>
            <w:tcW w:w="2665" w:type="dxa"/>
          </w:tcPr>
          <w:p w14:paraId="353BD2FA" w14:textId="30AD1BCE" w:rsidR="0098464B" w:rsidRPr="004570F2" w:rsidRDefault="0098464B">
            <w:pPr>
              <w:spacing w:after="0"/>
              <w:jc w:val="right"/>
              <w:rPr>
                <w:b/>
                <w:color w:val="00B050"/>
              </w:rPr>
            </w:pPr>
            <w:r w:rsidRPr="004570F2">
              <w:rPr>
                <w:b/>
                <w:color w:val="00B050"/>
              </w:rPr>
              <w:t>690</w:t>
            </w:r>
            <w:r w:rsidR="00282BDB">
              <w:rPr>
                <w:b/>
                <w:color w:val="00B050"/>
              </w:rPr>
              <w:t xml:space="preserve"> m</w:t>
            </w:r>
          </w:p>
        </w:tc>
      </w:tr>
      <w:tr w:rsidR="0098464B" w:rsidRPr="002A3337" w14:paraId="3AB579BD" w14:textId="77777777" w:rsidTr="00E5568D">
        <w:trPr>
          <w:trHeight w:val="290"/>
        </w:trPr>
        <w:tc>
          <w:tcPr>
            <w:tcW w:w="3969" w:type="dxa"/>
            <w:noWrap/>
            <w:hideMark/>
          </w:tcPr>
          <w:p w14:paraId="1996C853" w14:textId="7C1086B3" w:rsidR="0098464B" w:rsidRPr="004570F2" w:rsidRDefault="3A185829">
            <w:pPr>
              <w:spacing w:after="0"/>
              <w:rPr>
                <w:lang w:val="en-IE"/>
              </w:rPr>
            </w:pPr>
            <w:r w:rsidRPr="043522AD">
              <w:rPr>
                <w:lang w:val="en-IE" w:eastAsia="en-IE"/>
              </w:rPr>
              <w:t>Biosimilar</w:t>
            </w:r>
            <w:r w:rsidRPr="004570F2">
              <w:rPr>
                <w:lang w:val="en-IE"/>
              </w:rPr>
              <w:t xml:space="preserve"> </w:t>
            </w:r>
            <w:r w:rsidR="45A0FE06" w:rsidRPr="004570F2">
              <w:rPr>
                <w:lang w:val="en-IE"/>
              </w:rPr>
              <w:t>gross profit</w:t>
            </w:r>
          </w:p>
        </w:tc>
        <w:tc>
          <w:tcPr>
            <w:tcW w:w="1871" w:type="dxa"/>
            <w:noWrap/>
            <w:hideMark/>
          </w:tcPr>
          <w:p w14:paraId="488FE81A" w14:textId="7138D736" w:rsidR="0098464B" w:rsidRPr="004570F2" w:rsidRDefault="0098464B">
            <w:pPr>
              <w:spacing w:after="0"/>
              <w:jc w:val="right"/>
              <w:rPr>
                <w:color w:val="FF0000"/>
                <w:lang w:val="en-IE"/>
              </w:rPr>
            </w:pPr>
            <w:r w:rsidRPr="002A3337">
              <w:rPr>
                <w:color w:val="FF0000"/>
              </w:rPr>
              <w:t>-</w:t>
            </w:r>
            <w:r w:rsidRPr="004570F2">
              <w:rPr>
                <w:color w:val="FF0000"/>
              </w:rPr>
              <w:t>80</w:t>
            </w:r>
            <w:r w:rsidR="00282BDB">
              <w:rPr>
                <w:color w:val="FF0000"/>
              </w:rPr>
              <w:t xml:space="preserve"> m</w:t>
            </w:r>
          </w:p>
        </w:tc>
        <w:tc>
          <w:tcPr>
            <w:tcW w:w="2665" w:type="dxa"/>
          </w:tcPr>
          <w:p w14:paraId="53C80004" w14:textId="5723CD5F" w:rsidR="0098464B" w:rsidRPr="004570F2" w:rsidRDefault="0098464B">
            <w:pPr>
              <w:spacing w:after="0"/>
              <w:jc w:val="right"/>
              <w:rPr>
                <w:color w:val="FF0000"/>
              </w:rPr>
            </w:pPr>
            <w:r w:rsidRPr="002A3337">
              <w:rPr>
                <w:color w:val="FF0000"/>
              </w:rPr>
              <w:t>-</w:t>
            </w:r>
            <w:r w:rsidRPr="004570F2">
              <w:rPr>
                <w:color w:val="FF0000"/>
              </w:rPr>
              <w:t>240</w:t>
            </w:r>
            <w:r w:rsidR="00282BDB">
              <w:rPr>
                <w:color w:val="FF0000"/>
              </w:rPr>
              <w:t xml:space="preserve"> m</w:t>
            </w:r>
          </w:p>
        </w:tc>
      </w:tr>
      <w:tr w:rsidR="0098464B" w:rsidRPr="002A3337" w14:paraId="60C2F5CF" w14:textId="77777777" w:rsidTr="00E5568D">
        <w:trPr>
          <w:trHeight w:val="290"/>
        </w:trPr>
        <w:tc>
          <w:tcPr>
            <w:tcW w:w="3969" w:type="dxa"/>
            <w:noWrap/>
            <w:hideMark/>
          </w:tcPr>
          <w:p w14:paraId="5F0C0ACB" w14:textId="77777777" w:rsidR="0098464B" w:rsidRPr="004570F2" w:rsidRDefault="0098464B">
            <w:pPr>
              <w:spacing w:after="0"/>
              <w:rPr>
                <w:lang w:val="en-IE"/>
              </w:rPr>
            </w:pPr>
            <w:r w:rsidRPr="004570F2">
              <w:rPr>
                <w:lang w:val="en-IE"/>
              </w:rPr>
              <w:t>Cost to public payer</w:t>
            </w:r>
          </w:p>
        </w:tc>
        <w:tc>
          <w:tcPr>
            <w:tcW w:w="1871" w:type="dxa"/>
            <w:noWrap/>
            <w:hideMark/>
          </w:tcPr>
          <w:p w14:paraId="6C07045B" w14:textId="46B87536" w:rsidR="0098464B" w:rsidRPr="004570F2" w:rsidRDefault="0098464B">
            <w:pPr>
              <w:spacing w:after="0"/>
              <w:jc w:val="right"/>
              <w:rPr>
                <w:color w:val="FF0000"/>
                <w:lang w:val="en-IE"/>
              </w:rPr>
            </w:pPr>
            <w:r w:rsidRPr="004570F2">
              <w:rPr>
                <w:color w:val="FF0000"/>
              </w:rPr>
              <w:t>70</w:t>
            </w:r>
            <w:r w:rsidR="00282BDB">
              <w:rPr>
                <w:color w:val="FF0000"/>
              </w:rPr>
              <w:t xml:space="preserve"> m</w:t>
            </w:r>
          </w:p>
        </w:tc>
        <w:tc>
          <w:tcPr>
            <w:tcW w:w="2665" w:type="dxa"/>
          </w:tcPr>
          <w:p w14:paraId="643F0580" w14:textId="0D13CB6C" w:rsidR="0098464B" w:rsidRPr="004570F2" w:rsidRDefault="0098464B">
            <w:pPr>
              <w:spacing w:after="0"/>
              <w:jc w:val="right"/>
              <w:rPr>
                <w:color w:val="FF0000"/>
              </w:rPr>
            </w:pPr>
            <w:r w:rsidRPr="004570F2">
              <w:rPr>
                <w:color w:val="FF0000"/>
              </w:rPr>
              <w:t>210</w:t>
            </w:r>
            <w:r w:rsidR="00282BDB">
              <w:rPr>
                <w:color w:val="FF0000"/>
              </w:rPr>
              <w:t xml:space="preserve"> m</w:t>
            </w:r>
          </w:p>
        </w:tc>
      </w:tr>
      <w:tr w:rsidR="0098464B" w:rsidRPr="002A3337" w14:paraId="59F96FF1" w14:textId="77777777" w:rsidTr="00E5568D">
        <w:trPr>
          <w:trHeight w:val="290"/>
        </w:trPr>
        <w:tc>
          <w:tcPr>
            <w:tcW w:w="3969" w:type="dxa"/>
            <w:noWrap/>
            <w:hideMark/>
          </w:tcPr>
          <w:p w14:paraId="325CFF22" w14:textId="77777777" w:rsidR="0098464B" w:rsidRPr="004570F2" w:rsidRDefault="0098464B">
            <w:pPr>
              <w:spacing w:after="0"/>
              <w:rPr>
                <w:lang w:val="en-IE"/>
              </w:rPr>
            </w:pPr>
            <w:r w:rsidRPr="004570F2">
              <w:rPr>
                <w:lang w:val="en-IE"/>
              </w:rPr>
              <w:t>Patients monetised gains/losses</w:t>
            </w:r>
          </w:p>
        </w:tc>
        <w:tc>
          <w:tcPr>
            <w:tcW w:w="1871" w:type="dxa"/>
            <w:noWrap/>
            <w:hideMark/>
          </w:tcPr>
          <w:p w14:paraId="34B49BA3" w14:textId="14A15489" w:rsidR="0098464B" w:rsidRPr="004570F2" w:rsidRDefault="0098464B">
            <w:pPr>
              <w:spacing w:after="0"/>
              <w:jc w:val="right"/>
              <w:rPr>
                <w:color w:val="FF0000"/>
                <w:lang w:val="en-IE"/>
              </w:rPr>
            </w:pPr>
            <w:r w:rsidRPr="004570F2">
              <w:rPr>
                <w:color w:val="FF0000"/>
              </w:rPr>
              <w:t>135</w:t>
            </w:r>
            <w:r w:rsidR="00282BDB">
              <w:rPr>
                <w:color w:val="FF0000"/>
              </w:rPr>
              <w:t xml:space="preserve"> m</w:t>
            </w:r>
          </w:p>
        </w:tc>
        <w:tc>
          <w:tcPr>
            <w:tcW w:w="2665" w:type="dxa"/>
          </w:tcPr>
          <w:p w14:paraId="0FC37F5B" w14:textId="5D4C348F" w:rsidR="0098464B" w:rsidRPr="004570F2" w:rsidRDefault="0098464B">
            <w:pPr>
              <w:spacing w:after="0"/>
              <w:jc w:val="right"/>
              <w:rPr>
                <w:color w:val="FF0000"/>
              </w:rPr>
            </w:pPr>
            <w:r w:rsidRPr="004570F2">
              <w:rPr>
                <w:color w:val="FF0000"/>
              </w:rPr>
              <w:t>405</w:t>
            </w:r>
            <w:r w:rsidR="00282BDB">
              <w:rPr>
                <w:color w:val="FF0000"/>
              </w:rPr>
              <w:t xml:space="preserve"> m</w:t>
            </w:r>
          </w:p>
        </w:tc>
      </w:tr>
      <w:tr w:rsidR="0098464B" w:rsidRPr="002A3337" w14:paraId="721AF750" w14:textId="77777777" w:rsidTr="00E5568D">
        <w:trPr>
          <w:trHeight w:val="290"/>
        </w:trPr>
        <w:tc>
          <w:tcPr>
            <w:tcW w:w="3969" w:type="dxa"/>
            <w:noWrap/>
            <w:hideMark/>
          </w:tcPr>
          <w:p w14:paraId="51485EFF" w14:textId="77777777" w:rsidR="0098464B" w:rsidRPr="004570F2" w:rsidRDefault="0098464B">
            <w:pPr>
              <w:spacing w:after="0"/>
              <w:rPr>
                <w:b/>
                <w:lang w:val="en-IE"/>
              </w:rPr>
            </w:pPr>
            <w:r w:rsidRPr="004570F2">
              <w:rPr>
                <w:b/>
                <w:lang w:val="en-IE"/>
              </w:rPr>
              <w:t>Patients + payer monetised gain/loss</w:t>
            </w:r>
          </w:p>
        </w:tc>
        <w:tc>
          <w:tcPr>
            <w:tcW w:w="1871" w:type="dxa"/>
            <w:noWrap/>
            <w:hideMark/>
          </w:tcPr>
          <w:p w14:paraId="60712C6F" w14:textId="5EF6D84F" w:rsidR="0098464B" w:rsidRPr="004570F2" w:rsidRDefault="0098464B">
            <w:pPr>
              <w:spacing w:after="0"/>
              <w:jc w:val="right"/>
              <w:rPr>
                <w:b/>
                <w:color w:val="FF0000"/>
                <w:lang w:val="en-IE"/>
              </w:rPr>
            </w:pPr>
            <w:r w:rsidRPr="004570F2">
              <w:rPr>
                <w:b/>
                <w:color w:val="FF0000"/>
              </w:rPr>
              <w:t>205</w:t>
            </w:r>
            <w:r w:rsidR="00282BDB">
              <w:rPr>
                <w:b/>
                <w:color w:val="FF0000"/>
              </w:rPr>
              <w:t xml:space="preserve"> m</w:t>
            </w:r>
          </w:p>
        </w:tc>
        <w:tc>
          <w:tcPr>
            <w:tcW w:w="2665" w:type="dxa"/>
          </w:tcPr>
          <w:p w14:paraId="70C28952" w14:textId="141EF52F" w:rsidR="0098464B" w:rsidRPr="004570F2" w:rsidRDefault="0098464B">
            <w:pPr>
              <w:spacing w:after="0"/>
              <w:jc w:val="right"/>
              <w:rPr>
                <w:b/>
                <w:color w:val="FF0000"/>
                <w:lang w:val="en-IE"/>
              </w:rPr>
            </w:pPr>
            <w:r w:rsidRPr="002A3337">
              <w:rPr>
                <w:rStyle w:val="Strong"/>
                <w:color w:val="FF0000"/>
              </w:rPr>
              <w:t>615</w:t>
            </w:r>
            <w:r w:rsidR="00282BDB">
              <w:rPr>
                <w:rStyle w:val="Strong"/>
                <w:color w:val="FF0000"/>
              </w:rPr>
              <w:t xml:space="preserve"> m</w:t>
            </w:r>
          </w:p>
        </w:tc>
      </w:tr>
    </w:tbl>
    <w:p w14:paraId="08064CBE" w14:textId="1805A116" w:rsidR="00710255" w:rsidRPr="00D60FAE" w:rsidRDefault="00710255" w:rsidP="00710255">
      <w:pPr>
        <w:rPr>
          <w:i/>
          <w:sz w:val="20"/>
          <w:szCs w:val="20"/>
        </w:rPr>
      </w:pPr>
      <w:r w:rsidRPr="00D60FAE">
        <w:rPr>
          <w:b/>
          <w:bCs/>
          <w:i/>
          <w:iCs/>
          <w:sz w:val="20"/>
          <w:szCs w:val="20"/>
        </w:rPr>
        <w:t>Source</w:t>
      </w:r>
      <w:r w:rsidRPr="00D60FAE">
        <w:rPr>
          <w:i/>
          <w:iCs/>
          <w:sz w:val="20"/>
          <w:szCs w:val="20"/>
        </w:rPr>
        <w:t xml:space="preserve">: author </w:t>
      </w:r>
      <w:r w:rsidR="00DB5A71">
        <w:rPr>
          <w:i/>
          <w:iCs/>
          <w:sz w:val="20"/>
          <w:szCs w:val="20"/>
        </w:rPr>
        <w:t>analysis</w:t>
      </w:r>
      <w:r w:rsidRPr="00D60FAE">
        <w:rPr>
          <w:i/>
          <w:iCs/>
          <w:sz w:val="20"/>
          <w:szCs w:val="20"/>
        </w:rPr>
        <w:t xml:space="preserve"> based on IQVIA MIDAS</w:t>
      </w:r>
    </w:p>
    <w:p w14:paraId="7842F1D3" w14:textId="77777777" w:rsidR="003518D2" w:rsidRDefault="003518D2" w:rsidP="00C2147A">
      <w:pPr>
        <w:spacing w:after="160" w:line="259" w:lineRule="auto"/>
      </w:pPr>
    </w:p>
    <w:p w14:paraId="4E5328DD" w14:textId="4676C3D5" w:rsidR="001F416B" w:rsidRDefault="00F0494A" w:rsidP="00C2147A">
      <w:pPr>
        <w:spacing w:after="160" w:line="259" w:lineRule="auto"/>
        <w:rPr>
          <w:rFonts w:eastAsia="Times New Roman"/>
        </w:rPr>
      </w:pPr>
      <w:r>
        <w:t>To assess whether</w:t>
      </w:r>
      <w:r w:rsidR="00C2147A">
        <w:t xml:space="preserve"> behavioural changes </w:t>
      </w:r>
      <w:r w:rsidR="003175C3">
        <w:t>would be expected on the part of</w:t>
      </w:r>
      <w:r w:rsidR="00C2147A">
        <w:t xml:space="preserve"> developers in response to the measure, we analysed EMA data on products authorised between 2016 and 2025 to </w:t>
      </w:r>
      <w:r w:rsidR="008E06F1">
        <w:t>determine</w:t>
      </w:r>
      <w:r w:rsidR="00C2147A">
        <w:t xml:space="preserve"> which </w:t>
      </w:r>
      <w:r w:rsidR="00151E81">
        <w:t>of them</w:t>
      </w:r>
      <w:r w:rsidR="00C2147A">
        <w:t xml:space="preserve"> would have fulfilled the criteria </w:t>
      </w:r>
      <w:r w:rsidR="00EF4B7D">
        <w:t xml:space="preserve">for </w:t>
      </w:r>
      <w:r w:rsidR="00C2147A">
        <w:t>be</w:t>
      </w:r>
      <w:r w:rsidR="00EF4B7D">
        <w:t>ing</w:t>
      </w:r>
      <w:r w:rsidR="00C2147A">
        <w:t xml:space="preserve"> awarded the SPC extension. </w:t>
      </w:r>
      <w:r w:rsidR="00C2147A" w:rsidRPr="1095187D">
        <w:rPr>
          <w:rFonts w:eastAsia="Times New Roman"/>
        </w:rPr>
        <w:t xml:space="preserve">The information on these products </w:t>
      </w:r>
      <w:r w:rsidR="00BF2590" w:rsidRPr="1095187D">
        <w:rPr>
          <w:rFonts w:eastAsia="Times New Roman"/>
        </w:rPr>
        <w:t>is</w:t>
      </w:r>
      <w:r w:rsidR="00C2147A" w:rsidRPr="1095187D">
        <w:rPr>
          <w:rFonts w:eastAsia="Times New Roman"/>
        </w:rPr>
        <w:t xml:space="preserve"> derived from the Agency’s European public assessment reports (EPAR)</w:t>
      </w:r>
      <w:r w:rsidR="00C2147A" w:rsidRPr="1095187D">
        <w:rPr>
          <w:rFonts w:eastAsia="Times New Roman"/>
          <w:b/>
        </w:rPr>
        <w:t xml:space="preserve"> </w:t>
      </w:r>
      <w:r w:rsidR="00C2147A" w:rsidRPr="1095187D">
        <w:rPr>
          <w:rFonts w:eastAsia="Times New Roman"/>
        </w:rPr>
        <w:t>for each product</w:t>
      </w:r>
      <w:r w:rsidR="4032B3FC" w:rsidRPr="1095187D">
        <w:rPr>
          <w:rFonts w:eastAsia="Times New Roman"/>
        </w:rPr>
        <w:t xml:space="preserve">, </w:t>
      </w:r>
      <w:r w:rsidR="00506B74">
        <w:rPr>
          <w:rFonts w:eastAsia="Times New Roman"/>
        </w:rPr>
        <w:t xml:space="preserve">the </w:t>
      </w:r>
      <w:r w:rsidR="4032B3FC" w:rsidRPr="1095187D">
        <w:rPr>
          <w:rFonts w:eastAsia="Times New Roman"/>
        </w:rPr>
        <w:t>Agency’s internal databases and own analysis.</w:t>
      </w:r>
    </w:p>
    <w:p w14:paraId="7486B772" w14:textId="02B0D37C" w:rsidR="00C2147A" w:rsidRPr="00535D22" w:rsidRDefault="001F416B" w:rsidP="00367DF4">
      <w:pPr>
        <w:pBdr>
          <w:top w:val="nil"/>
          <w:left w:val="nil"/>
          <w:bottom w:val="nil"/>
          <w:right w:val="nil"/>
          <w:between w:val="nil"/>
        </w:pBdr>
        <w:rPr>
          <w:lang w:val="en-IE"/>
        </w:rPr>
      </w:pPr>
      <w:r>
        <w:rPr>
          <w:rFonts w:eastAsia="Times New Roman"/>
        </w:rPr>
        <w:t xml:space="preserve">The results of this assessment were as follows: </w:t>
      </w:r>
      <w:r>
        <w:rPr>
          <w:rFonts w:eastAsia="Times New Roman"/>
          <w:noProof/>
          <w:color w:val="000000" w:themeColor="text1"/>
        </w:rPr>
        <w:t>According to EMA data from 2016 to 2025, in addition to the 5-6 products that would have met all the criteria each year, a</w:t>
      </w:r>
      <w:r w:rsidRPr="00B94CAF">
        <w:rPr>
          <w:rFonts w:eastAsia="Times New Roman"/>
          <w:noProof/>
          <w:color w:val="000000" w:themeColor="text1"/>
        </w:rPr>
        <w:t xml:space="preserve"> further five </w:t>
      </w:r>
      <w:r>
        <w:rPr>
          <w:rFonts w:eastAsia="Times New Roman"/>
          <w:noProof/>
          <w:color w:val="000000" w:themeColor="text1"/>
        </w:rPr>
        <w:t>products</w:t>
      </w:r>
      <w:r w:rsidRPr="00B94CAF">
        <w:rPr>
          <w:rFonts w:eastAsia="Times New Roman"/>
          <w:noProof/>
          <w:color w:val="000000" w:themeColor="text1"/>
        </w:rPr>
        <w:t xml:space="preserve"> </w:t>
      </w:r>
      <w:r>
        <w:rPr>
          <w:rFonts w:eastAsia="Times New Roman"/>
          <w:noProof/>
          <w:color w:val="000000" w:themeColor="text1"/>
        </w:rPr>
        <w:t>would have met</w:t>
      </w:r>
      <w:r w:rsidRPr="00B94CAF">
        <w:rPr>
          <w:rFonts w:eastAsia="Times New Roman"/>
          <w:noProof/>
          <w:color w:val="000000" w:themeColor="text1"/>
        </w:rPr>
        <w:t xml:space="preserve"> </w:t>
      </w:r>
      <w:r>
        <w:rPr>
          <w:rFonts w:eastAsia="Times New Roman"/>
          <w:noProof/>
          <w:color w:val="000000" w:themeColor="text1"/>
        </w:rPr>
        <w:t xml:space="preserve">all </w:t>
      </w:r>
      <w:r w:rsidRPr="00B94CAF">
        <w:rPr>
          <w:rFonts w:eastAsia="Times New Roman"/>
          <w:noProof/>
          <w:color w:val="000000" w:themeColor="text1"/>
        </w:rPr>
        <w:t xml:space="preserve">the criteria </w:t>
      </w:r>
      <w:r>
        <w:rPr>
          <w:rFonts w:eastAsia="Times New Roman"/>
          <w:noProof/>
          <w:color w:val="000000" w:themeColor="text1"/>
        </w:rPr>
        <w:t xml:space="preserve">except the “geographic” ones, i.e. </w:t>
      </w:r>
      <w:r w:rsidRPr="00B94CAF">
        <w:rPr>
          <w:rFonts w:eastAsia="Times New Roman"/>
          <w:noProof/>
          <w:color w:val="000000" w:themeColor="text1"/>
        </w:rPr>
        <w:t>conduct</w:t>
      </w:r>
      <w:r>
        <w:rPr>
          <w:rFonts w:eastAsia="Times New Roman"/>
          <w:noProof/>
          <w:color w:val="000000" w:themeColor="text1"/>
        </w:rPr>
        <w:t xml:space="preserve">ing </w:t>
      </w:r>
      <w:r w:rsidRPr="00B94CAF">
        <w:rPr>
          <w:rFonts w:eastAsia="Times New Roman"/>
          <w:noProof/>
          <w:color w:val="000000" w:themeColor="text1"/>
        </w:rPr>
        <w:t xml:space="preserve">trials in more than </w:t>
      </w:r>
      <w:r>
        <w:rPr>
          <w:rFonts w:eastAsia="Times New Roman"/>
          <w:noProof/>
          <w:color w:val="000000" w:themeColor="text1"/>
        </w:rPr>
        <w:t xml:space="preserve">two </w:t>
      </w:r>
      <w:r w:rsidRPr="00B94CAF">
        <w:rPr>
          <w:rFonts w:eastAsia="Times New Roman"/>
          <w:noProof/>
          <w:color w:val="000000" w:themeColor="text1"/>
        </w:rPr>
        <w:t>EU</w:t>
      </w:r>
      <w:r>
        <w:rPr>
          <w:rFonts w:eastAsia="Times New Roman"/>
          <w:noProof/>
          <w:color w:val="000000" w:themeColor="text1"/>
        </w:rPr>
        <w:t xml:space="preserve"> </w:t>
      </w:r>
      <w:r w:rsidRPr="00B94CAF">
        <w:rPr>
          <w:rFonts w:eastAsia="Times New Roman"/>
          <w:noProof/>
          <w:color w:val="000000" w:themeColor="text1"/>
        </w:rPr>
        <w:t>Member</w:t>
      </w:r>
      <w:r>
        <w:rPr>
          <w:rFonts w:eastAsia="Times New Roman"/>
          <w:noProof/>
          <w:color w:val="000000" w:themeColor="text1"/>
        </w:rPr>
        <w:t xml:space="preserve"> </w:t>
      </w:r>
      <w:r w:rsidRPr="00B94CAF">
        <w:rPr>
          <w:rFonts w:eastAsia="Times New Roman"/>
          <w:noProof/>
          <w:color w:val="000000" w:themeColor="text1"/>
        </w:rPr>
        <w:t xml:space="preserve">States and </w:t>
      </w:r>
      <w:r>
        <w:rPr>
          <w:rFonts w:eastAsia="Times New Roman"/>
          <w:noProof/>
          <w:color w:val="000000" w:themeColor="text1"/>
        </w:rPr>
        <w:t>having</w:t>
      </w:r>
      <w:r w:rsidRPr="00B94CAF">
        <w:rPr>
          <w:rFonts w:eastAsia="Times New Roman"/>
          <w:noProof/>
          <w:color w:val="000000" w:themeColor="text1"/>
        </w:rPr>
        <w:t xml:space="preserve"> part of their manufacturing in the EU. </w:t>
      </w:r>
      <w:r>
        <w:rPr>
          <w:rFonts w:eastAsia="Times New Roman"/>
          <w:noProof/>
          <w:color w:val="000000" w:themeColor="text1"/>
        </w:rPr>
        <w:t>We assume again that about 40</w:t>
      </w:r>
      <w:r w:rsidR="006856C2">
        <w:rPr>
          <w:rFonts w:eastAsia="Times New Roman"/>
          <w:noProof/>
          <w:color w:val="000000" w:themeColor="text1"/>
        </w:rPr>
        <w:t>%</w:t>
      </w:r>
      <w:r w:rsidRPr="00B94CAF">
        <w:rPr>
          <w:rFonts w:eastAsia="Times New Roman"/>
          <w:noProof/>
          <w:color w:val="000000" w:themeColor="text1"/>
        </w:rPr>
        <w:t xml:space="preserve"> </w:t>
      </w:r>
      <w:r>
        <w:rPr>
          <w:rFonts w:eastAsia="Times New Roman"/>
          <w:noProof/>
          <w:color w:val="000000" w:themeColor="text1"/>
        </w:rPr>
        <w:t>of the</w:t>
      </w:r>
      <w:r w:rsidRPr="00B94CAF">
        <w:rPr>
          <w:rFonts w:eastAsia="Times New Roman"/>
          <w:noProof/>
          <w:color w:val="000000" w:themeColor="text1"/>
        </w:rPr>
        <w:t xml:space="preserve"> products</w:t>
      </w:r>
      <w:r>
        <w:rPr>
          <w:rFonts w:eastAsia="Times New Roman"/>
          <w:noProof/>
          <w:color w:val="000000" w:themeColor="text1"/>
        </w:rPr>
        <w:t xml:space="preserve"> </w:t>
      </w:r>
      <w:r w:rsidRPr="00B94CAF">
        <w:rPr>
          <w:rFonts w:eastAsia="Times New Roman"/>
          <w:noProof/>
          <w:color w:val="000000" w:themeColor="text1"/>
        </w:rPr>
        <w:t>are SPC-reliant.</w:t>
      </w:r>
      <w:r>
        <w:rPr>
          <w:rFonts w:eastAsia="Times New Roman"/>
          <w:noProof/>
          <w:color w:val="000000" w:themeColor="text1"/>
        </w:rPr>
        <w:t xml:space="preserve"> </w:t>
      </w:r>
      <w:r w:rsidRPr="00B94CAF">
        <w:rPr>
          <w:rFonts w:eastAsia="Times New Roman"/>
          <w:noProof/>
          <w:color w:val="000000" w:themeColor="text1"/>
        </w:rPr>
        <w:t xml:space="preserve">Thus, the </w:t>
      </w:r>
      <w:r>
        <w:rPr>
          <w:rFonts w:eastAsia="Times New Roman"/>
          <w:noProof/>
          <w:color w:val="000000" w:themeColor="text1"/>
        </w:rPr>
        <w:t xml:space="preserve">SPC </w:t>
      </w:r>
      <w:r w:rsidRPr="00B94CAF">
        <w:rPr>
          <w:rFonts w:eastAsia="Times New Roman"/>
          <w:noProof/>
          <w:color w:val="000000" w:themeColor="text1"/>
        </w:rPr>
        <w:t xml:space="preserve">extension could potentially be awarded to </w:t>
      </w:r>
      <w:r>
        <w:rPr>
          <w:rFonts w:eastAsia="Times New Roman"/>
          <w:noProof/>
          <w:color w:val="000000" w:themeColor="text1"/>
        </w:rPr>
        <w:t>4-</w:t>
      </w:r>
      <w:r w:rsidRPr="00B94CAF">
        <w:rPr>
          <w:rFonts w:eastAsia="Times New Roman"/>
          <w:noProof/>
          <w:color w:val="000000" w:themeColor="text1"/>
        </w:rPr>
        <w:t>5</w:t>
      </w:r>
      <w:r>
        <w:rPr>
          <w:rFonts w:eastAsia="Times New Roman"/>
          <w:noProof/>
          <w:color w:val="000000" w:themeColor="text1"/>
        </w:rPr>
        <w:t xml:space="preserve"> </w:t>
      </w:r>
      <w:r w:rsidRPr="00B94CAF">
        <w:rPr>
          <w:rFonts w:eastAsia="Times New Roman"/>
          <w:noProof/>
          <w:color w:val="000000" w:themeColor="text1"/>
        </w:rPr>
        <w:t>products</w:t>
      </w:r>
      <w:r>
        <w:rPr>
          <w:rFonts w:eastAsia="Times New Roman"/>
          <w:noProof/>
          <w:color w:val="000000" w:themeColor="text1"/>
        </w:rPr>
        <w:t xml:space="preserve"> </w:t>
      </w:r>
      <w:r w:rsidRPr="00B94CAF">
        <w:rPr>
          <w:rFonts w:eastAsia="Times New Roman"/>
          <w:noProof/>
          <w:color w:val="000000" w:themeColor="text1"/>
        </w:rPr>
        <w:t>annually (rather than 2-3)</w:t>
      </w:r>
      <w:r>
        <w:rPr>
          <w:rFonts w:eastAsia="Times New Roman"/>
          <w:noProof/>
          <w:color w:val="000000" w:themeColor="text1"/>
        </w:rPr>
        <w:t xml:space="preserve"> </w:t>
      </w:r>
      <w:r w:rsidRPr="00B94CAF">
        <w:rPr>
          <w:rFonts w:eastAsia="Times New Roman"/>
          <w:noProof/>
          <w:color w:val="000000" w:themeColor="text1"/>
        </w:rPr>
        <w:t>if developers change</w:t>
      </w:r>
      <w:r>
        <w:rPr>
          <w:rFonts w:eastAsia="Times New Roman"/>
          <w:noProof/>
          <w:color w:val="000000" w:themeColor="text1"/>
        </w:rPr>
        <w:t>d</w:t>
      </w:r>
      <w:r w:rsidRPr="00B94CAF">
        <w:rPr>
          <w:rFonts w:eastAsia="Times New Roman"/>
          <w:noProof/>
          <w:color w:val="000000" w:themeColor="text1"/>
        </w:rPr>
        <w:t xml:space="preserve"> </w:t>
      </w:r>
      <w:r>
        <w:rPr>
          <w:rFonts w:eastAsia="Times New Roman"/>
          <w:noProof/>
          <w:color w:val="000000" w:themeColor="text1"/>
        </w:rPr>
        <w:t xml:space="preserve">their </w:t>
      </w:r>
      <w:r w:rsidRPr="00B94CAF">
        <w:rPr>
          <w:rFonts w:eastAsia="Times New Roman"/>
          <w:noProof/>
          <w:color w:val="000000" w:themeColor="text1"/>
        </w:rPr>
        <w:t>behaviour in response to the incentive. </w:t>
      </w:r>
      <w:r w:rsidR="00C2147A">
        <w:t xml:space="preserve"> </w:t>
      </w:r>
    </w:p>
    <w:p w14:paraId="71E4C1F0" w14:textId="77777777" w:rsidR="00FD27EE" w:rsidRDefault="59BB6D43" w:rsidP="00C2147A">
      <w:pPr>
        <w:spacing w:after="160" w:line="259" w:lineRule="auto"/>
        <w:rPr>
          <w:lang w:val="en-IE"/>
        </w:rPr>
      </w:pPr>
      <w:r w:rsidRPr="4E26AC25">
        <w:rPr>
          <w:lang w:val="en-IE"/>
        </w:rPr>
        <w:t xml:space="preserve">The modelling framework is subject to a number of assumptions and limitations. The use of list prices rather than net transaction prices implies that cost estimates may be overstated, as they do not capture confidential discounts and rebate mechanisms applied at national level. In addition, </w:t>
      </w:r>
      <w:r w:rsidR="00DC5E00">
        <w:rPr>
          <w:lang w:val="en-IE"/>
        </w:rPr>
        <w:t xml:space="preserve">the distribution of </w:t>
      </w:r>
      <w:r w:rsidRPr="4E26AC25">
        <w:rPr>
          <w:lang w:val="en-IE"/>
        </w:rPr>
        <w:t xml:space="preserve">revenues </w:t>
      </w:r>
      <w:r w:rsidR="00DC5E00">
        <w:rPr>
          <w:lang w:val="en-IE"/>
        </w:rPr>
        <w:t>among pharmaceutical products is</w:t>
      </w:r>
      <w:r w:rsidRPr="4E26AC25">
        <w:rPr>
          <w:lang w:val="en-IE"/>
        </w:rPr>
        <w:t xml:space="preserve"> highly skewed, </w:t>
      </w:r>
      <w:r w:rsidR="0004453F">
        <w:rPr>
          <w:lang w:val="en-IE"/>
        </w:rPr>
        <w:t xml:space="preserve">implying limitations </w:t>
      </w:r>
      <w:r w:rsidR="003F1E2D">
        <w:rPr>
          <w:lang w:val="en-IE"/>
        </w:rPr>
        <w:t>on inferences that can be drawn from averages</w:t>
      </w:r>
      <w:r w:rsidRPr="4E26AC25">
        <w:rPr>
          <w:lang w:val="en-IE"/>
        </w:rPr>
        <w:t xml:space="preserve">. Further limitations arise from the small sample size and the need to simplify complex real-world behaviours, including firm investment decisions, clinical trial location choices and manufacturing strategies. </w:t>
      </w:r>
    </w:p>
    <w:p w14:paraId="0B2A5FF8" w14:textId="72455C21" w:rsidR="008C3390" w:rsidRDefault="59BB6D43" w:rsidP="00DA1971">
      <w:pPr>
        <w:sectPr w:rsidR="008C3390" w:rsidSect="00E5568D">
          <w:headerReference w:type="default" r:id="rId34"/>
          <w:footerReference w:type="default" r:id="rId35"/>
          <w:headerReference w:type="first" r:id="rId36"/>
          <w:footerReference w:type="first" r:id="rId37"/>
          <w:pgSz w:w="11906" w:h="16838"/>
          <w:pgMar w:top="1021" w:right="1701" w:bottom="1021" w:left="1588" w:header="601" w:footer="1077" w:gutter="0"/>
          <w:cols w:space="720"/>
          <w:titlePg/>
        </w:sectPr>
      </w:pPr>
      <w:r w:rsidRPr="4E26AC25">
        <w:rPr>
          <w:lang w:val="en-IE"/>
        </w:rPr>
        <w:t>These limitations are mitigated through the use of multiple data sources</w:t>
      </w:r>
      <w:r>
        <w:t xml:space="preserve"> (EMA databases, IQVIA datasets)</w:t>
      </w:r>
      <w:r w:rsidRPr="4E26AC25">
        <w:rPr>
          <w:lang w:val="en-IE"/>
        </w:rPr>
        <w:t xml:space="preserve"> and consistency checks with the broader literature</w:t>
      </w:r>
      <w:r>
        <w:t xml:space="preserve"> and European </w:t>
      </w:r>
      <w:r>
        <w:lastRenderedPageBreak/>
        <w:t>Commission previous evaluations</w:t>
      </w:r>
      <w:r w:rsidR="00C2147A">
        <w:rPr>
          <w:rStyle w:val="FootnoteReference"/>
        </w:rPr>
        <w:footnoteReference w:id="30"/>
      </w:r>
      <w:r>
        <w:t xml:space="preserve"> and studies touching upon SPC and other types of regulatory and patent protection</w:t>
      </w:r>
      <w:r w:rsidR="00C2147A">
        <w:rPr>
          <w:rStyle w:val="FootnoteReference"/>
        </w:rPr>
        <w:footnoteReference w:id="31"/>
      </w:r>
      <w:r w:rsidRPr="4E26AC25">
        <w:rPr>
          <w:lang w:val="en-IE"/>
        </w:rPr>
        <w:t>.</w:t>
      </w:r>
    </w:p>
    <w:p w14:paraId="381FA384" w14:textId="126F9FE1" w:rsidR="008C3390" w:rsidRDefault="008C3390" w:rsidP="00F14611">
      <w:pPr>
        <w:spacing w:after="200" w:line="276" w:lineRule="auto"/>
        <w:jc w:val="left"/>
        <w:rPr>
          <w:b/>
          <w:bCs/>
        </w:rPr>
        <w:sectPr w:rsidR="008C3390" w:rsidSect="00E5568D">
          <w:headerReference w:type="default" r:id="rId38"/>
          <w:footerReference w:type="default" r:id="rId39"/>
          <w:headerReference w:type="first" r:id="rId40"/>
          <w:footerReference w:type="first" r:id="rId41"/>
          <w:pgSz w:w="16838" w:h="11906" w:orient="landscape"/>
          <w:pgMar w:top="1021" w:right="1701" w:bottom="1021" w:left="1588" w:header="601" w:footer="1077" w:gutter="0"/>
          <w:cols w:space="720"/>
          <w:titlePg/>
          <w:docGrid w:linePitch="326"/>
        </w:sectPr>
      </w:pPr>
    </w:p>
    <w:p w14:paraId="33D6C3E0" w14:textId="25DCF193" w:rsidR="00F14611" w:rsidRDefault="00F14611" w:rsidP="00F14611">
      <w:pPr>
        <w:spacing w:after="200" w:line="276" w:lineRule="auto"/>
        <w:jc w:val="left"/>
        <w:rPr>
          <w:b/>
          <w:bCs/>
        </w:rPr>
      </w:pPr>
      <w:r>
        <w:rPr>
          <w:b/>
          <w:bCs/>
        </w:rPr>
        <w:t xml:space="preserve">Table </w:t>
      </w:r>
      <w:r w:rsidR="00131E89">
        <w:rPr>
          <w:b/>
          <w:bCs/>
        </w:rPr>
        <w:t>3</w:t>
      </w:r>
      <w:r w:rsidR="00C23F88">
        <w:rPr>
          <w:b/>
          <w:bCs/>
        </w:rPr>
        <w:t xml:space="preserve">. </w:t>
      </w:r>
      <w:r w:rsidR="002B392A">
        <w:rPr>
          <w:b/>
          <w:bCs/>
        </w:rPr>
        <w:t>N</w:t>
      </w:r>
      <w:r>
        <w:rPr>
          <w:b/>
          <w:bCs/>
        </w:rPr>
        <w:t>ormalised va</w:t>
      </w:r>
      <w:r w:rsidR="00D47B80">
        <w:rPr>
          <w:b/>
          <w:bCs/>
        </w:rPr>
        <w:t>l</w:t>
      </w:r>
      <w:r>
        <w:rPr>
          <w:b/>
          <w:bCs/>
        </w:rPr>
        <w:t>ues for the baseline</w:t>
      </w:r>
      <w:r w:rsidR="00131E89">
        <w:rPr>
          <w:rStyle w:val="FootnoteReference"/>
          <w:b/>
          <w:bCs/>
        </w:rPr>
        <w:footnoteReference w:id="32"/>
      </w:r>
    </w:p>
    <w:tbl>
      <w:tblPr>
        <w:tblW w:w="13343" w:type="dxa"/>
        <w:tblInd w:w="118" w:type="dxa"/>
        <w:tblLook w:val="04A0" w:firstRow="1" w:lastRow="0" w:firstColumn="1" w:lastColumn="0" w:noHBand="0" w:noVBand="1"/>
      </w:tblPr>
      <w:tblGrid>
        <w:gridCol w:w="1183"/>
        <w:gridCol w:w="608"/>
        <w:gridCol w:w="608"/>
        <w:gridCol w:w="608"/>
        <w:gridCol w:w="608"/>
        <w:gridCol w:w="608"/>
        <w:gridCol w:w="608"/>
        <w:gridCol w:w="608"/>
        <w:gridCol w:w="608"/>
        <w:gridCol w:w="608"/>
        <w:gridCol w:w="608"/>
        <w:gridCol w:w="608"/>
        <w:gridCol w:w="608"/>
        <w:gridCol w:w="608"/>
        <w:gridCol w:w="608"/>
        <w:gridCol w:w="608"/>
        <w:gridCol w:w="608"/>
        <w:gridCol w:w="608"/>
        <w:gridCol w:w="608"/>
        <w:gridCol w:w="608"/>
        <w:gridCol w:w="608"/>
      </w:tblGrid>
      <w:tr w:rsidR="00BC7A36" w:rsidRPr="00BC7A36" w14:paraId="78C4A577" w14:textId="77777777" w:rsidTr="043522AD">
        <w:trPr>
          <w:trHeight w:val="405"/>
        </w:trPr>
        <w:tc>
          <w:tcPr>
            <w:tcW w:w="1183" w:type="dxa"/>
            <w:tcBorders>
              <w:top w:val="single" w:sz="8" w:space="0" w:color="auto"/>
              <w:left w:val="single" w:sz="8" w:space="0" w:color="auto"/>
              <w:bottom w:val="single" w:sz="8" w:space="0" w:color="auto"/>
              <w:right w:val="single" w:sz="8" w:space="0" w:color="auto"/>
            </w:tcBorders>
            <w:shd w:val="clear" w:color="auto" w:fill="C1D5DF"/>
            <w:vAlign w:val="center"/>
            <w:hideMark/>
          </w:tcPr>
          <w:p w14:paraId="51254463" w14:textId="77777777" w:rsidR="00F14611" w:rsidRPr="007116EB" w:rsidRDefault="00F14611" w:rsidP="00330C09">
            <w:pPr>
              <w:spacing w:after="0"/>
              <w:rPr>
                <w:b/>
                <w:color w:val="000000"/>
                <w:sz w:val="20"/>
                <w:szCs w:val="20"/>
                <w:lang w:val="en-IE"/>
              </w:rPr>
            </w:pPr>
            <w:r w:rsidRPr="007116EB">
              <w:rPr>
                <w:b/>
                <w:color w:val="000000"/>
                <w:sz w:val="20"/>
                <w:szCs w:val="20"/>
                <w:lang w:val="en-IE"/>
              </w:rPr>
              <w:t>Year from expiry</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1DBD65E7"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-15</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05FB23E4"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-14</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0E9C948F"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-13</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27FBE44E"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-12</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05723A37"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-11</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0A2FF419"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-10</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6CB42BAF"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-9</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56FCD926"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-8</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3D237B52"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-7</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153EBD94"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-6</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22FB8081"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-5</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257D8F02"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-4</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5CE417C4"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-3</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3570A474"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-2</w:t>
            </w:r>
          </w:p>
        </w:tc>
        <w:tc>
          <w:tcPr>
            <w:tcW w:w="608" w:type="dxa"/>
            <w:tcBorders>
              <w:top w:val="single" w:sz="8" w:space="0" w:color="auto"/>
              <w:left w:val="nil"/>
              <w:bottom w:val="single" w:sz="8" w:space="0" w:color="auto"/>
              <w:right w:val="single" w:sz="8" w:space="0" w:color="auto"/>
            </w:tcBorders>
            <w:shd w:val="clear" w:color="auto" w:fill="DBE5F1" w:themeFill="accent1" w:themeFillTint="33"/>
            <w:vAlign w:val="center"/>
            <w:hideMark/>
          </w:tcPr>
          <w:p w14:paraId="3D61BF59"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w:t>
            </w:r>
          </w:p>
        </w:tc>
        <w:tc>
          <w:tcPr>
            <w:tcW w:w="608" w:type="dxa"/>
            <w:tcBorders>
              <w:top w:val="single" w:sz="8" w:space="0" w:color="auto"/>
              <w:left w:val="nil"/>
              <w:bottom w:val="single" w:sz="8" w:space="0" w:color="auto"/>
              <w:right w:val="single" w:sz="8" w:space="0" w:color="auto"/>
            </w:tcBorders>
            <w:shd w:val="clear" w:color="auto" w:fill="DDD9C3" w:themeFill="background2" w:themeFillShade="E6"/>
            <w:vAlign w:val="center"/>
            <w:hideMark/>
          </w:tcPr>
          <w:p w14:paraId="69F67E90"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0</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30625439"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4745D67D"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2</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5D4253B3"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3</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5491CF25"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4</w:t>
            </w:r>
          </w:p>
        </w:tc>
      </w:tr>
      <w:tr w:rsidR="00BC7A36" w:rsidRPr="00BC7A36" w14:paraId="71C317A0" w14:textId="77777777" w:rsidTr="043522AD">
        <w:trPr>
          <w:trHeight w:val="405"/>
        </w:trPr>
        <w:tc>
          <w:tcPr>
            <w:tcW w:w="1183" w:type="dxa"/>
            <w:tcBorders>
              <w:top w:val="nil"/>
              <w:left w:val="single" w:sz="8" w:space="0" w:color="auto"/>
              <w:bottom w:val="single" w:sz="8" w:space="0" w:color="auto"/>
              <w:right w:val="single" w:sz="8" w:space="0" w:color="auto"/>
            </w:tcBorders>
            <w:vAlign w:val="center"/>
            <w:hideMark/>
          </w:tcPr>
          <w:p w14:paraId="2B0CBD11" w14:textId="72ABE06C" w:rsidR="00F14611" w:rsidRPr="007116EB" w:rsidRDefault="00F14611" w:rsidP="00330C09">
            <w:pPr>
              <w:spacing w:after="0"/>
              <w:rPr>
                <w:color w:val="000000"/>
                <w:sz w:val="20"/>
                <w:szCs w:val="20"/>
                <w:lang w:val="en-IE"/>
              </w:rPr>
            </w:pPr>
            <w:r w:rsidRPr="007116EB">
              <w:rPr>
                <w:color w:val="000000"/>
                <w:sz w:val="20"/>
                <w:szCs w:val="20"/>
                <w:lang w:val="en-IE"/>
              </w:rPr>
              <w:t>Originator sales</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2BE1250"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5</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0D1586F"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A3A7E35"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23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1086FAD"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40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BB11112"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54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2E8B57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63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48716A3"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69</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D7C34B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73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0FF57F3"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80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EDDEEB3"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86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31B38AB"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93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659EAD6"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98</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292F11A"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100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A3858B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100</w:t>
            </w:r>
          </w:p>
        </w:tc>
        <w:tc>
          <w:tcPr>
            <w:tcW w:w="608" w:type="dxa"/>
            <w:tcBorders>
              <w:top w:val="nil"/>
              <w:left w:val="nil"/>
              <w:bottom w:val="single" w:sz="8" w:space="0" w:color="auto"/>
              <w:right w:val="single" w:sz="8" w:space="0" w:color="auto"/>
            </w:tcBorders>
            <w:shd w:val="clear" w:color="auto" w:fill="DBE5F1" w:themeFill="accent1" w:themeFillTint="33"/>
            <w:vAlign w:val="center"/>
            <w:hideMark/>
          </w:tcPr>
          <w:p w14:paraId="0EB088BA"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100</w:t>
            </w:r>
          </w:p>
        </w:tc>
        <w:tc>
          <w:tcPr>
            <w:tcW w:w="608" w:type="dxa"/>
            <w:tcBorders>
              <w:top w:val="nil"/>
              <w:left w:val="nil"/>
              <w:bottom w:val="single" w:sz="8" w:space="0" w:color="auto"/>
              <w:right w:val="single" w:sz="8" w:space="0" w:color="auto"/>
            </w:tcBorders>
            <w:shd w:val="clear" w:color="auto" w:fill="DDD9C3" w:themeFill="background2" w:themeFillShade="E6"/>
            <w:vAlign w:val="center"/>
            <w:hideMark/>
          </w:tcPr>
          <w:p w14:paraId="257A010B" w14:textId="67EEF6BF" w:rsidR="00F14611" w:rsidRPr="007116EB" w:rsidRDefault="00992022" w:rsidP="00330C09">
            <w:pPr>
              <w:spacing w:after="0"/>
              <w:jc w:val="center"/>
              <w:rPr>
                <w:color w:val="000000"/>
                <w:sz w:val="20"/>
                <w:szCs w:val="20"/>
                <w:lang w:val="en-IE"/>
              </w:rPr>
            </w:pPr>
            <w:r w:rsidRPr="007116EB">
              <w:rPr>
                <w:color w:val="000000"/>
                <w:sz w:val="20"/>
                <w:szCs w:val="20"/>
                <w:lang w:val="en-IE"/>
              </w:rPr>
              <w:t>95</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486C2AF" w14:textId="365BA410" w:rsidR="00F14611" w:rsidRPr="007116EB" w:rsidRDefault="00992022" w:rsidP="00330C09">
            <w:pPr>
              <w:spacing w:after="0"/>
              <w:jc w:val="center"/>
              <w:rPr>
                <w:color w:val="000000"/>
                <w:sz w:val="20"/>
                <w:szCs w:val="20"/>
                <w:lang w:val="en-IE"/>
              </w:rPr>
            </w:pPr>
            <w:r w:rsidRPr="007116EB">
              <w:rPr>
                <w:color w:val="000000"/>
                <w:sz w:val="20"/>
                <w:szCs w:val="20"/>
                <w:lang w:val="en-IE"/>
              </w:rPr>
              <w:t>88</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0E79C8C" w14:textId="65847A2A" w:rsidR="00F14611" w:rsidRPr="007116EB" w:rsidRDefault="00992022" w:rsidP="00330C09">
            <w:pPr>
              <w:spacing w:after="0"/>
              <w:jc w:val="center"/>
              <w:rPr>
                <w:color w:val="000000"/>
                <w:sz w:val="20"/>
                <w:szCs w:val="20"/>
                <w:lang w:val="en-IE"/>
              </w:rPr>
            </w:pPr>
            <w:r w:rsidRPr="007116EB">
              <w:rPr>
                <w:color w:val="000000"/>
                <w:sz w:val="20"/>
                <w:szCs w:val="20"/>
                <w:lang w:val="en-IE"/>
              </w:rPr>
              <w:t>80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06D930E" w14:textId="55981DB6" w:rsidR="00F14611" w:rsidRPr="007116EB" w:rsidRDefault="00992022" w:rsidP="00330C09">
            <w:pPr>
              <w:spacing w:after="0"/>
              <w:jc w:val="center"/>
              <w:rPr>
                <w:color w:val="000000"/>
                <w:sz w:val="20"/>
                <w:szCs w:val="20"/>
                <w:lang w:val="en-IE"/>
              </w:rPr>
            </w:pPr>
            <w:r w:rsidRPr="007116EB">
              <w:rPr>
                <w:color w:val="000000"/>
                <w:sz w:val="20"/>
                <w:szCs w:val="20"/>
                <w:lang w:val="en-IE"/>
              </w:rPr>
              <w:t>71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6AF6503" w14:textId="16809F47" w:rsidR="00F14611" w:rsidRPr="007116EB" w:rsidRDefault="00992022" w:rsidP="00330C09">
            <w:pPr>
              <w:spacing w:after="0"/>
              <w:jc w:val="center"/>
              <w:rPr>
                <w:color w:val="000000"/>
                <w:sz w:val="20"/>
                <w:szCs w:val="20"/>
                <w:lang w:val="en-IE"/>
              </w:rPr>
            </w:pPr>
            <w:r w:rsidRPr="007116EB">
              <w:rPr>
                <w:color w:val="000000"/>
                <w:sz w:val="20"/>
                <w:szCs w:val="20"/>
                <w:lang w:val="en-IE"/>
              </w:rPr>
              <w:t>64</w:t>
            </w:r>
          </w:p>
        </w:tc>
      </w:tr>
      <w:tr w:rsidR="00BC7A36" w:rsidRPr="00BC7A36" w14:paraId="5FC6002B" w14:textId="77777777" w:rsidTr="043522AD">
        <w:trPr>
          <w:trHeight w:val="405"/>
        </w:trPr>
        <w:tc>
          <w:tcPr>
            <w:tcW w:w="1183" w:type="dxa"/>
            <w:tcBorders>
              <w:top w:val="nil"/>
              <w:left w:val="single" w:sz="8" w:space="0" w:color="auto"/>
              <w:bottom w:val="single" w:sz="8" w:space="0" w:color="auto"/>
              <w:right w:val="single" w:sz="8" w:space="0" w:color="auto"/>
            </w:tcBorders>
            <w:vAlign w:val="center"/>
            <w:hideMark/>
          </w:tcPr>
          <w:p w14:paraId="784B6E72" w14:textId="30631280" w:rsidR="00F14611" w:rsidRPr="007116EB" w:rsidRDefault="15C08B81" w:rsidP="00330C09">
            <w:pPr>
              <w:spacing w:after="0"/>
              <w:rPr>
                <w:color w:val="000000"/>
                <w:sz w:val="20"/>
                <w:szCs w:val="20"/>
                <w:lang w:val="en-IE"/>
              </w:rPr>
            </w:pPr>
            <w:r w:rsidRPr="007116EB">
              <w:rPr>
                <w:rFonts w:eastAsia="Times New Roman"/>
                <w:color w:val="000000" w:themeColor="text1"/>
                <w:sz w:val="20"/>
                <w:szCs w:val="20"/>
                <w:lang w:val="en-IE" w:eastAsia="en-IE"/>
              </w:rPr>
              <w:t>Biosimilar</w:t>
            </w:r>
            <w:r w:rsidRPr="007116EB">
              <w:rPr>
                <w:color w:val="000000" w:themeColor="text1"/>
                <w:sz w:val="20"/>
                <w:szCs w:val="20"/>
                <w:lang w:val="en-IE"/>
              </w:rPr>
              <w:t xml:space="preserve"> </w:t>
            </w:r>
            <w:r w:rsidR="7BC3C911" w:rsidRPr="007116EB">
              <w:rPr>
                <w:color w:val="000000" w:themeColor="text1"/>
                <w:sz w:val="20"/>
                <w:szCs w:val="20"/>
                <w:lang w:val="en-IE"/>
              </w:rPr>
              <w:t>sales</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0D90660"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0D64733"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7763D74"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E206CE2"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CFE053F"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81C387F"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DB04EA9"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FC659CD"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76FCDF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73E2573"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62F6BA5"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4415BA1"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A64FC4A"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F2F83B1"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DBE5F1" w:themeFill="accent1" w:themeFillTint="33"/>
            <w:vAlign w:val="center"/>
            <w:hideMark/>
          </w:tcPr>
          <w:p w14:paraId="7CDBEAD9"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DDD9C3" w:themeFill="background2" w:themeFillShade="E6"/>
            <w:vAlign w:val="center"/>
            <w:hideMark/>
          </w:tcPr>
          <w:p w14:paraId="1BCD86F6"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6BF5639"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55B8DCA"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12</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45B6A5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20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20BF515"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27</w:t>
            </w:r>
          </w:p>
        </w:tc>
      </w:tr>
      <w:tr w:rsidR="00BC7A36" w:rsidRPr="00BC7A36" w14:paraId="3A14F2D9" w14:textId="77777777" w:rsidTr="043522AD">
        <w:trPr>
          <w:trHeight w:val="405"/>
        </w:trPr>
        <w:tc>
          <w:tcPr>
            <w:tcW w:w="1183" w:type="dxa"/>
            <w:tcBorders>
              <w:top w:val="nil"/>
              <w:left w:val="single" w:sz="8" w:space="0" w:color="auto"/>
              <w:bottom w:val="single" w:sz="8" w:space="0" w:color="auto"/>
              <w:right w:val="single" w:sz="8" w:space="0" w:color="auto"/>
            </w:tcBorders>
            <w:vAlign w:val="center"/>
            <w:hideMark/>
          </w:tcPr>
          <w:p w14:paraId="4A014DC8" w14:textId="77777777" w:rsidR="00F14611" w:rsidRPr="007116EB" w:rsidRDefault="00F14611" w:rsidP="00330C09">
            <w:pPr>
              <w:spacing w:after="0"/>
              <w:rPr>
                <w:b/>
                <w:color w:val="000000"/>
                <w:sz w:val="20"/>
                <w:szCs w:val="20"/>
                <w:lang w:val="en-IE"/>
              </w:rPr>
            </w:pPr>
            <w:r w:rsidRPr="007116EB">
              <w:rPr>
                <w:b/>
                <w:color w:val="000000"/>
                <w:sz w:val="20"/>
                <w:szCs w:val="20"/>
                <w:lang w:val="en-IE"/>
              </w:rPr>
              <w:t>Total sales</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F11DB88"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5</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B1FBD22"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BA79B30"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23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7F9787A"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40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88F937F"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54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71A4B4D"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63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6C78C7B"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69</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0653DC7"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73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6FFAEC6"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80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9E08D3C"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86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697368C"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93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2148D72"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98</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9834087"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100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B4F6D62"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100</w:t>
            </w:r>
          </w:p>
        </w:tc>
        <w:tc>
          <w:tcPr>
            <w:tcW w:w="608" w:type="dxa"/>
            <w:tcBorders>
              <w:top w:val="nil"/>
              <w:left w:val="nil"/>
              <w:bottom w:val="single" w:sz="8" w:space="0" w:color="auto"/>
              <w:right w:val="single" w:sz="8" w:space="0" w:color="auto"/>
            </w:tcBorders>
            <w:shd w:val="clear" w:color="auto" w:fill="DBE5F1" w:themeFill="accent1" w:themeFillTint="33"/>
            <w:vAlign w:val="center"/>
            <w:hideMark/>
          </w:tcPr>
          <w:p w14:paraId="712429A2"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100</w:t>
            </w:r>
          </w:p>
        </w:tc>
        <w:tc>
          <w:tcPr>
            <w:tcW w:w="608" w:type="dxa"/>
            <w:tcBorders>
              <w:top w:val="nil"/>
              <w:left w:val="nil"/>
              <w:bottom w:val="single" w:sz="8" w:space="0" w:color="auto"/>
              <w:right w:val="single" w:sz="8" w:space="0" w:color="auto"/>
            </w:tcBorders>
            <w:shd w:val="clear" w:color="auto" w:fill="DDD9C3" w:themeFill="background2" w:themeFillShade="E6"/>
            <w:vAlign w:val="center"/>
            <w:hideMark/>
          </w:tcPr>
          <w:p w14:paraId="135E0E4F"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98</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A57BA41"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94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2910304"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92</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02D7B29"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91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BDA8B0A"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90</w:t>
            </w:r>
          </w:p>
        </w:tc>
      </w:tr>
      <w:tr w:rsidR="00F14611" w:rsidRPr="00E5568D" w14:paraId="38F15009" w14:textId="77777777" w:rsidTr="043522AD">
        <w:trPr>
          <w:trHeight w:val="405"/>
        </w:trPr>
        <w:tc>
          <w:tcPr>
            <w:tcW w:w="1183" w:type="dxa"/>
            <w:tcBorders>
              <w:top w:val="nil"/>
              <w:left w:val="single" w:sz="8" w:space="0" w:color="auto"/>
              <w:bottom w:val="single" w:sz="8" w:space="0" w:color="auto"/>
              <w:right w:val="single" w:sz="8" w:space="0" w:color="auto"/>
            </w:tcBorders>
            <w:vAlign w:val="center"/>
            <w:hideMark/>
          </w:tcPr>
          <w:p w14:paraId="50B54C91" w14:textId="77777777" w:rsidR="00F14611" w:rsidRPr="007116EB" w:rsidRDefault="00F14611" w:rsidP="00330C09">
            <w:pPr>
              <w:spacing w:after="0"/>
              <w:rPr>
                <w:color w:val="000000"/>
                <w:sz w:val="20"/>
                <w:szCs w:val="20"/>
                <w:lang w:val="en-IE"/>
              </w:rPr>
            </w:pPr>
            <w:r w:rsidRPr="007116EB">
              <w:rPr>
                <w:color w:val="000000"/>
                <w:sz w:val="20"/>
                <w:szCs w:val="20"/>
                <w:lang w:val="en-IE"/>
              </w:rPr>
              <w:t>Originator volume</w:t>
            </w:r>
          </w:p>
        </w:tc>
        <w:tc>
          <w:tcPr>
            <w:tcW w:w="608" w:type="dxa"/>
            <w:tcBorders>
              <w:top w:val="nil"/>
              <w:left w:val="nil"/>
              <w:bottom w:val="single" w:sz="8" w:space="0" w:color="auto"/>
              <w:right w:val="single" w:sz="8" w:space="0" w:color="auto"/>
            </w:tcBorders>
            <w:vAlign w:val="center"/>
            <w:hideMark/>
          </w:tcPr>
          <w:p w14:paraId="5647396E"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4</w:t>
            </w:r>
          </w:p>
        </w:tc>
        <w:tc>
          <w:tcPr>
            <w:tcW w:w="608" w:type="dxa"/>
            <w:tcBorders>
              <w:top w:val="nil"/>
              <w:left w:val="nil"/>
              <w:bottom w:val="single" w:sz="8" w:space="0" w:color="auto"/>
              <w:right w:val="single" w:sz="8" w:space="0" w:color="auto"/>
            </w:tcBorders>
            <w:vAlign w:val="center"/>
            <w:hideMark/>
          </w:tcPr>
          <w:p w14:paraId="05731A3D"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10</w:t>
            </w:r>
          </w:p>
        </w:tc>
        <w:tc>
          <w:tcPr>
            <w:tcW w:w="608" w:type="dxa"/>
            <w:tcBorders>
              <w:top w:val="nil"/>
              <w:left w:val="nil"/>
              <w:bottom w:val="single" w:sz="8" w:space="0" w:color="auto"/>
              <w:right w:val="single" w:sz="8" w:space="0" w:color="auto"/>
            </w:tcBorders>
            <w:vAlign w:val="center"/>
            <w:hideMark/>
          </w:tcPr>
          <w:p w14:paraId="2BC25181"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16</w:t>
            </w:r>
          </w:p>
        </w:tc>
        <w:tc>
          <w:tcPr>
            <w:tcW w:w="608" w:type="dxa"/>
            <w:tcBorders>
              <w:top w:val="nil"/>
              <w:left w:val="nil"/>
              <w:bottom w:val="single" w:sz="8" w:space="0" w:color="auto"/>
              <w:right w:val="single" w:sz="8" w:space="0" w:color="auto"/>
            </w:tcBorders>
            <w:vAlign w:val="center"/>
            <w:hideMark/>
          </w:tcPr>
          <w:p w14:paraId="58BD964E"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28</w:t>
            </w:r>
          </w:p>
        </w:tc>
        <w:tc>
          <w:tcPr>
            <w:tcW w:w="608" w:type="dxa"/>
            <w:tcBorders>
              <w:top w:val="nil"/>
              <w:left w:val="nil"/>
              <w:bottom w:val="single" w:sz="8" w:space="0" w:color="auto"/>
              <w:right w:val="single" w:sz="8" w:space="0" w:color="auto"/>
            </w:tcBorders>
            <w:vAlign w:val="center"/>
            <w:hideMark/>
          </w:tcPr>
          <w:p w14:paraId="7C3C235F"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37</w:t>
            </w:r>
          </w:p>
        </w:tc>
        <w:tc>
          <w:tcPr>
            <w:tcW w:w="608" w:type="dxa"/>
            <w:tcBorders>
              <w:top w:val="nil"/>
              <w:left w:val="nil"/>
              <w:bottom w:val="single" w:sz="8" w:space="0" w:color="auto"/>
              <w:right w:val="single" w:sz="8" w:space="0" w:color="auto"/>
            </w:tcBorders>
            <w:vAlign w:val="center"/>
            <w:hideMark/>
          </w:tcPr>
          <w:p w14:paraId="2A25E913"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46</w:t>
            </w:r>
          </w:p>
        </w:tc>
        <w:tc>
          <w:tcPr>
            <w:tcW w:w="608" w:type="dxa"/>
            <w:tcBorders>
              <w:top w:val="nil"/>
              <w:left w:val="nil"/>
              <w:bottom w:val="single" w:sz="8" w:space="0" w:color="auto"/>
              <w:right w:val="single" w:sz="8" w:space="0" w:color="auto"/>
            </w:tcBorders>
            <w:vAlign w:val="center"/>
            <w:hideMark/>
          </w:tcPr>
          <w:p w14:paraId="0B6B579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54</w:t>
            </w:r>
          </w:p>
        </w:tc>
        <w:tc>
          <w:tcPr>
            <w:tcW w:w="608" w:type="dxa"/>
            <w:tcBorders>
              <w:top w:val="nil"/>
              <w:left w:val="nil"/>
              <w:bottom w:val="single" w:sz="8" w:space="0" w:color="auto"/>
              <w:right w:val="single" w:sz="8" w:space="0" w:color="auto"/>
            </w:tcBorders>
            <w:vAlign w:val="center"/>
            <w:hideMark/>
          </w:tcPr>
          <w:p w14:paraId="300C25F5"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60</w:t>
            </w:r>
          </w:p>
        </w:tc>
        <w:tc>
          <w:tcPr>
            <w:tcW w:w="608" w:type="dxa"/>
            <w:tcBorders>
              <w:top w:val="nil"/>
              <w:left w:val="nil"/>
              <w:bottom w:val="single" w:sz="8" w:space="0" w:color="auto"/>
              <w:right w:val="single" w:sz="8" w:space="0" w:color="auto"/>
            </w:tcBorders>
            <w:vAlign w:val="center"/>
            <w:hideMark/>
          </w:tcPr>
          <w:p w14:paraId="5D18E345"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69</w:t>
            </w:r>
          </w:p>
        </w:tc>
        <w:tc>
          <w:tcPr>
            <w:tcW w:w="608" w:type="dxa"/>
            <w:tcBorders>
              <w:top w:val="nil"/>
              <w:left w:val="nil"/>
              <w:bottom w:val="single" w:sz="8" w:space="0" w:color="auto"/>
              <w:right w:val="single" w:sz="8" w:space="0" w:color="auto"/>
            </w:tcBorders>
            <w:vAlign w:val="center"/>
            <w:hideMark/>
          </w:tcPr>
          <w:p w14:paraId="1ED3C1E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77</w:t>
            </w:r>
          </w:p>
        </w:tc>
        <w:tc>
          <w:tcPr>
            <w:tcW w:w="608" w:type="dxa"/>
            <w:tcBorders>
              <w:top w:val="nil"/>
              <w:left w:val="nil"/>
              <w:bottom w:val="single" w:sz="8" w:space="0" w:color="auto"/>
              <w:right w:val="single" w:sz="8" w:space="0" w:color="auto"/>
            </w:tcBorders>
            <w:vAlign w:val="center"/>
            <w:hideMark/>
          </w:tcPr>
          <w:p w14:paraId="3CC2B414"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85</w:t>
            </w:r>
          </w:p>
        </w:tc>
        <w:tc>
          <w:tcPr>
            <w:tcW w:w="608" w:type="dxa"/>
            <w:tcBorders>
              <w:top w:val="nil"/>
              <w:left w:val="nil"/>
              <w:bottom w:val="single" w:sz="8" w:space="0" w:color="auto"/>
              <w:right w:val="single" w:sz="8" w:space="0" w:color="auto"/>
            </w:tcBorders>
            <w:vAlign w:val="center"/>
            <w:hideMark/>
          </w:tcPr>
          <w:p w14:paraId="1483321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92</w:t>
            </w:r>
          </w:p>
        </w:tc>
        <w:tc>
          <w:tcPr>
            <w:tcW w:w="608" w:type="dxa"/>
            <w:tcBorders>
              <w:top w:val="nil"/>
              <w:left w:val="nil"/>
              <w:bottom w:val="single" w:sz="8" w:space="0" w:color="auto"/>
              <w:right w:val="single" w:sz="8" w:space="0" w:color="auto"/>
            </w:tcBorders>
            <w:vAlign w:val="center"/>
            <w:hideMark/>
          </w:tcPr>
          <w:p w14:paraId="0825797F"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97</w:t>
            </w:r>
          </w:p>
        </w:tc>
        <w:tc>
          <w:tcPr>
            <w:tcW w:w="608" w:type="dxa"/>
            <w:tcBorders>
              <w:top w:val="nil"/>
              <w:left w:val="nil"/>
              <w:bottom w:val="single" w:sz="8" w:space="0" w:color="auto"/>
              <w:right w:val="single" w:sz="8" w:space="0" w:color="auto"/>
            </w:tcBorders>
            <w:vAlign w:val="center"/>
            <w:hideMark/>
          </w:tcPr>
          <w:p w14:paraId="20B2A826"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99</w:t>
            </w:r>
          </w:p>
        </w:tc>
        <w:tc>
          <w:tcPr>
            <w:tcW w:w="608" w:type="dxa"/>
            <w:tcBorders>
              <w:top w:val="nil"/>
              <w:left w:val="nil"/>
              <w:bottom w:val="single" w:sz="8" w:space="0" w:color="auto"/>
              <w:right w:val="single" w:sz="8" w:space="0" w:color="auto"/>
            </w:tcBorders>
            <w:shd w:val="clear" w:color="auto" w:fill="DBE5F1" w:themeFill="accent1" w:themeFillTint="33"/>
            <w:vAlign w:val="center"/>
            <w:hideMark/>
          </w:tcPr>
          <w:p w14:paraId="00E97753"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101</w:t>
            </w:r>
          </w:p>
        </w:tc>
        <w:tc>
          <w:tcPr>
            <w:tcW w:w="608" w:type="dxa"/>
            <w:tcBorders>
              <w:top w:val="nil"/>
              <w:left w:val="nil"/>
              <w:bottom w:val="single" w:sz="8" w:space="0" w:color="auto"/>
              <w:right w:val="single" w:sz="8" w:space="0" w:color="auto"/>
            </w:tcBorders>
            <w:shd w:val="clear" w:color="auto" w:fill="DDD9C3" w:themeFill="background2" w:themeFillShade="E6"/>
            <w:vAlign w:val="center"/>
            <w:hideMark/>
          </w:tcPr>
          <w:p w14:paraId="17936380"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97</w:t>
            </w:r>
          </w:p>
        </w:tc>
        <w:tc>
          <w:tcPr>
            <w:tcW w:w="608" w:type="dxa"/>
            <w:tcBorders>
              <w:top w:val="nil"/>
              <w:left w:val="nil"/>
              <w:bottom w:val="single" w:sz="8" w:space="0" w:color="auto"/>
              <w:right w:val="single" w:sz="8" w:space="0" w:color="auto"/>
            </w:tcBorders>
            <w:vAlign w:val="center"/>
            <w:hideMark/>
          </w:tcPr>
          <w:p w14:paraId="0C5CEFC2"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92</w:t>
            </w:r>
          </w:p>
        </w:tc>
        <w:tc>
          <w:tcPr>
            <w:tcW w:w="608" w:type="dxa"/>
            <w:tcBorders>
              <w:top w:val="nil"/>
              <w:left w:val="nil"/>
              <w:bottom w:val="single" w:sz="8" w:space="0" w:color="auto"/>
              <w:right w:val="single" w:sz="8" w:space="0" w:color="auto"/>
            </w:tcBorders>
            <w:vAlign w:val="center"/>
            <w:hideMark/>
          </w:tcPr>
          <w:p w14:paraId="6466A4AD"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85</w:t>
            </w:r>
          </w:p>
        </w:tc>
        <w:tc>
          <w:tcPr>
            <w:tcW w:w="608" w:type="dxa"/>
            <w:tcBorders>
              <w:top w:val="nil"/>
              <w:left w:val="nil"/>
              <w:bottom w:val="single" w:sz="8" w:space="0" w:color="auto"/>
              <w:right w:val="single" w:sz="8" w:space="0" w:color="auto"/>
            </w:tcBorders>
            <w:vAlign w:val="center"/>
            <w:hideMark/>
          </w:tcPr>
          <w:p w14:paraId="50C87613"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78</w:t>
            </w:r>
          </w:p>
        </w:tc>
        <w:tc>
          <w:tcPr>
            <w:tcW w:w="608" w:type="dxa"/>
            <w:tcBorders>
              <w:top w:val="nil"/>
              <w:left w:val="nil"/>
              <w:bottom w:val="single" w:sz="8" w:space="0" w:color="auto"/>
              <w:right w:val="single" w:sz="8" w:space="0" w:color="auto"/>
            </w:tcBorders>
            <w:vAlign w:val="center"/>
            <w:hideMark/>
          </w:tcPr>
          <w:p w14:paraId="35668461"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73</w:t>
            </w:r>
          </w:p>
        </w:tc>
      </w:tr>
      <w:tr w:rsidR="00F14611" w:rsidRPr="00E5568D" w14:paraId="0BB491D3" w14:textId="77777777" w:rsidTr="043522AD">
        <w:trPr>
          <w:trHeight w:val="405"/>
        </w:trPr>
        <w:tc>
          <w:tcPr>
            <w:tcW w:w="1183" w:type="dxa"/>
            <w:tcBorders>
              <w:top w:val="nil"/>
              <w:left w:val="single" w:sz="8" w:space="0" w:color="auto"/>
              <w:bottom w:val="single" w:sz="8" w:space="0" w:color="auto"/>
              <w:right w:val="single" w:sz="8" w:space="0" w:color="auto"/>
            </w:tcBorders>
            <w:vAlign w:val="center"/>
            <w:hideMark/>
          </w:tcPr>
          <w:p w14:paraId="1C983819" w14:textId="63C98E4B" w:rsidR="00F14611" w:rsidRPr="007116EB" w:rsidRDefault="78EEE987" w:rsidP="00330C09">
            <w:pPr>
              <w:spacing w:after="0"/>
              <w:rPr>
                <w:color w:val="000000"/>
                <w:sz w:val="20"/>
                <w:szCs w:val="20"/>
                <w:lang w:val="en-IE"/>
              </w:rPr>
            </w:pPr>
            <w:r w:rsidRPr="007116EB">
              <w:rPr>
                <w:rFonts w:eastAsia="Times New Roman"/>
                <w:color w:val="000000" w:themeColor="text1"/>
                <w:sz w:val="20"/>
                <w:szCs w:val="20"/>
                <w:lang w:val="en-IE" w:eastAsia="en-IE"/>
              </w:rPr>
              <w:t>Biosimilar</w:t>
            </w:r>
            <w:r w:rsidR="7BC3C911" w:rsidRPr="007116EB">
              <w:rPr>
                <w:color w:val="000000" w:themeColor="text1"/>
                <w:sz w:val="20"/>
                <w:szCs w:val="20"/>
                <w:lang w:val="en-IE"/>
              </w:rPr>
              <w:t xml:space="preserve"> volume</w:t>
            </w:r>
          </w:p>
        </w:tc>
        <w:tc>
          <w:tcPr>
            <w:tcW w:w="608" w:type="dxa"/>
            <w:tcBorders>
              <w:top w:val="nil"/>
              <w:left w:val="nil"/>
              <w:bottom w:val="single" w:sz="8" w:space="0" w:color="auto"/>
              <w:right w:val="single" w:sz="8" w:space="0" w:color="auto"/>
            </w:tcBorders>
            <w:vAlign w:val="center"/>
            <w:hideMark/>
          </w:tcPr>
          <w:p w14:paraId="16ACCDD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vAlign w:val="center"/>
            <w:hideMark/>
          </w:tcPr>
          <w:p w14:paraId="7E621BED"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vAlign w:val="center"/>
            <w:hideMark/>
          </w:tcPr>
          <w:p w14:paraId="14D65D5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vAlign w:val="center"/>
            <w:hideMark/>
          </w:tcPr>
          <w:p w14:paraId="7EC7B163"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vAlign w:val="center"/>
            <w:hideMark/>
          </w:tcPr>
          <w:p w14:paraId="4DED1A8D"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vAlign w:val="center"/>
            <w:hideMark/>
          </w:tcPr>
          <w:p w14:paraId="1C20692B"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vAlign w:val="center"/>
            <w:hideMark/>
          </w:tcPr>
          <w:p w14:paraId="226F5736"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vAlign w:val="center"/>
            <w:hideMark/>
          </w:tcPr>
          <w:p w14:paraId="24717C20"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vAlign w:val="center"/>
            <w:hideMark/>
          </w:tcPr>
          <w:p w14:paraId="30B3925F"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vAlign w:val="center"/>
            <w:hideMark/>
          </w:tcPr>
          <w:p w14:paraId="74030992"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vAlign w:val="center"/>
            <w:hideMark/>
          </w:tcPr>
          <w:p w14:paraId="339315AF"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vAlign w:val="center"/>
            <w:hideMark/>
          </w:tcPr>
          <w:p w14:paraId="2CB3A6ED"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vAlign w:val="center"/>
            <w:hideMark/>
          </w:tcPr>
          <w:p w14:paraId="0317AF76"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vAlign w:val="center"/>
            <w:hideMark/>
          </w:tcPr>
          <w:p w14:paraId="3EB301C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DBE5F1" w:themeFill="accent1" w:themeFillTint="33"/>
            <w:vAlign w:val="center"/>
            <w:hideMark/>
          </w:tcPr>
          <w:p w14:paraId="74582D2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DDD9C3" w:themeFill="background2" w:themeFillShade="E6"/>
            <w:vAlign w:val="center"/>
            <w:hideMark/>
          </w:tcPr>
          <w:p w14:paraId="75C9E7D1"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4</w:t>
            </w:r>
          </w:p>
        </w:tc>
        <w:tc>
          <w:tcPr>
            <w:tcW w:w="608" w:type="dxa"/>
            <w:tcBorders>
              <w:top w:val="nil"/>
              <w:left w:val="nil"/>
              <w:bottom w:val="single" w:sz="8" w:space="0" w:color="auto"/>
              <w:right w:val="single" w:sz="8" w:space="0" w:color="auto"/>
            </w:tcBorders>
            <w:vAlign w:val="center"/>
            <w:hideMark/>
          </w:tcPr>
          <w:p w14:paraId="5DCF406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9</w:t>
            </w:r>
          </w:p>
        </w:tc>
        <w:tc>
          <w:tcPr>
            <w:tcW w:w="608" w:type="dxa"/>
            <w:tcBorders>
              <w:top w:val="nil"/>
              <w:left w:val="nil"/>
              <w:bottom w:val="single" w:sz="8" w:space="0" w:color="auto"/>
              <w:right w:val="single" w:sz="8" w:space="0" w:color="auto"/>
            </w:tcBorders>
            <w:vAlign w:val="center"/>
            <w:hideMark/>
          </w:tcPr>
          <w:p w14:paraId="72E7670B"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20</w:t>
            </w:r>
          </w:p>
        </w:tc>
        <w:tc>
          <w:tcPr>
            <w:tcW w:w="608" w:type="dxa"/>
            <w:tcBorders>
              <w:top w:val="nil"/>
              <w:left w:val="nil"/>
              <w:bottom w:val="single" w:sz="8" w:space="0" w:color="auto"/>
              <w:right w:val="single" w:sz="8" w:space="0" w:color="auto"/>
            </w:tcBorders>
            <w:vAlign w:val="center"/>
            <w:hideMark/>
          </w:tcPr>
          <w:p w14:paraId="3268FBD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35</w:t>
            </w:r>
          </w:p>
        </w:tc>
        <w:tc>
          <w:tcPr>
            <w:tcW w:w="608" w:type="dxa"/>
            <w:tcBorders>
              <w:top w:val="nil"/>
              <w:left w:val="nil"/>
              <w:bottom w:val="single" w:sz="8" w:space="0" w:color="auto"/>
              <w:right w:val="single" w:sz="8" w:space="0" w:color="auto"/>
            </w:tcBorders>
            <w:vAlign w:val="center"/>
            <w:hideMark/>
          </w:tcPr>
          <w:p w14:paraId="00926836"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49</w:t>
            </w:r>
          </w:p>
        </w:tc>
      </w:tr>
      <w:tr w:rsidR="00BC7A36" w:rsidRPr="00BC7A36" w14:paraId="6CE5380A" w14:textId="77777777" w:rsidTr="043522AD">
        <w:trPr>
          <w:trHeight w:val="405"/>
        </w:trPr>
        <w:tc>
          <w:tcPr>
            <w:tcW w:w="1183" w:type="dxa"/>
            <w:tcBorders>
              <w:top w:val="nil"/>
              <w:left w:val="single" w:sz="8" w:space="0" w:color="auto"/>
              <w:bottom w:val="single" w:sz="8" w:space="0" w:color="auto"/>
              <w:right w:val="single" w:sz="8" w:space="0" w:color="auto"/>
            </w:tcBorders>
            <w:vAlign w:val="center"/>
            <w:hideMark/>
          </w:tcPr>
          <w:p w14:paraId="294AF398" w14:textId="77777777" w:rsidR="00F14611" w:rsidRPr="007116EB" w:rsidRDefault="00F14611" w:rsidP="00330C09">
            <w:pPr>
              <w:spacing w:after="0"/>
              <w:rPr>
                <w:b/>
                <w:color w:val="000000"/>
                <w:sz w:val="20"/>
                <w:szCs w:val="20"/>
                <w:lang w:val="en-IE"/>
              </w:rPr>
            </w:pPr>
            <w:r w:rsidRPr="007116EB">
              <w:rPr>
                <w:b/>
                <w:color w:val="000000"/>
                <w:sz w:val="20"/>
                <w:szCs w:val="20"/>
                <w:lang w:val="en-IE"/>
              </w:rPr>
              <w:t>Total volume</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B6FC614"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A0EC3C5"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3793E46"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D56D7E0"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28</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7A47B0D"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37</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C1170ED"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46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425E759"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54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D292477"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60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E68A89F"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69</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019A8DD"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77</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36FFC9B"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85</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A3A8360"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92</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1CED523"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97</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6D382B2"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99</w:t>
            </w:r>
          </w:p>
        </w:tc>
        <w:tc>
          <w:tcPr>
            <w:tcW w:w="608" w:type="dxa"/>
            <w:tcBorders>
              <w:top w:val="nil"/>
              <w:left w:val="nil"/>
              <w:bottom w:val="single" w:sz="8" w:space="0" w:color="auto"/>
              <w:right w:val="single" w:sz="8" w:space="0" w:color="auto"/>
            </w:tcBorders>
            <w:shd w:val="clear" w:color="auto" w:fill="DBE5F1" w:themeFill="accent1" w:themeFillTint="33"/>
            <w:vAlign w:val="center"/>
            <w:hideMark/>
          </w:tcPr>
          <w:p w14:paraId="6B49BE7A"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101</w:t>
            </w:r>
          </w:p>
        </w:tc>
        <w:tc>
          <w:tcPr>
            <w:tcW w:w="608" w:type="dxa"/>
            <w:tcBorders>
              <w:top w:val="nil"/>
              <w:left w:val="nil"/>
              <w:bottom w:val="single" w:sz="8" w:space="0" w:color="auto"/>
              <w:right w:val="single" w:sz="8" w:space="0" w:color="auto"/>
            </w:tcBorders>
            <w:shd w:val="clear" w:color="auto" w:fill="DDD9C3" w:themeFill="background2" w:themeFillShade="E6"/>
            <w:vAlign w:val="center"/>
            <w:hideMark/>
          </w:tcPr>
          <w:p w14:paraId="071D4A08"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101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9ADC431"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101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A4C3083"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105</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7EE11F2"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114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3332A29"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122</w:t>
            </w:r>
          </w:p>
        </w:tc>
      </w:tr>
      <w:tr w:rsidR="00E5568D" w:rsidRPr="00E5568D" w14:paraId="32147F6C" w14:textId="77777777" w:rsidTr="043522AD">
        <w:trPr>
          <w:trHeight w:val="405"/>
        </w:trPr>
        <w:tc>
          <w:tcPr>
            <w:tcW w:w="1183" w:type="dxa"/>
            <w:tcBorders>
              <w:top w:val="nil"/>
              <w:left w:val="single" w:sz="8" w:space="0" w:color="auto"/>
              <w:bottom w:val="single" w:sz="8" w:space="0" w:color="auto"/>
              <w:right w:val="single" w:sz="8" w:space="0" w:color="auto"/>
            </w:tcBorders>
            <w:vAlign w:val="center"/>
            <w:hideMark/>
          </w:tcPr>
          <w:p w14:paraId="30A3CCF9" w14:textId="77777777" w:rsidR="00F14611" w:rsidRPr="007116EB" w:rsidRDefault="00F14611" w:rsidP="00330C09">
            <w:pPr>
              <w:spacing w:after="0"/>
              <w:rPr>
                <w:color w:val="000000"/>
                <w:sz w:val="20"/>
                <w:szCs w:val="20"/>
                <w:lang w:val="en-IE"/>
              </w:rPr>
            </w:pPr>
            <w:r w:rsidRPr="007116EB">
              <w:rPr>
                <w:color w:val="000000"/>
                <w:sz w:val="20"/>
                <w:szCs w:val="20"/>
                <w:lang w:val="en-IE"/>
              </w:rPr>
              <w:t>Originator profit</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6FB3152"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D9FC77E"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12</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5B50929"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20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D2D424E"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35</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C55B76D"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46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F6AABA4"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54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A475A4B"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59</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E5FAD0F"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61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77F130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66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109FA0B"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71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6CA2D32"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76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534AFA7"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79</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143875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81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6ACD1A0"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80</w:t>
            </w:r>
          </w:p>
        </w:tc>
        <w:tc>
          <w:tcPr>
            <w:tcW w:w="608" w:type="dxa"/>
            <w:tcBorders>
              <w:top w:val="nil"/>
              <w:left w:val="nil"/>
              <w:bottom w:val="single" w:sz="8" w:space="0" w:color="auto"/>
              <w:right w:val="single" w:sz="8" w:space="0" w:color="auto"/>
            </w:tcBorders>
            <w:shd w:val="clear" w:color="auto" w:fill="DBE5F1" w:themeFill="accent1" w:themeFillTint="33"/>
            <w:vAlign w:val="center"/>
            <w:hideMark/>
          </w:tcPr>
          <w:p w14:paraId="5EF2D4F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80</w:t>
            </w:r>
          </w:p>
        </w:tc>
        <w:tc>
          <w:tcPr>
            <w:tcW w:w="608" w:type="dxa"/>
            <w:tcBorders>
              <w:top w:val="nil"/>
              <w:left w:val="nil"/>
              <w:bottom w:val="single" w:sz="8" w:space="0" w:color="auto"/>
              <w:right w:val="single" w:sz="8" w:space="0" w:color="auto"/>
            </w:tcBorders>
            <w:shd w:val="clear" w:color="auto" w:fill="DDD9C3" w:themeFill="background2" w:themeFillShade="E6"/>
            <w:vAlign w:val="center"/>
            <w:hideMark/>
          </w:tcPr>
          <w:p w14:paraId="24E11306"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76</w:t>
            </w:r>
          </w:p>
        </w:tc>
        <w:tc>
          <w:tcPr>
            <w:tcW w:w="608" w:type="dxa"/>
            <w:tcBorders>
              <w:top w:val="nil"/>
              <w:left w:val="nil"/>
              <w:bottom w:val="single" w:sz="8" w:space="0" w:color="auto"/>
              <w:right w:val="single" w:sz="8" w:space="0" w:color="auto"/>
            </w:tcBorders>
            <w:vAlign w:val="center"/>
            <w:hideMark/>
          </w:tcPr>
          <w:p w14:paraId="69A39A5B"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70</w:t>
            </w:r>
          </w:p>
        </w:tc>
        <w:tc>
          <w:tcPr>
            <w:tcW w:w="608" w:type="dxa"/>
            <w:tcBorders>
              <w:top w:val="nil"/>
              <w:left w:val="nil"/>
              <w:bottom w:val="single" w:sz="8" w:space="0" w:color="auto"/>
              <w:right w:val="single" w:sz="8" w:space="0" w:color="auto"/>
            </w:tcBorders>
            <w:vAlign w:val="center"/>
            <w:hideMark/>
          </w:tcPr>
          <w:p w14:paraId="4465725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63</w:t>
            </w:r>
          </w:p>
        </w:tc>
        <w:tc>
          <w:tcPr>
            <w:tcW w:w="608" w:type="dxa"/>
            <w:tcBorders>
              <w:top w:val="nil"/>
              <w:left w:val="nil"/>
              <w:bottom w:val="single" w:sz="8" w:space="0" w:color="auto"/>
              <w:right w:val="single" w:sz="8" w:space="0" w:color="auto"/>
            </w:tcBorders>
            <w:vAlign w:val="center"/>
            <w:hideMark/>
          </w:tcPr>
          <w:p w14:paraId="02E0794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56</w:t>
            </w:r>
          </w:p>
        </w:tc>
        <w:tc>
          <w:tcPr>
            <w:tcW w:w="608" w:type="dxa"/>
            <w:tcBorders>
              <w:top w:val="nil"/>
              <w:left w:val="nil"/>
              <w:bottom w:val="single" w:sz="8" w:space="0" w:color="auto"/>
              <w:right w:val="single" w:sz="8" w:space="0" w:color="auto"/>
            </w:tcBorders>
            <w:vAlign w:val="center"/>
            <w:hideMark/>
          </w:tcPr>
          <w:p w14:paraId="7899746D"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49</w:t>
            </w:r>
          </w:p>
        </w:tc>
      </w:tr>
      <w:tr w:rsidR="00BC7A36" w:rsidRPr="00BC7A36" w14:paraId="1B319575" w14:textId="77777777" w:rsidTr="043522AD">
        <w:trPr>
          <w:trHeight w:val="405"/>
        </w:trPr>
        <w:tc>
          <w:tcPr>
            <w:tcW w:w="1183" w:type="dxa"/>
            <w:tcBorders>
              <w:top w:val="nil"/>
              <w:left w:val="single" w:sz="8" w:space="0" w:color="auto"/>
              <w:bottom w:val="single" w:sz="8" w:space="0" w:color="auto"/>
              <w:right w:val="single" w:sz="8" w:space="0" w:color="auto"/>
            </w:tcBorders>
            <w:vAlign w:val="center"/>
            <w:hideMark/>
          </w:tcPr>
          <w:p w14:paraId="57692C86" w14:textId="4664AC43" w:rsidR="00F14611" w:rsidRPr="007116EB" w:rsidRDefault="14761488" w:rsidP="00330C09">
            <w:pPr>
              <w:spacing w:after="0"/>
              <w:rPr>
                <w:color w:val="000000"/>
                <w:sz w:val="20"/>
                <w:szCs w:val="20"/>
                <w:lang w:val="en-IE"/>
              </w:rPr>
            </w:pPr>
            <w:r w:rsidRPr="007116EB">
              <w:rPr>
                <w:rFonts w:eastAsia="Times New Roman"/>
                <w:color w:val="000000" w:themeColor="text1"/>
                <w:sz w:val="20"/>
                <w:szCs w:val="20"/>
                <w:lang w:val="en-IE" w:eastAsia="en-IE"/>
              </w:rPr>
              <w:t>Biosimilar</w:t>
            </w:r>
            <w:r w:rsidR="7BC3C911" w:rsidRPr="007116EB">
              <w:rPr>
                <w:color w:val="000000" w:themeColor="text1"/>
                <w:sz w:val="20"/>
                <w:szCs w:val="20"/>
                <w:lang w:val="en-IE"/>
              </w:rPr>
              <w:t xml:space="preserve"> profit</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8DDE5C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3C5AA22"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11CD144"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994DB5E"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EB091CB"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6D60C97"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CADA970"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D4A0A74"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C7FB2AB"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9F6429A"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7661124"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1AC9461"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4C52247"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9C10437"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DBE5F1" w:themeFill="accent1" w:themeFillTint="33"/>
            <w:vAlign w:val="center"/>
            <w:hideMark/>
          </w:tcPr>
          <w:p w14:paraId="0CCB86BA"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DDD9C3" w:themeFill="background2" w:themeFillShade="E6"/>
            <w:vAlign w:val="center"/>
            <w:hideMark/>
          </w:tcPr>
          <w:p w14:paraId="76FC51C1"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8D93E31"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133B8FD"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84C9DE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9</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E5342A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11</w:t>
            </w:r>
          </w:p>
        </w:tc>
      </w:tr>
      <w:tr w:rsidR="00BC7A36" w:rsidRPr="00BC7A36" w14:paraId="114E6769" w14:textId="77777777" w:rsidTr="043522AD">
        <w:trPr>
          <w:trHeight w:val="405"/>
        </w:trPr>
        <w:tc>
          <w:tcPr>
            <w:tcW w:w="1183" w:type="dxa"/>
            <w:tcBorders>
              <w:top w:val="nil"/>
              <w:left w:val="single" w:sz="8" w:space="0" w:color="auto"/>
              <w:bottom w:val="single" w:sz="8" w:space="0" w:color="auto"/>
              <w:right w:val="single" w:sz="8" w:space="0" w:color="auto"/>
            </w:tcBorders>
            <w:vAlign w:val="center"/>
            <w:hideMark/>
          </w:tcPr>
          <w:p w14:paraId="583F5C3B" w14:textId="77777777" w:rsidR="00F14611" w:rsidRPr="007116EB" w:rsidRDefault="00F14611" w:rsidP="00330C09">
            <w:pPr>
              <w:spacing w:after="0"/>
              <w:rPr>
                <w:b/>
                <w:color w:val="000000"/>
                <w:sz w:val="20"/>
                <w:szCs w:val="20"/>
                <w:lang w:val="en-IE"/>
              </w:rPr>
            </w:pPr>
            <w:r w:rsidRPr="007116EB">
              <w:rPr>
                <w:b/>
                <w:color w:val="000000"/>
                <w:sz w:val="20"/>
                <w:szCs w:val="20"/>
                <w:lang w:val="en-IE"/>
              </w:rPr>
              <w:t>Total profit</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1C21C27"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EBEBA0A"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12</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5F40279"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20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D0FCAEE"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35</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1E8C050"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46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9268B36"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54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6B781C3"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59</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8FA0C4E"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61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BB6C67C"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66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DE934B9"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71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6988776"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76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4915CB6"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79</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79E7759"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81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5558B3E"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80</w:t>
            </w:r>
          </w:p>
        </w:tc>
        <w:tc>
          <w:tcPr>
            <w:tcW w:w="608" w:type="dxa"/>
            <w:tcBorders>
              <w:top w:val="nil"/>
              <w:left w:val="nil"/>
              <w:bottom w:val="single" w:sz="8" w:space="0" w:color="auto"/>
              <w:right w:val="single" w:sz="8" w:space="0" w:color="auto"/>
            </w:tcBorders>
            <w:shd w:val="clear" w:color="auto" w:fill="DBE5F1" w:themeFill="accent1" w:themeFillTint="33"/>
            <w:vAlign w:val="center"/>
            <w:hideMark/>
          </w:tcPr>
          <w:p w14:paraId="0DCB9162"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80</w:t>
            </w:r>
          </w:p>
        </w:tc>
        <w:tc>
          <w:tcPr>
            <w:tcW w:w="608" w:type="dxa"/>
            <w:tcBorders>
              <w:top w:val="nil"/>
              <w:left w:val="nil"/>
              <w:bottom w:val="single" w:sz="8" w:space="0" w:color="auto"/>
              <w:right w:val="single" w:sz="8" w:space="0" w:color="auto"/>
            </w:tcBorders>
            <w:shd w:val="clear" w:color="auto" w:fill="DDD9C3" w:themeFill="background2" w:themeFillShade="E6"/>
            <w:vAlign w:val="center"/>
            <w:hideMark/>
          </w:tcPr>
          <w:p w14:paraId="5595177F"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77</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3B33422"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73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CE3E3C1"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68</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DA53010"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64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531C48E"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60</w:t>
            </w:r>
          </w:p>
        </w:tc>
      </w:tr>
      <w:tr w:rsidR="00F14611" w:rsidRPr="00E5568D" w14:paraId="2186C4C5" w14:textId="77777777" w:rsidTr="043522AD">
        <w:trPr>
          <w:trHeight w:val="405"/>
        </w:trPr>
        <w:tc>
          <w:tcPr>
            <w:tcW w:w="1183" w:type="dxa"/>
            <w:tcBorders>
              <w:top w:val="nil"/>
              <w:left w:val="single" w:sz="8" w:space="0" w:color="auto"/>
              <w:bottom w:val="single" w:sz="8" w:space="0" w:color="auto"/>
              <w:right w:val="single" w:sz="8" w:space="0" w:color="auto"/>
            </w:tcBorders>
            <w:vAlign w:val="center"/>
            <w:hideMark/>
          </w:tcPr>
          <w:p w14:paraId="07E1E94F" w14:textId="77777777" w:rsidR="00F14611" w:rsidRPr="007116EB" w:rsidRDefault="00F14611" w:rsidP="00330C09">
            <w:pPr>
              <w:spacing w:after="0"/>
              <w:rPr>
                <w:color w:val="000000"/>
                <w:sz w:val="20"/>
                <w:szCs w:val="20"/>
                <w:lang w:val="en-IE"/>
              </w:rPr>
            </w:pPr>
            <w:r w:rsidRPr="007116EB">
              <w:rPr>
                <w:color w:val="000000"/>
                <w:sz w:val="20"/>
                <w:szCs w:val="20"/>
                <w:lang w:val="en-IE"/>
              </w:rPr>
              <w:t>Originator price</w:t>
            </w:r>
          </w:p>
        </w:tc>
        <w:tc>
          <w:tcPr>
            <w:tcW w:w="608" w:type="dxa"/>
            <w:tcBorders>
              <w:top w:val="nil"/>
              <w:left w:val="nil"/>
              <w:bottom w:val="single" w:sz="8" w:space="0" w:color="auto"/>
              <w:right w:val="single" w:sz="8" w:space="0" w:color="auto"/>
            </w:tcBorders>
            <w:vAlign w:val="center"/>
            <w:hideMark/>
          </w:tcPr>
          <w:p w14:paraId="00C03E17"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1.18</w:t>
            </w:r>
          </w:p>
        </w:tc>
        <w:tc>
          <w:tcPr>
            <w:tcW w:w="608" w:type="dxa"/>
            <w:tcBorders>
              <w:top w:val="nil"/>
              <w:left w:val="nil"/>
              <w:bottom w:val="single" w:sz="8" w:space="0" w:color="auto"/>
              <w:right w:val="single" w:sz="8" w:space="0" w:color="auto"/>
            </w:tcBorders>
            <w:vAlign w:val="center"/>
            <w:hideMark/>
          </w:tcPr>
          <w:p w14:paraId="6A1AA94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1.40</w:t>
            </w:r>
          </w:p>
        </w:tc>
        <w:tc>
          <w:tcPr>
            <w:tcW w:w="608" w:type="dxa"/>
            <w:tcBorders>
              <w:top w:val="nil"/>
              <w:left w:val="nil"/>
              <w:bottom w:val="single" w:sz="8" w:space="0" w:color="auto"/>
              <w:right w:val="single" w:sz="8" w:space="0" w:color="auto"/>
            </w:tcBorders>
            <w:vAlign w:val="center"/>
            <w:hideMark/>
          </w:tcPr>
          <w:p w14:paraId="1BDD2074"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1.48</w:t>
            </w:r>
          </w:p>
        </w:tc>
        <w:tc>
          <w:tcPr>
            <w:tcW w:w="608" w:type="dxa"/>
            <w:tcBorders>
              <w:top w:val="nil"/>
              <w:left w:val="nil"/>
              <w:bottom w:val="single" w:sz="8" w:space="0" w:color="auto"/>
              <w:right w:val="single" w:sz="8" w:space="0" w:color="auto"/>
            </w:tcBorders>
            <w:vAlign w:val="center"/>
            <w:hideMark/>
          </w:tcPr>
          <w:p w14:paraId="0D32B34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1.46</w:t>
            </w:r>
          </w:p>
        </w:tc>
        <w:tc>
          <w:tcPr>
            <w:tcW w:w="608" w:type="dxa"/>
            <w:tcBorders>
              <w:top w:val="nil"/>
              <w:left w:val="nil"/>
              <w:bottom w:val="single" w:sz="8" w:space="0" w:color="auto"/>
              <w:right w:val="single" w:sz="8" w:space="0" w:color="auto"/>
            </w:tcBorders>
            <w:vAlign w:val="center"/>
            <w:hideMark/>
          </w:tcPr>
          <w:p w14:paraId="6D152414"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1.43</w:t>
            </w:r>
          </w:p>
        </w:tc>
        <w:tc>
          <w:tcPr>
            <w:tcW w:w="608" w:type="dxa"/>
            <w:tcBorders>
              <w:top w:val="nil"/>
              <w:left w:val="nil"/>
              <w:bottom w:val="single" w:sz="8" w:space="0" w:color="auto"/>
              <w:right w:val="single" w:sz="8" w:space="0" w:color="auto"/>
            </w:tcBorders>
            <w:vAlign w:val="center"/>
            <w:hideMark/>
          </w:tcPr>
          <w:p w14:paraId="5F15F951"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1.37</w:t>
            </w:r>
          </w:p>
        </w:tc>
        <w:tc>
          <w:tcPr>
            <w:tcW w:w="608" w:type="dxa"/>
            <w:tcBorders>
              <w:top w:val="nil"/>
              <w:left w:val="nil"/>
              <w:bottom w:val="single" w:sz="8" w:space="0" w:color="auto"/>
              <w:right w:val="single" w:sz="8" w:space="0" w:color="auto"/>
            </w:tcBorders>
            <w:vAlign w:val="center"/>
            <w:hideMark/>
          </w:tcPr>
          <w:p w14:paraId="690A818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1.29</w:t>
            </w:r>
          </w:p>
        </w:tc>
        <w:tc>
          <w:tcPr>
            <w:tcW w:w="608" w:type="dxa"/>
            <w:tcBorders>
              <w:top w:val="nil"/>
              <w:left w:val="nil"/>
              <w:bottom w:val="single" w:sz="8" w:space="0" w:color="auto"/>
              <w:right w:val="single" w:sz="8" w:space="0" w:color="auto"/>
            </w:tcBorders>
            <w:vAlign w:val="center"/>
            <w:hideMark/>
          </w:tcPr>
          <w:p w14:paraId="5318D1FE"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1.21</w:t>
            </w:r>
          </w:p>
        </w:tc>
        <w:tc>
          <w:tcPr>
            <w:tcW w:w="608" w:type="dxa"/>
            <w:tcBorders>
              <w:top w:val="nil"/>
              <w:left w:val="nil"/>
              <w:bottom w:val="single" w:sz="8" w:space="0" w:color="auto"/>
              <w:right w:val="single" w:sz="8" w:space="0" w:color="auto"/>
            </w:tcBorders>
            <w:vAlign w:val="center"/>
            <w:hideMark/>
          </w:tcPr>
          <w:p w14:paraId="7A3CD9F5"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1.16</w:t>
            </w:r>
          </w:p>
        </w:tc>
        <w:tc>
          <w:tcPr>
            <w:tcW w:w="608" w:type="dxa"/>
            <w:tcBorders>
              <w:top w:val="nil"/>
              <w:left w:val="nil"/>
              <w:bottom w:val="single" w:sz="8" w:space="0" w:color="auto"/>
              <w:right w:val="single" w:sz="8" w:space="0" w:color="auto"/>
            </w:tcBorders>
            <w:vAlign w:val="center"/>
            <w:hideMark/>
          </w:tcPr>
          <w:p w14:paraId="0B82804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1.12</w:t>
            </w:r>
          </w:p>
        </w:tc>
        <w:tc>
          <w:tcPr>
            <w:tcW w:w="608" w:type="dxa"/>
            <w:tcBorders>
              <w:top w:val="nil"/>
              <w:left w:val="nil"/>
              <w:bottom w:val="single" w:sz="8" w:space="0" w:color="auto"/>
              <w:right w:val="single" w:sz="8" w:space="0" w:color="auto"/>
            </w:tcBorders>
            <w:vAlign w:val="center"/>
            <w:hideMark/>
          </w:tcPr>
          <w:p w14:paraId="2880937E"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1.09</w:t>
            </w:r>
          </w:p>
        </w:tc>
        <w:tc>
          <w:tcPr>
            <w:tcW w:w="608" w:type="dxa"/>
            <w:tcBorders>
              <w:top w:val="nil"/>
              <w:left w:val="nil"/>
              <w:bottom w:val="single" w:sz="8" w:space="0" w:color="auto"/>
              <w:right w:val="single" w:sz="8" w:space="0" w:color="auto"/>
            </w:tcBorders>
            <w:vAlign w:val="center"/>
            <w:hideMark/>
          </w:tcPr>
          <w:p w14:paraId="67A6FEDF"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1.06</w:t>
            </w:r>
          </w:p>
        </w:tc>
        <w:tc>
          <w:tcPr>
            <w:tcW w:w="608" w:type="dxa"/>
            <w:tcBorders>
              <w:top w:val="nil"/>
              <w:left w:val="nil"/>
              <w:bottom w:val="single" w:sz="8" w:space="0" w:color="auto"/>
              <w:right w:val="single" w:sz="8" w:space="0" w:color="auto"/>
            </w:tcBorders>
            <w:vAlign w:val="center"/>
            <w:hideMark/>
          </w:tcPr>
          <w:p w14:paraId="0C8C9066"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1.03</w:t>
            </w:r>
          </w:p>
        </w:tc>
        <w:tc>
          <w:tcPr>
            <w:tcW w:w="608" w:type="dxa"/>
            <w:tcBorders>
              <w:top w:val="nil"/>
              <w:left w:val="nil"/>
              <w:bottom w:val="single" w:sz="8" w:space="0" w:color="auto"/>
              <w:right w:val="single" w:sz="8" w:space="0" w:color="auto"/>
            </w:tcBorders>
            <w:vAlign w:val="center"/>
            <w:hideMark/>
          </w:tcPr>
          <w:p w14:paraId="078C554D"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1.01</w:t>
            </w:r>
          </w:p>
        </w:tc>
        <w:tc>
          <w:tcPr>
            <w:tcW w:w="608" w:type="dxa"/>
            <w:tcBorders>
              <w:top w:val="nil"/>
              <w:left w:val="nil"/>
              <w:bottom w:val="single" w:sz="8" w:space="0" w:color="auto"/>
              <w:right w:val="single" w:sz="8" w:space="0" w:color="auto"/>
            </w:tcBorders>
            <w:shd w:val="clear" w:color="auto" w:fill="DBE5F1" w:themeFill="accent1" w:themeFillTint="33"/>
            <w:vAlign w:val="center"/>
            <w:hideMark/>
          </w:tcPr>
          <w:p w14:paraId="2DB11FF3"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0.99</w:t>
            </w:r>
          </w:p>
        </w:tc>
        <w:tc>
          <w:tcPr>
            <w:tcW w:w="608" w:type="dxa"/>
            <w:tcBorders>
              <w:top w:val="nil"/>
              <w:left w:val="nil"/>
              <w:bottom w:val="single" w:sz="8" w:space="0" w:color="auto"/>
              <w:right w:val="single" w:sz="8" w:space="0" w:color="auto"/>
            </w:tcBorders>
            <w:shd w:val="clear" w:color="auto" w:fill="DDD9C3" w:themeFill="background2" w:themeFillShade="E6"/>
            <w:vAlign w:val="center"/>
            <w:hideMark/>
          </w:tcPr>
          <w:p w14:paraId="7F2370D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0.98</w:t>
            </w:r>
          </w:p>
        </w:tc>
        <w:tc>
          <w:tcPr>
            <w:tcW w:w="608" w:type="dxa"/>
            <w:tcBorders>
              <w:top w:val="nil"/>
              <w:left w:val="nil"/>
              <w:bottom w:val="single" w:sz="8" w:space="0" w:color="auto"/>
              <w:right w:val="single" w:sz="8" w:space="0" w:color="auto"/>
            </w:tcBorders>
            <w:vAlign w:val="center"/>
            <w:hideMark/>
          </w:tcPr>
          <w:p w14:paraId="0DADA1F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0.96</w:t>
            </w:r>
          </w:p>
        </w:tc>
        <w:tc>
          <w:tcPr>
            <w:tcW w:w="608" w:type="dxa"/>
            <w:tcBorders>
              <w:top w:val="nil"/>
              <w:left w:val="nil"/>
              <w:bottom w:val="single" w:sz="8" w:space="0" w:color="auto"/>
              <w:right w:val="single" w:sz="8" w:space="0" w:color="auto"/>
            </w:tcBorders>
            <w:vAlign w:val="center"/>
            <w:hideMark/>
          </w:tcPr>
          <w:p w14:paraId="592BEFFA"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0.94</w:t>
            </w:r>
          </w:p>
        </w:tc>
        <w:tc>
          <w:tcPr>
            <w:tcW w:w="608" w:type="dxa"/>
            <w:tcBorders>
              <w:top w:val="nil"/>
              <w:left w:val="nil"/>
              <w:bottom w:val="single" w:sz="8" w:space="0" w:color="auto"/>
              <w:right w:val="single" w:sz="8" w:space="0" w:color="auto"/>
            </w:tcBorders>
            <w:vAlign w:val="center"/>
            <w:hideMark/>
          </w:tcPr>
          <w:p w14:paraId="05A222D7"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0.91</w:t>
            </w:r>
          </w:p>
        </w:tc>
        <w:tc>
          <w:tcPr>
            <w:tcW w:w="608" w:type="dxa"/>
            <w:tcBorders>
              <w:top w:val="nil"/>
              <w:left w:val="nil"/>
              <w:bottom w:val="single" w:sz="8" w:space="0" w:color="auto"/>
              <w:right w:val="single" w:sz="8" w:space="0" w:color="auto"/>
            </w:tcBorders>
            <w:vAlign w:val="center"/>
            <w:hideMark/>
          </w:tcPr>
          <w:p w14:paraId="381F3D7D"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0.87</w:t>
            </w:r>
          </w:p>
        </w:tc>
      </w:tr>
      <w:tr w:rsidR="00BB182A" w:rsidRPr="00E5568D" w14:paraId="013DFCBD" w14:textId="77777777" w:rsidTr="043522AD">
        <w:trPr>
          <w:trHeight w:val="405"/>
        </w:trPr>
        <w:tc>
          <w:tcPr>
            <w:tcW w:w="1183" w:type="dxa"/>
            <w:tcBorders>
              <w:top w:val="nil"/>
              <w:left w:val="single" w:sz="8" w:space="0" w:color="auto"/>
              <w:bottom w:val="single" w:sz="8" w:space="0" w:color="auto"/>
              <w:right w:val="single" w:sz="8" w:space="0" w:color="auto"/>
            </w:tcBorders>
            <w:vAlign w:val="center"/>
            <w:hideMark/>
          </w:tcPr>
          <w:p w14:paraId="4A3783AC" w14:textId="1F315817" w:rsidR="00F14611" w:rsidRPr="007116EB" w:rsidRDefault="43FA60FD" w:rsidP="00330C09">
            <w:pPr>
              <w:spacing w:after="0"/>
              <w:rPr>
                <w:color w:val="000000"/>
                <w:sz w:val="20"/>
                <w:szCs w:val="20"/>
                <w:lang w:val="en-IE"/>
              </w:rPr>
            </w:pPr>
            <w:r w:rsidRPr="007116EB">
              <w:rPr>
                <w:rFonts w:eastAsia="Times New Roman"/>
                <w:color w:val="000000" w:themeColor="text1"/>
                <w:sz w:val="20"/>
                <w:szCs w:val="20"/>
                <w:lang w:val="en-IE" w:eastAsia="en-IE"/>
              </w:rPr>
              <w:t>Biosimilar</w:t>
            </w:r>
            <w:r w:rsidR="7BC3C911" w:rsidRPr="007116EB">
              <w:rPr>
                <w:color w:val="000000" w:themeColor="text1"/>
                <w:sz w:val="20"/>
                <w:szCs w:val="20"/>
                <w:lang w:val="en-IE"/>
              </w:rPr>
              <w:t xml:space="preserve"> price</w:t>
            </w:r>
          </w:p>
        </w:tc>
        <w:tc>
          <w:tcPr>
            <w:tcW w:w="608" w:type="dxa"/>
            <w:tcBorders>
              <w:top w:val="nil"/>
              <w:left w:val="nil"/>
              <w:bottom w:val="single" w:sz="8" w:space="0" w:color="auto"/>
              <w:right w:val="single" w:sz="8" w:space="0" w:color="auto"/>
            </w:tcBorders>
            <w:vAlign w:val="center"/>
            <w:hideMark/>
          </w:tcPr>
          <w:p w14:paraId="4EC3299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020347E"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E8A920D"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511D31E"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7DCE9F0"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1074CF8"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0208315"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A51B749"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BF152A0"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3FB7534"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0CC24C2"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2AAEA49"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1EADB20"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9E4FD9E"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DBE5F1" w:themeFill="accent1" w:themeFillTint="33"/>
            <w:vAlign w:val="center"/>
            <w:hideMark/>
          </w:tcPr>
          <w:p w14:paraId="50E26992" w14:textId="77777777" w:rsidR="00F14611" w:rsidRPr="007116EB" w:rsidRDefault="00F14611" w:rsidP="00330C09">
            <w:pPr>
              <w:spacing w:after="0"/>
              <w:rPr>
                <w:color w:val="000000"/>
                <w:sz w:val="20"/>
                <w:szCs w:val="20"/>
                <w:lang w:val="en-IE"/>
              </w:rPr>
            </w:pPr>
            <w:r w:rsidRPr="007116EB">
              <w:rPr>
                <w:color w:val="000000"/>
                <w:sz w:val="20"/>
                <w:szCs w:val="20"/>
                <w:lang w:val="en-IE"/>
              </w:rPr>
              <w:t> </w:t>
            </w:r>
          </w:p>
        </w:tc>
        <w:tc>
          <w:tcPr>
            <w:tcW w:w="608" w:type="dxa"/>
            <w:tcBorders>
              <w:top w:val="nil"/>
              <w:left w:val="nil"/>
              <w:bottom w:val="single" w:sz="8" w:space="0" w:color="auto"/>
              <w:right w:val="single" w:sz="8" w:space="0" w:color="auto"/>
            </w:tcBorders>
            <w:shd w:val="clear" w:color="auto" w:fill="DDD9C3" w:themeFill="background2" w:themeFillShade="E6"/>
            <w:vAlign w:val="center"/>
            <w:hideMark/>
          </w:tcPr>
          <w:p w14:paraId="18F8E859"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0.72</w:t>
            </w:r>
          </w:p>
        </w:tc>
        <w:tc>
          <w:tcPr>
            <w:tcW w:w="608" w:type="dxa"/>
            <w:tcBorders>
              <w:top w:val="nil"/>
              <w:left w:val="nil"/>
              <w:bottom w:val="single" w:sz="8" w:space="0" w:color="auto"/>
              <w:right w:val="single" w:sz="8" w:space="0" w:color="auto"/>
            </w:tcBorders>
            <w:vAlign w:val="center"/>
            <w:hideMark/>
          </w:tcPr>
          <w:p w14:paraId="1FF65DCC"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0.67</w:t>
            </w:r>
          </w:p>
        </w:tc>
        <w:tc>
          <w:tcPr>
            <w:tcW w:w="608" w:type="dxa"/>
            <w:tcBorders>
              <w:top w:val="nil"/>
              <w:left w:val="nil"/>
              <w:bottom w:val="single" w:sz="8" w:space="0" w:color="auto"/>
              <w:right w:val="single" w:sz="8" w:space="0" w:color="auto"/>
            </w:tcBorders>
            <w:vAlign w:val="center"/>
            <w:hideMark/>
          </w:tcPr>
          <w:p w14:paraId="49792F2E"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0.62</w:t>
            </w:r>
          </w:p>
        </w:tc>
        <w:tc>
          <w:tcPr>
            <w:tcW w:w="608" w:type="dxa"/>
            <w:tcBorders>
              <w:top w:val="nil"/>
              <w:left w:val="nil"/>
              <w:bottom w:val="single" w:sz="8" w:space="0" w:color="auto"/>
              <w:right w:val="single" w:sz="8" w:space="0" w:color="auto"/>
            </w:tcBorders>
            <w:vAlign w:val="center"/>
            <w:hideMark/>
          </w:tcPr>
          <w:p w14:paraId="4913C9E8"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0.58</w:t>
            </w:r>
          </w:p>
        </w:tc>
        <w:tc>
          <w:tcPr>
            <w:tcW w:w="608" w:type="dxa"/>
            <w:tcBorders>
              <w:top w:val="nil"/>
              <w:left w:val="nil"/>
              <w:bottom w:val="single" w:sz="8" w:space="0" w:color="auto"/>
              <w:right w:val="single" w:sz="8" w:space="0" w:color="auto"/>
            </w:tcBorders>
            <w:vAlign w:val="center"/>
            <w:hideMark/>
          </w:tcPr>
          <w:p w14:paraId="1735AD17" w14:textId="77777777" w:rsidR="00F14611" w:rsidRPr="007116EB" w:rsidRDefault="00F14611" w:rsidP="00330C09">
            <w:pPr>
              <w:spacing w:after="0"/>
              <w:jc w:val="center"/>
              <w:rPr>
                <w:color w:val="000000"/>
                <w:sz w:val="20"/>
                <w:szCs w:val="20"/>
                <w:lang w:val="en-IE"/>
              </w:rPr>
            </w:pPr>
            <w:r w:rsidRPr="007116EB">
              <w:rPr>
                <w:color w:val="000000"/>
                <w:sz w:val="20"/>
                <w:szCs w:val="20"/>
                <w:lang w:val="en-IE"/>
              </w:rPr>
              <w:t>0.55</w:t>
            </w:r>
          </w:p>
        </w:tc>
      </w:tr>
      <w:tr w:rsidR="00BC7A36" w:rsidRPr="00BC7A36" w14:paraId="63958D9A" w14:textId="77777777" w:rsidTr="043522AD">
        <w:trPr>
          <w:trHeight w:val="405"/>
        </w:trPr>
        <w:tc>
          <w:tcPr>
            <w:tcW w:w="1183" w:type="dxa"/>
            <w:tcBorders>
              <w:top w:val="nil"/>
              <w:left w:val="single" w:sz="8" w:space="0" w:color="auto"/>
              <w:bottom w:val="single" w:sz="8" w:space="0" w:color="auto"/>
              <w:right w:val="single" w:sz="8" w:space="0" w:color="auto"/>
            </w:tcBorders>
            <w:vAlign w:val="center"/>
            <w:hideMark/>
          </w:tcPr>
          <w:p w14:paraId="421586AC" w14:textId="77777777" w:rsidR="00F14611" w:rsidRPr="007116EB" w:rsidRDefault="00F14611" w:rsidP="00330C09">
            <w:pPr>
              <w:spacing w:after="0"/>
              <w:rPr>
                <w:b/>
                <w:color w:val="000000"/>
                <w:sz w:val="20"/>
                <w:szCs w:val="20"/>
                <w:lang w:val="en-IE"/>
              </w:rPr>
            </w:pPr>
            <w:r w:rsidRPr="007116EB">
              <w:rPr>
                <w:b/>
                <w:color w:val="000000"/>
                <w:sz w:val="20"/>
                <w:szCs w:val="20"/>
                <w:lang w:val="en-IE"/>
              </w:rPr>
              <w:t>Average price</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EDC4E2D"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1.18</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4AFE38B"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1.40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AB94B7A"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1.48</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1914416"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1.46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CEDE5BF"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1.43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D939D7D"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1.37</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30D9ABB"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1.29</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BF5B500"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1.21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C2D9C43"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1.16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CD0B052"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1.12</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D092EE7"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1.09</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4592A15"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1.06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BB0637D"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1.03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8E56FA0"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1.01</w:t>
            </w:r>
          </w:p>
        </w:tc>
        <w:tc>
          <w:tcPr>
            <w:tcW w:w="608" w:type="dxa"/>
            <w:tcBorders>
              <w:top w:val="nil"/>
              <w:left w:val="nil"/>
              <w:bottom w:val="single" w:sz="8" w:space="0" w:color="auto"/>
              <w:right w:val="single" w:sz="8" w:space="0" w:color="auto"/>
            </w:tcBorders>
            <w:shd w:val="clear" w:color="auto" w:fill="DBE5F1" w:themeFill="accent1" w:themeFillTint="33"/>
            <w:vAlign w:val="center"/>
            <w:hideMark/>
          </w:tcPr>
          <w:p w14:paraId="74F83652"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0.99</w:t>
            </w:r>
          </w:p>
        </w:tc>
        <w:tc>
          <w:tcPr>
            <w:tcW w:w="608" w:type="dxa"/>
            <w:tcBorders>
              <w:top w:val="nil"/>
              <w:left w:val="nil"/>
              <w:bottom w:val="single" w:sz="8" w:space="0" w:color="auto"/>
              <w:right w:val="single" w:sz="8" w:space="0" w:color="auto"/>
            </w:tcBorders>
            <w:shd w:val="clear" w:color="auto" w:fill="DDD9C3" w:themeFill="background2" w:themeFillShade="E6"/>
            <w:vAlign w:val="center"/>
            <w:hideMark/>
          </w:tcPr>
          <w:p w14:paraId="7148E8E3"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0.97</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51B4B79"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0.94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32B0FF0"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0.88</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60F3FC2"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0.81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20DB997" w14:textId="77777777" w:rsidR="00F14611" w:rsidRPr="007116EB" w:rsidRDefault="00F14611" w:rsidP="00330C09">
            <w:pPr>
              <w:spacing w:after="0"/>
              <w:jc w:val="center"/>
              <w:rPr>
                <w:b/>
                <w:color w:val="000000"/>
                <w:sz w:val="20"/>
                <w:szCs w:val="20"/>
                <w:lang w:val="en-IE"/>
              </w:rPr>
            </w:pPr>
            <w:r w:rsidRPr="007116EB">
              <w:rPr>
                <w:b/>
                <w:color w:val="000000"/>
                <w:sz w:val="20"/>
                <w:szCs w:val="20"/>
                <w:lang w:val="en-IE"/>
              </w:rPr>
              <w:t>0.74</w:t>
            </w:r>
          </w:p>
        </w:tc>
      </w:tr>
    </w:tbl>
    <w:p w14:paraId="0B5E49E1" w14:textId="77777777" w:rsidR="00D013B9" w:rsidRDefault="00D013B9" w:rsidP="00F14611">
      <w:pPr>
        <w:spacing w:after="200" w:line="276" w:lineRule="auto"/>
        <w:jc w:val="left"/>
        <w:rPr>
          <w:b/>
          <w:bCs/>
        </w:rPr>
      </w:pPr>
    </w:p>
    <w:p w14:paraId="0E74942E" w14:textId="430D245A" w:rsidR="00F14611" w:rsidRDefault="00F14611" w:rsidP="00F14611">
      <w:pPr>
        <w:spacing w:after="200" w:line="276" w:lineRule="auto"/>
        <w:jc w:val="left"/>
        <w:rPr>
          <w:b/>
          <w:bCs/>
        </w:rPr>
      </w:pPr>
      <w:r>
        <w:rPr>
          <w:b/>
          <w:bCs/>
        </w:rPr>
        <w:lastRenderedPageBreak/>
        <w:t xml:space="preserve">Table </w:t>
      </w:r>
      <w:r w:rsidR="00131E89">
        <w:rPr>
          <w:b/>
          <w:bCs/>
        </w:rPr>
        <w:t>4</w:t>
      </w:r>
      <w:r w:rsidR="00C23F88">
        <w:rPr>
          <w:b/>
          <w:bCs/>
        </w:rPr>
        <w:t xml:space="preserve">. </w:t>
      </w:r>
      <w:r w:rsidR="002B392A">
        <w:rPr>
          <w:b/>
          <w:bCs/>
        </w:rPr>
        <w:t>N</w:t>
      </w:r>
      <w:r>
        <w:rPr>
          <w:b/>
          <w:bCs/>
        </w:rPr>
        <w:t>ormalised values for the policy scenario</w:t>
      </w:r>
      <w:r w:rsidR="00783C42">
        <w:rPr>
          <w:rStyle w:val="FootnoteReference"/>
          <w:b/>
          <w:bCs/>
        </w:rPr>
        <w:footnoteReference w:id="33"/>
      </w:r>
    </w:p>
    <w:tbl>
      <w:tblPr>
        <w:tblW w:w="13988" w:type="dxa"/>
        <w:tblInd w:w="118" w:type="dxa"/>
        <w:tblLook w:val="04A0" w:firstRow="1" w:lastRow="0" w:firstColumn="1" w:lastColumn="0" w:noHBand="0" w:noVBand="1"/>
      </w:tblPr>
      <w:tblGrid>
        <w:gridCol w:w="1857"/>
        <w:gridCol w:w="608"/>
        <w:gridCol w:w="608"/>
        <w:gridCol w:w="608"/>
        <w:gridCol w:w="608"/>
        <w:gridCol w:w="608"/>
        <w:gridCol w:w="617"/>
        <w:gridCol w:w="604"/>
        <w:gridCol w:w="604"/>
        <w:gridCol w:w="606"/>
        <w:gridCol w:w="604"/>
        <w:gridCol w:w="608"/>
        <w:gridCol w:w="604"/>
        <w:gridCol w:w="604"/>
        <w:gridCol w:w="604"/>
        <w:gridCol w:w="611"/>
        <w:gridCol w:w="604"/>
        <w:gridCol w:w="604"/>
        <w:gridCol w:w="609"/>
        <w:gridCol w:w="604"/>
        <w:gridCol w:w="604"/>
      </w:tblGrid>
      <w:tr w:rsidR="00E5568D" w:rsidRPr="00E5568D" w14:paraId="2623F9AD" w14:textId="77777777" w:rsidTr="043522AD">
        <w:trPr>
          <w:trHeight w:val="405"/>
        </w:trPr>
        <w:tc>
          <w:tcPr>
            <w:tcW w:w="1857" w:type="dxa"/>
            <w:tcBorders>
              <w:top w:val="single" w:sz="8" w:space="0" w:color="auto"/>
              <w:left w:val="single" w:sz="8" w:space="0" w:color="auto"/>
              <w:bottom w:val="single" w:sz="8" w:space="0" w:color="auto"/>
              <w:right w:val="single" w:sz="8" w:space="0" w:color="auto"/>
            </w:tcBorders>
            <w:shd w:val="clear" w:color="auto" w:fill="C1D5DF"/>
            <w:vAlign w:val="center"/>
            <w:hideMark/>
          </w:tcPr>
          <w:p w14:paraId="34943D66" w14:textId="77777777" w:rsidR="00330C09" w:rsidRPr="007116EB" w:rsidRDefault="00330C09" w:rsidP="00330C09">
            <w:pPr>
              <w:spacing w:after="0"/>
              <w:rPr>
                <w:b/>
                <w:color w:val="000000"/>
                <w:sz w:val="20"/>
                <w:szCs w:val="20"/>
                <w:lang w:val="en-IE"/>
              </w:rPr>
            </w:pPr>
            <w:r w:rsidRPr="007116EB">
              <w:rPr>
                <w:b/>
                <w:color w:val="000000"/>
                <w:sz w:val="20"/>
                <w:szCs w:val="20"/>
                <w:lang w:val="en-IE"/>
              </w:rPr>
              <w:t>Year from expiry</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360431AB"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-16</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59F24F20"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-15</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3FD26EF1"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-14</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06F6F81C"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-13</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4B98F482"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-12</w:t>
            </w:r>
          </w:p>
        </w:tc>
        <w:tc>
          <w:tcPr>
            <w:tcW w:w="617" w:type="dxa"/>
            <w:tcBorders>
              <w:top w:val="single" w:sz="8" w:space="0" w:color="auto"/>
              <w:left w:val="nil"/>
              <w:bottom w:val="single" w:sz="8" w:space="0" w:color="auto"/>
              <w:right w:val="single" w:sz="8" w:space="0" w:color="auto"/>
            </w:tcBorders>
            <w:shd w:val="clear" w:color="auto" w:fill="C1D5DF"/>
            <w:vAlign w:val="center"/>
            <w:hideMark/>
          </w:tcPr>
          <w:p w14:paraId="45E8EAC1"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-11</w:t>
            </w:r>
          </w:p>
        </w:tc>
        <w:tc>
          <w:tcPr>
            <w:tcW w:w="604" w:type="dxa"/>
            <w:tcBorders>
              <w:top w:val="single" w:sz="8" w:space="0" w:color="auto"/>
              <w:left w:val="nil"/>
              <w:bottom w:val="single" w:sz="8" w:space="0" w:color="auto"/>
              <w:right w:val="single" w:sz="8" w:space="0" w:color="auto"/>
            </w:tcBorders>
            <w:shd w:val="clear" w:color="auto" w:fill="C1D5DF"/>
            <w:vAlign w:val="center"/>
            <w:hideMark/>
          </w:tcPr>
          <w:p w14:paraId="1382CB8D"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-10</w:t>
            </w:r>
          </w:p>
        </w:tc>
        <w:tc>
          <w:tcPr>
            <w:tcW w:w="604" w:type="dxa"/>
            <w:tcBorders>
              <w:top w:val="single" w:sz="8" w:space="0" w:color="auto"/>
              <w:left w:val="nil"/>
              <w:bottom w:val="single" w:sz="8" w:space="0" w:color="auto"/>
              <w:right w:val="single" w:sz="8" w:space="0" w:color="auto"/>
            </w:tcBorders>
            <w:shd w:val="clear" w:color="auto" w:fill="C1D5DF"/>
            <w:vAlign w:val="center"/>
            <w:hideMark/>
          </w:tcPr>
          <w:p w14:paraId="1BC7A71B"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-9</w:t>
            </w:r>
          </w:p>
        </w:tc>
        <w:tc>
          <w:tcPr>
            <w:tcW w:w="606" w:type="dxa"/>
            <w:tcBorders>
              <w:top w:val="single" w:sz="8" w:space="0" w:color="auto"/>
              <w:left w:val="nil"/>
              <w:bottom w:val="single" w:sz="8" w:space="0" w:color="auto"/>
              <w:right w:val="single" w:sz="8" w:space="0" w:color="auto"/>
            </w:tcBorders>
            <w:shd w:val="clear" w:color="auto" w:fill="C1D5DF"/>
            <w:vAlign w:val="center"/>
            <w:hideMark/>
          </w:tcPr>
          <w:p w14:paraId="55628A34"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-8</w:t>
            </w:r>
          </w:p>
        </w:tc>
        <w:tc>
          <w:tcPr>
            <w:tcW w:w="604" w:type="dxa"/>
            <w:tcBorders>
              <w:top w:val="single" w:sz="8" w:space="0" w:color="auto"/>
              <w:left w:val="nil"/>
              <w:bottom w:val="single" w:sz="8" w:space="0" w:color="auto"/>
              <w:right w:val="single" w:sz="8" w:space="0" w:color="auto"/>
            </w:tcBorders>
            <w:shd w:val="clear" w:color="auto" w:fill="C1D5DF"/>
            <w:vAlign w:val="center"/>
            <w:hideMark/>
          </w:tcPr>
          <w:p w14:paraId="405CCD19"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-7</w:t>
            </w:r>
          </w:p>
        </w:tc>
        <w:tc>
          <w:tcPr>
            <w:tcW w:w="608" w:type="dxa"/>
            <w:tcBorders>
              <w:top w:val="single" w:sz="8" w:space="0" w:color="auto"/>
              <w:left w:val="nil"/>
              <w:bottom w:val="single" w:sz="8" w:space="0" w:color="auto"/>
              <w:right w:val="single" w:sz="8" w:space="0" w:color="auto"/>
            </w:tcBorders>
            <w:shd w:val="clear" w:color="auto" w:fill="C1D5DF"/>
            <w:vAlign w:val="center"/>
            <w:hideMark/>
          </w:tcPr>
          <w:p w14:paraId="43351A9D"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-6</w:t>
            </w:r>
          </w:p>
        </w:tc>
        <w:tc>
          <w:tcPr>
            <w:tcW w:w="604" w:type="dxa"/>
            <w:tcBorders>
              <w:top w:val="single" w:sz="8" w:space="0" w:color="auto"/>
              <w:left w:val="nil"/>
              <w:bottom w:val="single" w:sz="8" w:space="0" w:color="auto"/>
              <w:right w:val="single" w:sz="8" w:space="0" w:color="auto"/>
            </w:tcBorders>
            <w:shd w:val="clear" w:color="auto" w:fill="C1D5DF"/>
            <w:vAlign w:val="center"/>
            <w:hideMark/>
          </w:tcPr>
          <w:p w14:paraId="674ACD67"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-5</w:t>
            </w:r>
          </w:p>
        </w:tc>
        <w:tc>
          <w:tcPr>
            <w:tcW w:w="604" w:type="dxa"/>
            <w:tcBorders>
              <w:top w:val="single" w:sz="8" w:space="0" w:color="auto"/>
              <w:left w:val="nil"/>
              <w:bottom w:val="single" w:sz="8" w:space="0" w:color="auto"/>
              <w:right w:val="single" w:sz="8" w:space="0" w:color="auto"/>
            </w:tcBorders>
            <w:shd w:val="clear" w:color="auto" w:fill="C1D5DF"/>
            <w:vAlign w:val="center"/>
            <w:hideMark/>
          </w:tcPr>
          <w:p w14:paraId="3BB6D67D"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-4</w:t>
            </w:r>
          </w:p>
        </w:tc>
        <w:tc>
          <w:tcPr>
            <w:tcW w:w="604" w:type="dxa"/>
            <w:tcBorders>
              <w:top w:val="single" w:sz="8" w:space="0" w:color="auto"/>
              <w:left w:val="nil"/>
              <w:bottom w:val="single" w:sz="8" w:space="0" w:color="auto"/>
              <w:right w:val="single" w:sz="8" w:space="0" w:color="auto"/>
            </w:tcBorders>
            <w:shd w:val="clear" w:color="auto" w:fill="C1D5DF"/>
            <w:vAlign w:val="center"/>
            <w:hideMark/>
          </w:tcPr>
          <w:p w14:paraId="704F4CBA"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-3</w:t>
            </w:r>
          </w:p>
        </w:tc>
        <w:tc>
          <w:tcPr>
            <w:tcW w:w="611" w:type="dxa"/>
            <w:tcBorders>
              <w:top w:val="single" w:sz="8" w:space="0" w:color="auto"/>
              <w:left w:val="nil"/>
              <w:bottom w:val="single" w:sz="8" w:space="0" w:color="auto"/>
              <w:right w:val="single" w:sz="8" w:space="0" w:color="auto"/>
            </w:tcBorders>
            <w:shd w:val="clear" w:color="auto" w:fill="DBE5F1" w:themeFill="accent1" w:themeFillTint="33"/>
            <w:vAlign w:val="center"/>
            <w:hideMark/>
          </w:tcPr>
          <w:p w14:paraId="2D3F7B2D"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-2</w:t>
            </w:r>
          </w:p>
        </w:tc>
        <w:tc>
          <w:tcPr>
            <w:tcW w:w="604" w:type="dxa"/>
            <w:tcBorders>
              <w:top w:val="single" w:sz="8" w:space="0" w:color="auto"/>
              <w:left w:val="nil"/>
              <w:bottom w:val="single" w:sz="8" w:space="0" w:color="auto"/>
              <w:right w:val="single" w:sz="8" w:space="0" w:color="auto"/>
            </w:tcBorders>
            <w:shd w:val="clear" w:color="auto" w:fill="C0E6F5"/>
            <w:vAlign w:val="center"/>
            <w:hideMark/>
          </w:tcPr>
          <w:p w14:paraId="77652DB5"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w:t>
            </w:r>
          </w:p>
        </w:tc>
        <w:tc>
          <w:tcPr>
            <w:tcW w:w="604" w:type="dxa"/>
            <w:tcBorders>
              <w:top w:val="single" w:sz="8" w:space="0" w:color="auto"/>
              <w:left w:val="nil"/>
              <w:bottom w:val="single" w:sz="4" w:space="0" w:color="auto"/>
              <w:right w:val="single" w:sz="8" w:space="0" w:color="auto"/>
            </w:tcBorders>
            <w:shd w:val="clear" w:color="auto" w:fill="DDD9C3" w:themeFill="background2" w:themeFillShade="E6"/>
            <w:vAlign w:val="center"/>
            <w:hideMark/>
          </w:tcPr>
          <w:p w14:paraId="7F977A14"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0</w:t>
            </w:r>
          </w:p>
        </w:tc>
        <w:tc>
          <w:tcPr>
            <w:tcW w:w="609" w:type="dxa"/>
            <w:tcBorders>
              <w:top w:val="single" w:sz="8" w:space="0" w:color="auto"/>
              <w:left w:val="nil"/>
              <w:bottom w:val="single" w:sz="4" w:space="0" w:color="auto"/>
              <w:right w:val="single" w:sz="8" w:space="0" w:color="auto"/>
            </w:tcBorders>
            <w:shd w:val="clear" w:color="auto" w:fill="C1D5DF"/>
            <w:vAlign w:val="center"/>
            <w:hideMark/>
          </w:tcPr>
          <w:p w14:paraId="71333EE2"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w:t>
            </w:r>
          </w:p>
        </w:tc>
        <w:tc>
          <w:tcPr>
            <w:tcW w:w="604" w:type="dxa"/>
            <w:tcBorders>
              <w:top w:val="single" w:sz="8" w:space="0" w:color="auto"/>
              <w:left w:val="nil"/>
              <w:bottom w:val="single" w:sz="4" w:space="0" w:color="auto"/>
              <w:right w:val="single" w:sz="8" w:space="0" w:color="auto"/>
            </w:tcBorders>
            <w:shd w:val="clear" w:color="auto" w:fill="C1D5DF"/>
            <w:vAlign w:val="center"/>
            <w:hideMark/>
          </w:tcPr>
          <w:p w14:paraId="56005A6A"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2</w:t>
            </w:r>
          </w:p>
        </w:tc>
        <w:tc>
          <w:tcPr>
            <w:tcW w:w="604" w:type="dxa"/>
            <w:tcBorders>
              <w:top w:val="single" w:sz="8" w:space="0" w:color="auto"/>
              <w:left w:val="nil"/>
              <w:bottom w:val="single" w:sz="4" w:space="0" w:color="auto"/>
              <w:right w:val="single" w:sz="8" w:space="0" w:color="auto"/>
            </w:tcBorders>
            <w:shd w:val="clear" w:color="auto" w:fill="C1D5DF"/>
            <w:vAlign w:val="center"/>
            <w:hideMark/>
          </w:tcPr>
          <w:p w14:paraId="66996727"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3</w:t>
            </w:r>
          </w:p>
        </w:tc>
      </w:tr>
      <w:tr w:rsidR="00BB182A" w:rsidRPr="00E5568D" w14:paraId="43CD0185" w14:textId="77777777" w:rsidTr="043522AD">
        <w:trPr>
          <w:trHeight w:val="405"/>
        </w:trPr>
        <w:tc>
          <w:tcPr>
            <w:tcW w:w="1857" w:type="dxa"/>
            <w:tcBorders>
              <w:top w:val="nil"/>
              <w:left w:val="single" w:sz="8" w:space="0" w:color="auto"/>
              <w:bottom w:val="single" w:sz="8" w:space="0" w:color="auto"/>
              <w:right w:val="single" w:sz="8" w:space="0" w:color="auto"/>
            </w:tcBorders>
            <w:vAlign w:val="center"/>
            <w:hideMark/>
          </w:tcPr>
          <w:p w14:paraId="61C3303F" w14:textId="46414FBA" w:rsidR="00992022" w:rsidRPr="007116EB" w:rsidRDefault="00992022" w:rsidP="00992022">
            <w:pPr>
              <w:spacing w:after="0"/>
              <w:rPr>
                <w:color w:val="000000"/>
                <w:sz w:val="20"/>
                <w:szCs w:val="20"/>
                <w:lang w:val="en-IE"/>
              </w:rPr>
            </w:pPr>
            <w:r w:rsidRPr="007116EB">
              <w:rPr>
                <w:color w:val="000000"/>
                <w:sz w:val="20"/>
                <w:szCs w:val="20"/>
                <w:lang w:val="en-IE"/>
              </w:rPr>
              <w:t>Originator sales</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81ED7E0"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5</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24C70EF"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14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9956261"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23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2EC1042"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40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53898E7"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54</w:t>
            </w:r>
          </w:p>
        </w:tc>
        <w:tc>
          <w:tcPr>
            <w:tcW w:w="617" w:type="dxa"/>
            <w:tcBorders>
              <w:top w:val="nil"/>
              <w:left w:val="nil"/>
              <w:bottom w:val="single" w:sz="8" w:space="0" w:color="auto"/>
              <w:right w:val="single" w:sz="8" w:space="0" w:color="auto"/>
            </w:tcBorders>
            <w:shd w:val="clear" w:color="auto" w:fill="FFFFFF" w:themeFill="background1"/>
            <w:vAlign w:val="center"/>
            <w:hideMark/>
          </w:tcPr>
          <w:p w14:paraId="474EC988"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63</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34964AA9"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69</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04BB1096"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73</w:t>
            </w:r>
          </w:p>
        </w:tc>
        <w:tc>
          <w:tcPr>
            <w:tcW w:w="606" w:type="dxa"/>
            <w:tcBorders>
              <w:top w:val="nil"/>
              <w:left w:val="nil"/>
              <w:bottom w:val="single" w:sz="8" w:space="0" w:color="auto"/>
              <w:right w:val="single" w:sz="8" w:space="0" w:color="auto"/>
            </w:tcBorders>
            <w:shd w:val="clear" w:color="auto" w:fill="FFFFFF" w:themeFill="background1"/>
            <w:vAlign w:val="center"/>
            <w:hideMark/>
          </w:tcPr>
          <w:p w14:paraId="17780025"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80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71AA4103"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86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B8D0B6C"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93</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5CFC0779"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98</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4BB7939C"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100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5CA69BAA"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100</w:t>
            </w:r>
          </w:p>
        </w:tc>
        <w:tc>
          <w:tcPr>
            <w:tcW w:w="611" w:type="dxa"/>
            <w:tcBorders>
              <w:top w:val="nil"/>
              <w:left w:val="nil"/>
              <w:bottom w:val="single" w:sz="8" w:space="0" w:color="auto"/>
              <w:right w:val="single" w:sz="8" w:space="0" w:color="auto"/>
            </w:tcBorders>
            <w:shd w:val="clear" w:color="auto" w:fill="DBE5F1" w:themeFill="accent1" w:themeFillTint="33"/>
            <w:vAlign w:val="center"/>
            <w:hideMark/>
          </w:tcPr>
          <w:p w14:paraId="7EAEBA58"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100</w:t>
            </w:r>
          </w:p>
        </w:tc>
        <w:tc>
          <w:tcPr>
            <w:tcW w:w="604" w:type="dxa"/>
            <w:tcBorders>
              <w:top w:val="nil"/>
              <w:left w:val="nil"/>
              <w:bottom w:val="single" w:sz="8" w:space="0" w:color="auto"/>
              <w:right w:val="single" w:sz="4" w:space="0" w:color="auto"/>
            </w:tcBorders>
            <w:shd w:val="clear" w:color="auto" w:fill="C0E6F5"/>
            <w:vAlign w:val="center"/>
            <w:hideMark/>
          </w:tcPr>
          <w:p w14:paraId="102FD043" w14:textId="77777777" w:rsidR="00992022" w:rsidRPr="007116EB" w:rsidRDefault="00992022" w:rsidP="00992022">
            <w:pPr>
              <w:spacing w:after="0"/>
              <w:jc w:val="center"/>
              <w:rPr>
                <w:color w:val="000000"/>
                <w:sz w:val="20"/>
                <w:szCs w:val="20"/>
                <w:lang w:val="en-IE"/>
              </w:rPr>
            </w:pPr>
            <w:r w:rsidRPr="007116EB">
              <w:rPr>
                <w:color w:val="000000"/>
                <w:sz w:val="20"/>
                <w:szCs w:val="20"/>
                <w:lang w:val="en-IE"/>
              </w:rPr>
              <w:t>100</w:t>
            </w:r>
          </w:p>
        </w:tc>
        <w:tc>
          <w:tcPr>
            <w:tcW w:w="604"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15554B6C" w14:textId="57F54BDC" w:rsidR="00992022" w:rsidRPr="007116EB" w:rsidRDefault="00992022" w:rsidP="00992022">
            <w:pPr>
              <w:spacing w:after="0"/>
              <w:jc w:val="center"/>
              <w:rPr>
                <w:color w:val="000000"/>
                <w:sz w:val="20"/>
                <w:szCs w:val="20"/>
                <w:lang w:val="en-IE"/>
              </w:rPr>
            </w:pPr>
            <w:r w:rsidRPr="007116EB">
              <w:rPr>
                <w:color w:val="000000"/>
                <w:sz w:val="20"/>
                <w:szCs w:val="20"/>
                <w:lang w:val="en-IE"/>
              </w:rPr>
              <w:t>95</w:t>
            </w:r>
          </w:p>
        </w:tc>
        <w:tc>
          <w:tcPr>
            <w:tcW w:w="609" w:type="dxa"/>
            <w:tcBorders>
              <w:top w:val="single" w:sz="4" w:space="0" w:color="auto"/>
              <w:left w:val="single" w:sz="4" w:space="0" w:color="auto"/>
              <w:bottom w:val="single" w:sz="4" w:space="0" w:color="auto"/>
              <w:right w:val="single" w:sz="4" w:space="0" w:color="auto"/>
            </w:tcBorders>
            <w:noWrap/>
            <w:vAlign w:val="center"/>
            <w:hideMark/>
          </w:tcPr>
          <w:p w14:paraId="043B20BD" w14:textId="63B2272F" w:rsidR="00992022" w:rsidRPr="007116EB" w:rsidRDefault="00992022" w:rsidP="00992022">
            <w:pPr>
              <w:spacing w:after="0"/>
              <w:jc w:val="center"/>
              <w:rPr>
                <w:color w:val="000000"/>
                <w:sz w:val="20"/>
                <w:szCs w:val="20"/>
                <w:lang w:val="en-IE"/>
              </w:rPr>
            </w:pPr>
            <w:r w:rsidRPr="007116EB">
              <w:rPr>
                <w:color w:val="000000"/>
                <w:sz w:val="20"/>
                <w:szCs w:val="20"/>
                <w:lang w:val="en-IE"/>
              </w:rPr>
              <w:t>88</w:t>
            </w:r>
          </w:p>
        </w:tc>
        <w:tc>
          <w:tcPr>
            <w:tcW w:w="604" w:type="dxa"/>
            <w:tcBorders>
              <w:top w:val="single" w:sz="4" w:space="0" w:color="auto"/>
              <w:left w:val="single" w:sz="4" w:space="0" w:color="auto"/>
              <w:bottom w:val="single" w:sz="4" w:space="0" w:color="auto"/>
              <w:right w:val="single" w:sz="4" w:space="0" w:color="auto"/>
            </w:tcBorders>
            <w:noWrap/>
            <w:vAlign w:val="center"/>
            <w:hideMark/>
          </w:tcPr>
          <w:p w14:paraId="6B63B678" w14:textId="4EE43389" w:rsidR="00992022" w:rsidRPr="007116EB" w:rsidRDefault="00992022" w:rsidP="00992022">
            <w:pPr>
              <w:spacing w:after="0"/>
              <w:jc w:val="center"/>
              <w:rPr>
                <w:color w:val="000000"/>
                <w:sz w:val="20"/>
                <w:szCs w:val="20"/>
                <w:lang w:val="en-IE"/>
              </w:rPr>
            </w:pPr>
            <w:r w:rsidRPr="007116EB">
              <w:rPr>
                <w:color w:val="000000"/>
                <w:sz w:val="20"/>
                <w:szCs w:val="20"/>
                <w:lang w:val="en-IE"/>
              </w:rPr>
              <w:t>80</w:t>
            </w:r>
          </w:p>
        </w:tc>
        <w:tc>
          <w:tcPr>
            <w:tcW w:w="604" w:type="dxa"/>
            <w:tcBorders>
              <w:top w:val="single" w:sz="4" w:space="0" w:color="auto"/>
              <w:left w:val="single" w:sz="4" w:space="0" w:color="auto"/>
              <w:bottom w:val="single" w:sz="4" w:space="0" w:color="auto"/>
              <w:right w:val="single" w:sz="4" w:space="0" w:color="auto"/>
            </w:tcBorders>
            <w:noWrap/>
            <w:vAlign w:val="center"/>
            <w:hideMark/>
          </w:tcPr>
          <w:p w14:paraId="6B5C0231" w14:textId="661B10B3" w:rsidR="00992022" w:rsidRPr="007116EB" w:rsidRDefault="00992022" w:rsidP="00992022">
            <w:pPr>
              <w:spacing w:after="0"/>
              <w:jc w:val="center"/>
              <w:rPr>
                <w:color w:val="000000"/>
                <w:sz w:val="20"/>
                <w:szCs w:val="20"/>
                <w:lang w:val="en-IE"/>
              </w:rPr>
            </w:pPr>
            <w:r w:rsidRPr="007116EB">
              <w:rPr>
                <w:color w:val="000000"/>
                <w:sz w:val="20"/>
                <w:szCs w:val="20"/>
                <w:lang w:val="en-IE"/>
              </w:rPr>
              <w:t>71</w:t>
            </w:r>
          </w:p>
        </w:tc>
      </w:tr>
      <w:tr w:rsidR="00E5568D" w:rsidRPr="00E5568D" w14:paraId="48113D3A" w14:textId="77777777" w:rsidTr="043522AD">
        <w:trPr>
          <w:trHeight w:val="405"/>
        </w:trPr>
        <w:tc>
          <w:tcPr>
            <w:tcW w:w="1857" w:type="dxa"/>
            <w:tcBorders>
              <w:top w:val="nil"/>
              <w:left w:val="single" w:sz="8" w:space="0" w:color="auto"/>
              <w:bottom w:val="single" w:sz="8" w:space="0" w:color="auto"/>
              <w:right w:val="single" w:sz="8" w:space="0" w:color="auto"/>
            </w:tcBorders>
            <w:vAlign w:val="center"/>
            <w:hideMark/>
          </w:tcPr>
          <w:p w14:paraId="46844615" w14:textId="6A385ACC" w:rsidR="00330C09" w:rsidRPr="007116EB" w:rsidRDefault="7F387D75" w:rsidP="00330C09">
            <w:pPr>
              <w:spacing w:after="0"/>
              <w:rPr>
                <w:color w:val="000000"/>
                <w:sz w:val="20"/>
                <w:szCs w:val="20"/>
                <w:lang w:val="en-IE"/>
              </w:rPr>
            </w:pPr>
            <w:r w:rsidRPr="007116EB">
              <w:rPr>
                <w:rFonts w:eastAsia="Times New Roman"/>
                <w:color w:val="000000" w:themeColor="text1"/>
                <w:sz w:val="20"/>
                <w:szCs w:val="20"/>
                <w:lang w:val="en-IE" w:eastAsia="en-IE"/>
              </w:rPr>
              <w:t>Biosimilar</w:t>
            </w:r>
            <w:r w:rsidR="0631379E" w:rsidRPr="007116EB">
              <w:rPr>
                <w:color w:val="000000" w:themeColor="text1"/>
                <w:sz w:val="20"/>
                <w:szCs w:val="20"/>
                <w:lang w:val="en-IE"/>
              </w:rPr>
              <w:t xml:space="preserve"> sales</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B815B1C"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C9125F4"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769C0E2"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F195D4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B1BD84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17" w:type="dxa"/>
            <w:tcBorders>
              <w:top w:val="nil"/>
              <w:left w:val="nil"/>
              <w:bottom w:val="single" w:sz="8" w:space="0" w:color="auto"/>
              <w:right w:val="single" w:sz="8" w:space="0" w:color="auto"/>
            </w:tcBorders>
            <w:shd w:val="clear" w:color="auto" w:fill="FFFFFF" w:themeFill="background1"/>
            <w:vAlign w:val="center"/>
            <w:hideMark/>
          </w:tcPr>
          <w:p w14:paraId="3644652C"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78EA12DC"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46E285DF"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6" w:type="dxa"/>
            <w:tcBorders>
              <w:top w:val="nil"/>
              <w:left w:val="nil"/>
              <w:bottom w:val="single" w:sz="8" w:space="0" w:color="auto"/>
              <w:right w:val="single" w:sz="8" w:space="0" w:color="auto"/>
            </w:tcBorders>
            <w:shd w:val="clear" w:color="auto" w:fill="FFFFFF" w:themeFill="background1"/>
            <w:vAlign w:val="center"/>
            <w:hideMark/>
          </w:tcPr>
          <w:p w14:paraId="7B3690E7"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7761E666"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1D0DA42"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4451CB8D"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10FAB532"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7D0608E4"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11" w:type="dxa"/>
            <w:tcBorders>
              <w:top w:val="nil"/>
              <w:left w:val="nil"/>
              <w:bottom w:val="single" w:sz="8" w:space="0" w:color="auto"/>
              <w:right w:val="single" w:sz="8" w:space="0" w:color="auto"/>
            </w:tcBorders>
            <w:shd w:val="clear" w:color="auto" w:fill="DBE5F1" w:themeFill="accent1" w:themeFillTint="33"/>
            <w:vAlign w:val="center"/>
            <w:hideMark/>
          </w:tcPr>
          <w:p w14:paraId="6B9008D6"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C0E6F5"/>
            <w:vAlign w:val="center"/>
            <w:hideMark/>
          </w:tcPr>
          <w:p w14:paraId="0FAFFD3F"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DDD9C3" w:themeFill="background2" w:themeFillShade="E6"/>
            <w:vAlign w:val="center"/>
            <w:hideMark/>
          </w:tcPr>
          <w:p w14:paraId="6D9304F8"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3</w:t>
            </w:r>
          </w:p>
        </w:tc>
        <w:tc>
          <w:tcPr>
            <w:tcW w:w="609" w:type="dxa"/>
            <w:tcBorders>
              <w:top w:val="nil"/>
              <w:left w:val="nil"/>
              <w:bottom w:val="single" w:sz="8" w:space="0" w:color="auto"/>
              <w:right w:val="single" w:sz="8" w:space="0" w:color="auto"/>
            </w:tcBorders>
            <w:shd w:val="clear" w:color="auto" w:fill="FFFFFF" w:themeFill="background1"/>
            <w:vAlign w:val="center"/>
            <w:hideMark/>
          </w:tcPr>
          <w:p w14:paraId="3C3288F1"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6</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79BC6049"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12</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4AC6CF7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20</w:t>
            </w:r>
          </w:p>
        </w:tc>
      </w:tr>
      <w:tr w:rsidR="00E5568D" w:rsidRPr="00E5568D" w14:paraId="3B729490" w14:textId="77777777" w:rsidTr="043522AD">
        <w:trPr>
          <w:trHeight w:val="405"/>
        </w:trPr>
        <w:tc>
          <w:tcPr>
            <w:tcW w:w="1857" w:type="dxa"/>
            <w:tcBorders>
              <w:top w:val="nil"/>
              <w:left w:val="single" w:sz="8" w:space="0" w:color="auto"/>
              <w:bottom w:val="single" w:sz="8" w:space="0" w:color="auto"/>
              <w:right w:val="single" w:sz="8" w:space="0" w:color="auto"/>
            </w:tcBorders>
            <w:vAlign w:val="center"/>
            <w:hideMark/>
          </w:tcPr>
          <w:p w14:paraId="5866BABA" w14:textId="77777777" w:rsidR="00330C09" w:rsidRPr="007116EB" w:rsidRDefault="00330C09" w:rsidP="00330C09">
            <w:pPr>
              <w:spacing w:after="0"/>
              <w:rPr>
                <w:b/>
                <w:color w:val="000000"/>
                <w:sz w:val="20"/>
                <w:szCs w:val="20"/>
                <w:lang w:val="en-IE"/>
              </w:rPr>
            </w:pPr>
            <w:r w:rsidRPr="007116EB">
              <w:rPr>
                <w:b/>
                <w:color w:val="000000"/>
                <w:sz w:val="20"/>
                <w:szCs w:val="20"/>
                <w:lang w:val="en-IE"/>
              </w:rPr>
              <w:t>Total sales</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816578B"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5</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C2977DE"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DE8499B"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23</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35C7D80"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40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E476832"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54</w:t>
            </w:r>
          </w:p>
        </w:tc>
        <w:tc>
          <w:tcPr>
            <w:tcW w:w="617" w:type="dxa"/>
            <w:tcBorders>
              <w:top w:val="nil"/>
              <w:left w:val="nil"/>
              <w:bottom w:val="single" w:sz="8" w:space="0" w:color="auto"/>
              <w:right w:val="single" w:sz="8" w:space="0" w:color="auto"/>
            </w:tcBorders>
            <w:shd w:val="clear" w:color="auto" w:fill="FFFFFF" w:themeFill="background1"/>
            <w:vAlign w:val="center"/>
            <w:hideMark/>
          </w:tcPr>
          <w:p w14:paraId="2475380F"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63</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3FF44E86"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69</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1A753191"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73</w:t>
            </w:r>
          </w:p>
        </w:tc>
        <w:tc>
          <w:tcPr>
            <w:tcW w:w="606" w:type="dxa"/>
            <w:tcBorders>
              <w:top w:val="nil"/>
              <w:left w:val="nil"/>
              <w:bottom w:val="single" w:sz="8" w:space="0" w:color="auto"/>
              <w:right w:val="single" w:sz="8" w:space="0" w:color="auto"/>
            </w:tcBorders>
            <w:shd w:val="clear" w:color="auto" w:fill="FFFFFF" w:themeFill="background1"/>
            <w:vAlign w:val="center"/>
            <w:hideMark/>
          </w:tcPr>
          <w:p w14:paraId="1CFB34B6"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80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6C21E3F6"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86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B3336E5"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93</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26CDEA00"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98</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4496D0C0"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100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68D32BEA"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100</w:t>
            </w:r>
          </w:p>
        </w:tc>
        <w:tc>
          <w:tcPr>
            <w:tcW w:w="611" w:type="dxa"/>
            <w:tcBorders>
              <w:top w:val="nil"/>
              <w:left w:val="nil"/>
              <w:bottom w:val="single" w:sz="8" w:space="0" w:color="auto"/>
              <w:right w:val="single" w:sz="8" w:space="0" w:color="auto"/>
            </w:tcBorders>
            <w:shd w:val="clear" w:color="auto" w:fill="DBE5F1" w:themeFill="accent1" w:themeFillTint="33"/>
            <w:vAlign w:val="center"/>
            <w:hideMark/>
          </w:tcPr>
          <w:p w14:paraId="0848ABDE"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100</w:t>
            </w:r>
          </w:p>
        </w:tc>
        <w:tc>
          <w:tcPr>
            <w:tcW w:w="604" w:type="dxa"/>
            <w:tcBorders>
              <w:top w:val="nil"/>
              <w:left w:val="nil"/>
              <w:bottom w:val="single" w:sz="8" w:space="0" w:color="auto"/>
              <w:right w:val="single" w:sz="8" w:space="0" w:color="auto"/>
            </w:tcBorders>
            <w:shd w:val="clear" w:color="auto" w:fill="C0E6F5"/>
            <w:vAlign w:val="center"/>
            <w:hideMark/>
          </w:tcPr>
          <w:p w14:paraId="66F620CA"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100</w:t>
            </w:r>
          </w:p>
        </w:tc>
        <w:tc>
          <w:tcPr>
            <w:tcW w:w="604" w:type="dxa"/>
            <w:tcBorders>
              <w:top w:val="nil"/>
              <w:left w:val="nil"/>
              <w:bottom w:val="single" w:sz="8" w:space="0" w:color="auto"/>
              <w:right w:val="single" w:sz="8" w:space="0" w:color="auto"/>
            </w:tcBorders>
            <w:shd w:val="clear" w:color="auto" w:fill="DDD9C3" w:themeFill="background2" w:themeFillShade="E6"/>
            <w:vAlign w:val="center"/>
            <w:hideMark/>
          </w:tcPr>
          <w:p w14:paraId="0B54C79E"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98</w:t>
            </w:r>
          </w:p>
        </w:tc>
        <w:tc>
          <w:tcPr>
            <w:tcW w:w="609" w:type="dxa"/>
            <w:tcBorders>
              <w:top w:val="nil"/>
              <w:left w:val="nil"/>
              <w:bottom w:val="single" w:sz="8" w:space="0" w:color="auto"/>
              <w:right w:val="single" w:sz="8" w:space="0" w:color="auto"/>
            </w:tcBorders>
            <w:shd w:val="clear" w:color="auto" w:fill="FFFFFF" w:themeFill="background1"/>
            <w:vAlign w:val="center"/>
            <w:hideMark/>
          </w:tcPr>
          <w:p w14:paraId="4E7AB0E5"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94</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53E11962"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92</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7D97966B"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91</w:t>
            </w:r>
          </w:p>
        </w:tc>
      </w:tr>
      <w:tr w:rsidR="00BB182A" w:rsidRPr="00E5568D" w14:paraId="1A86A886" w14:textId="77777777" w:rsidTr="043522AD">
        <w:trPr>
          <w:trHeight w:val="405"/>
        </w:trPr>
        <w:tc>
          <w:tcPr>
            <w:tcW w:w="1857" w:type="dxa"/>
            <w:tcBorders>
              <w:top w:val="nil"/>
              <w:left w:val="single" w:sz="8" w:space="0" w:color="auto"/>
              <w:bottom w:val="single" w:sz="8" w:space="0" w:color="auto"/>
              <w:right w:val="single" w:sz="8" w:space="0" w:color="auto"/>
            </w:tcBorders>
            <w:vAlign w:val="center"/>
            <w:hideMark/>
          </w:tcPr>
          <w:p w14:paraId="35BA1E5F" w14:textId="77777777" w:rsidR="00330C09" w:rsidRPr="007116EB" w:rsidRDefault="00330C09" w:rsidP="00330C09">
            <w:pPr>
              <w:spacing w:after="0"/>
              <w:rPr>
                <w:color w:val="000000"/>
                <w:sz w:val="20"/>
                <w:szCs w:val="20"/>
                <w:lang w:val="en-IE"/>
              </w:rPr>
            </w:pPr>
            <w:r w:rsidRPr="007116EB">
              <w:rPr>
                <w:color w:val="000000"/>
                <w:sz w:val="20"/>
                <w:szCs w:val="20"/>
                <w:lang w:val="en-IE"/>
              </w:rPr>
              <w:t>Originator volume</w:t>
            </w:r>
          </w:p>
        </w:tc>
        <w:tc>
          <w:tcPr>
            <w:tcW w:w="608" w:type="dxa"/>
            <w:tcBorders>
              <w:top w:val="nil"/>
              <w:left w:val="nil"/>
              <w:bottom w:val="single" w:sz="8" w:space="0" w:color="auto"/>
              <w:right w:val="single" w:sz="8" w:space="0" w:color="auto"/>
            </w:tcBorders>
            <w:vAlign w:val="center"/>
            <w:hideMark/>
          </w:tcPr>
          <w:p w14:paraId="402BF5FB"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4</w:t>
            </w:r>
          </w:p>
        </w:tc>
        <w:tc>
          <w:tcPr>
            <w:tcW w:w="608" w:type="dxa"/>
            <w:tcBorders>
              <w:top w:val="nil"/>
              <w:left w:val="nil"/>
              <w:bottom w:val="single" w:sz="8" w:space="0" w:color="auto"/>
              <w:right w:val="single" w:sz="8" w:space="0" w:color="auto"/>
            </w:tcBorders>
            <w:vAlign w:val="center"/>
            <w:hideMark/>
          </w:tcPr>
          <w:p w14:paraId="7188855B"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w:t>
            </w:r>
          </w:p>
        </w:tc>
        <w:tc>
          <w:tcPr>
            <w:tcW w:w="608" w:type="dxa"/>
            <w:tcBorders>
              <w:top w:val="nil"/>
              <w:left w:val="nil"/>
              <w:bottom w:val="single" w:sz="8" w:space="0" w:color="auto"/>
              <w:right w:val="single" w:sz="8" w:space="0" w:color="auto"/>
            </w:tcBorders>
            <w:vAlign w:val="center"/>
            <w:hideMark/>
          </w:tcPr>
          <w:p w14:paraId="1D70F8D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16</w:t>
            </w:r>
          </w:p>
        </w:tc>
        <w:tc>
          <w:tcPr>
            <w:tcW w:w="608" w:type="dxa"/>
            <w:tcBorders>
              <w:top w:val="nil"/>
              <w:left w:val="nil"/>
              <w:bottom w:val="single" w:sz="8" w:space="0" w:color="auto"/>
              <w:right w:val="single" w:sz="8" w:space="0" w:color="auto"/>
            </w:tcBorders>
            <w:vAlign w:val="center"/>
            <w:hideMark/>
          </w:tcPr>
          <w:p w14:paraId="1206D820"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28</w:t>
            </w:r>
          </w:p>
        </w:tc>
        <w:tc>
          <w:tcPr>
            <w:tcW w:w="608" w:type="dxa"/>
            <w:tcBorders>
              <w:top w:val="nil"/>
              <w:left w:val="nil"/>
              <w:bottom w:val="single" w:sz="8" w:space="0" w:color="auto"/>
              <w:right w:val="single" w:sz="8" w:space="0" w:color="auto"/>
            </w:tcBorders>
            <w:vAlign w:val="center"/>
            <w:hideMark/>
          </w:tcPr>
          <w:p w14:paraId="2B9E07D0"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37</w:t>
            </w:r>
          </w:p>
        </w:tc>
        <w:tc>
          <w:tcPr>
            <w:tcW w:w="617" w:type="dxa"/>
            <w:tcBorders>
              <w:top w:val="nil"/>
              <w:left w:val="nil"/>
              <w:bottom w:val="single" w:sz="8" w:space="0" w:color="auto"/>
              <w:right w:val="single" w:sz="8" w:space="0" w:color="auto"/>
            </w:tcBorders>
            <w:vAlign w:val="center"/>
            <w:hideMark/>
          </w:tcPr>
          <w:p w14:paraId="689E7546"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46</w:t>
            </w:r>
          </w:p>
        </w:tc>
        <w:tc>
          <w:tcPr>
            <w:tcW w:w="604" w:type="dxa"/>
            <w:tcBorders>
              <w:top w:val="nil"/>
              <w:left w:val="nil"/>
              <w:bottom w:val="single" w:sz="8" w:space="0" w:color="auto"/>
              <w:right w:val="single" w:sz="8" w:space="0" w:color="auto"/>
            </w:tcBorders>
            <w:vAlign w:val="center"/>
            <w:hideMark/>
          </w:tcPr>
          <w:p w14:paraId="2205FFE8"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54</w:t>
            </w:r>
          </w:p>
        </w:tc>
        <w:tc>
          <w:tcPr>
            <w:tcW w:w="604" w:type="dxa"/>
            <w:tcBorders>
              <w:top w:val="nil"/>
              <w:left w:val="nil"/>
              <w:bottom w:val="single" w:sz="8" w:space="0" w:color="auto"/>
              <w:right w:val="single" w:sz="8" w:space="0" w:color="auto"/>
            </w:tcBorders>
            <w:vAlign w:val="center"/>
            <w:hideMark/>
          </w:tcPr>
          <w:p w14:paraId="5B373C5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60</w:t>
            </w:r>
          </w:p>
        </w:tc>
        <w:tc>
          <w:tcPr>
            <w:tcW w:w="606" w:type="dxa"/>
            <w:tcBorders>
              <w:top w:val="nil"/>
              <w:left w:val="nil"/>
              <w:bottom w:val="single" w:sz="8" w:space="0" w:color="auto"/>
              <w:right w:val="single" w:sz="8" w:space="0" w:color="auto"/>
            </w:tcBorders>
            <w:vAlign w:val="center"/>
            <w:hideMark/>
          </w:tcPr>
          <w:p w14:paraId="71121C3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69</w:t>
            </w:r>
          </w:p>
        </w:tc>
        <w:tc>
          <w:tcPr>
            <w:tcW w:w="604" w:type="dxa"/>
            <w:tcBorders>
              <w:top w:val="nil"/>
              <w:left w:val="nil"/>
              <w:bottom w:val="single" w:sz="8" w:space="0" w:color="auto"/>
              <w:right w:val="single" w:sz="8" w:space="0" w:color="auto"/>
            </w:tcBorders>
            <w:vAlign w:val="center"/>
            <w:hideMark/>
          </w:tcPr>
          <w:p w14:paraId="5ED11836"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77</w:t>
            </w:r>
          </w:p>
        </w:tc>
        <w:tc>
          <w:tcPr>
            <w:tcW w:w="608" w:type="dxa"/>
            <w:tcBorders>
              <w:top w:val="nil"/>
              <w:left w:val="nil"/>
              <w:bottom w:val="single" w:sz="8" w:space="0" w:color="auto"/>
              <w:right w:val="single" w:sz="8" w:space="0" w:color="auto"/>
            </w:tcBorders>
            <w:vAlign w:val="center"/>
            <w:hideMark/>
          </w:tcPr>
          <w:p w14:paraId="169AAC4E"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85</w:t>
            </w:r>
          </w:p>
        </w:tc>
        <w:tc>
          <w:tcPr>
            <w:tcW w:w="604" w:type="dxa"/>
            <w:tcBorders>
              <w:top w:val="nil"/>
              <w:left w:val="nil"/>
              <w:bottom w:val="single" w:sz="8" w:space="0" w:color="auto"/>
              <w:right w:val="single" w:sz="8" w:space="0" w:color="auto"/>
            </w:tcBorders>
            <w:vAlign w:val="center"/>
            <w:hideMark/>
          </w:tcPr>
          <w:p w14:paraId="46D0FA4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92</w:t>
            </w:r>
          </w:p>
        </w:tc>
        <w:tc>
          <w:tcPr>
            <w:tcW w:w="604" w:type="dxa"/>
            <w:tcBorders>
              <w:top w:val="nil"/>
              <w:left w:val="nil"/>
              <w:bottom w:val="single" w:sz="8" w:space="0" w:color="auto"/>
              <w:right w:val="single" w:sz="8" w:space="0" w:color="auto"/>
            </w:tcBorders>
            <w:vAlign w:val="center"/>
            <w:hideMark/>
          </w:tcPr>
          <w:p w14:paraId="5A1DB29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97</w:t>
            </w:r>
          </w:p>
        </w:tc>
        <w:tc>
          <w:tcPr>
            <w:tcW w:w="604" w:type="dxa"/>
            <w:tcBorders>
              <w:top w:val="nil"/>
              <w:left w:val="nil"/>
              <w:bottom w:val="single" w:sz="8" w:space="0" w:color="auto"/>
              <w:right w:val="single" w:sz="8" w:space="0" w:color="auto"/>
            </w:tcBorders>
            <w:vAlign w:val="center"/>
            <w:hideMark/>
          </w:tcPr>
          <w:p w14:paraId="4058DA97"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99</w:t>
            </w:r>
          </w:p>
        </w:tc>
        <w:tc>
          <w:tcPr>
            <w:tcW w:w="611" w:type="dxa"/>
            <w:tcBorders>
              <w:top w:val="nil"/>
              <w:left w:val="nil"/>
              <w:bottom w:val="single" w:sz="8" w:space="0" w:color="auto"/>
              <w:right w:val="single" w:sz="8" w:space="0" w:color="auto"/>
            </w:tcBorders>
            <w:shd w:val="clear" w:color="auto" w:fill="DBE5F1" w:themeFill="accent1" w:themeFillTint="33"/>
            <w:vAlign w:val="center"/>
            <w:hideMark/>
          </w:tcPr>
          <w:p w14:paraId="2BC6B23E"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101</w:t>
            </w:r>
          </w:p>
        </w:tc>
        <w:tc>
          <w:tcPr>
            <w:tcW w:w="604" w:type="dxa"/>
            <w:tcBorders>
              <w:top w:val="nil"/>
              <w:left w:val="nil"/>
              <w:bottom w:val="single" w:sz="8" w:space="0" w:color="auto"/>
              <w:right w:val="single" w:sz="8" w:space="0" w:color="auto"/>
            </w:tcBorders>
            <w:shd w:val="clear" w:color="auto" w:fill="C0E6F5"/>
            <w:vAlign w:val="center"/>
            <w:hideMark/>
          </w:tcPr>
          <w:p w14:paraId="00B0B0C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101</w:t>
            </w:r>
          </w:p>
        </w:tc>
        <w:tc>
          <w:tcPr>
            <w:tcW w:w="604" w:type="dxa"/>
            <w:tcBorders>
              <w:top w:val="nil"/>
              <w:left w:val="nil"/>
              <w:bottom w:val="single" w:sz="8" w:space="0" w:color="auto"/>
              <w:right w:val="single" w:sz="8" w:space="0" w:color="auto"/>
            </w:tcBorders>
            <w:shd w:val="clear" w:color="auto" w:fill="DDD9C3" w:themeFill="background2" w:themeFillShade="E6"/>
            <w:vAlign w:val="center"/>
            <w:hideMark/>
          </w:tcPr>
          <w:p w14:paraId="157A2A8B"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97</w:t>
            </w:r>
          </w:p>
        </w:tc>
        <w:tc>
          <w:tcPr>
            <w:tcW w:w="609" w:type="dxa"/>
            <w:tcBorders>
              <w:top w:val="nil"/>
              <w:left w:val="nil"/>
              <w:bottom w:val="single" w:sz="8" w:space="0" w:color="auto"/>
              <w:right w:val="single" w:sz="8" w:space="0" w:color="auto"/>
            </w:tcBorders>
            <w:vAlign w:val="center"/>
            <w:hideMark/>
          </w:tcPr>
          <w:p w14:paraId="0ABEDA16"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92</w:t>
            </w:r>
          </w:p>
        </w:tc>
        <w:tc>
          <w:tcPr>
            <w:tcW w:w="604" w:type="dxa"/>
            <w:tcBorders>
              <w:top w:val="nil"/>
              <w:left w:val="nil"/>
              <w:bottom w:val="single" w:sz="8" w:space="0" w:color="auto"/>
              <w:right w:val="single" w:sz="8" w:space="0" w:color="auto"/>
            </w:tcBorders>
            <w:vAlign w:val="center"/>
            <w:hideMark/>
          </w:tcPr>
          <w:p w14:paraId="56C136D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85</w:t>
            </w:r>
          </w:p>
        </w:tc>
        <w:tc>
          <w:tcPr>
            <w:tcW w:w="604" w:type="dxa"/>
            <w:tcBorders>
              <w:top w:val="nil"/>
              <w:left w:val="nil"/>
              <w:bottom w:val="single" w:sz="8" w:space="0" w:color="auto"/>
              <w:right w:val="single" w:sz="8" w:space="0" w:color="auto"/>
            </w:tcBorders>
            <w:vAlign w:val="center"/>
            <w:hideMark/>
          </w:tcPr>
          <w:p w14:paraId="4D61210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78</w:t>
            </w:r>
          </w:p>
        </w:tc>
      </w:tr>
      <w:tr w:rsidR="00E5568D" w:rsidRPr="00E5568D" w14:paraId="0AC5541F" w14:textId="77777777" w:rsidTr="043522AD">
        <w:trPr>
          <w:trHeight w:val="405"/>
        </w:trPr>
        <w:tc>
          <w:tcPr>
            <w:tcW w:w="1857" w:type="dxa"/>
            <w:tcBorders>
              <w:top w:val="nil"/>
              <w:left w:val="single" w:sz="8" w:space="0" w:color="auto"/>
              <w:bottom w:val="single" w:sz="8" w:space="0" w:color="auto"/>
              <w:right w:val="single" w:sz="8" w:space="0" w:color="auto"/>
            </w:tcBorders>
            <w:vAlign w:val="center"/>
            <w:hideMark/>
          </w:tcPr>
          <w:p w14:paraId="084FE983" w14:textId="0F00369A" w:rsidR="00330C09" w:rsidRPr="007116EB" w:rsidRDefault="6DFD120A" w:rsidP="00330C09">
            <w:pPr>
              <w:spacing w:after="0"/>
              <w:rPr>
                <w:color w:val="000000"/>
                <w:sz w:val="20"/>
                <w:szCs w:val="20"/>
                <w:lang w:val="en-IE"/>
              </w:rPr>
            </w:pPr>
            <w:r w:rsidRPr="007116EB">
              <w:rPr>
                <w:rFonts w:eastAsia="Times New Roman"/>
                <w:color w:val="000000" w:themeColor="text1"/>
                <w:sz w:val="20"/>
                <w:szCs w:val="20"/>
                <w:lang w:val="en-IE" w:eastAsia="en-IE"/>
              </w:rPr>
              <w:t>Biosimilar</w:t>
            </w:r>
            <w:r w:rsidR="0631379E" w:rsidRPr="007116EB">
              <w:rPr>
                <w:color w:val="000000" w:themeColor="text1"/>
                <w:sz w:val="20"/>
                <w:szCs w:val="20"/>
                <w:lang w:val="en-IE"/>
              </w:rPr>
              <w:t xml:space="preserve"> volume</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CBDEB9A"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D0468CF"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D359C66"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CBDCEAC"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8AE5941"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17" w:type="dxa"/>
            <w:tcBorders>
              <w:top w:val="nil"/>
              <w:left w:val="nil"/>
              <w:bottom w:val="single" w:sz="8" w:space="0" w:color="auto"/>
              <w:right w:val="single" w:sz="8" w:space="0" w:color="auto"/>
            </w:tcBorders>
            <w:shd w:val="clear" w:color="auto" w:fill="FFFFFF" w:themeFill="background1"/>
            <w:vAlign w:val="center"/>
            <w:hideMark/>
          </w:tcPr>
          <w:p w14:paraId="13A2D201"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685F3D76"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28C5D48D"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6" w:type="dxa"/>
            <w:tcBorders>
              <w:top w:val="nil"/>
              <w:left w:val="nil"/>
              <w:bottom w:val="single" w:sz="8" w:space="0" w:color="auto"/>
              <w:right w:val="single" w:sz="8" w:space="0" w:color="auto"/>
            </w:tcBorders>
            <w:shd w:val="clear" w:color="auto" w:fill="FFFFFF" w:themeFill="background1"/>
            <w:vAlign w:val="center"/>
            <w:hideMark/>
          </w:tcPr>
          <w:p w14:paraId="4877E24A"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3A310C2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6ABCA6D"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0781690E"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0AA7ED12"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673E7ABE"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11" w:type="dxa"/>
            <w:tcBorders>
              <w:top w:val="nil"/>
              <w:left w:val="nil"/>
              <w:bottom w:val="single" w:sz="8" w:space="0" w:color="auto"/>
              <w:right w:val="single" w:sz="8" w:space="0" w:color="auto"/>
            </w:tcBorders>
            <w:shd w:val="clear" w:color="auto" w:fill="DBE5F1" w:themeFill="accent1" w:themeFillTint="33"/>
            <w:vAlign w:val="center"/>
            <w:hideMark/>
          </w:tcPr>
          <w:p w14:paraId="62F7B57F"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C0E6F5"/>
            <w:vAlign w:val="center"/>
            <w:hideMark/>
          </w:tcPr>
          <w:p w14:paraId="53FAA73F"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DDD9C3" w:themeFill="background2" w:themeFillShade="E6"/>
            <w:vAlign w:val="center"/>
            <w:hideMark/>
          </w:tcPr>
          <w:p w14:paraId="51EEFB1F"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4</w:t>
            </w:r>
          </w:p>
        </w:tc>
        <w:tc>
          <w:tcPr>
            <w:tcW w:w="609" w:type="dxa"/>
            <w:tcBorders>
              <w:top w:val="nil"/>
              <w:left w:val="nil"/>
              <w:bottom w:val="single" w:sz="8" w:space="0" w:color="auto"/>
              <w:right w:val="single" w:sz="8" w:space="0" w:color="auto"/>
            </w:tcBorders>
            <w:shd w:val="clear" w:color="auto" w:fill="FFFFFF" w:themeFill="background1"/>
            <w:vAlign w:val="center"/>
            <w:hideMark/>
          </w:tcPr>
          <w:p w14:paraId="5824A8EE"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9</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1171960B"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20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4D95E6D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35</w:t>
            </w:r>
          </w:p>
        </w:tc>
      </w:tr>
      <w:tr w:rsidR="00E5568D" w:rsidRPr="00E5568D" w14:paraId="52D416A3" w14:textId="77777777" w:rsidTr="043522AD">
        <w:trPr>
          <w:trHeight w:val="405"/>
        </w:trPr>
        <w:tc>
          <w:tcPr>
            <w:tcW w:w="1857" w:type="dxa"/>
            <w:tcBorders>
              <w:top w:val="nil"/>
              <w:left w:val="single" w:sz="8" w:space="0" w:color="auto"/>
              <w:bottom w:val="single" w:sz="8" w:space="0" w:color="auto"/>
              <w:right w:val="single" w:sz="8" w:space="0" w:color="auto"/>
            </w:tcBorders>
            <w:vAlign w:val="center"/>
            <w:hideMark/>
          </w:tcPr>
          <w:p w14:paraId="4F38DB77" w14:textId="77777777" w:rsidR="00330C09" w:rsidRPr="007116EB" w:rsidRDefault="00330C09" w:rsidP="00330C09">
            <w:pPr>
              <w:spacing w:after="0"/>
              <w:rPr>
                <w:b/>
                <w:color w:val="000000"/>
                <w:sz w:val="20"/>
                <w:szCs w:val="20"/>
                <w:lang w:val="en-IE"/>
              </w:rPr>
            </w:pPr>
            <w:r w:rsidRPr="007116EB">
              <w:rPr>
                <w:b/>
                <w:color w:val="000000"/>
                <w:sz w:val="20"/>
                <w:szCs w:val="20"/>
                <w:lang w:val="en-IE"/>
              </w:rPr>
              <w:t>Total volume</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3483288"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3C75E21"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272DFD8"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16</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C0242B9"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28</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DC6AA92"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37</w:t>
            </w:r>
          </w:p>
        </w:tc>
        <w:tc>
          <w:tcPr>
            <w:tcW w:w="617" w:type="dxa"/>
            <w:tcBorders>
              <w:top w:val="nil"/>
              <w:left w:val="nil"/>
              <w:bottom w:val="single" w:sz="8" w:space="0" w:color="auto"/>
              <w:right w:val="single" w:sz="8" w:space="0" w:color="auto"/>
            </w:tcBorders>
            <w:shd w:val="clear" w:color="auto" w:fill="FFFFFF" w:themeFill="background1"/>
            <w:vAlign w:val="center"/>
            <w:hideMark/>
          </w:tcPr>
          <w:p w14:paraId="398A6427"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46</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0D310017"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54</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2BDD369E"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60</w:t>
            </w:r>
          </w:p>
        </w:tc>
        <w:tc>
          <w:tcPr>
            <w:tcW w:w="606" w:type="dxa"/>
            <w:tcBorders>
              <w:top w:val="nil"/>
              <w:left w:val="nil"/>
              <w:bottom w:val="single" w:sz="8" w:space="0" w:color="auto"/>
              <w:right w:val="single" w:sz="8" w:space="0" w:color="auto"/>
            </w:tcBorders>
            <w:shd w:val="clear" w:color="auto" w:fill="FFFFFF" w:themeFill="background1"/>
            <w:vAlign w:val="center"/>
            <w:hideMark/>
          </w:tcPr>
          <w:p w14:paraId="60851115"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69</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6BED299E"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77</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4628E2F"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85</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53F5573F"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92</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0620F23E"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97</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38F9ECA5"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99</w:t>
            </w:r>
          </w:p>
        </w:tc>
        <w:tc>
          <w:tcPr>
            <w:tcW w:w="611" w:type="dxa"/>
            <w:tcBorders>
              <w:top w:val="nil"/>
              <w:left w:val="nil"/>
              <w:bottom w:val="single" w:sz="8" w:space="0" w:color="auto"/>
              <w:right w:val="single" w:sz="8" w:space="0" w:color="auto"/>
            </w:tcBorders>
            <w:shd w:val="clear" w:color="auto" w:fill="DBE5F1" w:themeFill="accent1" w:themeFillTint="33"/>
            <w:vAlign w:val="center"/>
            <w:hideMark/>
          </w:tcPr>
          <w:p w14:paraId="66F851A7"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101</w:t>
            </w:r>
          </w:p>
        </w:tc>
        <w:tc>
          <w:tcPr>
            <w:tcW w:w="604" w:type="dxa"/>
            <w:tcBorders>
              <w:top w:val="nil"/>
              <w:left w:val="nil"/>
              <w:bottom w:val="single" w:sz="8" w:space="0" w:color="auto"/>
              <w:right w:val="single" w:sz="8" w:space="0" w:color="auto"/>
            </w:tcBorders>
            <w:shd w:val="clear" w:color="auto" w:fill="C0E6F5"/>
            <w:vAlign w:val="center"/>
            <w:hideMark/>
          </w:tcPr>
          <w:p w14:paraId="5F615A18"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101</w:t>
            </w:r>
          </w:p>
        </w:tc>
        <w:tc>
          <w:tcPr>
            <w:tcW w:w="604" w:type="dxa"/>
            <w:tcBorders>
              <w:top w:val="nil"/>
              <w:left w:val="nil"/>
              <w:bottom w:val="single" w:sz="8" w:space="0" w:color="auto"/>
              <w:right w:val="single" w:sz="8" w:space="0" w:color="auto"/>
            </w:tcBorders>
            <w:shd w:val="clear" w:color="auto" w:fill="DDD9C3" w:themeFill="background2" w:themeFillShade="E6"/>
            <w:vAlign w:val="center"/>
            <w:hideMark/>
          </w:tcPr>
          <w:p w14:paraId="34CA302C"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101</w:t>
            </w:r>
          </w:p>
        </w:tc>
        <w:tc>
          <w:tcPr>
            <w:tcW w:w="609" w:type="dxa"/>
            <w:tcBorders>
              <w:top w:val="nil"/>
              <w:left w:val="nil"/>
              <w:bottom w:val="single" w:sz="8" w:space="0" w:color="auto"/>
              <w:right w:val="single" w:sz="8" w:space="0" w:color="auto"/>
            </w:tcBorders>
            <w:shd w:val="clear" w:color="auto" w:fill="FFFFFF" w:themeFill="background1"/>
            <w:vAlign w:val="center"/>
            <w:hideMark/>
          </w:tcPr>
          <w:p w14:paraId="4BA6DF93"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101</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5BDBF134"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105</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1FC139D3"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114</w:t>
            </w:r>
          </w:p>
        </w:tc>
      </w:tr>
      <w:tr w:rsidR="00BB182A" w:rsidRPr="00E5568D" w14:paraId="4238031E" w14:textId="77777777" w:rsidTr="043522AD">
        <w:trPr>
          <w:trHeight w:val="405"/>
        </w:trPr>
        <w:tc>
          <w:tcPr>
            <w:tcW w:w="1857" w:type="dxa"/>
            <w:tcBorders>
              <w:top w:val="nil"/>
              <w:left w:val="single" w:sz="8" w:space="0" w:color="auto"/>
              <w:bottom w:val="single" w:sz="8" w:space="0" w:color="auto"/>
              <w:right w:val="single" w:sz="8" w:space="0" w:color="auto"/>
            </w:tcBorders>
            <w:vAlign w:val="center"/>
            <w:hideMark/>
          </w:tcPr>
          <w:p w14:paraId="2D7553E4" w14:textId="77777777" w:rsidR="00330C09" w:rsidRPr="007116EB" w:rsidRDefault="00330C09" w:rsidP="00330C09">
            <w:pPr>
              <w:spacing w:after="0"/>
              <w:rPr>
                <w:color w:val="000000"/>
                <w:sz w:val="20"/>
                <w:szCs w:val="20"/>
                <w:lang w:val="en-IE"/>
              </w:rPr>
            </w:pPr>
            <w:r w:rsidRPr="007116EB">
              <w:rPr>
                <w:color w:val="000000"/>
                <w:sz w:val="20"/>
                <w:szCs w:val="20"/>
                <w:lang w:val="en-IE"/>
              </w:rPr>
              <w:t>Originator profit</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9202228"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0CB0138"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12</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6FA8D0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20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500E431"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35</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0E3EEA8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46</w:t>
            </w:r>
          </w:p>
        </w:tc>
        <w:tc>
          <w:tcPr>
            <w:tcW w:w="617" w:type="dxa"/>
            <w:tcBorders>
              <w:top w:val="nil"/>
              <w:left w:val="nil"/>
              <w:bottom w:val="single" w:sz="8" w:space="0" w:color="auto"/>
              <w:right w:val="single" w:sz="8" w:space="0" w:color="auto"/>
            </w:tcBorders>
            <w:shd w:val="clear" w:color="auto" w:fill="FFFFFF" w:themeFill="background1"/>
            <w:vAlign w:val="center"/>
            <w:hideMark/>
          </w:tcPr>
          <w:p w14:paraId="1EB7A511"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54</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06445239"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59</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06130E68"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61</w:t>
            </w:r>
          </w:p>
        </w:tc>
        <w:tc>
          <w:tcPr>
            <w:tcW w:w="606" w:type="dxa"/>
            <w:tcBorders>
              <w:top w:val="nil"/>
              <w:left w:val="nil"/>
              <w:bottom w:val="single" w:sz="8" w:space="0" w:color="auto"/>
              <w:right w:val="single" w:sz="8" w:space="0" w:color="auto"/>
            </w:tcBorders>
            <w:shd w:val="clear" w:color="auto" w:fill="FFFFFF" w:themeFill="background1"/>
            <w:vAlign w:val="center"/>
            <w:hideMark/>
          </w:tcPr>
          <w:p w14:paraId="241C5A04"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66</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6EB601B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71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576C1D59"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76</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69AEB9C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79</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6F199D9E"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81</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44C0BB8C"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80</w:t>
            </w:r>
          </w:p>
        </w:tc>
        <w:tc>
          <w:tcPr>
            <w:tcW w:w="611" w:type="dxa"/>
            <w:tcBorders>
              <w:top w:val="nil"/>
              <w:left w:val="nil"/>
              <w:bottom w:val="single" w:sz="8" w:space="0" w:color="auto"/>
              <w:right w:val="single" w:sz="8" w:space="0" w:color="auto"/>
            </w:tcBorders>
            <w:shd w:val="clear" w:color="auto" w:fill="DBE5F1" w:themeFill="accent1" w:themeFillTint="33"/>
            <w:vAlign w:val="center"/>
            <w:hideMark/>
          </w:tcPr>
          <w:p w14:paraId="30E7BB28"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80</w:t>
            </w:r>
          </w:p>
        </w:tc>
        <w:tc>
          <w:tcPr>
            <w:tcW w:w="604" w:type="dxa"/>
            <w:tcBorders>
              <w:top w:val="nil"/>
              <w:left w:val="nil"/>
              <w:bottom w:val="single" w:sz="8" w:space="0" w:color="auto"/>
              <w:right w:val="single" w:sz="8" w:space="0" w:color="auto"/>
            </w:tcBorders>
            <w:shd w:val="clear" w:color="auto" w:fill="C0E6F5"/>
            <w:vAlign w:val="center"/>
            <w:hideMark/>
          </w:tcPr>
          <w:p w14:paraId="4503CA71"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80</w:t>
            </w:r>
          </w:p>
        </w:tc>
        <w:tc>
          <w:tcPr>
            <w:tcW w:w="604" w:type="dxa"/>
            <w:tcBorders>
              <w:top w:val="nil"/>
              <w:left w:val="nil"/>
              <w:bottom w:val="single" w:sz="8" w:space="0" w:color="auto"/>
              <w:right w:val="single" w:sz="8" w:space="0" w:color="auto"/>
            </w:tcBorders>
            <w:shd w:val="clear" w:color="auto" w:fill="DDD9C3" w:themeFill="background2" w:themeFillShade="E6"/>
            <w:vAlign w:val="center"/>
            <w:hideMark/>
          </w:tcPr>
          <w:p w14:paraId="3D7A33E2"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76</w:t>
            </w:r>
          </w:p>
        </w:tc>
        <w:tc>
          <w:tcPr>
            <w:tcW w:w="609" w:type="dxa"/>
            <w:tcBorders>
              <w:top w:val="nil"/>
              <w:left w:val="nil"/>
              <w:bottom w:val="single" w:sz="8" w:space="0" w:color="auto"/>
              <w:right w:val="single" w:sz="8" w:space="0" w:color="auto"/>
            </w:tcBorders>
            <w:vAlign w:val="center"/>
            <w:hideMark/>
          </w:tcPr>
          <w:p w14:paraId="14252EFC"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70</w:t>
            </w:r>
          </w:p>
        </w:tc>
        <w:tc>
          <w:tcPr>
            <w:tcW w:w="604" w:type="dxa"/>
            <w:tcBorders>
              <w:top w:val="nil"/>
              <w:left w:val="nil"/>
              <w:bottom w:val="single" w:sz="8" w:space="0" w:color="auto"/>
              <w:right w:val="single" w:sz="8" w:space="0" w:color="auto"/>
            </w:tcBorders>
            <w:vAlign w:val="center"/>
            <w:hideMark/>
          </w:tcPr>
          <w:p w14:paraId="718830C4"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63</w:t>
            </w:r>
          </w:p>
        </w:tc>
        <w:tc>
          <w:tcPr>
            <w:tcW w:w="604" w:type="dxa"/>
            <w:tcBorders>
              <w:top w:val="nil"/>
              <w:left w:val="nil"/>
              <w:bottom w:val="single" w:sz="8" w:space="0" w:color="auto"/>
              <w:right w:val="single" w:sz="8" w:space="0" w:color="auto"/>
            </w:tcBorders>
            <w:vAlign w:val="center"/>
            <w:hideMark/>
          </w:tcPr>
          <w:p w14:paraId="10C3CA6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56</w:t>
            </w:r>
          </w:p>
        </w:tc>
      </w:tr>
      <w:tr w:rsidR="00BB182A" w:rsidRPr="00E5568D" w14:paraId="0041E696" w14:textId="77777777" w:rsidTr="043522AD">
        <w:trPr>
          <w:trHeight w:val="405"/>
        </w:trPr>
        <w:tc>
          <w:tcPr>
            <w:tcW w:w="1857" w:type="dxa"/>
            <w:tcBorders>
              <w:top w:val="nil"/>
              <w:left w:val="single" w:sz="8" w:space="0" w:color="auto"/>
              <w:bottom w:val="single" w:sz="8" w:space="0" w:color="auto"/>
              <w:right w:val="single" w:sz="8" w:space="0" w:color="auto"/>
            </w:tcBorders>
            <w:vAlign w:val="center"/>
            <w:hideMark/>
          </w:tcPr>
          <w:p w14:paraId="79DC76DA" w14:textId="163B7A67" w:rsidR="00330C09" w:rsidRPr="007116EB" w:rsidRDefault="3C8C570E" w:rsidP="00330C09">
            <w:pPr>
              <w:spacing w:after="0"/>
              <w:rPr>
                <w:color w:val="000000"/>
                <w:sz w:val="20"/>
                <w:szCs w:val="20"/>
                <w:lang w:val="en-IE"/>
              </w:rPr>
            </w:pPr>
            <w:r w:rsidRPr="007116EB">
              <w:rPr>
                <w:rFonts w:eastAsia="Times New Roman"/>
                <w:color w:val="000000" w:themeColor="text1"/>
                <w:sz w:val="20"/>
                <w:szCs w:val="20"/>
                <w:lang w:val="en-IE" w:eastAsia="en-IE"/>
              </w:rPr>
              <w:t>Biosimilar</w:t>
            </w:r>
            <w:r w:rsidR="0631379E" w:rsidRPr="007116EB">
              <w:rPr>
                <w:color w:val="000000" w:themeColor="text1"/>
                <w:sz w:val="20"/>
                <w:szCs w:val="20"/>
                <w:lang w:val="en-IE"/>
              </w:rPr>
              <w:t xml:space="preserve"> profit</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9C88B0C"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D8B1CF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CE2B56D"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056E8F2"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133574A"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17" w:type="dxa"/>
            <w:tcBorders>
              <w:top w:val="nil"/>
              <w:left w:val="nil"/>
              <w:bottom w:val="single" w:sz="8" w:space="0" w:color="auto"/>
              <w:right w:val="single" w:sz="8" w:space="0" w:color="auto"/>
            </w:tcBorders>
            <w:shd w:val="clear" w:color="auto" w:fill="FFFFFF" w:themeFill="background1"/>
            <w:vAlign w:val="center"/>
            <w:hideMark/>
          </w:tcPr>
          <w:p w14:paraId="09A8A7C0"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2638198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5137893C"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6" w:type="dxa"/>
            <w:tcBorders>
              <w:top w:val="nil"/>
              <w:left w:val="nil"/>
              <w:bottom w:val="single" w:sz="8" w:space="0" w:color="auto"/>
              <w:right w:val="single" w:sz="8" w:space="0" w:color="auto"/>
            </w:tcBorders>
            <w:shd w:val="clear" w:color="auto" w:fill="FFFFFF" w:themeFill="background1"/>
            <w:vAlign w:val="center"/>
            <w:hideMark/>
          </w:tcPr>
          <w:p w14:paraId="5A98AA0C"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2DC073BD"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B24EA48"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623CB714"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4E485BD2"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48F77429"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11" w:type="dxa"/>
            <w:tcBorders>
              <w:top w:val="nil"/>
              <w:left w:val="nil"/>
              <w:bottom w:val="single" w:sz="8" w:space="0" w:color="auto"/>
              <w:right w:val="single" w:sz="8" w:space="0" w:color="auto"/>
            </w:tcBorders>
            <w:shd w:val="clear" w:color="auto" w:fill="DBE5F1" w:themeFill="accent1" w:themeFillTint="33"/>
            <w:vAlign w:val="center"/>
            <w:hideMark/>
          </w:tcPr>
          <w:p w14:paraId="58301FCF"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w:t>
            </w:r>
          </w:p>
        </w:tc>
        <w:tc>
          <w:tcPr>
            <w:tcW w:w="604" w:type="dxa"/>
            <w:tcBorders>
              <w:top w:val="nil"/>
              <w:left w:val="nil"/>
              <w:bottom w:val="single" w:sz="8" w:space="0" w:color="auto"/>
              <w:right w:val="single" w:sz="8" w:space="0" w:color="auto"/>
            </w:tcBorders>
            <w:shd w:val="clear" w:color="auto" w:fill="C0E6F5"/>
            <w:vAlign w:val="center"/>
            <w:hideMark/>
          </w:tcPr>
          <w:p w14:paraId="49413D03"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0</w:t>
            </w:r>
          </w:p>
        </w:tc>
        <w:tc>
          <w:tcPr>
            <w:tcW w:w="604" w:type="dxa"/>
            <w:tcBorders>
              <w:top w:val="nil"/>
              <w:left w:val="nil"/>
              <w:bottom w:val="single" w:sz="8" w:space="0" w:color="auto"/>
              <w:right w:val="single" w:sz="8" w:space="0" w:color="auto"/>
            </w:tcBorders>
            <w:shd w:val="clear" w:color="auto" w:fill="DDD9C3" w:themeFill="background2" w:themeFillShade="E6"/>
            <w:vAlign w:val="center"/>
            <w:hideMark/>
          </w:tcPr>
          <w:p w14:paraId="66CE7CBF"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w:t>
            </w:r>
          </w:p>
        </w:tc>
        <w:tc>
          <w:tcPr>
            <w:tcW w:w="609" w:type="dxa"/>
            <w:tcBorders>
              <w:top w:val="nil"/>
              <w:left w:val="nil"/>
              <w:bottom w:val="single" w:sz="8" w:space="0" w:color="auto"/>
              <w:right w:val="single" w:sz="8" w:space="0" w:color="auto"/>
            </w:tcBorders>
            <w:vAlign w:val="center"/>
            <w:hideMark/>
          </w:tcPr>
          <w:p w14:paraId="1A94915E"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3</w:t>
            </w:r>
          </w:p>
        </w:tc>
        <w:tc>
          <w:tcPr>
            <w:tcW w:w="604" w:type="dxa"/>
            <w:tcBorders>
              <w:top w:val="nil"/>
              <w:left w:val="nil"/>
              <w:bottom w:val="single" w:sz="8" w:space="0" w:color="auto"/>
              <w:right w:val="single" w:sz="8" w:space="0" w:color="auto"/>
            </w:tcBorders>
            <w:vAlign w:val="center"/>
            <w:hideMark/>
          </w:tcPr>
          <w:p w14:paraId="50997ECA"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6</w:t>
            </w:r>
          </w:p>
        </w:tc>
        <w:tc>
          <w:tcPr>
            <w:tcW w:w="604" w:type="dxa"/>
            <w:tcBorders>
              <w:top w:val="nil"/>
              <w:left w:val="nil"/>
              <w:bottom w:val="single" w:sz="8" w:space="0" w:color="auto"/>
              <w:right w:val="single" w:sz="8" w:space="0" w:color="auto"/>
            </w:tcBorders>
            <w:vAlign w:val="center"/>
            <w:hideMark/>
          </w:tcPr>
          <w:p w14:paraId="2BA1FBB4"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9</w:t>
            </w:r>
          </w:p>
        </w:tc>
      </w:tr>
      <w:tr w:rsidR="00E5568D" w:rsidRPr="00E5568D" w14:paraId="58884B0E" w14:textId="77777777" w:rsidTr="043522AD">
        <w:trPr>
          <w:trHeight w:val="405"/>
        </w:trPr>
        <w:tc>
          <w:tcPr>
            <w:tcW w:w="1857" w:type="dxa"/>
            <w:tcBorders>
              <w:top w:val="nil"/>
              <w:left w:val="single" w:sz="8" w:space="0" w:color="auto"/>
              <w:bottom w:val="single" w:sz="8" w:space="0" w:color="auto"/>
              <w:right w:val="single" w:sz="8" w:space="0" w:color="auto"/>
            </w:tcBorders>
            <w:vAlign w:val="center"/>
            <w:hideMark/>
          </w:tcPr>
          <w:p w14:paraId="7B37B2D3" w14:textId="77777777" w:rsidR="00330C09" w:rsidRPr="007116EB" w:rsidRDefault="00330C09" w:rsidP="00330C09">
            <w:pPr>
              <w:spacing w:after="0"/>
              <w:rPr>
                <w:b/>
                <w:color w:val="000000"/>
                <w:sz w:val="20"/>
                <w:szCs w:val="20"/>
                <w:lang w:val="en-IE"/>
              </w:rPr>
            </w:pPr>
            <w:r w:rsidRPr="007116EB">
              <w:rPr>
                <w:b/>
                <w:color w:val="000000"/>
                <w:sz w:val="20"/>
                <w:szCs w:val="20"/>
                <w:lang w:val="en-IE"/>
              </w:rPr>
              <w:t>Total profit</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22D43A8C"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4</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2D6D251"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12</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64F55E0"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20</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C9E5427"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35</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10F5DF2"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46</w:t>
            </w:r>
          </w:p>
        </w:tc>
        <w:tc>
          <w:tcPr>
            <w:tcW w:w="617" w:type="dxa"/>
            <w:tcBorders>
              <w:top w:val="nil"/>
              <w:left w:val="nil"/>
              <w:bottom w:val="single" w:sz="8" w:space="0" w:color="auto"/>
              <w:right w:val="single" w:sz="8" w:space="0" w:color="auto"/>
            </w:tcBorders>
            <w:shd w:val="clear" w:color="auto" w:fill="FFFFFF" w:themeFill="background1"/>
            <w:vAlign w:val="center"/>
            <w:hideMark/>
          </w:tcPr>
          <w:p w14:paraId="1593D778"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54</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63BDE62A"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59</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0733D5B8"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61</w:t>
            </w:r>
          </w:p>
        </w:tc>
        <w:tc>
          <w:tcPr>
            <w:tcW w:w="606" w:type="dxa"/>
            <w:tcBorders>
              <w:top w:val="nil"/>
              <w:left w:val="nil"/>
              <w:bottom w:val="single" w:sz="8" w:space="0" w:color="auto"/>
              <w:right w:val="single" w:sz="8" w:space="0" w:color="auto"/>
            </w:tcBorders>
            <w:shd w:val="clear" w:color="auto" w:fill="FFFFFF" w:themeFill="background1"/>
            <w:vAlign w:val="center"/>
            <w:hideMark/>
          </w:tcPr>
          <w:p w14:paraId="6A9A9C01"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66</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485FB9FD"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71</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B6F00C5"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76</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0C7D4196"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79</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3C49DDED"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81</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78D39D0B"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80</w:t>
            </w:r>
          </w:p>
        </w:tc>
        <w:tc>
          <w:tcPr>
            <w:tcW w:w="611" w:type="dxa"/>
            <w:tcBorders>
              <w:top w:val="nil"/>
              <w:left w:val="nil"/>
              <w:bottom w:val="single" w:sz="8" w:space="0" w:color="auto"/>
              <w:right w:val="single" w:sz="8" w:space="0" w:color="auto"/>
            </w:tcBorders>
            <w:shd w:val="clear" w:color="auto" w:fill="DBE5F1" w:themeFill="accent1" w:themeFillTint="33"/>
            <w:vAlign w:val="center"/>
            <w:hideMark/>
          </w:tcPr>
          <w:p w14:paraId="693CA7EE"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80</w:t>
            </w:r>
          </w:p>
        </w:tc>
        <w:tc>
          <w:tcPr>
            <w:tcW w:w="604" w:type="dxa"/>
            <w:tcBorders>
              <w:top w:val="nil"/>
              <w:left w:val="nil"/>
              <w:bottom w:val="single" w:sz="8" w:space="0" w:color="auto"/>
              <w:right w:val="single" w:sz="8" w:space="0" w:color="auto"/>
            </w:tcBorders>
            <w:shd w:val="clear" w:color="auto" w:fill="C0E6F5"/>
            <w:vAlign w:val="center"/>
            <w:hideMark/>
          </w:tcPr>
          <w:p w14:paraId="570335E4"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80</w:t>
            </w:r>
          </w:p>
        </w:tc>
        <w:tc>
          <w:tcPr>
            <w:tcW w:w="604" w:type="dxa"/>
            <w:tcBorders>
              <w:top w:val="nil"/>
              <w:left w:val="nil"/>
              <w:bottom w:val="single" w:sz="8" w:space="0" w:color="auto"/>
              <w:right w:val="single" w:sz="8" w:space="0" w:color="auto"/>
            </w:tcBorders>
            <w:shd w:val="clear" w:color="auto" w:fill="DDD9C3" w:themeFill="background2" w:themeFillShade="E6"/>
            <w:vAlign w:val="center"/>
            <w:hideMark/>
          </w:tcPr>
          <w:p w14:paraId="31376344"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77</w:t>
            </w:r>
          </w:p>
        </w:tc>
        <w:tc>
          <w:tcPr>
            <w:tcW w:w="609" w:type="dxa"/>
            <w:tcBorders>
              <w:top w:val="nil"/>
              <w:left w:val="nil"/>
              <w:bottom w:val="single" w:sz="8" w:space="0" w:color="auto"/>
              <w:right w:val="single" w:sz="8" w:space="0" w:color="auto"/>
            </w:tcBorders>
            <w:shd w:val="clear" w:color="auto" w:fill="FFFFFF" w:themeFill="background1"/>
            <w:vAlign w:val="center"/>
            <w:hideMark/>
          </w:tcPr>
          <w:p w14:paraId="34E7EFB6"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73</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40E3E1F3"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68</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015FF009"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64</w:t>
            </w:r>
          </w:p>
        </w:tc>
      </w:tr>
      <w:tr w:rsidR="00BB182A" w:rsidRPr="00E5568D" w14:paraId="0F5E76FB" w14:textId="77777777" w:rsidTr="043522AD">
        <w:trPr>
          <w:trHeight w:val="405"/>
        </w:trPr>
        <w:tc>
          <w:tcPr>
            <w:tcW w:w="1857" w:type="dxa"/>
            <w:tcBorders>
              <w:top w:val="nil"/>
              <w:left w:val="single" w:sz="8" w:space="0" w:color="auto"/>
              <w:bottom w:val="single" w:sz="8" w:space="0" w:color="auto"/>
              <w:right w:val="single" w:sz="8" w:space="0" w:color="auto"/>
            </w:tcBorders>
            <w:vAlign w:val="center"/>
            <w:hideMark/>
          </w:tcPr>
          <w:p w14:paraId="7FB4445B" w14:textId="77777777" w:rsidR="00330C09" w:rsidRPr="007116EB" w:rsidRDefault="00330C09" w:rsidP="00330C09">
            <w:pPr>
              <w:spacing w:after="0"/>
              <w:rPr>
                <w:color w:val="000000"/>
                <w:sz w:val="20"/>
                <w:szCs w:val="20"/>
                <w:lang w:val="en-IE"/>
              </w:rPr>
            </w:pPr>
            <w:r w:rsidRPr="007116EB">
              <w:rPr>
                <w:color w:val="000000"/>
                <w:sz w:val="20"/>
                <w:szCs w:val="20"/>
                <w:lang w:val="en-IE"/>
              </w:rPr>
              <w:t>Originator price</w:t>
            </w:r>
          </w:p>
        </w:tc>
        <w:tc>
          <w:tcPr>
            <w:tcW w:w="608" w:type="dxa"/>
            <w:tcBorders>
              <w:top w:val="nil"/>
              <w:left w:val="nil"/>
              <w:bottom w:val="single" w:sz="8" w:space="0" w:color="auto"/>
              <w:right w:val="single" w:sz="8" w:space="0" w:color="auto"/>
            </w:tcBorders>
            <w:vAlign w:val="center"/>
            <w:hideMark/>
          </w:tcPr>
          <w:p w14:paraId="41AF4E6B"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1.18</w:t>
            </w:r>
          </w:p>
        </w:tc>
        <w:tc>
          <w:tcPr>
            <w:tcW w:w="608" w:type="dxa"/>
            <w:tcBorders>
              <w:top w:val="nil"/>
              <w:left w:val="nil"/>
              <w:bottom w:val="single" w:sz="8" w:space="0" w:color="auto"/>
              <w:right w:val="single" w:sz="8" w:space="0" w:color="auto"/>
            </w:tcBorders>
            <w:vAlign w:val="center"/>
            <w:hideMark/>
          </w:tcPr>
          <w:p w14:paraId="7D604658"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1.40</w:t>
            </w:r>
          </w:p>
        </w:tc>
        <w:tc>
          <w:tcPr>
            <w:tcW w:w="608" w:type="dxa"/>
            <w:tcBorders>
              <w:top w:val="nil"/>
              <w:left w:val="nil"/>
              <w:bottom w:val="single" w:sz="8" w:space="0" w:color="auto"/>
              <w:right w:val="single" w:sz="8" w:space="0" w:color="auto"/>
            </w:tcBorders>
            <w:vAlign w:val="center"/>
            <w:hideMark/>
          </w:tcPr>
          <w:p w14:paraId="71779840"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1.48</w:t>
            </w:r>
          </w:p>
        </w:tc>
        <w:tc>
          <w:tcPr>
            <w:tcW w:w="608" w:type="dxa"/>
            <w:tcBorders>
              <w:top w:val="nil"/>
              <w:left w:val="nil"/>
              <w:bottom w:val="single" w:sz="8" w:space="0" w:color="auto"/>
              <w:right w:val="single" w:sz="8" w:space="0" w:color="auto"/>
            </w:tcBorders>
            <w:vAlign w:val="center"/>
            <w:hideMark/>
          </w:tcPr>
          <w:p w14:paraId="1418B9E0"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1.46</w:t>
            </w:r>
          </w:p>
        </w:tc>
        <w:tc>
          <w:tcPr>
            <w:tcW w:w="608" w:type="dxa"/>
            <w:tcBorders>
              <w:top w:val="nil"/>
              <w:left w:val="nil"/>
              <w:bottom w:val="single" w:sz="8" w:space="0" w:color="auto"/>
              <w:right w:val="single" w:sz="8" w:space="0" w:color="auto"/>
            </w:tcBorders>
            <w:vAlign w:val="center"/>
            <w:hideMark/>
          </w:tcPr>
          <w:p w14:paraId="139F8C2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1.43</w:t>
            </w:r>
          </w:p>
        </w:tc>
        <w:tc>
          <w:tcPr>
            <w:tcW w:w="617" w:type="dxa"/>
            <w:tcBorders>
              <w:top w:val="nil"/>
              <w:left w:val="nil"/>
              <w:bottom w:val="single" w:sz="8" w:space="0" w:color="auto"/>
              <w:right w:val="single" w:sz="8" w:space="0" w:color="auto"/>
            </w:tcBorders>
            <w:vAlign w:val="center"/>
            <w:hideMark/>
          </w:tcPr>
          <w:p w14:paraId="6ACFD24F"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1.37</w:t>
            </w:r>
          </w:p>
        </w:tc>
        <w:tc>
          <w:tcPr>
            <w:tcW w:w="604" w:type="dxa"/>
            <w:tcBorders>
              <w:top w:val="nil"/>
              <w:left w:val="nil"/>
              <w:bottom w:val="single" w:sz="8" w:space="0" w:color="auto"/>
              <w:right w:val="single" w:sz="8" w:space="0" w:color="auto"/>
            </w:tcBorders>
            <w:vAlign w:val="center"/>
            <w:hideMark/>
          </w:tcPr>
          <w:p w14:paraId="41C4185C"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1.29</w:t>
            </w:r>
          </w:p>
        </w:tc>
        <w:tc>
          <w:tcPr>
            <w:tcW w:w="604" w:type="dxa"/>
            <w:tcBorders>
              <w:top w:val="nil"/>
              <w:left w:val="nil"/>
              <w:bottom w:val="single" w:sz="8" w:space="0" w:color="auto"/>
              <w:right w:val="single" w:sz="8" w:space="0" w:color="auto"/>
            </w:tcBorders>
            <w:vAlign w:val="center"/>
            <w:hideMark/>
          </w:tcPr>
          <w:p w14:paraId="1AE75E69"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1.21</w:t>
            </w:r>
          </w:p>
        </w:tc>
        <w:tc>
          <w:tcPr>
            <w:tcW w:w="606" w:type="dxa"/>
            <w:tcBorders>
              <w:top w:val="nil"/>
              <w:left w:val="nil"/>
              <w:bottom w:val="single" w:sz="8" w:space="0" w:color="auto"/>
              <w:right w:val="single" w:sz="8" w:space="0" w:color="auto"/>
            </w:tcBorders>
            <w:vAlign w:val="center"/>
            <w:hideMark/>
          </w:tcPr>
          <w:p w14:paraId="391DA59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1.16</w:t>
            </w:r>
          </w:p>
        </w:tc>
        <w:tc>
          <w:tcPr>
            <w:tcW w:w="604" w:type="dxa"/>
            <w:tcBorders>
              <w:top w:val="nil"/>
              <w:left w:val="nil"/>
              <w:bottom w:val="single" w:sz="8" w:space="0" w:color="auto"/>
              <w:right w:val="single" w:sz="8" w:space="0" w:color="auto"/>
            </w:tcBorders>
            <w:vAlign w:val="center"/>
            <w:hideMark/>
          </w:tcPr>
          <w:p w14:paraId="41660AE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1.12</w:t>
            </w:r>
          </w:p>
        </w:tc>
        <w:tc>
          <w:tcPr>
            <w:tcW w:w="608" w:type="dxa"/>
            <w:tcBorders>
              <w:top w:val="nil"/>
              <w:left w:val="nil"/>
              <w:bottom w:val="single" w:sz="8" w:space="0" w:color="auto"/>
              <w:right w:val="single" w:sz="8" w:space="0" w:color="auto"/>
            </w:tcBorders>
            <w:vAlign w:val="center"/>
            <w:hideMark/>
          </w:tcPr>
          <w:p w14:paraId="02BC846E"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1.09</w:t>
            </w:r>
          </w:p>
        </w:tc>
        <w:tc>
          <w:tcPr>
            <w:tcW w:w="604" w:type="dxa"/>
            <w:tcBorders>
              <w:top w:val="nil"/>
              <w:left w:val="nil"/>
              <w:bottom w:val="single" w:sz="8" w:space="0" w:color="auto"/>
              <w:right w:val="single" w:sz="8" w:space="0" w:color="auto"/>
            </w:tcBorders>
            <w:vAlign w:val="center"/>
            <w:hideMark/>
          </w:tcPr>
          <w:p w14:paraId="15311AE6"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1.06</w:t>
            </w:r>
          </w:p>
        </w:tc>
        <w:tc>
          <w:tcPr>
            <w:tcW w:w="604" w:type="dxa"/>
            <w:tcBorders>
              <w:top w:val="nil"/>
              <w:left w:val="nil"/>
              <w:bottom w:val="single" w:sz="8" w:space="0" w:color="auto"/>
              <w:right w:val="single" w:sz="8" w:space="0" w:color="auto"/>
            </w:tcBorders>
            <w:vAlign w:val="center"/>
            <w:hideMark/>
          </w:tcPr>
          <w:p w14:paraId="17E1A01C"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1.03</w:t>
            </w:r>
          </w:p>
        </w:tc>
        <w:tc>
          <w:tcPr>
            <w:tcW w:w="604" w:type="dxa"/>
            <w:tcBorders>
              <w:top w:val="nil"/>
              <w:left w:val="nil"/>
              <w:bottom w:val="single" w:sz="8" w:space="0" w:color="auto"/>
              <w:right w:val="single" w:sz="8" w:space="0" w:color="auto"/>
            </w:tcBorders>
            <w:vAlign w:val="center"/>
            <w:hideMark/>
          </w:tcPr>
          <w:p w14:paraId="45C7FF47"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1.01</w:t>
            </w:r>
          </w:p>
        </w:tc>
        <w:tc>
          <w:tcPr>
            <w:tcW w:w="611" w:type="dxa"/>
            <w:tcBorders>
              <w:top w:val="nil"/>
              <w:left w:val="nil"/>
              <w:bottom w:val="single" w:sz="8" w:space="0" w:color="auto"/>
              <w:right w:val="single" w:sz="8" w:space="0" w:color="auto"/>
            </w:tcBorders>
            <w:shd w:val="clear" w:color="auto" w:fill="DBE5F1" w:themeFill="accent1" w:themeFillTint="33"/>
            <w:vAlign w:val="center"/>
            <w:hideMark/>
          </w:tcPr>
          <w:p w14:paraId="24992DF9"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0.99</w:t>
            </w:r>
          </w:p>
        </w:tc>
        <w:tc>
          <w:tcPr>
            <w:tcW w:w="604" w:type="dxa"/>
            <w:tcBorders>
              <w:top w:val="nil"/>
              <w:left w:val="nil"/>
              <w:bottom w:val="single" w:sz="8" w:space="0" w:color="auto"/>
              <w:right w:val="single" w:sz="8" w:space="0" w:color="auto"/>
            </w:tcBorders>
            <w:shd w:val="clear" w:color="auto" w:fill="C0E6F5"/>
            <w:vAlign w:val="center"/>
            <w:hideMark/>
          </w:tcPr>
          <w:p w14:paraId="23856181"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0.99</w:t>
            </w:r>
          </w:p>
        </w:tc>
        <w:tc>
          <w:tcPr>
            <w:tcW w:w="604" w:type="dxa"/>
            <w:tcBorders>
              <w:top w:val="nil"/>
              <w:left w:val="nil"/>
              <w:bottom w:val="single" w:sz="8" w:space="0" w:color="auto"/>
              <w:right w:val="single" w:sz="8" w:space="0" w:color="auto"/>
            </w:tcBorders>
            <w:shd w:val="clear" w:color="auto" w:fill="DDD9C3" w:themeFill="background2" w:themeFillShade="E6"/>
            <w:vAlign w:val="center"/>
            <w:hideMark/>
          </w:tcPr>
          <w:p w14:paraId="4EFA669B"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0.98</w:t>
            </w:r>
          </w:p>
        </w:tc>
        <w:tc>
          <w:tcPr>
            <w:tcW w:w="609" w:type="dxa"/>
            <w:tcBorders>
              <w:top w:val="nil"/>
              <w:left w:val="nil"/>
              <w:bottom w:val="single" w:sz="8" w:space="0" w:color="auto"/>
              <w:right w:val="single" w:sz="8" w:space="0" w:color="auto"/>
            </w:tcBorders>
            <w:vAlign w:val="center"/>
            <w:hideMark/>
          </w:tcPr>
          <w:p w14:paraId="773F32DB"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0.96</w:t>
            </w:r>
          </w:p>
        </w:tc>
        <w:tc>
          <w:tcPr>
            <w:tcW w:w="604" w:type="dxa"/>
            <w:tcBorders>
              <w:top w:val="nil"/>
              <w:left w:val="nil"/>
              <w:bottom w:val="single" w:sz="8" w:space="0" w:color="auto"/>
              <w:right w:val="single" w:sz="8" w:space="0" w:color="auto"/>
            </w:tcBorders>
            <w:vAlign w:val="center"/>
            <w:hideMark/>
          </w:tcPr>
          <w:p w14:paraId="4E8EE0A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0.94</w:t>
            </w:r>
          </w:p>
        </w:tc>
        <w:tc>
          <w:tcPr>
            <w:tcW w:w="604" w:type="dxa"/>
            <w:tcBorders>
              <w:top w:val="nil"/>
              <w:left w:val="nil"/>
              <w:bottom w:val="single" w:sz="8" w:space="0" w:color="auto"/>
              <w:right w:val="single" w:sz="8" w:space="0" w:color="auto"/>
            </w:tcBorders>
            <w:vAlign w:val="center"/>
            <w:hideMark/>
          </w:tcPr>
          <w:p w14:paraId="5A4CA867"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0.91</w:t>
            </w:r>
          </w:p>
        </w:tc>
      </w:tr>
      <w:tr w:rsidR="00E5568D" w:rsidRPr="00E5568D" w14:paraId="12CED0BF" w14:textId="77777777" w:rsidTr="043522AD">
        <w:trPr>
          <w:trHeight w:val="405"/>
        </w:trPr>
        <w:tc>
          <w:tcPr>
            <w:tcW w:w="1857" w:type="dxa"/>
            <w:tcBorders>
              <w:top w:val="nil"/>
              <w:left w:val="single" w:sz="8" w:space="0" w:color="auto"/>
              <w:bottom w:val="single" w:sz="8" w:space="0" w:color="auto"/>
              <w:right w:val="single" w:sz="8" w:space="0" w:color="auto"/>
            </w:tcBorders>
            <w:vAlign w:val="center"/>
            <w:hideMark/>
          </w:tcPr>
          <w:p w14:paraId="7DBE7EE5" w14:textId="02D38DB3" w:rsidR="00330C09" w:rsidRPr="007116EB" w:rsidRDefault="23740C56" w:rsidP="00330C09">
            <w:pPr>
              <w:spacing w:after="0"/>
              <w:rPr>
                <w:color w:val="000000"/>
                <w:sz w:val="20"/>
                <w:szCs w:val="20"/>
                <w:lang w:val="en-IE"/>
              </w:rPr>
            </w:pPr>
            <w:r w:rsidRPr="007116EB">
              <w:rPr>
                <w:rFonts w:eastAsia="Times New Roman"/>
                <w:color w:val="000000" w:themeColor="text1"/>
                <w:sz w:val="20"/>
                <w:szCs w:val="20"/>
                <w:lang w:val="en-IE" w:eastAsia="en-IE"/>
              </w:rPr>
              <w:t>Biosimilar</w:t>
            </w:r>
            <w:r w:rsidR="0631379E" w:rsidRPr="007116EB">
              <w:rPr>
                <w:color w:val="000000" w:themeColor="text1"/>
                <w:sz w:val="20"/>
                <w:szCs w:val="20"/>
                <w:lang w:val="en-IE"/>
              </w:rPr>
              <w:t xml:space="preserve"> price</w:t>
            </w: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10171287" w14:textId="70062DBA" w:rsidR="00330C09" w:rsidRPr="007116EB" w:rsidRDefault="00330C09" w:rsidP="00330C09">
            <w:pPr>
              <w:spacing w:after="0"/>
              <w:jc w:val="center"/>
              <w:rPr>
                <w:color w:val="000000"/>
                <w:sz w:val="20"/>
                <w:szCs w:val="20"/>
                <w:lang w:val="en-IE"/>
              </w:rPr>
            </w:pP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602E77EB" w14:textId="27F7FF34" w:rsidR="00330C09" w:rsidRPr="007116EB" w:rsidRDefault="00330C09" w:rsidP="00330C09">
            <w:pPr>
              <w:spacing w:after="0"/>
              <w:jc w:val="center"/>
              <w:rPr>
                <w:color w:val="000000"/>
                <w:sz w:val="20"/>
                <w:szCs w:val="20"/>
                <w:lang w:val="en-IE"/>
              </w:rPr>
            </w:pP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1BB5905" w14:textId="290B0CD5" w:rsidR="00330C09" w:rsidRPr="007116EB" w:rsidRDefault="00330C09" w:rsidP="00330C09">
            <w:pPr>
              <w:spacing w:after="0"/>
              <w:jc w:val="center"/>
              <w:rPr>
                <w:color w:val="000000"/>
                <w:sz w:val="20"/>
                <w:szCs w:val="20"/>
                <w:lang w:val="en-IE"/>
              </w:rPr>
            </w:pP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3B530F2D" w14:textId="1E046107" w:rsidR="00330C09" w:rsidRPr="007116EB" w:rsidRDefault="00330C09" w:rsidP="00330C09">
            <w:pPr>
              <w:spacing w:after="0"/>
              <w:jc w:val="center"/>
              <w:rPr>
                <w:color w:val="000000"/>
                <w:sz w:val="20"/>
                <w:szCs w:val="20"/>
                <w:lang w:val="en-IE"/>
              </w:rPr>
            </w:pP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7C79FCA6" w14:textId="08541DB5" w:rsidR="00330C09" w:rsidRPr="007116EB" w:rsidRDefault="00330C09" w:rsidP="00330C09">
            <w:pPr>
              <w:spacing w:after="0"/>
              <w:jc w:val="center"/>
              <w:rPr>
                <w:color w:val="000000"/>
                <w:sz w:val="20"/>
                <w:szCs w:val="20"/>
                <w:lang w:val="en-IE"/>
              </w:rPr>
            </w:pPr>
          </w:p>
        </w:tc>
        <w:tc>
          <w:tcPr>
            <w:tcW w:w="617" w:type="dxa"/>
            <w:tcBorders>
              <w:top w:val="nil"/>
              <w:left w:val="nil"/>
              <w:bottom w:val="single" w:sz="8" w:space="0" w:color="auto"/>
              <w:right w:val="single" w:sz="8" w:space="0" w:color="auto"/>
            </w:tcBorders>
            <w:shd w:val="clear" w:color="auto" w:fill="FFFFFF" w:themeFill="background1"/>
            <w:vAlign w:val="center"/>
            <w:hideMark/>
          </w:tcPr>
          <w:p w14:paraId="6EDE5B32" w14:textId="2A5E8D01" w:rsidR="00330C09" w:rsidRPr="007116EB" w:rsidRDefault="00330C09" w:rsidP="00330C09">
            <w:pPr>
              <w:spacing w:after="0"/>
              <w:jc w:val="center"/>
              <w:rPr>
                <w:color w:val="000000"/>
                <w:sz w:val="20"/>
                <w:szCs w:val="20"/>
                <w:lang w:val="en-IE"/>
              </w:rPr>
            </w:pP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635D86C5" w14:textId="5680E859" w:rsidR="00330C09" w:rsidRPr="007116EB" w:rsidRDefault="00330C09" w:rsidP="00330C09">
            <w:pPr>
              <w:spacing w:after="0"/>
              <w:jc w:val="center"/>
              <w:rPr>
                <w:color w:val="000000"/>
                <w:sz w:val="20"/>
                <w:szCs w:val="20"/>
                <w:lang w:val="en-IE"/>
              </w:rPr>
            </w:pP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16082C47" w14:textId="254155AF" w:rsidR="00330C09" w:rsidRPr="007116EB" w:rsidRDefault="00330C09" w:rsidP="00330C09">
            <w:pPr>
              <w:spacing w:after="0"/>
              <w:jc w:val="center"/>
              <w:rPr>
                <w:color w:val="000000"/>
                <w:sz w:val="20"/>
                <w:szCs w:val="20"/>
                <w:lang w:val="en-IE"/>
              </w:rPr>
            </w:pPr>
          </w:p>
        </w:tc>
        <w:tc>
          <w:tcPr>
            <w:tcW w:w="606" w:type="dxa"/>
            <w:tcBorders>
              <w:top w:val="nil"/>
              <w:left w:val="nil"/>
              <w:bottom w:val="single" w:sz="8" w:space="0" w:color="auto"/>
              <w:right w:val="single" w:sz="8" w:space="0" w:color="auto"/>
            </w:tcBorders>
            <w:shd w:val="clear" w:color="auto" w:fill="FFFFFF" w:themeFill="background1"/>
            <w:vAlign w:val="center"/>
            <w:hideMark/>
          </w:tcPr>
          <w:p w14:paraId="52976B2C" w14:textId="4F770D2D" w:rsidR="00330C09" w:rsidRPr="007116EB" w:rsidRDefault="00330C09" w:rsidP="00330C09">
            <w:pPr>
              <w:spacing w:after="0"/>
              <w:jc w:val="center"/>
              <w:rPr>
                <w:color w:val="000000"/>
                <w:sz w:val="20"/>
                <w:szCs w:val="20"/>
                <w:lang w:val="en-IE"/>
              </w:rPr>
            </w:pP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15F7467C" w14:textId="6C107C22" w:rsidR="00330C09" w:rsidRPr="007116EB" w:rsidRDefault="00330C09" w:rsidP="00330C09">
            <w:pPr>
              <w:spacing w:after="0"/>
              <w:jc w:val="center"/>
              <w:rPr>
                <w:color w:val="000000"/>
                <w:sz w:val="20"/>
                <w:szCs w:val="20"/>
                <w:lang w:val="en-IE"/>
              </w:rPr>
            </w:pPr>
          </w:p>
        </w:tc>
        <w:tc>
          <w:tcPr>
            <w:tcW w:w="608" w:type="dxa"/>
            <w:tcBorders>
              <w:top w:val="nil"/>
              <w:left w:val="nil"/>
              <w:bottom w:val="single" w:sz="8" w:space="0" w:color="auto"/>
              <w:right w:val="single" w:sz="8" w:space="0" w:color="auto"/>
            </w:tcBorders>
            <w:shd w:val="clear" w:color="auto" w:fill="FFFFFF" w:themeFill="background1"/>
            <w:vAlign w:val="center"/>
            <w:hideMark/>
          </w:tcPr>
          <w:p w14:paraId="4A57D22C" w14:textId="121FE13C" w:rsidR="00330C09" w:rsidRPr="007116EB" w:rsidRDefault="00330C09" w:rsidP="00330C09">
            <w:pPr>
              <w:spacing w:after="0"/>
              <w:jc w:val="center"/>
              <w:rPr>
                <w:color w:val="000000"/>
                <w:sz w:val="20"/>
                <w:szCs w:val="20"/>
                <w:lang w:val="en-IE"/>
              </w:rPr>
            </w:pP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2626B4A2" w14:textId="2FA61928" w:rsidR="00330C09" w:rsidRPr="007116EB" w:rsidRDefault="00330C09" w:rsidP="00330C09">
            <w:pPr>
              <w:spacing w:after="0"/>
              <w:jc w:val="center"/>
              <w:rPr>
                <w:color w:val="000000"/>
                <w:sz w:val="20"/>
                <w:szCs w:val="20"/>
                <w:lang w:val="en-IE"/>
              </w:rPr>
            </w:pP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35EC6BBE" w14:textId="23D4A40C" w:rsidR="00330C09" w:rsidRPr="007116EB" w:rsidRDefault="00330C09" w:rsidP="00330C09">
            <w:pPr>
              <w:spacing w:after="0"/>
              <w:jc w:val="center"/>
              <w:rPr>
                <w:color w:val="000000"/>
                <w:sz w:val="20"/>
                <w:szCs w:val="20"/>
                <w:lang w:val="en-IE"/>
              </w:rPr>
            </w:pP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49EE170A" w14:textId="2DF4CFCD" w:rsidR="00330C09" w:rsidRPr="007116EB" w:rsidRDefault="00330C09" w:rsidP="00330C09">
            <w:pPr>
              <w:spacing w:after="0"/>
              <w:jc w:val="center"/>
              <w:rPr>
                <w:color w:val="000000"/>
                <w:sz w:val="20"/>
                <w:szCs w:val="20"/>
                <w:lang w:val="en-IE"/>
              </w:rPr>
            </w:pPr>
          </w:p>
        </w:tc>
        <w:tc>
          <w:tcPr>
            <w:tcW w:w="611" w:type="dxa"/>
            <w:tcBorders>
              <w:top w:val="nil"/>
              <w:left w:val="nil"/>
              <w:bottom w:val="single" w:sz="8" w:space="0" w:color="auto"/>
              <w:right w:val="single" w:sz="8" w:space="0" w:color="auto"/>
            </w:tcBorders>
            <w:shd w:val="clear" w:color="auto" w:fill="DBE5F1" w:themeFill="accent1" w:themeFillTint="33"/>
            <w:vAlign w:val="center"/>
            <w:hideMark/>
          </w:tcPr>
          <w:p w14:paraId="4DF6AB41" w14:textId="42A779B4" w:rsidR="00330C09" w:rsidRPr="007116EB" w:rsidRDefault="00330C09" w:rsidP="00330C09">
            <w:pPr>
              <w:spacing w:after="0"/>
              <w:jc w:val="center"/>
              <w:rPr>
                <w:color w:val="000000"/>
                <w:sz w:val="20"/>
                <w:szCs w:val="20"/>
                <w:lang w:val="en-IE"/>
              </w:rPr>
            </w:pPr>
          </w:p>
        </w:tc>
        <w:tc>
          <w:tcPr>
            <w:tcW w:w="604" w:type="dxa"/>
            <w:tcBorders>
              <w:top w:val="nil"/>
              <w:left w:val="nil"/>
              <w:bottom w:val="single" w:sz="8" w:space="0" w:color="auto"/>
              <w:right w:val="single" w:sz="8" w:space="0" w:color="auto"/>
            </w:tcBorders>
            <w:shd w:val="clear" w:color="auto" w:fill="C0E6F5"/>
            <w:vAlign w:val="center"/>
            <w:hideMark/>
          </w:tcPr>
          <w:p w14:paraId="0B14C78A" w14:textId="63A16B8A" w:rsidR="00330C09" w:rsidRPr="007116EB" w:rsidRDefault="00330C09" w:rsidP="00330C09">
            <w:pPr>
              <w:spacing w:after="0"/>
              <w:jc w:val="center"/>
              <w:rPr>
                <w:color w:val="000000"/>
                <w:sz w:val="20"/>
                <w:szCs w:val="20"/>
                <w:lang w:val="en-IE"/>
              </w:rPr>
            </w:pPr>
          </w:p>
        </w:tc>
        <w:tc>
          <w:tcPr>
            <w:tcW w:w="604" w:type="dxa"/>
            <w:tcBorders>
              <w:top w:val="nil"/>
              <w:left w:val="nil"/>
              <w:bottom w:val="single" w:sz="8" w:space="0" w:color="auto"/>
              <w:right w:val="single" w:sz="8" w:space="0" w:color="auto"/>
            </w:tcBorders>
            <w:shd w:val="clear" w:color="auto" w:fill="DDD9C3" w:themeFill="background2" w:themeFillShade="E6"/>
            <w:vAlign w:val="center"/>
            <w:hideMark/>
          </w:tcPr>
          <w:p w14:paraId="3737B454"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0.72</w:t>
            </w:r>
          </w:p>
        </w:tc>
        <w:tc>
          <w:tcPr>
            <w:tcW w:w="609" w:type="dxa"/>
            <w:tcBorders>
              <w:top w:val="nil"/>
              <w:left w:val="nil"/>
              <w:bottom w:val="single" w:sz="8" w:space="0" w:color="auto"/>
              <w:right w:val="single" w:sz="8" w:space="0" w:color="auto"/>
            </w:tcBorders>
            <w:shd w:val="clear" w:color="auto" w:fill="FFFFFF" w:themeFill="background1"/>
            <w:vAlign w:val="center"/>
            <w:hideMark/>
          </w:tcPr>
          <w:p w14:paraId="6F0DC10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0.67</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7DB2DA18"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0.62</w:t>
            </w:r>
          </w:p>
        </w:tc>
        <w:tc>
          <w:tcPr>
            <w:tcW w:w="604" w:type="dxa"/>
            <w:tcBorders>
              <w:top w:val="nil"/>
              <w:left w:val="nil"/>
              <w:bottom w:val="single" w:sz="8" w:space="0" w:color="auto"/>
              <w:right w:val="single" w:sz="8" w:space="0" w:color="auto"/>
            </w:tcBorders>
            <w:shd w:val="clear" w:color="auto" w:fill="FFFFFF" w:themeFill="background1"/>
            <w:vAlign w:val="center"/>
            <w:hideMark/>
          </w:tcPr>
          <w:p w14:paraId="5165BF88"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0.58</w:t>
            </w:r>
          </w:p>
        </w:tc>
      </w:tr>
      <w:tr w:rsidR="00E5568D" w:rsidRPr="00E5568D" w14:paraId="4F3AB06A" w14:textId="77777777" w:rsidTr="043522AD">
        <w:trPr>
          <w:trHeight w:val="405"/>
        </w:trPr>
        <w:tc>
          <w:tcPr>
            <w:tcW w:w="1857" w:type="dxa"/>
            <w:tcBorders>
              <w:top w:val="nil"/>
              <w:left w:val="single" w:sz="8" w:space="0" w:color="auto"/>
              <w:bottom w:val="single" w:sz="4" w:space="0" w:color="auto"/>
              <w:right w:val="single" w:sz="8" w:space="0" w:color="auto"/>
            </w:tcBorders>
            <w:vAlign w:val="center"/>
            <w:hideMark/>
          </w:tcPr>
          <w:p w14:paraId="6DD91CA8" w14:textId="77777777" w:rsidR="00330C09" w:rsidRPr="007116EB" w:rsidRDefault="00330C09" w:rsidP="00330C09">
            <w:pPr>
              <w:spacing w:after="0"/>
              <w:rPr>
                <w:b/>
                <w:color w:val="000000"/>
                <w:sz w:val="20"/>
                <w:szCs w:val="20"/>
                <w:lang w:val="en-IE"/>
              </w:rPr>
            </w:pPr>
            <w:r w:rsidRPr="007116EB">
              <w:rPr>
                <w:b/>
                <w:color w:val="000000"/>
                <w:sz w:val="20"/>
                <w:szCs w:val="20"/>
                <w:lang w:val="en-IE"/>
              </w:rPr>
              <w:t>Average price</w:t>
            </w:r>
          </w:p>
        </w:tc>
        <w:tc>
          <w:tcPr>
            <w:tcW w:w="608" w:type="dxa"/>
            <w:tcBorders>
              <w:top w:val="nil"/>
              <w:left w:val="nil"/>
              <w:bottom w:val="single" w:sz="4" w:space="0" w:color="auto"/>
              <w:right w:val="single" w:sz="8" w:space="0" w:color="auto"/>
            </w:tcBorders>
            <w:shd w:val="clear" w:color="auto" w:fill="FFFFFF" w:themeFill="background1"/>
            <w:vAlign w:val="center"/>
            <w:hideMark/>
          </w:tcPr>
          <w:p w14:paraId="3D2D5D48"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1.18</w:t>
            </w:r>
          </w:p>
        </w:tc>
        <w:tc>
          <w:tcPr>
            <w:tcW w:w="608" w:type="dxa"/>
            <w:tcBorders>
              <w:top w:val="nil"/>
              <w:left w:val="nil"/>
              <w:bottom w:val="single" w:sz="4" w:space="0" w:color="auto"/>
              <w:right w:val="single" w:sz="8" w:space="0" w:color="auto"/>
            </w:tcBorders>
            <w:shd w:val="clear" w:color="auto" w:fill="FFFFFF" w:themeFill="background1"/>
            <w:vAlign w:val="center"/>
            <w:hideMark/>
          </w:tcPr>
          <w:p w14:paraId="10605D90"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1.40</w:t>
            </w:r>
          </w:p>
        </w:tc>
        <w:tc>
          <w:tcPr>
            <w:tcW w:w="608" w:type="dxa"/>
            <w:tcBorders>
              <w:top w:val="nil"/>
              <w:left w:val="nil"/>
              <w:bottom w:val="single" w:sz="4" w:space="0" w:color="auto"/>
              <w:right w:val="single" w:sz="8" w:space="0" w:color="auto"/>
            </w:tcBorders>
            <w:shd w:val="clear" w:color="auto" w:fill="FFFFFF" w:themeFill="background1"/>
            <w:vAlign w:val="center"/>
            <w:hideMark/>
          </w:tcPr>
          <w:p w14:paraId="5BF21EF3"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1.48</w:t>
            </w:r>
          </w:p>
        </w:tc>
        <w:tc>
          <w:tcPr>
            <w:tcW w:w="608" w:type="dxa"/>
            <w:tcBorders>
              <w:top w:val="nil"/>
              <w:left w:val="nil"/>
              <w:bottom w:val="single" w:sz="4" w:space="0" w:color="auto"/>
              <w:right w:val="single" w:sz="8" w:space="0" w:color="auto"/>
            </w:tcBorders>
            <w:shd w:val="clear" w:color="auto" w:fill="FFFFFF" w:themeFill="background1"/>
            <w:vAlign w:val="center"/>
            <w:hideMark/>
          </w:tcPr>
          <w:p w14:paraId="729A2E9C"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1.46</w:t>
            </w:r>
          </w:p>
        </w:tc>
        <w:tc>
          <w:tcPr>
            <w:tcW w:w="608" w:type="dxa"/>
            <w:tcBorders>
              <w:top w:val="nil"/>
              <w:left w:val="nil"/>
              <w:bottom w:val="single" w:sz="4" w:space="0" w:color="auto"/>
              <w:right w:val="single" w:sz="8" w:space="0" w:color="auto"/>
            </w:tcBorders>
            <w:shd w:val="clear" w:color="auto" w:fill="FFFFFF" w:themeFill="background1"/>
            <w:vAlign w:val="center"/>
            <w:hideMark/>
          </w:tcPr>
          <w:p w14:paraId="1FFB0AD0"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1.43</w:t>
            </w:r>
          </w:p>
        </w:tc>
        <w:tc>
          <w:tcPr>
            <w:tcW w:w="617" w:type="dxa"/>
            <w:tcBorders>
              <w:top w:val="nil"/>
              <w:left w:val="nil"/>
              <w:bottom w:val="single" w:sz="4" w:space="0" w:color="auto"/>
              <w:right w:val="single" w:sz="8" w:space="0" w:color="auto"/>
            </w:tcBorders>
            <w:shd w:val="clear" w:color="auto" w:fill="FFFFFF" w:themeFill="background1"/>
            <w:vAlign w:val="center"/>
            <w:hideMark/>
          </w:tcPr>
          <w:p w14:paraId="7CDA9604" w14:textId="77777777" w:rsidR="00330C09" w:rsidRPr="007116EB" w:rsidRDefault="00330C09" w:rsidP="00330C09">
            <w:pPr>
              <w:spacing w:after="0"/>
              <w:jc w:val="center"/>
              <w:rPr>
                <w:b/>
                <w:color w:val="000000"/>
                <w:sz w:val="20"/>
                <w:szCs w:val="20"/>
                <w:lang w:val="en-IE"/>
              </w:rPr>
            </w:pPr>
            <w:r w:rsidRPr="007116EB">
              <w:rPr>
                <w:b/>
                <w:color w:val="000000"/>
                <w:sz w:val="20"/>
                <w:szCs w:val="20"/>
                <w:lang w:val="en-IE"/>
              </w:rPr>
              <w:t>1.37</w:t>
            </w:r>
          </w:p>
        </w:tc>
        <w:tc>
          <w:tcPr>
            <w:tcW w:w="604" w:type="dxa"/>
            <w:tcBorders>
              <w:top w:val="nil"/>
              <w:left w:val="nil"/>
              <w:bottom w:val="single" w:sz="4" w:space="0" w:color="auto"/>
              <w:right w:val="single" w:sz="8" w:space="0" w:color="auto"/>
            </w:tcBorders>
            <w:shd w:val="clear" w:color="auto" w:fill="FFFFFF" w:themeFill="background1"/>
            <w:vAlign w:val="center"/>
            <w:hideMark/>
          </w:tcPr>
          <w:p w14:paraId="68BA0A17"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1.29</w:t>
            </w:r>
          </w:p>
        </w:tc>
        <w:tc>
          <w:tcPr>
            <w:tcW w:w="604" w:type="dxa"/>
            <w:tcBorders>
              <w:top w:val="nil"/>
              <w:left w:val="nil"/>
              <w:bottom w:val="single" w:sz="4" w:space="0" w:color="auto"/>
              <w:right w:val="single" w:sz="8" w:space="0" w:color="auto"/>
            </w:tcBorders>
            <w:shd w:val="clear" w:color="auto" w:fill="FFFFFF" w:themeFill="background1"/>
            <w:vAlign w:val="center"/>
            <w:hideMark/>
          </w:tcPr>
          <w:p w14:paraId="4422114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1.21</w:t>
            </w:r>
          </w:p>
        </w:tc>
        <w:tc>
          <w:tcPr>
            <w:tcW w:w="606" w:type="dxa"/>
            <w:tcBorders>
              <w:top w:val="nil"/>
              <w:left w:val="nil"/>
              <w:bottom w:val="single" w:sz="4" w:space="0" w:color="auto"/>
              <w:right w:val="single" w:sz="8" w:space="0" w:color="auto"/>
            </w:tcBorders>
            <w:shd w:val="clear" w:color="auto" w:fill="FFFFFF" w:themeFill="background1"/>
            <w:vAlign w:val="center"/>
            <w:hideMark/>
          </w:tcPr>
          <w:p w14:paraId="69FD094F"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1.16</w:t>
            </w:r>
          </w:p>
        </w:tc>
        <w:tc>
          <w:tcPr>
            <w:tcW w:w="604" w:type="dxa"/>
            <w:tcBorders>
              <w:top w:val="nil"/>
              <w:left w:val="nil"/>
              <w:bottom w:val="single" w:sz="4" w:space="0" w:color="auto"/>
              <w:right w:val="single" w:sz="8" w:space="0" w:color="auto"/>
            </w:tcBorders>
            <w:shd w:val="clear" w:color="auto" w:fill="FFFFFF" w:themeFill="background1"/>
            <w:vAlign w:val="center"/>
            <w:hideMark/>
          </w:tcPr>
          <w:p w14:paraId="2B5B10F7"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1.12</w:t>
            </w:r>
          </w:p>
        </w:tc>
        <w:tc>
          <w:tcPr>
            <w:tcW w:w="608" w:type="dxa"/>
            <w:tcBorders>
              <w:top w:val="nil"/>
              <w:left w:val="nil"/>
              <w:bottom w:val="single" w:sz="4" w:space="0" w:color="auto"/>
              <w:right w:val="single" w:sz="8" w:space="0" w:color="auto"/>
            </w:tcBorders>
            <w:shd w:val="clear" w:color="auto" w:fill="FFFFFF" w:themeFill="background1"/>
            <w:vAlign w:val="center"/>
            <w:hideMark/>
          </w:tcPr>
          <w:p w14:paraId="5FA69178"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1.09</w:t>
            </w:r>
          </w:p>
        </w:tc>
        <w:tc>
          <w:tcPr>
            <w:tcW w:w="604" w:type="dxa"/>
            <w:tcBorders>
              <w:top w:val="nil"/>
              <w:left w:val="nil"/>
              <w:bottom w:val="single" w:sz="4" w:space="0" w:color="auto"/>
              <w:right w:val="single" w:sz="8" w:space="0" w:color="auto"/>
            </w:tcBorders>
            <w:shd w:val="clear" w:color="auto" w:fill="FFFFFF" w:themeFill="background1"/>
            <w:vAlign w:val="center"/>
            <w:hideMark/>
          </w:tcPr>
          <w:p w14:paraId="14279C36"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1.06</w:t>
            </w:r>
          </w:p>
        </w:tc>
        <w:tc>
          <w:tcPr>
            <w:tcW w:w="604" w:type="dxa"/>
            <w:tcBorders>
              <w:top w:val="nil"/>
              <w:left w:val="nil"/>
              <w:bottom w:val="single" w:sz="4" w:space="0" w:color="auto"/>
              <w:right w:val="single" w:sz="8" w:space="0" w:color="auto"/>
            </w:tcBorders>
            <w:shd w:val="clear" w:color="auto" w:fill="FFFFFF" w:themeFill="background1"/>
            <w:vAlign w:val="center"/>
            <w:hideMark/>
          </w:tcPr>
          <w:p w14:paraId="4EA08182"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1.03</w:t>
            </w:r>
          </w:p>
        </w:tc>
        <w:tc>
          <w:tcPr>
            <w:tcW w:w="604" w:type="dxa"/>
            <w:tcBorders>
              <w:top w:val="nil"/>
              <w:left w:val="nil"/>
              <w:bottom w:val="single" w:sz="4" w:space="0" w:color="auto"/>
              <w:right w:val="single" w:sz="8" w:space="0" w:color="auto"/>
            </w:tcBorders>
            <w:shd w:val="clear" w:color="auto" w:fill="FFFFFF" w:themeFill="background1"/>
            <w:vAlign w:val="center"/>
            <w:hideMark/>
          </w:tcPr>
          <w:p w14:paraId="7E953369"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1.01</w:t>
            </w:r>
          </w:p>
        </w:tc>
        <w:tc>
          <w:tcPr>
            <w:tcW w:w="611" w:type="dxa"/>
            <w:tcBorders>
              <w:top w:val="nil"/>
              <w:left w:val="nil"/>
              <w:bottom w:val="single" w:sz="4" w:space="0" w:color="auto"/>
              <w:right w:val="single" w:sz="8" w:space="0" w:color="auto"/>
            </w:tcBorders>
            <w:shd w:val="clear" w:color="auto" w:fill="DBE5F1" w:themeFill="accent1" w:themeFillTint="33"/>
            <w:vAlign w:val="center"/>
            <w:hideMark/>
          </w:tcPr>
          <w:p w14:paraId="3CE2458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0.99</w:t>
            </w:r>
          </w:p>
        </w:tc>
        <w:tc>
          <w:tcPr>
            <w:tcW w:w="604" w:type="dxa"/>
            <w:tcBorders>
              <w:top w:val="nil"/>
              <w:left w:val="nil"/>
              <w:bottom w:val="single" w:sz="4" w:space="0" w:color="auto"/>
              <w:right w:val="single" w:sz="8" w:space="0" w:color="auto"/>
            </w:tcBorders>
            <w:shd w:val="clear" w:color="auto" w:fill="DBE5F1" w:themeFill="accent1" w:themeFillTint="33"/>
            <w:vAlign w:val="center"/>
            <w:hideMark/>
          </w:tcPr>
          <w:p w14:paraId="4F91DB41"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0.99</w:t>
            </w:r>
          </w:p>
        </w:tc>
        <w:tc>
          <w:tcPr>
            <w:tcW w:w="604" w:type="dxa"/>
            <w:tcBorders>
              <w:top w:val="nil"/>
              <w:left w:val="nil"/>
              <w:bottom w:val="single" w:sz="4" w:space="0" w:color="auto"/>
              <w:right w:val="single" w:sz="8" w:space="0" w:color="auto"/>
            </w:tcBorders>
            <w:shd w:val="clear" w:color="auto" w:fill="DDD9C3" w:themeFill="background2" w:themeFillShade="E6"/>
            <w:vAlign w:val="center"/>
            <w:hideMark/>
          </w:tcPr>
          <w:p w14:paraId="29952195"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0.97</w:t>
            </w:r>
          </w:p>
        </w:tc>
        <w:tc>
          <w:tcPr>
            <w:tcW w:w="609" w:type="dxa"/>
            <w:tcBorders>
              <w:top w:val="nil"/>
              <w:left w:val="nil"/>
              <w:bottom w:val="single" w:sz="4" w:space="0" w:color="auto"/>
              <w:right w:val="single" w:sz="8" w:space="0" w:color="auto"/>
            </w:tcBorders>
            <w:shd w:val="clear" w:color="auto" w:fill="FFFFFF" w:themeFill="background1"/>
            <w:vAlign w:val="center"/>
            <w:hideMark/>
          </w:tcPr>
          <w:p w14:paraId="59362A38"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0.94</w:t>
            </w:r>
          </w:p>
        </w:tc>
        <w:tc>
          <w:tcPr>
            <w:tcW w:w="604" w:type="dxa"/>
            <w:tcBorders>
              <w:top w:val="nil"/>
              <w:left w:val="nil"/>
              <w:bottom w:val="single" w:sz="4" w:space="0" w:color="auto"/>
              <w:right w:val="single" w:sz="8" w:space="0" w:color="auto"/>
            </w:tcBorders>
            <w:shd w:val="clear" w:color="auto" w:fill="FFFFFF" w:themeFill="background1"/>
            <w:vAlign w:val="center"/>
            <w:hideMark/>
          </w:tcPr>
          <w:p w14:paraId="0DFE7F10"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0.88</w:t>
            </w:r>
          </w:p>
        </w:tc>
        <w:tc>
          <w:tcPr>
            <w:tcW w:w="604" w:type="dxa"/>
            <w:tcBorders>
              <w:top w:val="nil"/>
              <w:left w:val="nil"/>
              <w:bottom w:val="single" w:sz="4" w:space="0" w:color="auto"/>
              <w:right w:val="single" w:sz="8" w:space="0" w:color="auto"/>
            </w:tcBorders>
            <w:shd w:val="clear" w:color="auto" w:fill="FFFFFF" w:themeFill="background1"/>
            <w:vAlign w:val="center"/>
            <w:hideMark/>
          </w:tcPr>
          <w:p w14:paraId="775D3EAF"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0.81</w:t>
            </w:r>
          </w:p>
        </w:tc>
      </w:tr>
      <w:tr w:rsidR="00716B74" w:rsidRPr="00E5568D" w14:paraId="09E94532" w14:textId="77777777" w:rsidTr="043522AD">
        <w:trPr>
          <w:trHeight w:val="585"/>
        </w:trPr>
        <w:tc>
          <w:tcPr>
            <w:tcW w:w="1857" w:type="dxa"/>
            <w:tcBorders>
              <w:top w:val="single" w:sz="4" w:space="0" w:color="auto"/>
              <w:left w:val="single" w:sz="4" w:space="0" w:color="auto"/>
              <w:bottom w:val="single" w:sz="4" w:space="0" w:color="auto"/>
              <w:right w:val="single" w:sz="4" w:space="0" w:color="auto"/>
            </w:tcBorders>
            <w:vAlign w:val="center"/>
            <w:hideMark/>
          </w:tcPr>
          <w:p w14:paraId="198EC1A1" w14:textId="77777777" w:rsidR="00330C09" w:rsidRPr="007116EB" w:rsidRDefault="00330C09" w:rsidP="00330C09">
            <w:pPr>
              <w:spacing w:after="0"/>
              <w:rPr>
                <w:color w:val="000000"/>
                <w:sz w:val="20"/>
                <w:szCs w:val="20"/>
                <w:lang w:val="en-IE"/>
              </w:rPr>
            </w:pPr>
            <w:r w:rsidRPr="007116EB">
              <w:rPr>
                <w:color w:val="000000"/>
                <w:sz w:val="20"/>
                <w:szCs w:val="20"/>
                <w:lang w:val="en-IE"/>
              </w:rPr>
              <w:t>Cost of baseline volume</w:t>
            </w:r>
          </w:p>
        </w:tc>
        <w:tc>
          <w:tcPr>
            <w:tcW w:w="608" w:type="dxa"/>
            <w:tcBorders>
              <w:top w:val="single" w:sz="4" w:space="0" w:color="auto"/>
              <w:left w:val="single" w:sz="4" w:space="0" w:color="auto"/>
              <w:bottom w:val="single" w:sz="4" w:space="0" w:color="auto"/>
              <w:right w:val="single" w:sz="4" w:space="0" w:color="auto"/>
            </w:tcBorders>
            <w:noWrap/>
            <w:vAlign w:val="center"/>
            <w:hideMark/>
          </w:tcPr>
          <w:p w14:paraId="14A6FF47"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5</w:t>
            </w:r>
          </w:p>
        </w:tc>
        <w:tc>
          <w:tcPr>
            <w:tcW w:w="608" w:type="dxa"/>
            <w:tcBorders>
              <w:top w:val="single" w:sz="4" w:space="0" w:color="auto"/>
              <w:left w:val="single" w:sz="4" w:space="0" w:color="auto"/>
              <w:bottom w:val="single" w:sz="4" w:space="0" w:color="auto"/>
              <w:right w:val="single" w:sz="4" w:space="0" w:color="auto"/>
            </w:tcBorders>
            <w:noWrap/>
            <w:vAlign w:val="center"/>
            <w:hideMark/>
          </w:tcPr>
          <w:p w14:paraId="659C0CB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14</w:t>
            </w:r>
          </w:p>
        </w:tc>
        <w:tc>
          <w:tcPr>
            <w:tcW w:w="608" w:type="dxa"/>
            <w:tcBorders>
              <w:top w:val="single" w:sz="4" w:space="0" w:color="auto"/>
              <w:left w:val="single" w:sz="4" w:space="0" w:color="auto"/>
              <w:bottom w:val="single" w:sz="4" w:space="0" w:color="auto"/>
              <w:right w:val="single" w:sz="4" w:space="0" w:color="auto"/>
            </w:tcBorders>
            <w:noWrap/>
            <w:vAlign w:val="center"/>
            <w:hideMark/>
          </w:tcPr>
          <w:p w14:paraId="2EA01AED"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23</w:t>
            </w:r>
          </w:p>
        </w:tc>
        <w:tc>
          <w:tcPr>
            <w:tcW w:w="608" w:type="dxa"/>
            <w:tcBorders>
              <w:top w:val="single" w:sz="4" w:space="0" w:color="auto"/>
              <w:left w:val="single" w:sz="4" w:space="0" w:color="auto"/>
              <w:bottom w:val="single" w:sz="4" w:space="0" w:color="auto"/>
              <w:right w:val="single" w:sz="4" w:space="0" w:color="auto"/>
            </w:tcBorders>
            <w:noWrap/>
            <w:vAlign w:val="center"/>
            <w:hideMark/>
          </w:tcPr>
          <w:p w14:paraId="4F35BF27"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40</w:t>
            </w:r>
          </w:p>
        </w:tc>
        <w:tc>
          <w:tcPr>
            <w:tcW w:w="608" w:type="dxa"/>
            <w:tcBorders>
              <w:top w:val="single" w:sz="4" w:space="0" w:color="auto"/>
              <w:left w:val="single" w:sz="4" w:space="0" w:color="auto"/>
              <w:bottom w:val="single" w:sz="4" w:space="0" w:color="auto"/>
              <w:right w:val="single" w:sz="4" w:space="0" w:color="auto"/>
            </w:tcBorders>
            <w:noWrap/>
            <w:vAlign w:val="center"/>
            <w:hideMark/>
          </w:tcPr>
          <w:p w14:paraId="5BF318D4"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54</w:t>
            </w:r>
          </w:p>
        </w:tc>
        <w:tc>
          <w:tcPr>
            <w:tcW w:w="617" w:type="dxa"/>
            <w:tcBorders>
              <w:top w:val="single" w:sz="4" w:space="0" w:color="auto"/>
              <w:left w:val="single" w:sz="4" w:space="0" w:color="auto"/>
              <w:bottom w:val="single" w:sz="4" w:space="0" w:color="auto"/>
              <w:right w:val="single" w:sz="4" w:space="0" w:color="auto"/>
            </w:tcBorders>
            <w:noWrap/>
            <w:vAlign w:val="center"/>
            <w:hideMark/>
          </w:tcPr>
          <w:p w14:paraId="180C58CE"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63</w:t>
            </w:r>
          </w:p>
        </w:tc>
        <w:tc>
          <w:tcPr>
            <w:tcW w:w="604" w:type="dxa"/>
            <w:tcBorders>
              <w:top w:val="single" w:sz="4" w:space="0" w:color="auto"/>
              <w:left w:val="single" w:sz="4" w:space="0" w:color="auto"/>
              <w:bottom w:val="single" w:sz="4" w:space="0" w:color="auto"/>
              <w:right w:val="single" w:sz="4" w:space="0" w:color="auto"/>
            </w:tcBorders>
            <w:noWrap/>
            <w:vAlign w:val="center"/>
            <w:hideMark/>
          </w:tcPr>
          <w:p w14:paraId="2CB79DDF"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69</w:t>
            </w:r>
          </w:p>
        </w:tc>
        <w:tc>
          <w:tcPr>
            <w:tcW w:w="604" w:type="dxa"/>
            <w:tcBorders>
              <w:top w:val="single" w:sz="4" w:space="0" w:color="auto"/>
              <w:left w:val="single" w:sz="4" w:space="0" w:color="auto"/>
              <w:bottom w:val="single" w:sz="4" w:space="0" w:color="auto"/>
              <w:right w:val="single" w:sz="4" w:space="0" w:color="auto"/>
            </w:tcBorders>
            <w:noWrap/>
            <w:vAlign w:val="center"/>
            <w:hideMark/>
          </w:tcPr>
          <w:p w14:paraId="1B302EFC"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73</w:t>
            </w:r>
          </w:p>
        </w:tc>
        <w:tc>
          <w:tcPr>
            <w:tcW w:w="606" w:type="dxa"/>
            <w:tcBorders>
              <w:top w:val="single" w:sz="4" w:space="0" w:color="auto"/>
              <w:left w:val="single" w:sz="4" w:space="0" w:color="auto"/>
              <w:bottom w:val="single" w:sz="4" w:space="0" w:color="auto"/>
              <w:right w:val="single" w:sz="4" w:space="0" w:color="auto"/>
            </w:tcBorders>
            <w:noWrap/>
            <w:vAlign w:val="center"/>
            <w:hideMark/>
          </w:tcPr>
          <w:p w14:paraId="22872B27"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80</w:t>
            </w:r>
          </w:p>
        </w:tc>
        <w:tc>
          <w:tcPr>
            <w:tcW w:w="604" w:type="dxa"/>
            <w:tcBorders>
              <w:top w:val="single" w:sz="4" w:space="0" w:color="auto"/>
              <w:left w:val="single" w:sz="4" w:space="0" w:color="auto"/>
              <w:bottom w:val="single" w:sz="4" w:space="0" w:color="auto"/>
              <w:right w:val="single" w:sz="4" w:space="0" w:color="auto"/>
            </w:tcBorders>
            <w:noWrap/>
            <w:vAlign w:val="center"/>
            <w:hideMark/>
          </w:tcPr>
          <w:p w14:paraId="368F3416"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86</w:t>
            </w:r>
          </w:p>
        </w:tc>
        <w:tc>
          <w:tcPr>
            <w:tcW w:w="608" w:type="dxa"/>
            <w:tcBorders>
              <w:top w:val="single" w:sz="4" w:space="0" w:color="auto"/>
              <w:left w:val="single" w:sz="4" w:space="0" w:color="auto"/>
              <w:bottom w:val="single" w:sz="4" w:space="0" w:color="auto"/>
              <w:right w:val="single" w:sz="4" w:space="0" w:color="auto"/>
            </w:tcBorders>
            <w:noWrap/>
            <w:vAlign w:val="center"/>
            <w:hideMark/>
          </w:tcPr>
          <w:p w14:paraId="2ECDFD52"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93</w:t>
            </w:r>
          </w:p>
        </w:tc>
        <w:tc>
          <w:tcPr>
            <w:tcW w:w="604" w:type="dxa"/>
            <w:tcBorders>
              <w:top w:val="single" w:sz="4" w:space="0" w:color="auto"/>
              <w:left w:val="single" w:sz="4" w:space="0" w:color="auto"/>
              <w:bottom w:val="single" w:sz="4" w:space="0" w:color="auto"/>
              <w:right w:val="single" w:sz="4" w:space="0" w:color="auto"/>
            </w:tcBorders>
            <w:noWrap/>
            <w:vAlign w:val="center"/>
            <w:hideMark/>
          </w:tcPr>
          <w:p w14:paraId="2F7BF7A6"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98</w:t>
            </w:r>
          </w:p>
        </w:tc>
        <w:tc>
          <w:tcPr>
            <w:tcW w:w="604" w:type="dxa"/>
            <w:tcBorders>
              <w:top w:val="single" w:sz="4" w:space="0" w:color="auto"/>
              <w:left w:val="single" w:sz="4" w:space="0" w:color="auto"/>
              <w:bottom w:val="single" w:sz="4" w:space="0" w:color="auto"/>
              <w:right w:val="single" w:sz="4" w:space="0" w:color="auto"/>
            </w:tcBorders>
            <w:noWrap/>
            <w:vAlign w:val="center"/>
            <w:hideMark/>
          </w:tcPr>
          <w:p w14:paraId="41D8725F"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100</w:t>
            </w:r>
          </w:p>
        </w:tc>
        <w:tc>
          <w:tcPr>
            <w:tcW w:w="604" w:type="dxa"/>
            <w:tcBorders>
              <w:top w:val="single" w:sz="4" w:space="0" w:color="auto"/>
              <w:left w:val="single" w:sz="4" w:space="0" w:color="auto"/>
              <w:bottom w:val="single" w:sz="4" w:space="0" w:color="auto"/>
              <w:right w:val="single" w:sz="4" w:space="0" w:color="auto"/>
            </w:tcBorders>
            <w:noWrap/>
            <w:vAlign w:val="center"/>
            <w:hideMark/>
          </w:tcPr>
          <w:p w14:paraId="27A882E6"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100</w:t>
            </w:r>
          </w:p>
        </w:tc>
        <w:tc>
          <w:tcPr>
            <w:tcW w:w="6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06B289F9"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100</w:t>
            </w:r>
          </w:p>
        </w:tc>
        <w:tc>
          <w:tcPr>
            <w:tcW w:w="604"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0A63D5D3"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100</w:t>
            </w:r>
          </w:p>
        </w:tc>
        <w:tc>
          <w:tcPr>
            <w:tcW w:w="604"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330EB441"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98</w:t>
            </w:r>
          </w:p>
        </w:tc>
        <w:tc>
          <w:tcPr>
            <w:tcW w:w="609" w:type="dxa"/>
            <w:tcBorders>
              <w:top w:val="single" w:sz="4" w:space="0" w:color="auto"/>
              <w:left w:val="single" w:sz="4" w:space="0" w:color="auto"/>
              <w:bottom w:val="single" w:sz="4" w:space="0" w:color="auto"/>
              <w:right w:val="single" w:sz="4" w:space="0" w:color="auto"/>
            </w:tcBorders>
            <w:noWrap/>
            <w:vAlign w:val="center"/>
            <w:hideMark/>
          </w:tcPr>
          <w:p w14:paraId="5625E8B8"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98</w:t>
            </w:r>
          </w:p>
        </w:tc>
        <w:tc>
          <w:tcPr>
            <w:tcW w:w="604" w:type="dxa"/>
            <w:tcBorders>
              <w:top w:val="single" w:sz="4" w:space="0" w:color="auto"/>
              <w:left w:val="single" w:sz="4" w:space="0" w:color="auto"/>
              <w:bottom w:val="single" w:sz="4" w:space="0" w:color="auto"/>
              <w:right w:val="single" w:sz="4" w:space="0" w:color="auto"/>
            </w:tcBorders>
            <w:noWrap/>
            <w:vAlign w:val="center"/>
            <w:hideMark/>
          </w:tcPr>
          <w:p w14:paraId="075DC326"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100</w:t>
            </w:r>
          </w:p>
        </w:tc>
        <w:tc>
          <w:tcPr>
            <w:tcW w:w="604" w:type="dxa"/>
            <w:tcBorders>
              <w:top w:val="single" w:sz="4" w:space="0" w:color="auto"/>
              <w:left w:val="single" w:sz="4" w:space="0" w:color="auto"/>
              <w:bottom w:val="single" w:sz="4" w:space="0" w:color="auto"/>
              <w:right w:val="single" w:sz="4" w:space="0" w:color="auto"/>
            </w:tcBorders>
            <w:noWrap/>
            <w:vAlign w:val="center"/>
            <w:hideMark/>
          </w:tcPr>
          <w:p w14:paraId="3314364A" w14:textId="77777777" w:rsidR="00330C09" w:rsidRPr="007116EB" w:rsidRDefault="00330C09" w:rsidP="00330C09">
            <w:pPr>
              <w:spacing w:after="0"/>
              <w:jc w:val="center"/>
              <w:rPr>
                <w:color w:val="000000"/>
                <w:sz w:val="20"/>
                <w:szCs w:val="20"/>
                <w:lang w:val="en-IE"/>
              </w:rPr>
            </w:pPr>
            <w:r w:rsidRPr="007116EB">
              <w:rPr>
                <w:color w:val="000000"/>
                <w:sz w:val="20"/>
                <w:szCs w:val="20"/>
                <w:lang w:val="en-IE"/>
              </w:rPr>
              <w:t>98</w:t>
            </w:r>
          </w:p>
        </w:tc>
      </w:tr>
    </w:tbl>
    <w:p w14:paraId="63848A2E" w14:textId="77777777" w:rsidR="007116EB" w:rsidRDefault="007116EB">
      <w:pPr>
        <w:spacing w:after="200" w:line="276" w:lineRule="auto"/>
        <w:jc w:val="left"/>
        <w:rPr>
          <w:b/>
        </w:rPr>
        <w:sectPr w:rsidR="007116EB" w:rsidSect="00E5568D">
          <w:headerReference w:type="default" r:id="rId42"/>
          <w:footerReference w:type="default" r:id="rId43"/>
          <w:headerReference w:type="first" r:id="rId44"/>
          <w:footerReference w:type="first" r:id="rId45"/>
          <w:type w:val="continuous"/>
          <w:pgSz w:w="16838" w:h="11906" w:orient="landscape"/>
          <w:pgMar w:top="1021" w:right="1701" w:bottom="1021" w:left="1588" w:header="601" w:footer="1077" w:gutter="0"/>
          <w:cols w:space="720"/>
          <w:titlePg/>
          <w:docGrid w:linePitch="326"/>
        </w:sectPr>
      </w:pPr>
    </w:p>
    <w:p w14:paraId="0009E199" w14:textId="76B8C77B" w:rsidR="000C597C" w:rsidRDefault="000C597C" w:rsidP="004570F2">
      <w:pPr>
        <w:pStyle w:val="Heading3"/>
        <w:numPr>
          <w:ilvl w:val="0"/>
          <w:numId w:val="560"/>
        </w:numPr>
      </w:pPr>
      <w:bookmarkStart w:id="161" w:name="_Toc225969773"/>
      <w:bookmarkStart w:id="162" w:name="_Toc225979105"/>
      <w:r w:rsidRPr="000C597C">
        <w:lastRenderedPageBreak/>
        <w:t>Intervention n°16: Prevention of biotechnology misuse</w:t>
      </w:r>
      <w:bookmarkEnd w:id="161"/>
      <w:bookmarkEnd w:id="162"/>
    </w:p>
    <w:p w14:paraId="605B021A" w14:textId="79207B2C" w:rsidR="00CF6248" w:rsidRPr="004570F2" w:rsidRDefault="00CF6248" w:rsidP="004570F2">
      <w:pPr>
        <w:pStyle w:val="Heading4"/>
        <w:numPr>
          <w:ilvl w:val="0"/>
          <w:numId w:val="0"/>
        </w:numPr>
        <w:rPr>
          <w:u w:val="single"/>
        </w:rPr>
      </w:pPr>
      <w:bookmarkStart w:id="163" w:name="_Toc225969774"/>
      <w:bookmarkStart w:id="164" w:name="_Toc225979106"/>
      <w:r w:rsidRPr="004570F2">
        <w:rPr>
          <w:b/>
          <w:u w:val="single"/>
        </w:rPr>
        <w:t>Costs for providers</w:t>
      </w:r>
      <w:bookmarkEnd w:id="163"/>
      <w:bookmarkEnd w:id="164"/>
      <w:r w:rsidRPr="004570F2">
        <w:rPr>
          <w:b/>
          <w:u w:val="single"/>
        </w:rPr>
        <w:t xml:space="preserve"> </w:t>
      </w:r>
    </w:p>
    <w:p w14:paraId="188B0C73" w14:textId="4A7FEBD0" w:rsidR="00CF6248" w:rsidRDefault="00CF6248" w:rsidP="00CF6248">
      <w:pPr>
        <w:rPr>
          <w:lang w:val="en-US"/>
        </w:rPr>
      </w:pPr>
      <w:r w:rsidRPr="00DF6024">
        <w:t>Two approaches are used to estimate costs for providers. The first provides a lower-bound estimate, capturing the additional cost for non-screening providers of one full-time equivalent (FTE), based on industry interview evidence. The second applies a more complex calculation, incorporating both direct and indirect costs for providers. The latter is based on the RAND</w:t>
      </w:r>
      <w:r>
        <w:t xml:space="preserve"> Europe (2025)</w:t>
      </w:r>
      <w:r>
        <w:rPr>
          <w:rStyle w:val="FootnoteReference"/>
          <w:lang w:val="en-US"/>
        </w:rPr>
        <w:footnoteReference w:id="34"/>
      </w:r>
      <w:r w:rsidRPr="00DF6024">
        <w:t xml:space="preserve"> model but adjusted to the custom nucleic acid synthesis market and EU labour costs. It provides an upper-bound estimate as it doesn’t account for companies that are already screening. </w:t>
      </w:r>
    </w:p>
    <w:p w14:paraId="296964E1" w14:textId="77777777" w:rsidR="00CF6248" w:rsidRDefault="00CF6248" w:rsidP="00CF6248">
      <w:pPr>
        <w:rPr>
          <w:lang w:val="en-US"/>
        </w:rPr>
      </w:pPr>
      <w:r w:rsidRPr="00DF6024">
        <w:rPr>
          <w:b/>
          <w:bCs/>
          <w:lang w:val="en-US"/>
        </w:rPr>
        <w:t>Concerning the first approach</w:t>
      </w:r>
      <w:r>
        <w:rPr>
          <w:lang w:val="en-US"/>
        </w:rPr>
        <w:t>, t</w:t>
      </w:r>
      <w:r w:rsidRPr="002E25A7">
        <w:rPr>
          <w:lang w:val="en-US"/>
        </w:rPr>
        <w:t xml:space="preserve">he estimation of compliance costs for </w:t>
      </w:r>
      <w:r>
        <w:rPr>
          <w:lang w:val="en-US"/>
        </w:rPr>
        <w:t xml:space="preserve">non-screening </w:t>
      </w:r>
      <w:r w:rsidRPr="002E25A7">
        <w:rPr>
          <w:lang w:val="en-US"/>
        </w:rPr>
        <w:t xml:space="preserve">providers is based on assumptions derived from industry evidence and existing </w:t>
      </w:r>
      <w:r>
        <w:rPr>
          <w:lang w:val="en-US"/>
        </w:rPr>
        <w:t>models</w:t>
      </w:r>
      <w:r w:rsidRPr="002E25A7">
        <w:rPr>
          <w:lang w:val="en-US"/>
        </w:rPr>
        <w:t>.</w:t>
      </w:r>
      <w:r>
        <w:rPr>
          <w:lang w:val="en-US"/>
        </w:rPr>
        <w:t xml:space="preserve"> </w:t>
      </w:r>
      <w:r w:rsidRPr="002E25A7">
        <w:rPr>
          <w:lang w:val="en-US"/>
        </w:rPr>
        <w:t xml:space="preserve">First, evidence collected through industry interviews indicates that biosecurity screening activities can be integrated into routine operations with relatively limited resource requirements. In particular, SMEs with approximately 40–50 employees </w:t>
      </w:r>
      <w:r>
        <w:rPr>
          <w:lang w:val="en-US"/>
        </w:rPr>
        <w:t xml:space="preserve">that already apply biosecurity screening </w:t>
      </w:r>
      <w:r w:rsidRPr="002E25A7">
        <w:rPr>
          <w:lang w:val="en-US"/>
        </w:rPr>
        <w:t xml:space="preserve">typically allocate around </w:t>
      </w:r>
      <w:r>
        <w:rPr>
          <w:lang w:val="en-US"/>
        </w:rPr>
        <w:t xml:space="preserve">1 </w:t>
      </w:r>
      <w:r w:rsidRPr="002E25A7">
        <w:rPr>
          <w:lang w:val="en-US"/>
        </w:rPr>
        <w:t>one full-time equivalent (FTE) to screening-related tasks. This benchmark is used as the standard unit of labour input for providers that currently do not perform screening.</w:t>
      </w:r>
    </w:p>
    <w:p w14:paraId="4B4FE20E" w14:textId="2B4AC9A7" w:rsidR="00CF6248" w:rsidRPr="002E25A7" w:rsidRDefault="006A55A6" w:rsidP="00CF6248">
      <w:pPr>
        <w:rPr>
          <w:lang w:val="en-US"/>
        </w:rPr>
      </w:pPr>
      <w:r w:rsidRPr="5DA36055">
        <w:rPr>
          <w:lang w:val="en-US"/>
        </w:rPr>
        <w:t xml:space="preserve">Based on </w:t>
      </w:r>
      <w:r w:rsidR="00CF6248">
        <w:rPr>
          <w:lang w:val="en-US"/>
        </w:rPr>
        <w:t>IBBIS data, t</w:t>
      </w:r>
      <w:r w:rsidR="00CF6248" w:rsidRPr="002E25A7">
        <w:rPr>
          <w:lang w:val="en-US"/>
        </w:rPr>
        <w:t xml:space="preserve">he total number of </w:t>
      </w:r>
      <w:r w:rsidR="00CF6248">
        <w:rPr>
          <w:lang w:val="en-US"/>
        </w:rPr>
        <w:t>EU custom NA synthesis</w:t>
      </w:r>
      <w:r w:rsidR="00CF6248" w:rsidRPr="002E25A7">
        <w:rPr>
          <w:lang w:val="en-US"/>
        </w:rPr>
        <w:t xml:space="preserve"> providers is 110</w:t>
      </w:r>
      <w:r w:rsidR="00CF6248">
        <w:rPr>
          <w:lang w:val="en-US"/>
        </w:rPr>
        <w:t xml:space="preserve"> (66 custom providers, 40 third party providers, and 4 benchtop manufacturers)</w:t>
      </w:r>
      <w:r w:rsidR="00CF6248" w:rsidRPr="002E25A7">
        <w:rPr>
          <w:lang w:val="en-US"/>
        </w:rPr>
        <w:t xml:space="preserve">. Based on available evidence, </w:t>
      </w:r>
      <w:r w:rsidR="00CF6248">
        <w:rPr>
          <w:lang w:val="en-US"/>
        </w:rPr>
        <w:t xml:space="preserve">an average of </w:t>
      </w:r>
      <w:r w:rsidR="00CF6248" w:rsidRPr="002E25A7">
        <w:rPr>
          <w:lang w:val="en-US"/>
        </w:rPr>
        <w:t>70</w:t>
      </w:r>
      <w:r w:rsidR="006856C2">
        <w:rPr>
          <w:lang w:val="en-US"/>
        </w:rPr>
        <w:t>%</w:t>
      </w:r>
      <w:r w:rsidR="00CF6248" w:rsidRPr="002E25A7">
        <w:rPr>
          <w:lang w:val="en-US"/>
        </w:rPr>
        <w:t xml:space="preserve"> of these providers are </w:t>
      </w:r>
      <w:r w:rsidR="00CF6248">
        <w:rPr>
          <w:lang w:val="en-US"/>
        </w:rPr>
        <w:t>assumed</w:t>
      </w:r>
      <w:r w:rsidR="00CF6248" w:rsidRPr="002E25A7">
        <w:rPr>
          <w:lang w:val="en-US"/>
        </w:rPr>
        <w:t xml:space="preserve"> not to conduct biosecurity screening at present.</w:t>
      </w:r>
      <w:r w:rsidR="00CF6248">
        <w:rPr>
          <w:rStyle w:val="FootnoteReference"/>
          <w:lang w:val="en-US"/>
        </w:rPr>
        <w:footnoteReference w:id="35"/>
      </w:r>
    </w:p>
    <w:p w14:paraId="52A01684" w14:textId="77DD0365" w:rsidR="00CF6248" w:rsidRDefault="00CF6248" w:rsidP="00CF6248">
      <w:pPr>
        <w:rPr>
          <w:lang w:val="en-US"/>
        </w:rPr>
      </w:pPr>
      <w:r w:rsidRPr="002E25A7">
        <w:rPr>
          <w:lang w:val="en-US"/>
        </w:rPr>
        <w:t xml:space="preserve">For each of </w:t>
      </w:r>
      <w:r>
        <w:rPr>
          <w:lang w:val="en-US"/>
        </w:rPr>
        <w:t>the 70</w:t>
      </w:r>
      <w:r w:rsidR="006856C2">
        <w:rPr>
          <w:lang w:val="en-US"/>
        </w:rPr>
        <w:t>%</w:t>
      </w:r>
      <w:r>
        <w:rPr>
          <w:lang w:val="en-US"/>
        </w:rPr>
        <w:t xml:space="preserve"> of</w:t>
      </w:r>
      <w:r w:rsidRPr="002E25A7">
        <w:rPr>
          <w:lang w:val="en-US"/>
        </w:rPr>
        <w:t xml:space="preserve"> providers, one FTE is allocated to screening activities. This FTE is modelled as a composite of two occupational profiles: 50</w:t>
      </w:r>
      <w:r w:rsidR="006856C2">
        <w:rPr>
          <w:lang w:val="en-US"/>
        </w:rPr>
        <w:t>%</w:t>
      </w:r>
      <w:r w:rsidRPr="002E25A7">
        <w:rPr>
          <w:lang w:val="en-US"/>
        </w:rPr>
        <w:t xml:space="preserve"> managerial staff (ISCO-1) and 50</w:t>
      </w:r>
      <w:r w:rsidR="006856C2">
        <w:rPr>
          <w:lang w:val="en-US"/>
        </w:rPr>
        <w:t>%</w:t>
      </w:r>
      <w:r w:rsidRPr="002E25A7">
        <w:rPr>
          <w:lang w:val="en-US"/>
        </w:rPr>
        <w:t xml:space="preserve"> research staff (ISCO-2). The corresponding hourly labour costs are estimated at </w:t>
      </w:r>
      <w:r w:rsidR="542B49E2" w:rsidRPr="21D24B5A">
        <w:rPr>
          <w:lang w:val="en-US"/>
        </w:rPr>
        <w:t xml:space="preserve">EUR </w:t>
      </w:r>
      <w:r w:rsidRPr="002E25A7">
        <w:rPr>
          <w:lang w:val="en-US"/>
        </w:rPr>
        <w:t xml:space="preserve">54.9 for managerial staff and </w:t>
      </w:r>
      <w:r w:rsidR="02E5ED97" w:rsidRPr="21D24B5A">
        <w:rPr>
          <w:lang w:val="en-US"/>
        </w:rPr>
        <w:t xml:space="preserve">EUR </w:t>
      </w:r>
      <w:r w:rsidRPr="002E25A7">
        <w:rPr>
          <w:lang w:val="en-US"/>
        </w:rPr>
        <w:t>40.5 for research staff.</w:t>
      </w:r>
      <w:r>
        <w:rPr>
          <w:rStyle w:val="FootnoteReference"/>
          <w:lang w:val="en-US"/>
        </w:rPr>
        <w:footnoteReference w:id="36"/>
      </w:r>
      <w:r>
        <w:rPr>
          <w:lang w:val="en-US"/>
        </w:rPr>
        <w:t xml:space="preserve"> </w:t>
      </w:r>
      <w:r w:rsidRPr="002E25A7">
        <w:rPr>
          <w:lang w:val="en-US"/>
        </w:rPr>
        <w:t xml:space="preserve">Assuming a standard annual workload of 2,000 hours, the annual labour cost per provider is estimated at </w:t>
      </w:r>
      <w:r w:rsidR="4A8B9FE3" w:rsidRPr="21D24B5A">
        <w:rPr>
          <w:lang w:val="en-US"/>
        </w:rPr>
        <w:t xml:space="preserve">EUR </w:t>
      </w:r>
      <w:r w:rsidRPr="002E25A7">
        <w:rPr>
          <w:lang w:val="en-US"/>
        </w:rPr>
        <w:t xml:space="preserve">95,400. </w:t>
      </w:r>
    </w:p>
    <w:p w14:paraId="628CA137" w14:textId="77777777" w:rsidR="00CF6248" w:rsidRDefault="00CF6248" w:rsidP="00CF6248">
      <w:pPr>
        <w:rPr>
          <w:lang w:val="en-US"/>
        </w:rPr>
      </w:pPr>
      <w:r w:rsidRPr="002E25A7">
        <w:rPr>
          <w:lang w:val="en-US"/>
        </w:rPr>
        <w:t>Aggregating across all non-screening providers, total direct compliance costs are calculated as:</w:t>
      </w:r>
    </w:p>
    <w:p w14:paraId="48119DF6" w14:textId="738AECE0" w:rsidR="00CF6248" w:rsidRPr="002E25A7" w:rsidRDefault="00CF6248" w:rsidP="00CF6248">
      <w:pPr>
        <w:rPr>
          <w:lang w:val="en-US"/>
        </w:rPr>
      </w:pPr>
      <w:r w:rsidRPr="002E25A7">
        <w:rPr>
          <w:lang w:val="en-US"/>
        </w:rPr>
        <w:t xml:space="preserve">110 × 0.7 × 1 FTE × </w:t>
      </w:r>
      <w:r w:rsidR="5B77DB77" w:rsidRPr="514ABD41">
        <w:rPr>
          <w:lang w:val="en-US"/>
        </w:rPr>
        <w:t xml:space="preserve">EUR </w:t>
      </w:r>
      <w:r w:rsidRPr="002E25A7">
        <w:rPr>
          <w:lang w:val="en-US"/>
        </w:rPr>
        <w:t xml:space="preserve">95,400 ≈ </w:t>
      </w:r>
      <w:r w:rsidR="150E0A16" w:rsidRPr="514ABD41">
        <w:rPr>
          <w:lang w:val="en-US"/>
        </w:rPr>
        <w:t xml:space="preserve">EUR </w:t>
      </w:r>
      <w:r w:rsidRPr="002E25A7">
        <w:rPr>
          <w:lang w:val="en-US"/>
        </w:rPr>
        <w:t>7.3 million per year.</w:t>
      </w:r>
    </w:p>
    <w:p w14:paraId="66E5BE2E" w14:textId="77777777" w:rsidR="00CF6248" w:rsidRPr="002E25A7" w:rsidRDefault="00CF6248" w:rsidP="00CF6248">
      <w:pPr>
        <w:rPr>
          <w:lang w:val="en-US"/>
        </w:rPr>
      </w:pPr>
      <w:r w:rsidRPr="002E25A7">
        <w:rPr>
          <w:lang w:val="en-US"/>
        </w:rPr>
        <w:t>In addition to direct labour costs, indirect costs</w:t>
      </w:r>
      <w:r>
        <w:rPr>
          <w:lang w:val="en-US"/>
        </w:rPr>
        <w:t xml:space="preserve"> due to productivity loss</w:t>
      </w:r>
      <w:r w:rsidRPr="002E25A7">
        <w:rPr>
          <w:lang w:val="en-US"/>
        </w:rPr>
        <w:t xml:space="preserve"> are incorporated following the methodology applied in the RAND analysis. Indirect costs are estimated using a multiplier of 1.17 applied to direct costs.</w:t>
      </w:r>
      <w:r>
        <w:rPr>
          <w:lang w:val="en-US"/>
        </w:rPr>
        <w:t xml:space="preserve"> Therefore, indirect</w:t>
      </w:r>
      <w:r w:rsidRPr="002E25A7">
        <w:rPr>
          <w:lang w:val="en-US"/>
        </w:rPr>
        <w:t xml:space="preserve"> costs </w:t>
      </w:r>
      <w:r>
        <w:rPr>
          <w:lang w:val="en-US"/>
        </w:rPr>
        <w:t>are estimated as</w:t>
      </w:r>
      <w:r w:rsidRPr="002E25A7">
        <w:rPr>
          <w:lang w:val="en-US"/>
        </w:rPr>
        <w:t>:</w:t>
      </w:r>
    </w:p>
    <w:p w14:paraId="16BDE66C" w14:textId="48A1E15E" w:rsidR="00CF6248" w:rsidRPr="002E25A7" w:rsidRDefault="472D2148" w:rsidP="00CF6248">
      <w:pPr>
        <w:rPr>
          <w:lang w:val="en-US"/>
        </w:rPr>
      </w:pPr>
      <w:r w:rsidRPr="514ABD41">
        <w:rPr>
          <w:lang w:val="en-US"/>
        </w:rPr>
        <w:t xml:space="preserve">EUR 7.3 million × 1.17 ≈ 7.3 million × 1.17 ≈ 7.3 million × 1.17 ≈ </w:t>
      </w:r>
      <w:r w:rsidR="48E942BC" w:rsidRPr="21D24B5A">
        <w:rPr>
          <w:lang w:val="en-US"/>
        </w:rPr>
        <w:t>E</w:t>
      </w:r>
      <w:r w:rsidRPr="21D24B5A">
        <w:rPr>
          <w:lang w:val="en-US"/>
        </w:rPr>
        <w:t>UR</w:t>
      </w:r>
      <w:r w:rsidRPr="514ABD41">
        <w:rPr>
          <w:lang w:val="en-US"/>
        </w:rPr>
        <w:t xml:space="preserve"> </w:t>
      </w:r>
      <w:r w:rsidR="00CF6248" w:rsidRPr="514ABD41">
        <w:rPr>
          <w:lang w:val="en-US"/>
        </w:rPr>
        <w:t>8.6 million per year.</w:t>
      </w:r>
    </w:p>
    <w:p w14:paraId="0E3D6C71" w14:textId="74D83CD0" w:rsidR="00CF6248" w:rsidRDefault="00CF6248" w:rsidP="00CF6248">
      <w:r w:rsidRPr="00F86891">
        <w:rPr>
          <w:b/>
          <w:bCs/>
          <w:lang w:val="en-US"/>
        </w:rPr>
        <w:lastRenderedPageBreak/>
        <w:t>Concerning the second approach</w:t>
      </w:r>
      <w:r>
        <w:rPr>
          <w:lang w:val="en-US"/>
        </w:rPr>
        <w:t>,</w:t>
      </w:r>
      <w:r w:rsidRPr="5DA36055" w:rsidDel="00CF6248">
        <w:rPr>
          <w:lang w:val="en-US"/>
        </w:rPr>
        <w:t xml:space="preserve"> </w:t>
      </w:r>
      <w:r>
        <w:rPr>
          <w:lang w:val="en-US"/>
        </w:rPr>
        <w:t>the RAND model</w:t>
      </w:r>
      <w:r>
        <w:rPr>
          <w:rStyle w:val="FootnoteReference"/>
          <w:lang w:val="en-US"/>
        </w:rPr>
        <w:footnoteReference w:id="37"/>
      </w:r>
      <w:r>
        <w:rPr>
          <w:lang w:val="en-US"/>
        </w:rPr>
        <w:t xml:space="preserve"> </w:t>
      </w:r>
      <w:r w:rsidR="00A25C33" w:rsidRPr="5DA36055">
        <w:rPr>
          <w:lang w:val="en-US"/>
        </w:rPr>
        <w:t xml:space="preserve">was adapted </w:t>
      </w:r>
      <w:r>
        <w:rPr>
          <w:lang w:val="en-US"/>
        </w:rPr>
        <w:t xml:space="preserve">to better cover the actual targeted companies by the biosecurity provisions in the </w:t>
      </w:r>
      <w:r w:rsidR="00A25C33" w:rsidRPr="5DA36055">
        <w:rPr>
          <w:lang w:val="en-US"/>
        </w:rPr>
        <w:t xml:space="preserve">proposed EU </w:t>
      </w:r>
      <w:r>
        <w:rPr>
          <w:lang w:val="en-US"/>
        </w:rPr>
        <w:t>Biotech Act. The RAND model takes into account companies of the NA synthesis market, without distinguishing between custom and non-custom providers</w:t>
      </w:r>
      <w:r w:rsidRPr="00B00FD9">
        <w:rPr>
          <w:lang w:val="en-US"/>
        </w:rPr>
        <w:t xml:space="preserve">. </w:t>
      </w:r>
      <w:r w:rsidRPr="0078556F">
        <w:t xml:space="preserve">The </w:t>
      </w:r>
      <w:r>
        <w:t xml:space="preserve">biosecurity provisions in the </w:t>
      </w:r>
      <w:r w:rsidR="00A25C33">
        <w:t xml:space="preserve">proposed EU </w:t>
      </w:r>
      <w:r w:rsidRPr="0078556F">
        <w:t>Biotech Act</w:t>
      </w:r>
      <w:r>
        <w:t xml:space="preserve"> target only the custom </w:t>
      </w:r>
      <w:r w:rsidRPr="00B00FD9">
        <w:t xml:space="preserve">DNA synthesis market, i.e. </w:t>
      </w:r>
      <w:r w:rsidRPr="0078556F">
        <w:t>orders of NA fragments which could be assembled into dangerous pathogens</w:t>
      </w:r>
      <w:r w:rsidRPr="00B00FD9">
        <w:t xml:space="preserve"> </w:t>
      </w:r>
      <w:r w:rsidRPr="0078556F">
        <w:t>synthesised without templates.</w:t>
      </w:r>
      <w:r w:rsidRPr="00B00FD9">
        <w:rPr>
          <w:rStyle w:val="FootnoteReference"/>
          <w:lang w:val="en-US"/>
        </w:rPr>
        <w:footnoteReference w:id="38"/>
      </w:r>
      <w:r>
        <w:t xml:space="preserve"> </w:t>
      </w:r>
    </w:p>
    <w:p w14:paraId="6575EF29" w14:textId="26A1F2F9" w:rsidR="00CF6248" w:rsidRDefault="00CF6248" w:rsidP="00CF6248">
      <w:r>
        <w:t>To adapt the model and estimations accordingly</w:t>
      </w:r>
      <w:r w:rsidR="005B746A">
        <w:t xml:space="preserve">, </w:t>
      </w:r>
      <w:r>
        <w:t xml:space="preserve">the following corrections </w:t>
      </w:r>
      <w:r w:rsidR="005B746A">
        <w:t xml:space="preserve">were applied </w:t>
      </w:r>
      <w:r>
        <w:t>based on the outlined assumption:</w:t>
      </w:r>
    </w:p>
    <w:p w14:paraId="7864D600" w14:textId="5C9030A2" w:rsidR="00CF6248" w:rsidRDefault="00CF6248" w:rsidP="00CF6248">
      <w:pPr>
        <w:pStyle w:val="ListParagraph"/>
        <w:numPr>
          <w:ilvl w:val="0"/>
          <w:numId w:val="470"/>
        </w:numPr>
        <w:spacing w:after="270" w:line="270" w:lineRule="atLeast"/>
        <w:ind w:right="284"/>
        <w:rPr>
          <w:lang w:val="en-US"/>
        </w:rPr>
      </w:pPr>
      <w:r>
        <w:rPr>
          <w:lang w:val="en-US"/>
        </w:rPr>
        <w:t xml:space="preserve">Since the costs are calculated based on the expected increase in orders, </w:t>
      </w:r>
      <w:r w:rsidR="005B746A" w:rsidRPr="5DA36055">
        <w:rPr>
          <w:lang w:val="en-US"/>
        </w:rPr>
        <w:t xml:space="preserve">it is </w:t>
      </w:r>
      <w:r>
        <w:rPr>
          <w:lang w:val="en-US"/>
        </w:rPr>
        <w:t>assume</w:t>
      </w:r>
      <w:r w:rsidR="005B746A" w:rsidRPr="5DA36055">
        <w:rPr>
          <w:lang w:val="en-US"/>
        </w:rPr>
        <w:t>d</w:t>
      </w:r>
      <w:r>
        <w:rPr>
          <w:lang w:val="en-US"/>
        </w:rPr>
        <w:t xml:space="preserve"> that the share of these orders belonging to the custom NA synthesis market is 51</w:t>
      </w:r>
      <w:r w:rsidR="006856C2">
        <w:rPr>
          <w:lang w:val="en-US"/>
        </w:rPr>
        <w:t>%</w:t>
      </w:r>
      <w:r>
        <w:rPr>
          <w:lang w:val="en-US"/>
        </w:rPr>
        <w:t>. This assumption is based on the share of the custom NA synthesis companies in the EU, 110, over the total number of NA synthesis providers in the EU, which is 215, based on IBBIS data.</w:t>
      </w:r>
      <w:r>
        <w:rPr>
          <w:rStyle w:val="FootnoteReference"/>
          <w:lang w:val="en-US"/>
        </w:rPr>
        <w:footnoteReference w:id="39"/>
      </w:r>
      <w:r>
        <w:rPr>
          <w:lang w:val="en-US"/>
        </w:rPr>
        <w:t xml:space="preserve"> This entails multiplying orders in the cost’s calculations by 0.51.</w:t>
      </w:r>
    </w:p>
    <w:p w14:paraId="4F72C399" w14:textId="2B8A62D1" w:rsidR="00CF6248" w:rsidRDefault="005B746A" w:rsidP="00CF6248">
      <w:pPr>
        <w:pStyle w:val="ListParagraph"/>
        <w:numPr>
          <w:ilvl w:val="0"/>
          <w:numId w:val="470"/>
        </w:numPr>
        <w:spacing w:after="270" w:line="270" w:lineRule="atLeast"/>
        <w:ind w:right="284"/>
        <w:rPr>
          <w:lang w:val="en-US"/>
        </w:rPr>
      </w:pPr>
      <w:r>
        <w:rPr>
          <w:lang w:val="en-US"/>
        </w:rPr>
        <w:t>T</w:t>
      </w:r>
      <w:r w:rsidR="00CF6248">
        <w:rPr>
          <w:lang w:val="en-US"/>
        </w:rPr>
        <w:t>herefore</w:t>
      </w:r>
      <w:r>
        <w:rPr>
          <w:lang w:val="en-US"/>
        </w:rPr>
        <w:t>,</w:t>
      </w:r>
      <w:r w:rsidR="00CF6248" w:rsidDel="00BD4A6D">
        <w:rPr>
          <w:lang w:val="en-US"/>
        </w:rPr>
        <w:t xml:space="preserve"> </w:t>
      </w:r>
      <w:r w:rsidR="00CF6248">
        <w:rPr>
          <w:lang w:val="en-US"/>
        </w:rPr>
        <w:t xml:space="preserve">the number of companies involved in the model </w:t>
      </w:r>
      <w:r w:rsidR="00BD4A6D">
        <w:rPr>
          <w:lang w:val="en-US"/>
        </w:rPr>
        <w:t>(</w:t>
      </w:r>
      <w:r w:rsidR="00CF6248">
        <w:rPr>
          <w:lang w:val="en-US"/>
        </w:rPr>
        <w:t>between 66 and 126</w:t>
      </w:r>
      <w:r w:rsidR="00BD4A6D">
        <w:rPr>
          <w:lang w:val="en-US"/>
        </w:rPr>
        <w:t>) is also changed</w:t>
      </w:r>
      <w:r w:rsidR="00CF6248">
        <w:rPr>
          <w:lang w:val="en-US"/>
        </w:rPr>
        <w:t xml:space="preserve"> with the minimum number corresponding to only custom NA synthesis providers, and 126 corresponding to synthesis providers identified on the IBBIS map in Europe (for which we have sure information on 110, but as maximum number we keep 126).</w:t>
      </w:r>
    </w:p>
    <w:p w14:paraId="00C69955" w14:textId="76FDB37B" w:rsidR="00CF6248" w:rsidRPr="0078556F" w:rsidRDefault="00CF6248" w:rsidP="00CF6248">
      <w:pPr>
        <w:pStyle w:val="ListParagraph"/>
        <w:numPr>
          <w:ilvl w:val="0"/>
          <w:numId w:val="470"/>
        </w:numPr>
        <w:spacing w:after="270" w:line="270" w:lineRule="atLeast"/>
        <w:ind w:right="284"/>
        <w:rPr>
          <w:lang w:val="en-US"/>
        </w:rPr>
      </w:pPr>
      <w:r w:rsidRPr="002237F5">
        <w:rPr>
          <w:lang w:val="en-US"/>
        </w:rPr>
        <w:t xml:space="preserve">To have comparable estimations, the labour costs </w:t>
      </w:r>
      <w:r w:rsidR="007C1D42" w:rsidRPr="5DA36055">
        <w:rPr>
          <w:lang w:val="en-US"/>
        </w:rPr>
        <w:t>are</w:t>
      </w:r>
      <w:r w:rsidR="00535F6C" w:rsidRPr="5DA36055">
        <w:rPr>
          <w:lang w:val="en-US"/>
        </w:rPr>
        <w:t xml:space="preserve"> adapted </w:t>
      </w:r>
      <w:r w:rsidRPr="002237F5">
        <w:rPr>
          <w:lang w:val="en-US"/>
        </w:rPr>
        <w:t>to the European averages, allocating the time to senior staff (ISCO 1-managers and ISCO 2-professionals, as upper and lower bound), and non-senior staff corresponding to ISCO 3, as technicians and associate professionals.</w:t>
      </w:r>
      <w:r>
        <w:rPr>
          <w:rStyle w:val="FootnoteReference"/>
          <w:lang w:val="en-US"/>
        </w:rPr>
        <w:footnoteReference w:id="40"/>
      </w:r>
    </w:p>
    <w:p w14:paraId="0AC28EAE" w14:textId="77777777" w:rsidR="00CF6248" w:rsidRPr="004570F2" w:rsidRDefault="00CF6248" w:rsidP="004570F2">
      <w:pPr>
        <w:pStyle w:val="Heading4"/>
        <w:numPr>
          <w:ilvl w:val="0"/>
          <w:numId w:val="0"/>
        </w:numPr>
        <w:rPr>
          <w:u w:val="single"/>
        </w:rPr>
      </w:pPr>
      <w:bookmarkStart w:id="165" w:name="_Toc225969775"/>
      <w:bookmarkStart w:id="166" w:name="_Toc225979107"/>
      <w:r w:rsidRPr="004570F2">
        <w:rPr>
          <w:b/>
          <w:u w:val="single"/>
        </w:rPr>
        <w:t>Costs for customers</w:t>
      </w:r>
      <w:bookmarkEnd w:id="165"/>
      <w:bookmarkEnd w:id="166"/>
      <w:r w:rsidRPr="004570F2">
        <w:rPr>
          <w:b/>
          <w:u w:val="single"/>
        </w:rPr>
        <w:t xml:space="preserve"> </w:t>
      </w:r>
    </w:p>
    <w:p w14:paraId="189C8B1C" w14:textId="77777777" w:rsidR="00CF6248" w:rsidRDefault="00CF6248" w:rsidP="00CF6248">
      <w:pPr>
        <w:rPr>
          <w:lang w:val="en-US"/>
        </w:rPr>
      </w:pPr>
      <w:r w:rsidRPr="00C2588B">
        <w:rPr>
          <w:lang w:val="en-US"/>
        </w:rPr>
        <w:t>The cost estimation for customers (research organisations, private companies, and individual researchers) follows a labour-cost-based approach derived from the CLTR model.</w:t>
      </w:r>
      <w:r>
        <w:rPr>
          <w:rStyle w:val="FootnoteReference"/>
          <w:lang w:val="en-US"/>
        </w:rPr>
        <w:footnoteReference w:id="41"/>
      </w:r>
      <w:r w:rsidRPr="00C2588B">
        <w:rPr>
          <w:lang w:val="en-US"/>
        </w:rPr>
        <w:t xml:space="preserve"> The methodology captures both fixed compliance costs (learning, training, documentation) and variable costs (per-order verification).</w:t>
      </w:r>
      <w:r>
        <w:rPr>
          <w:lang w:val="en-US"/>
        </w:rPr>
        <w:t xml:space="preserve"> </w:t>
      </w:r>
    </w:p>
    <w:p w14:paraId="48917163" w14:textId="181ABE6C" w:rsidR="00CF6248" w:rsidRPr="00C2588B" w:rsidRDefault="00CF6248" w:rsidP="00CF6248">
      <w:pPr>
        <w:rPr>
          <w:lang w:val="en-US"/>
        </w:rPr>
      </w:pPr>
      <w:r w:rsidRPr="00C2588B">
        <w:rPr>
          <w:lang w:val="en-US"/>
        </w:rPr>
        <w:t xml:space="preserve">The initial compliance cost is defined as the time required to learn and implement the screening procedure. This is allocated across two staff categories: senior staff (ISCO 2) and junior staff (ISCO 3). Senior staff account for 1.5 hours and junior staff for 2 hours, with respective hourly labour costs of </w:t>
      </w:r>
      <w:r w:rsidR="252593DB" w:rsidRPr="4E3ABAED">
        <w:rPr>
          <w:lang w:val="en-US"/>
        </w:rPr>
        <w:t xml:space="preserve">EUR </w:t>
      </w:r>
      <w:r w:rsidRPr="00C2588B">
        <w:rPr>
          <w:lang w:val="en-US"/>
        </w:rPr>
        <w:t xml:space="preserve">40.5 and </w:t>
      </w:r>
      <w:r w:rsidR="2A60DC87" w:rsidRPr="4E3ABAED">
        <w:rPr>
          <w:lang w:val="en-US"/>
        </w:rPr>
        <w:t xml:space="preserve">EUR </w:t>
      </w:r>
      <w:r w:rsidRPr="00C2588B">
        <w:rPr>
          <w:lang w:val="en-US"/>
        </w:rPr>
        <w:t>32.7.</w:t>
      </w:r>
      <w:r>
        <w:rPr>
          <w:rStyle w:val="FootnoteReference"/>
          <w:lang w:val="en-US"/>
        </w:rPr>
        <w:footnoteReference w:id="42"/>
      </w:r>
      <w:r w:rsidRPr="00C2588B">
        <w:rPr>
          <w:lang w:val="en-US"/>
        </w:rPr>
        <w:t xml:space="preserve"> This results in a one-off initial cost of </w:t>
      </w:r>
      <w:r w:rsidR="1B5FA172" w:rsidRPr="4E3ABAED">
        <w:rPr>
          <w:lang w:val="en-US"/>
        </w:rPr>
        <w:t xml:space="preserve">EUR </w:t>
      </w:r>
      <w:r w:rsidRPr="00C2588B">
        <w:rPr>
          <w:lang w:val="en-US"/>
        </w:rPr>
        <w:t>126.15 per customer</w:t>
      </w:r>
      <w:r>
        <w:rPr>
          <w:lang w:val="en-US"/>
        </w:rPr>
        <w:t xml:space="preserve">. </w:t>
      </w:r>
      <w:r w:rsidRPr="00C2588B">
        <w:rPr>
          <w:lang w:val="en-US"/>
        </w:rPr>
        <w:t xml:space="preserve">To reflect ongoing compliance, an annual </w:t>
      </w:r>
      <w:r w:rsidRPr="00C2588B">
        <w:rPr>
          <w:lang w:val="en-US"/>
        </w:rPr>
        <w:lastRenderedPageBreak/>
        <w:t xml:space="preserve">“refresh” cost is included, consisting of 0.5 hours of senior staff time and 1 hour of junior staff time, amounting to </w:t>
      </w:r>
      <w:r w:rsidR="31E67011" w:rsidRPr="4E3ABAED">
        <w:rPr>
          <w:lang w:val="en-US"/>
        </w:rPr>
        <w:t xml:space="preserve">EUR </w:t>
      </w:r>
      <w:r w:rsidRPr="00C2588B">
        <w:rPr>
          <w:lang w:val="en-US"/>
        </w:rPr>
        <w:t xml:space="preserve">52.95 per year. The total compliance cost is then annualised over a 10-year period, leading to an annual labour cost of </w:t>
      </w:r>
      <w:r w:rsidR="328212A6" w:rsidRPr="4E3ABAED">
        <w:rPr>
          <w:lang w:val="en-US"/>
        </w:rPr>
        <w:t xml:space="preserve">EUR </w:t>
      </w:r>
      <w:r w:rsidRPr="00C2588B">
        <w:rPr>
          <w:lang w:val="en-US"/>
        </w:rPr>
        <w:t>65.57 per customer.</w:t>
      </w:r>
      <w:r>
        <w:rPr>
          <w:lang w:val="en-US"/>
        </w:rPr>
        <w:t xml:space="preserve"> </w:t>
      </w:r>
      <w:r w:rsidRPr="00C2588B">
        <w:rPr>
          <w:lang w:val="en-US"/>
        </w:rPr>
        <w:t xml:space="preserve">In addition, a marginal cost per order is included to capture the time required to verify suppliers. This is estimated at 3 minutes (0.05 hours) of junior staff time per sequence, corresponding to an additional </w:t>
      </w:r>
      <w:r w:rsidR="56E8014B" w:rsidRPr="4E3ABAED">
        <w:rPr>
          <w:lang w:val="en-US"/>
        </w:rPr>
        <w:t xml:space="preserve">EUR </w:t>
      </w:r>
      <w:r w:rsidRPr="00C2588B">
        <w:rPr>
          <w:lang w:val="en-US"/>
        </w:rPr>
        <w:t>1.6</w:t>
      </w:r>
      <w:r>
        <w:rPr>
          <w:lang w:val="en-US"/>
        </w:rPr>
        <w:t>35</w:t>
      </w:r>
      <w:r w:rsidRPr="00C2588B">
        <w:rPr>
          <w:lang w:val="en-US"/>
        </w:rPr>
        <w:t xml:space="preserve"> per order.</w:t>
      </w:r>
    </w:p>
    <w:p w14:paraId="0EB7AFFF" w14:textId="64359A97" w:rsidR="00CF6248" w:rsidRPr="00C2588B" w:rsidRDefault="00CF6248" w:rsidP="00CF6248">
      <w:pPr>
        <w:rPr>
          <w:lang w:val="en-US"/>
        </w:rPr>
      </w:pPr>
      <w:r w:rsidRPr="00C2588B">
        <w:rPr>
          <w:lang w:val="en-US"/>
        </w:rPr>
        <w:t xml:space="preserve">These costs are then allocated across different types of orders using CLTR estimates of average ordering behaviour. For gene sequences, </w:t>
      </w:r>
      <w:r>
        <w:rPr>
          <w:lang w:val="en-US"/>
        </w:rPr>
        <w:t xml:space="preserve">each </w:t>
      </w:r>
      <w:r w:rsidRPr="00C2588B">
        <w:rPr>
          <w:lang w:val="en-US"/>
        </w:rPr>
        <w:t xml:space="preserve">customer </w:t>
      </w:r>
      <w:r>
        <w:rPr>
          <w:lang w:val="en-US"/>
        </w:rPr>
        <w:t>is</w:t>
      </w:r>
      <w:r w:rsidRPr="00C2588B">
        <w:rPr>
          <w:lang w:val="en-US"/>
        </w:rPr>
        <w:t xml:space="preserve"> assumed to place 20 orders per year. The annualised fixed cost </w:t>
      </w:r>
      <w:r w:rsidRPr="4E3ABAED">
        <w:rPr>
          <w:lang w:val="en-US"/>
        </w:rPr>
        <w:t>(</w:t>
      </w:r>
      <w:r w:rsidR="246DDECB" w:rsidRPr="4E3ABAED">
        <w:rPr>
          <w:lang w:val="en-US"/>
        </w:rPr>
        <w:t xml:space="preserve">EUR </w:t>
      </w:r>
      <w:r w:rsidRPr="00C2588B">
        <w:rPr>
          <w:lang w:val="en-US"/>
        </w:rPr>
        <w:t xml:space="preserve">65.57) is distributed across these orders, resulting in a fixed cost of </w:t>
      </w:r>
      <w:r w:rsidR="6243B399" w:rsidRPr="4E3ABAED">
        <w:rPr>
          <w:lang w:val="en-US"/>
        </w:rPr>
        <w:t xml:space="preserve">EUR </w:t>
      </w:r>
      <w:r w:rsidRPr="00C2588B">
        <w:rPr>
          <w:lang w:val="en-US"/>
        </w:rPr>
        <w:t xml:space="preserve">3.28 per sequence. Adding the per-order verification cost </w:t>
      </w:r>
      <w:r w:rsidRPr="4E3ABAED">
        <w:rPr>
          <w:lang w:val="en-US"/>
        </w:rPr>
        <w:t>(</w:t>
      </w:r>
      <w:r w:rsidR="47C8A176" w:rsidRPr="4E3ABAED">
        <w:rPr>
          <w:lang w:val="en-US"/>
        </w:rPr>
        <w:t xml:space="preserve">EUR </w:t>
      </w:r>
      <w:r w:rsidRPr="00C2588B">
        <w:rPr>
          <w:lang w:val="en-US"/>
        </w:rPr>
        <w:t xml:space="preserve">1.635) yields a total cost of </w:t>
      </w:r>
      <w:r w:rsidR="40296421" w:rsidRPr="4E3ABAED">
        <w:rPr>
          <w:lang w:val="en-US"/>
        </w:rPr>
        <w:t xml:space="preserve">EUR </w:t>
      </w:r>
      <w:r w:rsidRPr="00C2588B">
        <w:rPr>
          <w:lang w:val="en-US"/>
        </w:rPr>
        <w:t>4.91 per sequence for customers not already compliant.</w:t>
      </w:r>
      <w:r>
        <w:rPr>
          <w:lang w:val="en-US"/>
        </w:rPr>
        <w:t xml:space="preserve"> Indeed, t</w:t>
      </w:r>
      <w:r w:rsidRPr="00C2588B">
        <w:rPr>
          <w:lang w:val="en-US"/>
        </w:rPr>
        <w:t>o account for existing practices, an adjustment is introduced: 60</w:t>
      </w:r>
      <w:r w:rsidR="006856C2">
        <w:rPr>
          <w:lang w:val="en-US"/>
        </w:rPr>
        <w:t>%</w:t>
      </w:r>
      <w:r w:rsidRPr="00C2588B">
        <w:rPr>
          <w:lang w:val="en-US"/>
        </w:rPr>
        <w:t xml:space="preserve"> of customers are assumed to already follow compliance procedures and therefore incur only 10</w:t>
      </w:r>
      <w:r w:rsidR="006856C2">
        <w:rPr>
          <w:lang w:val="en-US"/>
        </w:rPr>
        <w:t>%</w:t>
      </w:r>
      <w:r w:rsidRPr="00C2588B">
        <w:rPr>
          <w:lang w:val="en-US"/>
        </w:rPr>
        <w:t xml:space="preserve"> of the full cost. This leads to an expected cost of </w:t>
      </w:r>
      <w:r w:rsidR="27354878" w:rsidRPr="4E3ABAED">
        <w:rPr>
          <w:lang w:val="en-US"/>
        </w:rPr>
        <w:t xml:space="preserve">EUR </w:t>
      </w:r>
      <w:r w:rsidRPr="00C2588B">
        <w:rPr>
          <w:lang w:val="en-US"/>
        </w:rPr>
        <w:t>2.26 per gene sequence</w:t>
      </w:r>
      <w:r>
        <w:rPr>
          <w:lang w:val="en-US"/>
        </w:rPr>
        <w:t>.</w:t>
      </w:r>
    </w:p>
    <w:p w14:paraId="37E772A0" w14:textId="65D70D54" w:rsidR="00CF6248" w:rsidRDefault="00CF6248" w:rsidP="00CF6248">
      <w:pPr>
        <w:rPr>
          <w:lang w:val="en-US"/>
        </w:rPr>
      </w:pPr>
      <w:r w:rsidRPr="00C2588B">
        <w:rPr>
          <w:lang w:val="en-US"/>
        </w:rPr>
        <w:t xml:space="preserve">For long oligonucleotides, the same structure is applied but with 1,000 annual orders per customer. This results in a much lower fixed cost per sequence </w:t>
      </w:r>
      <w:r w:rsidRPr="1A6AF69D">
        <w:rPr>
          <w:lang w:val="en-US"/>
        </w:rPr>
        <w:t>(</w:t>
      </w:r>
      <w:r w:rsidR="762149E6" w:rsidRPr="1A6AF69D">
        <w:rPr>
          <w:lang w:val="en-US"/>
        </w:rPr>
        <w:t xml:space="preserve">EUR </w:t>
      </w:r>
      <w:r w:rsidRPr="00C2588B">
        <w:rPr>
          <w:lang w:val="en-US"/>
        </w:rPr>
        <w:t xml:space="preserve">0.0197), and a total cost of </w:t>
      </w:r>
      <w:r w:rsidR="009B3972">
        <w:rPr>
          <w:lang w:val="en-US"/>
        </w:rPr>
        <w:t xml:space="preserve">EUR </w:t>
      </w:r>
      <w:r w:rsidRPr="00C2588B">
        <w:rPr>
          <w:lang w:val="en-US"/>
        </w:rPr>
        <w:t>1.65 per sequence for non-compliant customers. After applying the same compliance adjustment (with an additional correction that 70</w:t>
      </w:r>
      <w:r w:rsidR="006856C2">
        <w:rPr>
          <w:lang w:val="en-US"/>
        </w:rPr>
        <w:t>%</w:t>
      </w:r>
      <w:r w:rsidRPr="00C2588B">
        <w:rPr>
          <w:lang w:val="en-US"/>
        </w:rPr>
        <w:t xml:space="preserve"> of oligo customers already order genes and thus partially internalise compliance costs), the expected cost per oligo sequence is </w:t>
      </w:r>
      <w:r w:rsidR="2EEC144A" w:rsidRPr="1A6AF69D">
        <w:rPr>
          <w:lang w:val="en-US"/>
        </w:rPr>
        <w:t xml:space="preserve">EUR </w:t>
      </w:r>
      <w:r w:rsidRPr="00C2588B">
        <w:rPr>
          <w:lang w:val="en-US"/>
        </w:rPr>
        <w:t>0.76.</w:t>
      </w:r>
      <w:r>
        <w:rPr>
          <w:lang w:val="en-US"/>
        </w:rPr>
        <w:t xml:space="preserve"> </w:t>
      </w:r>
    </w:p>
    <w:p w14:paraId="45252550" w14:textId="062740BC" w:rsidR="00CF6248" w:rsidRPr="003B67B4" w:rsidRDefault="00CF6248" w:rsidP="00CF6248">
      <w:pPr>
        <w:rPr>
          <w:lang w:val="en-US"/>
        </w:rPr>
      </w:pPr>
      <w:r w:rsidRPr="00C2588B">
        <w:rPr>
          <w:lang w:val="en-US"/>
        </w:rPr>
        <w:t xml:space="preserve">Aggregating these per-sequence costs across total estimated order volumes yields total annual customer costs of approximately </w:t>
      </w:r>
      <w:r w:rsidR="0878FBB1" w:rsidRPr="1A6AF69D">
        <w:rPr>
          <w:lang w:val="en-US"/>
        </w:rPr>
        <w:t xml:space="preserve">EUR </w:t>
      </w:r>
      <w:r w:rsidRPr="00C2588B">
        <w:rPr>
          <w:lang w:val="en-US"/>
        </w:rPr>
        <w:t xml:space="preserve">3.56 million for gene orders and </w:t>
      </w:r>
      <w:r w:rsidR="538A0227" w:rsidRPr="1A6AF69D">
        <w:rPr>
          <w:lang w:val="en-US"/>
        </w:rPr>
        <w:t xml:space="preserve">EUR </w:t>
      </w:r>
      <w:r w:rsidRPr="00C2588B">
        <w:rPr>
          <w:lang w:val="en-US"/>
        </w:rPr>
        <w:t xml:space="preserve">12.85 million for oligo orders. The combined total cost for customers is therefore estimated at </w:t>
      </w:r>
      <w:r w:rsidR="70953CAE" w:rsidRPr="1A6AF69D">
        <w:rPr>
          <w:lang w:val="en-US"/>
        </w:rPr>
        <w:t xml:space="preserve">EUR </w:t>
      </w:r>
      <w:r w:rsidRPr="00C2588B">
        <w:rPr>
          <w:lang w:val="en-US"/>
        </w:rPr>
        <w:t>16.41 million per year.</w:t>
      </w:r>
      <w:r>
        <w:rPr>
          <w:lang w:val="en-US"/>
        </w:rPr>
        <w:t xml:space="preserve"> To have comparable and consistent numbers across the report, we use the order volumes based on the RAND model but still adapted to 51</w:t>
      </w:r>
      <w:r w:rsidR="006856C2">
        <w:rPr>
          <w:lang w:val="en-US"/>
        </w:rPr>
        <w:t>%</w:t>
      </w:r>
      <w:r>
        <w:rPr>
          <w:lang w:val="en-US"/>
        </w:rPr>
        <w:t xml:space="preserve"> to only account for custom NA synthesis market. </w:t>
      </w:r>
    </w:p>
    <w:p w14:paraId="0F72752D" w14:textId="5100CA17" w:rsidR="000C597C" w:rsidRDefault="000C597C" w:rsidP="004570F2">
      <w:pPr>
        <w:pStyle w:val="Heading3"/>
        <w:numPr>
          <w:ilvl w:val="0"/>
          <w:numId w:val="560"/>
        </w:numPr>
      </w:pPr>
      <w:bookmarkStart w:id="167" w:name="_Toc225969776"/>
      <w:bookmarkStart w:id="168" w:name="_Toc225979108"/>
      <w:r w:rsidRPr="000C597C">
        <w:t>Intervention n°</w:t>
      </w:r>
      <w:r>
        <w:t>17</w:t>
      </w:r>
      <w:r w:rsidRPr="000C597C">
        <w:t xml:space="preserve">: </w:t>
      </w:r>
      <w:r>
        <w:t>Biodefence</w:t>
      </w:r>
      <w:bookmarkEnd w:id="167"/>
      <w:bookmarkEnd w:id="168"/>
    </w:p>
    <w:p w14:paraId="67AAE248" w14:textId="77777777" w:rsidR="00D81DF6" w:rsidRDefault="00D81DF6" w:rsidP="00D81DF6">
      <w:r>
        <w:t>The surveillance cost estimates adapt a 2025 model by SecureBio Detection</w:t>
      </w:r>
      <w:r>
        <w:rPr>
          <w:rStyle w:val="FootnoteReference"/>
        </w:rPr>
        <w:footnoteReference w:id="43"/>
      </w:r>
      <w:r>
        <w:t xml:space="preserve"> for scaling US pathogen detection to the EU context. The US model combines three sampling streams: aircraft wastewater via triturator sampling at major airports, passenger nasal swabs at airports, and municipal wastewater sampling through the National Wastewater Surveillance System (NWSS).</w:t>
      </w:r>
    </w:p>
    <w:p w14:paraId="21B7E2DD" w14:textId="233E0D11" w:rsidR="00D81DF6" w:rsidRDefault="00D81DF6" w:rsidP="00D81DF6">
      <w:pPr>
        <w:spacing w:after="120"/>
      </w:pPr>
      <w:r>
        <w:rPr>
          <w:b/>
          <w:bCs/>
        </w:rPr>
        <w:t>EU Scenario 1 (proportional scaling).</w:t>
      </w:r>
      <w:r w:rsidR="53E682E3" w:rsidRPr="28A1F16E">
        <w:rPr>
          <w:b/>
          <w:bCs/>
        </w:rPr>
        <w:t xml:space="preserve"> </w:t>
      </w:r>
      <w:r>
        <w:t>Scales the US model to European transport and wastewater infrastructure while maintaining comparable coverage. Based on 2024 European airport passenger volumes (~1 billion/year, ~2 million movements/day), approximately 6 major airports plus 10 additional airports are needed to match US coverage. For wastewater, 5–10 large urban treatment plant catchments replicate the US NWSS coverage of ~2.5 million individuals. Triturator-based aircraft wastewater sampling, currently in limited European pilots only, would require new deployment.</w:t>
      </w:r>
    </w:p>
    <w:p w14:paraId="2686F1AF" w14:textId="1BD24236" w:rsidR="00D81DF6" w:rsidRDefault="00D81DF6" w:rsidP="00D81DF6">
      <w:pPr>
        <w:spacing w:after="120"/>
      </w:pPr>
      <w:r w:rsidRPr="009333FC">
        <w:rPr>
          <w:b/>
          <w:lang w:val="fr-BE"/>
        </w:rPr>
        <w:lastRenderedPageBreak/>
        <w:t xml:space="preserve">EU Scenario 2 (expanded environmental sampling). </w:t>
      </w:r>
      <w:r>
        <w:t>Discontinues passenger swabbing and expands triturator-based sampling to 20 major airports with increased processing capacity. Significantly scales up sequencing and bioinformatics infrastructure (</w:t>
      </w:r>
      <w:r w:rsidR="0055115C">
        <w:t xml:space="preserve">EUR </w:t>
      </w:r>
      <w:r>
        <w:t xml:space="preserve">102 million for this component alone vs. </w:t>
      </w:r>
      <w:r w:rsidR="0055115C">
        <w:t xml:space="preserve">EUR </w:t>
      </w:r>
      <w:r>
        <w:t>23 million in Scenario 1), resulting in higher overall costs.</w:t>
      </w:r>
    </w:p>
    <w:p w14:paraId="21F27F4C" w14:textId="5E0CC54A" w:rsidR="00D81DF6" w:rsidRDefault="00D81DF6" w:rsidP="00D81DF6">
      <w:pPr>
        <w:spacing w:after="120"/>
      </w:pPr>
      <w:r>
        <w:rPr>
          <w:b/>
          <w:bCs/>
        </w:rPr>
        <w:t xml:space="preserve">Cost adjustments. </w:t>
      </w:r>
      <w:r>
        <w:t>Salaries for laboratory managers, analysts, technicians and bioinformaticians are adapted to EU standards using Eurostat average values for ISCO-1, ISCO-2 and ISCO-3 professional profiles. Equipment and processing costs are assumed internationally comparable and converted from USD to EUR at the applicable exchange rate.</w:t>
      </w:r>
    </w:p>
    <w:p w14:paraId="6F0A4D57" w14:textId="1661811D" w:rsidR="00D81DF6" w:rsidRDefault="00D81DF6" w:rsidP="00D81DF6">
      <w:pPr>
        <w:spacing w:after="120"/>
      </w:pPr>
      <w:r>
        <w:rPr>
          <w:b/>
          <w:bCs/>
        </w:rPr>
        <w:t xml:space="preserve">Benefits estimation. </w:t>
      </w:r>
      <w:r>
        <w:t xml:space="preserve">Public health benefits draw on Nascimento de Lima </w:t>
      </w:r>
      <w:r w:rsidRPr="004570F2">
        <w:rPr>
          <w:i/>
        </w:rPr>
        <w:t>et al.</w:t>
      </w:r>
      <w:r>
        <w:t xml:space="preserve"> (2024), which models the first year of a COVID-19-type pandemic under varying early-warning lead times. The model estimates mortality, illness costs and lockdown duration across scenarios of 0 to 10 days of advance detection. The five-day scenario is used as the central reference, consistent with empirical findings of 5–19 day lead times from European wastewater surveillance.</w:t>
      </w:r>
    </w:p>
    <w:p w14:paraId="68EAC3BA" w14:textId="6C42E1A3" w:rsidR="00A61F7A" w:rsidRPr="004570F2" w:rsidRDefault="00FF0F2D" w:rsidP="00A61F7A">
      <w:pPr>
        <w:pStyle w:val="Caption"/>
        <w:rPr>
          <w:rFonts w:ascii="Times New Roman" w:hAnsi="Times New Roman"/>
          <w:sz w:val="24"/>
        </w:rPr>
      </w:pPr>
      <w:r w:rsidRPr="004570F2">
        <w:rPr>
          <w:rFonts w:ascii="Times New Roman" w:hAnsi="Times New Roman"/>
          <w:sz w:val="24"/>
        </w:rPr>
        <w:t xml:space="preserve">Table </w:t>
      </w:r>
      <w:r w:rsidR="007E5BCD">
        <w:rPr>
          <w:rFonts w:ascii="Times New Roman" w:hAnsi="Times New Roman"/>
          <w:sz w:val="24"/>
          <w:szCs w:val="32"/>
        </w:rPr>
        <w:t>5</w:t>
      </w:r>
      <w:r w:rsidR="00C23F88">
        <w:rPr>
          <w:rFonts w:ascii="Times New Roman" w:hAnsi="Times New Roman"/>
          <w:sz w:val="24"/>
          <w:szCs w:val="32"/>
        </w:rPr>
        <w:t>.</w:t>
      </w:r>
      <w:r w:rsidR="00C23F88" w:rsidRPr="004570F2">
        <w:rPr>
          <w:rFonts w:ascii="Times New Roman" w:hAnsi="Times New Roman"/>
          <w:sz w:val="24"/>
        </w:rPr>
        <w:t xml:space="preserve"> </w:t>
      </w:r>
      <w:r w:rsidRPr="004570F2">
        <w:rPr>
          <w:rFonts w:ascii="Times New Roman" w:hAnsi="Times New Roman"/>
          <w:sz w:val="24"/>
        </w:rPr>
        <w:t>I</w:t>
      </w:r>
      <w:r w:rsidR="00A61F7A" w:rsidRPr="004570F2">
        <w:rPr>
          <w:rFonts w:ascii="Times New Roman" w:hAnsi="Times New Roman"/>
          <w:sz w:val="24"/>
        </w:rPr>
        <w:t>nputs adapted from the US model</w:t>
      </w:r>
    </w:p>
    <w:tbl>
      <w:tblPr>
        <w:tblStyle w:val="TableGrid"/>
        <w:tblW w:w="5000" w:type="pct"/>
        <w:tblLook w:val="04A0" w:firstRow="1" w:lastRow="0" w:firstColumn="1" w:lastColumn="0" w:noHBand="0" w:noVBand="1"/>
      </w:tblPr>
      <w:tblGrid>
        <w:gridCol w:w="3674"/>
        <w:gridCol w:w="1239"/>
        <w:gridCol w:w="1826"/>
        <w:gridCol w:w="1868"/>
      </w:tblGrid>
      <w:tr w:rsidR="00A61F7A" w:rsidRPr="006C6A95" w14:paraId="036EA205" w14:textId="77777777" w:rsidTr="004570F2">
        <w:trPr>
          <w:trHeight w:val="283"/>
        </w:trPr>
        <w:tc>
          <w:tcPr>
            <w:tcW w:w="2134" w:type="pct"/>
            <w:hideMark/>
          </w:tcPr>
          <w:p w14:paraId="1163B4AE" w14:textId="77777777" w:rsidR="00A61F7A" w:rsidRPr="004570F2" w:rsidRDefault="00A61F7A">
            <w:pPr>
              <w:spacing w:before="180" w:after="0" w:line="330" w:lineRule="atLeast"/>
              <w:jc w:val="left"/>
              <w:rPr>
                <w:b/>
                <w:sz w:val="20"/>
              </w:rPr>
            </w:pPr>
            <w:r w:rsidRPr="004570F2">
              <w:rPr>
                <w:b/>
                <w:sz w:val="20"/>
              </w:rPr>
              <w:t>Inputs</w:t>
            </w:r>
          </w:p>
        </w:tc>
        <w:tc>
          <w:tcPr>
            <w:tcW w:w="720" w:type="pct"/>
            <w:noWrap/>
            <w:hideMark/>
          </w:tcPr>
          <w:p w14:paraId="39171F39" w14:textId="77777777" w:rsidR="00A61F7A" w:rsidRPr="004570F2" w:rsidRDefault="00A61F7A">
            <w:pPr>
              <w:spacing w:before="180" w:after="0" w:line="330" w:lineRule="atLeast"/>
              <w:jc w:val="center"/>
              <w:rPr>
                <w:b/>
                <w:sz w:val="20"/>
              </w:rPr>
            </w:pPr>
            <w:r w:rsidRPr="004570F2">
              <w:rPr>
                <w:b/>
                <w:sz w:val="20"/>
              </w:rPr>
              <w:t>US model</w:t>
            </w:r>
          </w:p>
        </w:tc>
        <w:tc>
          <w:tcPr>
            <w:tcW w:w="1061" w:type="pct"/>
          </w:tcPr>
          <w:p w14:paraId="4715A765" w14:textId="77777777" w:rsidR="00A61F7A" w:rsidRPr="004570F2" w:rsidRDefault="00A61F7A">
            <w:pPr>
              <w:spacing w:before="180" w:after="0" w:line="330" w:lineRule="atLeast"/>
              <w:jc w:val="center"/>
              <w:rPr>
                <w:b/>
                <w:sz w:val="20"/>
              </w:rPr>
            </w:pPr>
            <w:r w:rsidRPr="004570F2">
              <w:rPr>
                <w:b/>
                <w:sz w:val="20"/>
              </w:rPr>
              <w:t>EU 1</w:t>
            </w:r>
            <w:r w:rsidRPr="004570F2">
              <w:rPr>
                <w:b/>
                <w:sz w:val="20"/>
                <w:vertAlign w:val="superscript"/>
              </w:rPr>
              <w:t>st</w:t>
            </w:r>
            <w:r w:rsidRPr="004570F2">
              <w:rPr>
                <w:b/>
                <w:sz w:val="20"/>
              </w:rPr>
              <w:t xml:space="preserve"> scenario</w:t>
            </w:r>
          </w:p>
        </w:tc>
        <w:tc>
          <w:tcPr>
            <w:tcW w:w="1086" w:type="pct"/>
          </w:tcPr>
          <w:p w14:paraId="24C3B7CB" w14:textId="77777777" w:rsidR="00A61F7A" w:rsidRPr="004570F2" w:rsidRDefault="00A61F7A">
            <w:pPr>
              <w:spacing w:before="180" w:after="0" w:line="330" w:lineRule="atLeast"/>
              <w:jc w:val="center"/>
              <w:rPr>
                <w:b/>
                <w:sz w:val="20"/>
              </w:rPr>
            </w:pPr>
            <w:r w:rsidRPr="004570F2">
              <w:rPr>
                <w:b/>
                <w:sz w:val="20"/>
              </w:rPr>
              <w:t>EU 2</w:t>
            </w:r>
            <w:r w:rsidRPr="004570F2">
              <w:rPr>
                <w:b/>
                <w:sz w:val="20"/>
                <w:vertAlign w:val="superscript"/>
              </w:rPr>
              <w:t>nd</w:t>
            </w:r>
            <w:r w:rsidRPr="004570F2">
              <w:rPr>
                <w:b/>
                <w:sz w:val="20"/>
              </w:rPr>
              <w:t xml:space="preserve"> scenario</w:t>
            </w:r>
          </w:p>
        </w:tc>
      </w:tr>
      <w:tr w:rsidR="00A61F7A" w:rsidRPr="006C6A95" w14:paraId="794BC61E" w14:textId="77777777" w:rsidTr="004570F2">
        <w:trPr>
          <w:trHeight w:val="298"/>
        </w:trPr>
        <w:tc>
          <w:tcPr>
            <w:tcW w:w="2134" w:type="pct"/>
            <w:hideMark/>
          </w:tcPr>
          <w:p w14:paraId="464A40EE" w14:textId="77777777" w:rsidR="00A61F7A" w:rsidRPr="004570F2" w:rsidRDefault="00A61F7A">
            <w:pPr>
              <w:spacing w:before="180" w:after="0" w:line="330" w:lineRule="atLeast"/>
              <w:jc w:val="left"/>
              <w:rPr>
                <w:b/>
                <w:sz w:val="20"/>
              </w:rPr>
            </w:pPr>
            <w:r w:rsidRPr="004570F2">
              <w:rPr>
                <w:b/>
                <w:sz w:val="20"/>
              </w:rPr>
              <w:t xml:space="preserve">    NWSS</w:t>
            </w:r>
          </w:p>
        </w:tc>
        <w:tc>
          <w:tcPr>
            <w:tcW w:w="720" w:type="pct"/>
            <w:noWrap/>
            <w:hideMark/>
          </w:tcPr>
          <w:p w14:paraId="29A9BD42" w14:textId="77777777" w:rsidR="00A61F7A" w:rsidRPr="004570F2" w:rsidRDefault="00A61F7A">
            <w:pPr>
              <w:spacing w:before="180" w:after="0" w:line="330" w:lineRule="atLeast"/>
              <w:rPr>
                <w:sz w:val="20"/>
              </w:rPr>
            </w:pPr>
            <w:r w:rsidRPr="004570F2">
              <w:rPr>
                <w:sz w:val="20"/>
              </w:rPr>
              <w:t> </w:t>
            </w:r>
          </w:p>
        </w:tc>
        <w:tc>
          <w:tcPr>
            <w:tcW w:w="1061" w:type="pct"/>
          </w:tcPr>
          <w:p w14:paraId="6FCE5BCC" w14:textId="77777777" w:rsidR="00A61F7A" w:rsidRPr="004570F2" w:rsidRDefault="00A61F7A">
            <w:pPr>
              <w:spacing w:before="180" w:after="0" w:line="330" w:lineRule="atLeast"/>
              <w:rPr>
                <w:sz w:val="20"/>
              </w:rPr>
            </w:pPr>
          </w:p>
        </w:tc>
        <w:tc>
          <w:tcPr>
            <w:tcW w:w="1086" w:type="pct"/>
          </w:tcPr>
          <w:p w14:paraId="5AA4A49B" w14:textId="77777777" w:rsidR="00A61F7A" w:rsidRPr="004570F2" w:rsidRDefault="00A61F7A">
            <w:pPr>
              <w:spacing w:before="180" w:after="0" w:line="330" w:lineRule="atLeast"/>
              <w:rPr>
                <w:sz w:val="20"/>
              </w:rPr>
            </w:pPr>
          </w:p>
        </w:tc>
      </w:tr>
      <w:tr w:rsidR="00A61F7A" w:rsidRPr="006C6A95" w14:paraId="3C60FCEE" w14:textId="77777777" w:rsidTr="004570F2">
        <w:trPr>
          <w:trHeight w:val="283"/>
        </w:trPr>
        <w:tc>
          <w:tcPr>
            <w:tcW w:w="2134" w:type="pct"/>
            <w:hideMark/>
          </w:tcPr>
          <w:p w14:paraId="6AFC57BE" w14:textId="77777777" w:rsidR="00A61F7A" w:rsidRPr="004570F2" w:rsidRDefault="00A61F7A">
            <w:pPr>
              <w:spacing w:before="180" w:after="0" w:line="330" w:lineRule="atLeast"/>
              <w:jc w:val="left"/>
              <w:rPr>
                <w:b/>
                <w:sz w:val="20"/>
              </w:rPr>
            </w:pPr>
            <w:r w:rsidRPr="004570F2">
              <w:rPr>
                <w:b/>
                <w:sz w:val="20"/>
              </w:rPr>
              <w:t xml:space="preserve">         Number of municipal sites in mature system</w:t>
            </w:r>
          </w:p>
        </w:tc>
        <w:tc>
          <w:tcPr>
            <w:tcW w:w="720" w:type="pct"/>
            <w:noWrap/>
            <w:hideMark/>
          </w:tcPr>
          <w:p w14:paraId="6DBF151F" w14:textId="77777777" w:rsidR="00A61F7A" w:rsidRPr="004570F2" w:rsidRDefault="00A61F7A">
            <w:pPr>
              <w:spacing w:before="180" w:after="0" w:line="330" w:lineRule="atLeast"/>
              <w:jc w:val="center"/>
              <w:rPr>
                <w:sz w:val="20"/>
              </w:rPr>
            </w:pPr>
            <w:r w:rsidRPr="004570F2">
              <w:rPr>
                <w:sz w:val="20"/>
              </w:rPr>
              <w:t>5</w:t>
            </w:r>
          </w:p>
        </w:tc>
        <w:tc>
          <w:tcPr>
            <w:tcW w:w="1061" w:type="pct"/>
          </w:tcPr>
          <w:p w14:paraId="569A4544" w14:textId="77777777" w:rsidR="00A61F7A" w:rsidRPr="004570F2" w:rsidRDefault="00A61F7A">
            <w:pPr>
              <w:spacing w:before="180" w:after="0" w:line="330" w:lineRule="atLeast"/>
              <w:jc w:val="center"/>
              <w:rPr>
                <w:sz w:val="20"/>
              </w:rPr>
            </w:pPr>
            <w:r w:rsidRPr="004570F2">
              <w:rPr>
                <w:sz w:val="20"/>
              </w:rPr>
              <w:t>5</w:t>
            </w:r>
          </w:p>
        </w:tc>
        <w:tc>
          <w:tcPr>
            <w:tcW w:w="1086" w:type="pct"/>
          </w:tcPr>
          <w:p w14:paraId="7760170B" w14:textId="77777777" w:rsidR="00A61F7A" w:rsidRPr="004570F2" w:rsidRDefault="00A61F7A">
            <w:pPr>
              <w:spacing w:before="180" w:after="0" w:line="330" w:lineRule="atLeast"/>
              <w:jc w:val="center"/>
              <w:rPr>
                <w:sz w:val="20"/>
              </w:rPr>
            </w:pPr>
            <w:r w:rsidRPr="004570F2">
              <w:rPr>
                <w:sz w:val="20"/>
              </w:rPr>
              <w:t>10</w:t>
            </w:r>
          </w:p>
        </w:tc>
      </w:tr>
      <w:tr w:rsidR="00A61F7A" w:rsidRPr="006C6A95" w14:paraId="0EBF2213" w14:textId="77777777" w:rsidTr="004570F2">
        <w:trPr>
          <w:trHeight w:val="361"/>
        </w:trPr>
        <w:tc>
          <w:tcPr>
            <w:tcW w:w="2134" w:type="pct"/>
            <w:hideMark/>
          </w:tcPr>
          <w:p w14:paraId="6FD3FAB8" w14:textId="77777777" w:rsidR="00A61F7A" w:rsidRPr="004570F2" w:rsidRDefault="00A61F7A">
            <w:pPr>
              <w:spacing w:before="180" w:after="0" w:line="330" w:lineRule="atLeast"/>
              <w:jc w:val="left"/>
              <w:rPr>
                <w:b/>
                <w:sz w:val="20"/>
              </w:rPr>
            </w:pPr>
            <w:r w:rsidRPr="004570F2">
              <w:rPr>
                <w:b/>
                <w:sz w:val="20"/>
              </w:rPr>
              <w:t xml:space="preserve">    TGS</w:t>
            </w:r>
          </w:p>
        </w:tc>
        <w:tc>
          <w:tcPr>
            <w:tcW w:w="720" w:type="pct"/>
            <w:noWrap/>
            <w:hideMark/>
          </w:tcPr>
          <w:p w14:paraId="324650E4" w14:textId="77777777" w:rsidR="00A61F7A" w:rsidRPr="004570F2" w:rsidRDefault="00A61F7A">
            <w:pPr>
              <w:spacing w:before="180" w:after="0" w:line="330" w:lineRule="atLeast"/>
              <w:rPr>
                <w:sz w:val="20"/>
              </w:rPr>
            </w:pPr>
          </w:p>
        </w:tc>
        <w:tc>
          <w:tcPr>
            <w:tcW w:w="1061" w:type="pct"/>
          </w:tcPr>
          <w:p w14:paraId="4E9A11F8" w14:textId="77777777" w:rsidR="00A61F7A" w:rsidRPr="004570F2" w:rsidRDefault="00A61F7A">
            <w:pPr>
              <w:spacing w:before="180" w:after="0" w:line="330" w:lineRule="atLeast"/>
              <w:rPr>
                <w:sz w:val="20"/>
              </w:rPr>
            </w:pPr>
          </w:p>
        </w:tc>
        <w:tc>
          <w:tcPr>
            <w:tcW w:w="1086" w:type="pct"/>
          </w:tcPr>
          <w:p w14:paraId="07B03A74" w14:textId="77777777" w:rsidR="00A61F7A" w:rsidRPr="004570F2" w:rsidRDefault="00A61F7A">
            <w:pPr>
              <w:spacing w:before="180" w:after="0" w:line="330" w:lineRule="atLeast"/>
              <w:rPr>
                <w:sz w:val="20"/>
              </w:rPr>
            </w:pPr>
          </w:p>
        </w:tc>
      </w:tr>
      <w:tr w:rsidR="00A61F7A" w:rsidRPr="006C6A95" w14:paraId="03405335" w14:textId="77777777" w:rsidTr="004570F2">
        <w:trPr>
          <w:trHeight w:val="283"/>
        </w:trPr>
        <w:tc>
          <w:tcPr>
            <w:tcW w:w="2134" w:type="pct"/>
            <w:hideMark/>
          </w:tcPr>
          <w:p w14:paraId="558AF3A4" w14:textId="77777777" w:rsidR="00A61F7A" w:rsidRPr="004570F2" w:rsidRDefault="00A61F7A">
            <w:pPr>
              <w:spacing w:before="180" w:after="0" w:line="330" w:lineRule="atLeast"/>
              <w:jc w:val="left"/>
              <w:rPr>
                <w:b/>
                <w:sz w:val="20"/>
              </w:rPr>
            </w:pPr>
            <w:r w:rsidRPr="004570F2">
              <w:rPr>
                <w:b/>
                <w:sz w:val="20"/>
              </w:rPr>
              <w:t xml:space="preserve">         SWABS</w:t>
            </w:r>
          </w:p>
        </w:tc>
        <w:tc>
          <w:tcPr>
            <w:tcW w:w="720" w:type="pct"/>
            <w:noWrap/>
            <w:hideMark/>
          </w:tcPr>
          <w:p w14:paraId="4EB1B205" w14:textId="77777777" w:rsidR="00A61F7A" w:rsidRPr="004570F2" w:rsidRDefault="00A61F7A">
            <w:pPr>
              <w:spacing w:before="180" w:after="0" w:line="330" w:lineRule="atLeast"/>
              <w:rPr>
                <w:sz w:val="20"/>
              </w:rPr>
            </w:pPr>
          </w:p>
        </w:tc>
        <w:tc>
          <w:tcPr>
            <w:tcW w:w="1061" w:type="pct"/>
          </w:tcPr>
          <w:p w14:paraId="120742AF" w14:textId="77777777" w:rsidR="00A61F7A" w:rsidRPr="004570F2" w:rsidRDefault="00A61F7A">
            <w:pPr>
              <w:spacing w:before="180" w:after="0" w:line="330" w:lineRule="atLeast"/>
              <w:rPr>
                <w:sz w:val="20"/>
              </w:rPr>
            </w:pPr>
          </w:p>
        </w:tc>
        <w:tc>
          <w:tcPr>
            <w:tcW w:w="1086" w:type="pct"/>
          </w:tcPr>
          <w:p w14:paraId="3B95F763" w14:textId="77777777" w:rsidR="00A61F7A" w:rsidRPr="004570F2" w:rsidRDefault="00A61F7A">
            <w:pPr>
              <w:spacing w:before="180" w:after="0" w:line="330" w:lineRule="atLeast"/>
              <w:rPr>
                <w:sz w:val="20"/>
              </w:rPr>
            </w:pPr>
          </w:p>
        </w:tc>
      </w:tr>
      <w:tr w:rsidR="00A61F7A" w:rsidRPr="006C6A95" w14:paraId="3D0EC69F" w14:textId="77777777" w:rsidTr="004570F2">
        <w:trPr>
          <w:trHeight w:val="283"/>
        </w:trPr>
        <w:tc>
          <w:tcPr>
            <w:tcW w:w="2134" w:type="pct"/>
            <w:hideMark/>
          </w:tcPr>
          <w:p w14:paraId="55C4BB3F" w14:textId="77777777" w:rsidR="00A61F7A" w:rsidRPr="004570F2" w:rsidRDefault="00A61F7A">
            <w:pPr>
              <w:spacing w:before="180" w:after="0" w:line="330" w:lineRule="atLeast"/>
              <w:jc w:val="left"/>
              <w:rPr>
                <w:b/>
                <w:sz w:val="20"/>
              </w:rPr>
            </w:pPr>
            <w:r w:rsidRPr="004570F2">
              <w:rPr>
                <w:b/>
                <w:sz w:val="20"/>
              </w:rPr>
              <w:t xml:space="preserve">              Number of swab airports</w:t>
            </w:r>
          </w:p>
        </w:tc>
        <w:tc>
          <w:tcPr>
            <w:tcW w:w="720" w:type="pct"/>
            <w:noWrap/>
            <w:hideMark/>
          </w:tcPr>
          <w:p w14:paraId="7750330E" w14:textId="77777777" w:rsidR="00A61F7A" w:rsidRPr="004570F2" w:rsidRDefault="00A61F7A">
            <w:pPr>
              <w:spacing w:before="180" w:after="0" w:line="330" w:lineRule="atLeast"/>
              <w:jc w:val="center"/>
              <w:rPr>
                <w:sz w:val="20"/>
              </w:rPr>
            </w:pPr>
            <w:r w:rsidRPr="004570F2">
              <w:rPr>
                <w:sz w:val="20"/>
              </w:rPr>
              <w:t>13</w:t>
            </w:r>
          </w:p>
        </w:tc>
        <w:tc>
          <w:tcPr>
            <w:tcW w:w="1061" w:type="pct"/>
          </w:tcPr>
          <w:p w14:paraId="5AC3A8C1" w14:textId="77777777" w:rsidR="00A61F7A" w:rsidRPr="004570F2" w:rsidRDefault="00A61F7A">
            <w:pPr>
              <w:spacing w:before="180" w:after="0" w:line="330" w:lineRule="atLeast"/>
              <w:jc w:val="center"/>
              <w:rPr>
                <w:sz w:val="20"/>
              </w:rPr>
            </w:pPr>
            <w:r w:rsidRPr="004570F2">
              <w:rPr>
                <w:sz w:val="20"/>
              </w:rPr>
              <w:t>16</w:t>
            </w:r>
          </w:p>
        </w:tc>
        <w:tc>
          <w:tcPr>
            <w:tcW w:w="1086" w:type="pct"/>
          </w:tcPr>
          <w:p w14:paraId="1F2DD9F1" w14:textId="77777777" w:rsidR="00A61F7A" w:rsidRPr="004570F2" w:rsidRDefault="00A61F7A">
            <w:pPr>
              <w:spacing w:before="180" w:after="0" w:line="330" w:lineRule="atLeast"/>
              <w:jc w:val="center"/>
              <w:rPr>
                <w:sz w:val="20"/>
              </w:rPr>
            </w:pPr>
            <w:r w:rsidRPr="004570F2">
              <w:rPr>
                <w:sz w:val="20"/>
              </w:rPr>
              <w:t>20</w:t>
            </w:r>
          </w:p>
        </w:tc>
      </w:tr>
      <w:tr w:rsidR="00A61F7A" w:rsidRPr="006C6A95" w14:paraId="4B615DA8" w14:textId="77777777" w:rsidTr="004570F2">
        <w:trPr>
          <w:trHeight w:val="283"/>
        </w:trPr>
        <w:tc>
          <w:tcPr>
            <w:tcW w:w="2134" w:type="pct"/>
            <w:hideMark/>
          </w:tcPr>
          <w:p w14:paraId="7AE693F4" w14:textId="77777777" w:rsidR="00A61F7A" w:rsidRPr="004570F2" w:rsidRDefault="00A61F7A">
            <w:pPr>
              <w:spacing w:before="180" w:after="0" w:line="330" w:lineRule="atLeast"/>
              <w:jc w:val="left"/>
              <w:rPr>
                <w:b/>
                <w:sz w:val="20"/>
              </w:rPr>
            </w:pPr>
            <w:r w:rsidRPr="004570F2">
              <w:rPr>
                <w:b/>
                <w:sz w:val="20"/>
              </w:rPr>
              <w:t xml:space="preserve">              Daily swabs per airport</w:t>
            </w:r>
          </w:p>
        </w:tc>
        <w:tc>
          <w:tcPr>
            <w:tcW w:w="720" w:type="pct"/>
            <w:noWrap/>
            <w:hideMark/>
          </w:tcPr>
          <w:p w14:paraId="7AC701CE" w14:textId="77777777" w:rsidR="00A61F7A" w:rsidRPr="004570F2" w:rsidRDefault="00A61F7A">
            <w:pPr>
              <w:spacing w:before="180" w:after="0" w:line="330" w:lineRule="atLeast"/>
              <w:jc w:val="center"/>
              <w:rPr>
                <w:sz w:val="20"/>
              </w:rPr>
            </w:pPr>
            <w:r w:rsidRPr="004570F2">
              <w:rPr>
                <w:sz w:val="20"/>
              </w:rPr>
              <w:t>400</w:t>
            </w:r>
          </w:p>
        </w:tc>
        <w:tc>
          <w:tcPr>
            <w:tcW w:w="1061" w:type="pct"/>
          </w:tcPr>
          <w:p w14:paraId="3F9D39F1" w14:textId="77777777" w:rsidR="00A61F7A" w:rsidRPr="004570F2" w:rsidRDefault="00A61F7A">
            <w:pPr>
              <w:spacing w:before="180" w:after="0" w:line="330" w:lineRule="atLeast"/>
              <w:jc w:val="center"/>
              <w:rPr>
                <w:sz w:val="20"/>
              </w:rPr>
            </w:pPr>
            <w:r w:rsidRPr="004570F2">
              <w:rPr>
                <w:sz w:val="20"/>
              </w:rPr>
              <w:t>400</w:t>
            </w:r>
          </w:p>
        </w:tc>
        <w:tc>
          <w:tcPr>
            <w:tcW w:w="1086" w:type="pct"/>
          </w:tcPr>
          <w:p w14:paraId="0DC4A101" w14:textId="77777777" w:rsidR="00A61F7A" w:rsidRPr="004570F2" w:rsidRDefault="00A61F7A">
            <w:pPr>
              <w:spacing w:before="180" w:after="0" w:line="330" w:lineRule="atLeast"/>
              <w:jc w:val="center"/>
              <w:rPr>
                <w:sz w:val="20"/>
              </w:rPr>
            </w:pPr>
            <w:r w:rsidRPr="004570F2">
              <w:rPr>
                <w:sz w:val="20"/>
              </w:rPr>
              <w:t>0</w:t>
            </w:r>
          </w:p>
        </w:tc>
      </w:tr>
      <w:tr w:rsidR="00A61F7A" w:rsidRPr="006C6A95" w14:paraId="7BBB0688" w14:textId="77777777" w:rsidTr="004570F2">
        <w:trPr>
          <w:trHeight w:val="283"/>
        </w:trPr>
        <w:tc>
          <w:tcPr>
            <w:tcW w:w="2134" w:type="pct"/>
            <w:hideMark/>
          </w:tcPr>
          <w:p w14:paraId="7152DC02" w14:textId="77777777" w:rsidR="00A61F7A" w:rsidRPr="004570F2" w:rsidRDefault="00A61F7A">
            <w:pPr>
              <w:spacing w:before="180" w:after="0" w:line="330" w:lineRule="atLeast"/>
              <w:jc w:val="left"/>
              <w:rPr>
                <w:b/>
                <w:sz w:val="20"/>
              </w:rPr>
            </w:pPr>
            <w:r w:rsidRPr="004570F2">
              <w:rPr>
                <w:b/>
                <w:sz w:val="20"/>
              </w:rPr>
              <w:t xml:space="preserve">         TRITURATORS</w:t>
            </w:r>
          </w:p>
        </w:tc>
        <w:tc>
          <w:tcPr>
            <w:tcW w:w="720" w:type="pct"/>
            <w:noWrap/>
            <w:hideMark/>
          </w:tcPr>
          <w:p w14:paraId="12CF1ABC" w14:textId="77777777" w:rsidR="00A61F7A" w:rsidRPr="004570F2" w:rsidRDefault="00A61F7A">
            <w:pPr>
              <w:spacing w:before="180" w:after="0" w:line="330" w:lineRule="atLeast"/>
              <w:rPr>
                <w:sz w:val="20"/>
              </w:rPr>
            </w:pPr>
          </w:p>
        </w:tc>
        <w:tc>
          <w:tcPr>
            <w:tcW w:w="1061" w:type="pct"/>
          </w:tcPr>
          <w:p w14:paraId="2E416841" w14:textId="77777777" w:rsidR="00A61F7A" w:rsidRPr="004570F2" w:rsidRDefault="00A61F7A">
            <w:pPr>
              <w:spacing w:before="180" w:after="0" w:line="330" w:lineRule="atLeast"/>
              <w:rPr>
                <w:sz w:val="20"/>
              </w:rPr>
            </w:pPr>
          </w:p>
        </w:tc>
        <w:tc>
          <w:tcPr>
            <w:tcW w:w="1086" w:type="pct"/>
          </w:tcPr>
          <w:p w14:paraId="1E4943CE" w14:textId="77777777" w:rsidR="00A61F7A" w:rsidRPr="004570F2" w:rsidRDefault="00A61F7A">
            <w:pPr>
              <w:spacing w:before="180" w:after="0" w:line="330" w:lineRule="atLeast"/>
              <w:rPr>
                <w:sz w:val="20"/>
              </w:rPr>
            </w:pPr>
          </w:p>
        </w:tc>
      </w:tr>
      <w:tr w:rsidR="00A61F7A" w:rsidRPr="006C6A95" w14:paraId="5CE6A194" w14:textId="77777777" w:rsidTr="004570F2">
        <w:trPr>
          <w:trHeight w:val="283"/>
        </w:trPr>
        <w:tc>
          <w:tcPr>
            <w:tcW w:w="2134" w:type="pct"/>
            <w:hideMark/>
          </w:tcPr>
          <w:p w14:paraId="50F6814C" w14:textId="77777777" w:rsidR="00A61F7A" w:rsidRPr="004570F2" w:rsidRDefault="00A61F7A">
            <w:pPr>
              <w:spacing w:before="180" w:after="0" w:line="330" w:lineRule="atLeast"/>
              <w:jc w:val="left"/>
              <w:rPr>
                <w:b/>
                <w:sz w:val="20"/>
              </w:rPr>
            </w:pPr>
            <w:r w:rsidRPr="004570F2">
              <w:rPr>
                <w:b/>
                <w:sz w:val="20"/>
              </w:rPr>
              <w:t xml:space="preserve">              Number of total triturator airports</w:t>
            </w:r>
          </w:p>
        </w:tc>
        <w:tc>
          <w:tcPr>
            <w:tcW w:w="720" w:type="pct"/>
            <w:noWrap/>
            <w:hideMark/>
          </w:tcPr>
          <w:p w14:paraId="1BCB1E0C" w14:textId="77777777" w:rsidR="00A61F7A" w:rsidRPr="004570F2" w:rsidRDefault="00A61F7A">
            <w:pPr>
              <w:spacing w:before="180" w:after="0" w:line="330" w:lineRule="atLeast"/>
              <w:jc w:val="center"/>
              <w:rPr>
                <w:sz w:val="20"/>
              </w:rPr>
            </w:pPr>
            <w:r w:rsidRPr="004570F2">
              <w:rPr>
                <w:sz w:val="20"/>
              </w:rPr>
              <w:t>13</w:t>
            </w:r>
          </w:p>
        </w:tc>
        <w:tc>
          <w:tcPr>
            <w:tcW w:w="1061" w:type="pct"/>
          </w:tcPr>
          <w:p w14:paraId="5A4C793E" w14:textId="77777777" w:rsidR="00A61F7A" w:rsidRPr="004570F2" w:rsidRDefault="00A61F7A">
            <w:pPr>
              <w:spacing w:before="180" w:after="0" w:line="330" w:lineRule="atLeast"/>
              <w:jc w:val="center"/>
              <w:rPr>
                <w:sz w:val="20"/>
              </w:rPr>
            </w:pPr>
            <w:r w:rsidRPr="004570F2">
              <w:rPr>
                <w:sz w:val="20"/>
              </w:rPr>
              <w:t>16</w:t>
            </w:r>
          </w:p>
        </w:tc>
        <w:tc>
          <w:tcPr>
            <w:tcW w:w="1086" w:type="pct"/>
          </w:tcPr>
          <w:p w14:paraId="42D412EB" w14:textId="77777777" w:rsidR="00A61F7A" w:rsidRPr="004570F2" w:rsidRDefault="00A61F7A">
            <w:pPr>
              <w:spacing w:before="180" w:after="0" w:line="330" w:lineRule="atLeast"/>
              <w:jc w:val="center"/>
              <w:rPr>
                <w:sz w:val="20"/>
              </w:rPr>
            </w:pPr>
            <w:r w:rsidRPr="004570F2">
              <w:rPr>
                <w:sz w:val="20"/>
              </w:rPr>
              <w:t>20</w:t>
            </w:r>
          </w:p>
        </w:tc>
      </w:tr>
      <w:tr w:rsidR="00A61F7A" w:rsidRPr="006C6A95" w14:paraId="777D936D" w14:textId="77777777" w:rsidTr="004570F2">
        <w:trPr>
          <w:trHeight w:val="283"/>
        </w:trPr>
        <w:tc>
          <w:tcPr>
            <w:tcW w:w="2134" w:type="pct"/>
            <w:hideMark/>
          </w:tcPr>
          <w:p w14:paraId="16D18D4D" w14:textId="77777777" w:rsidR="00A61F7A" w:rsidRPr="004570F2" w:rsidRDefault="00A61F7A">
            <w:pPr>
              <w:spacing w:before="180" w:after="0" w:line="330" w:lineRule="atLeast"/>
              <w:jc w:val="left"/>
              <w:rPr>
                <w:b/>
                <w:sz w:val="20"/>
              </w:rPr>
            </w:pPr>
            <w:r w:rsidRPr="004570F2">
              <w:rPr>
                <w:b/>
                <w:sz w:val="20"/>
              </w:rPr>
              <w:t xml:space="preserve">              Of these, number of new triturator airports</w:t>
            </w:r>
          </w:p>
        </w:tc>
        <w:tc>
          <w:tcPr>
            <w:tcW w:w="720" w:type="pct"/>
            <w:noWrap/>
            <w:hideMark/>
          </w:tcPr>
          <w:p w14:paraId="002670FC" w14:textId="77777777" w:rsidR="00A61F7A" w:rsidRPr="004570F2" w:rsidRDefault="00A61F7A">
            <w:pPr>
              <w:spacing w:before="180" w:after="0" w:line="330" w:lineRule="atLeast"/>
              <w:jc w:val="center"/>
              <w:rPr>
                <w:sz w:val="20"/>
              </w:rPr>
            </w:pPr>
            <w:r w:rsidRPr="004570F2">
              <w:rPr>
                <w:sz w:val="20"/>
              </w:rPr>
              <w:t>10</w:t>
            </w:r>
          </w:p>
        </w:tc>
        <w:tc>
          <w:tcPr>
            <w:tcW w:w="1061" w:type="pct"/>
          </w:tcPr>
          <w:p w14:paraId="5DC914E3" w14:textId="77777777" w:rsidR="00A61F7A" w:rsidRPr="004570F2" w:rsidRDefault="00A61F7A">
            <w:pPr>
              <w:spacing w:before="180" w:after="0" w:line="330" w:lineRule="atLeast"/>
              <w:jc w:val="center"/>
              <w:rPr>
                <w:sz w:val="20"/>
              </w:rPr>
            </w:pPr>
            <w:r w:rsidRPr="004570F2">
              <w:rPr>
                <w:sz w:val="20"/>
              </w:rPr>
              <w:t>16</w:t>
            </w:r>
          </w:p>
        </w:tc>
        <w:tc>
          <w:tcPr>
            <w:tcW w:w="1086" w:type="pct"/>
          </w:tcPr>
          <w:p w14:paraId="06334227" w14:textId="77777777" w:rsidR="00A61F7A" w:rsidRPr="004570F2" w:rsidRDefault="00A61F7A">
            <w:pPr>
              <w:spacing w:before="180" w:after="0" w:line="330" w:lineRule="atLeast"/>
              <w:jc w:val="center"/>
              <w:rPr>
                <w:sz w:val="20"/>
              </w:rPr>
            </w:pPr>
            <w:r w:rsidRPr="004570F2">
              <w:rPr>
                <w:sz w:val="20"/>
              </w:rPr>
              <w:t>20</w:t>
            </w:r>
          </w:p>
        </w:tc>
      </w:tr>
      <w:tr w:rsidR="00A61F7A" w:rsidRPr="006C6A95" w14:paraId="75F49205" w14:textId="77777777" w:rsidTr="004570F2">
        <w:trPr>
          <w:trHeight w:val="283"/>
        </w:trPr>
        <w:tc>
          <w:tcPr>
            <w:tcW w:w="2134" w:type="pct"/>
            <w:hideMark/>
          </w:tcPr>
          <w:p w14:paraId="278DC4D2" w14:textId="77777777" w:rsidR="00A61F7A" w:rsidRPr="004570F2" w:rsidRDefault="00A61F7A">
            <w:pPr>
              <w:spacing w:before="180" w:after="0" w:line="330" w:lineRule="atLeast"/>
              <w:jc w:val="left"/>
              <w:rPr>
                <w:b/>
                <w:sz w:val="20"/>
              </w:rPr>
            </w:pPr>
            <w:r w:rsidRPr="004570F2">
              <w:rPr>
                <w:b/>
                <w:sz w:val="20"/>
              </w:rPr>
              <w:t xml:space="preserve">              Individuals contributing to each triturator</w:t>
            </w:r>
          </w:p>
        </w:tc>
        <w:tc>
          <w:tcPr>
            <w:tcW w:w="720" w:type="pct"/>
            <w:noWrap/>
            <w:hideMark/>
          </w:tcPr>
          <w:p w14:paraId="04C46876" w14:textId="77777777" w:rsidR="00A61F7A" w:rsidRPr="004570F2" w:rsidRDefault="00A61F7A">
            <w:pPr>
              <w:spacing w:before="180" w:after="0" w:line="330" w:lineRule="atLeast"/>
              <w:jc w:val="center"/>
              <w:rPr>
                <w:sz w:val="20"/>
              </w:rPr>
            </w:pPr>
            <w:r w:rsidRPr="004570F2">
              <w:rPr>
                <w:sz w:val="20"/>
              </w:rPr>
              <w:t>7,500</w:t>
            </w:r>
          </w:p>
        </w:tc>
        <w:tc>
          <w:tcPr>
            <w:tcW w:w="1061" w:type="pct"/>
          </w:tcPr>
          <w:p w14:paraId="7DE824DF" w14:textId="77777777" w:rsidR="00A61F7A" w:rsidRPr="004570F2" w:rsidRDefault="00A61F7A">
            <w:pPr>
              <w:spacing w:before="180" w:after="0" w:line="330" w:lineRule="atLeast"/>
              <w:jc w:val="center"/>
              <w:rPr>
                <w:sz w:val="20"/>
              </w:rPr>
            </w:pPr>
            <w:r w:rsidRPr="004570F2">
              <w:rPr>
                <w:sz w:val="20"/>
              </w:rPr>
              <w:t>7,500</w:t>
            </w:r>
          </w:p>
        </w:tc>
        <w:tc>
          <w:tcPr>
            <w:tcW w:w="1086" w:type="pct"/>
          </w:tcPr>
          <w:p w14:paraId="4DDB6D15" w14:textId="77777777" w:rsidR="00A61F7A" w:rsidRPr="004570F2" w:rsidRDefault="00A61F7A">
            <w:pPr>
              <w:spacing w:before="180" w:after="0" w:line="330" w:lineRule="atLeast"/>
              <w:jc w:val="center"/>
              <w:rPr>
                <w:sz w:val="20"/>
              </w:rPr>
            </w:pPr>
            <w:r w:rsidRPr="004570F2">
              <w:rPr>
                <w:sz w:val="20"/>
              </w:rPr>
              <w:t>7,500</w:t>
            </w:r>
          </w:p>
        </w:tc>
      </w:tr>
      <w:tr w:rsidR="00A61F7A" w:rsidRPr="006C6A95" w14:paraId="77FAC224" w14:textId="77777777" w:rsidTr="004570F2">
        <w:trPr>
          <w:trHeight w:val="283"/>
        </w:trPr>
        <w:tc>
          <w:tcPr>
            <w:tcW w:w="2134" w:type="pct"/>
            <w:hideMark/>
          </w:tcPr>
          <w:p w14:paraId="4292D063" w14:textId="77777777" w:rsidR="00A61F7A" w:rsidRPr="004570F2" w:rsidRDefault="00A61F7A">
            <w:pPr>
              <w:spacing w:before="180" w:after="0" w:line="330" w:lineRule="atLeast"/>
              <w:jc w:val="left"/>
              <w:rPr>
                <w:b/>
                <w:sz w:val="20"/>
              </w:rPr>
            </w:pPr>
            <w:r w:rsidRPr="004570F2">
              <w:rPr>
                <w:b/>
                <w:sz w:val="20"/>
              </w:rPr>
              <w:t xml:space="preserve">         INDIVIDUAL PLANES</w:t>
            </w:r>
          </w:p>
        </w:tc>
        <w:tc>
          <w:tcPr>
            <w:tcW w:w="720" w:type="pct"/>
            <w:noWrap/>
            <w:hideMark/>
          </w:tcPr>
          <w:p w14:paraId="15514880" w14:textId="77777777" w:rsidR="00A61F7A" w:rsidRPr="004570F2" w:rsidRDefault="00A61F7A">
            <w:pPr>
              <w:spacing w:before="180" w:after="0" w:line="330" w:lineRule="atLeast"/>
              <w:rPr>
                <w:sz w:val="20"/>
              </w:rPr>
            </w:pPr>
          </w:p>
        </w:tc>
        <w:tc>
          <w:tcPr>
            <w:tcW w:w="1061" w:type="pct"/>
          </w:tcPr>
          <w:p w14:paraId="6A570481" w14:textId="77777777" w:rsidR="00A61F7A" w:rsidRPr="004570F2" w:rsidRDefault="00A61F7A">
            <w:pPr>
              <w:spacing w:before="180" w:after="0" w:line="330" w:lineRule="atLeast"/>
              <w:rPr>
                <w:sz w:val="20"/>
              </w:rPr>
            </w:pPr>
          </w:p>
        </w:tc>
        <w:tc>
          <w:tcPr>
            <w:tcW w:w="1086" w:type="pct"/>
          </w:tcPr>
          <w:p w14:paraId="2754B6EF" w14:textId="77777777" w:rsidR="00A61F7A" w:rsidRPr="004570F2" w:rsidRDefault="00A61F7A">
            <w:pPr>
              <w:spacing w:before="180" w:after="0" w:line="330" w:lineRule="atLeast"/>
              <w:rPr>
                <w:sz w:val="20"/>
              </w:rPr>
            </w:pPr>
          </w:p>
        </w:tc>
      </w:tr>
      <w:tr w:rsidR="00A61F7A" w:rsidRPr="006C6A95" w14:paraId="11FC25BC" w14:textId="77777777" w:rsidTr="004570F2">
        <w:trPr>
          <w:trHeight w:val="283"/>
        </w:trPr>
        <w:tc>
          <w:tcPr>
            <w:tcW w:w="2134" w:type="pct"/>
            <w:hideMark/>
          </w:tcPr>
          <w:p w14:paraId="69F6DEAE" w14:textId="77777777" w:rsidR="00A61F7A" w:rsidRPr="004570F2" w:rsidRDefault="00A61F7A">
            <w:pPr>
              <w:spacing w:before="180" w:after="0" w:line="330" w:lineRule="atLeast"/>
              <w:jc w:val="left"/>
              <w:rPr>
                <w:b/>
                <w:sz w:val="20"/>
              </w:rPr>
            </w:pPr>
            <w:r w:rsidRPr="004570F2">
              <w:rPr>
                <w:b/>
                <w:sz w:val="20"/>
              </w:rPr>
              <w:lastRenderedPageBreak/>
              <w:t xml:space="preserve">              Number of individual plane airports</w:t>
            </w:r>
          </w:p>
        </w:tc>
        <w:tc>
          <w:tcPr>
            <w:tcW w:w="720" w:type="pct"/>
            <w:noWrap/>
            <w:hideMark/>
          </w:tcPr>
          <w:p w14:paraId="3EC99FF0" w14:textId="77777777" w:rsidR="00A61F7A" w:rsidRPr="004570F2" w:rsidRDefault="00A61F7A">
            <w:pPr>
              <w:spacing w:before="180" w:after="0" w:line="330" w:lineRule="atLeast"/>
              <w:jc w:val="center"/>
              <w:rPr>
                <w:sz w:val="20"/>
              </w:rPr>
            </w:pPr>
            <w:r w:rsidRPr="004570F2">
              <w:rPr>
                <w:sz w:val="20"/>
              </w:rPr>
              <w:t>2</w:t>
            </w:r>
          </w:p>
        </w:tc>
        <w:tc>
          <w:tcPr>
            <w:tcW w:w="1061" w:type="pct"/>
          </w:tcPr>
          <w:p w14:paraId="58099526" w14:textId="77777777" w:rsidR="00A61F7A" w:rsidRPr="004570F2" w:rsidRDefault="00A61F7A">
            <w:pPr>
              <w:spacing w:before="180" w:after="0" w:line="330" w:lineRule="atLeast"/>
              <w:jc w:val="center"/>
              <w:rPr>
                <w:sz w:val="20"/>
              </w:rPr>
            </w:pPr>
            <w:r w:rsidRPr="004570F2">
              <w:rPr>
                <w:sz w:val="20"/>
              </w:rPr>
              <w:t>2</w:t>
            </w:r>
          </w:p>
        </w:tc>
        <w:tc>
          <w:tcPr>
            <w:tcW w:w="1086" w:type="pct"/>
          </w:tcPr>
          <w:p w14:paraId="02ABC047" w14:textId="77777777" w:rsidR="00A61F7A" w:rsidRPr="004570F2" w:rsidRDefault="00A61F7A">
            <w:pPr>
              <w:spacing w:before="180" w:after="0" w:line="330" w:lineRule="atLeast"/>
              <w:jc w:val="center"/>
              <w:rPr>
                <w:sz w:val="20"/>
              </w:rPr>
            </w:pPr>
            <w:r w:rsidRPr="004570F2">
              <w:rPr>
                <w:sz w:val="20"/>
              </w:rPr>
              <w:t>2</w:t>
            </w:r>
          </w:p>
        </w:tc>
      </w:tr>
      <w:tr w:rsidR="00A61F7A" w:rsidRPr="006C6A95" w14:paraId="0456CB14" w14:textId="77777777" w:rsidTr="004570F2">
        <w:trPr>
          <w:trHeight w:val="283"/>
        </w:trPr>
        <w:tc>
          <w:tcPr>
            <w:tcW w:w="2134" w:type="pct"/>
            <w:hideMark/>
          </w:tcPr>
          <w:p w14:paraId="11404AC9" w14:textId="77777777" w:rsidR="00A61F7A" w:rsidRPr="004570F2" w:rsidRDefault="00A61F7A">
            <w:pPr>
              <w:spacing w:before="180" w:after="0" w:line="330" w:lineRule="atLeast"/>
              <w:jc w:val="left"/>
              <w:rPr>
                <w:b/>
                <w:sz w:val="20"/>
              </w:rPr>
            </w:pPr>
            <w:r w:rsidRPr="004570F2">
              <w:rPr>
                <w:b/>
                <w:sz w:val="20"/>
              </w:rPr>
              <w:t xml:space="preserve">              Daily individual planes sampled per site</w:t>
            </w:r>
          </w:p>
        </w:tc>
        <w:tc>
          <w:tcPr>
            <w:tcW w:w="720" w:type="pct"/>
            <w:noWrap/>
            <w:hideMark/>
          </w:tcPr>
          <w:p w14:paraId="6A81AEF3" w14:textId="77777777" w:rsidR="00A61F7A" w:rsidRPr="004570F2" w:rsidRDefault="00A61F7A">
            <w:pPr>
              <w:spacing w:before="180" w:after="0" w:line="330" w:lineRule="atLeast"/>
              <w:jc w:val="center"/>
              <w:rPr>
                <w:sz w:val="20"/>
              </w:rPr>
            </w:pPr>
            <w:r w:rsidRPr="004570F2">
              <w:rPr>
                <w:sz w:val="20"/>
              </w:rPr>
              <w:t>25</w:t>
            </w:r>
          </w:p>
        </w:tc>
        <w:tc>
          <w:tcPr>
            <w:tcW w:w="1061" w:type="pct"/>
          </w:tcPr>
          <w:p w14:paraId="0C218762" w14:textId="77777777" w:rsidR="00A61F7A" w:rsidRPr="004570F2" w:rsidRDefault="00A61F7A">
            <w:pPr>
              <w:spacing w:before="180" w:after="0" w:line="330" w:lineRule="atLeast"/>
              <w:jc w:val="center"/>
              <w:rPr>
                <w:sz w:val="20"/>
              </w:rPr>
            </w:pPr>
            <w:r w:rsidRPr="004570F2">
              <w:rPr>
                <w:sz w:val="20"/>
              </w:rPr>
              <w:t>25</w:t>
            </w:r>
          </w:p>
        </w:tc>
        <w:tc>
          <w:tcPr>
            <w:tcW w:w="1086" w:type="pct"/>
          </w:tcPr>
          <w:p w14:paraId="7D536BAD" w14:textId="77777777" w:rsidR="00A61F7A" w:rsidRPr="004570F2" w:rsidRDefault="00A61F7A">
            <w:pPr>
              <w:spacing w:before="180" w:after="0" w:line="330" w:lineRule="atLeast"/>
              <w:jc w:val="center"/>
              <w:rPr>
                <w:sz w:val="20"/>
              </w:rPr>
            </w:pPr>
            <w:r w:rsidRPr="004570F2">
              <w:rPr>
                <w:sz w:val="20"/>
              </w:rPr>
              <w:t>25</w:t>
            </w:r>
          </w:p>
        </w:tc>
      </w:tr>
      <w:tr w:rsidR="00A61F7A" w:rsidRPr="006C6A95" w14:paraId="7D76B1FE" w14:textId="77777777" w:rsidTr="004570F2">
        <w:trPr>
          <w:trHeight w:val="283"/>
        </w:trPr>
        <w:tc>
          <w:tcPr>
            <w:tcW w:w="2134" w:type="pct"/>
            <w:hideMark/>
          </w:tcPr>
          <w:p w14:paraId="10B9823B" w14:textId="77777777" w:rsidR="00A61F7A" w:rsidRPr="004570F2" w:rsidRDefault="00A61F7A">
            <w:pPr>
              <w:spacing w:before="180" w:after="0" w:line="330" w:lineRule="atLeast"/>
              <w:jc w:val="left"/>
              <w:rPr>
                <w:b/>
                <w:sz w:val="20"/>
              </w:rPr>
            </w:pPr>
            <w:r w:rsidRPr="004570F2">
              <w:rPr>
                <w:b/>
                <w:sz w:val="20"/>
              </w:rPr>
              <w:t xml:space="preserve">    PROCESSING</w:t>
            </w:r>
          </w:p>
        </w:tc>
        <w:tc>
          <w:tcPr>
            <w:tcW w:w="720" w:type="pct"/>
            <w:noWrap/>
            <w:hideMark/>
          </w:tcPr>
          <w:p w14:paraId="37C5BB3F" w14:textId="77777777" w:rsidR="00A61F7A" w:rsidRPr="004570F2" w:rsidRDefault="00A61F7A">
            <w:pPr>
              <w:spacing w:before="180" w:after="0" w:line="330" w:lineRule="atLeast"/>
              <w:rPr>
                <w:sz w:val="20"/>
              </w:rPr>
            </w:pPr>
          </w:p>
        </w:tc>
        <w:tc>
          <w:tcPr>
            <w:tcW w:w="1061" w:type="pct"/>
          </w:tcPr>
          <w:p w14:paraId="37AD2100" w14:textId="77777777" w:rsidR="00A61F7A" w:rsidRPr="004570F2" w:rsidRDefault="00A61F7A">
            <w:pPr>
              <w:spacing w:before="180" w:after="0" w:line="330" w:lineRule="atLeast"/>
              <w:rPr>
                <w:sz w:val="20"/>
              </w:rPr>
            </w:pPr>
          </w:p>
        </w:tc>
        <w:tc>
          <w:tcPr>
            <w:tcW w:w="1086" w:type="pct"/>
          </w:tcPr>
          <w:p w14:paraId="07D7D0EC" w14:textId="77777777" w:rsidR="00A61F7A" w:rsidRPr="004570F2" w:rsidRDefault="00A61F7A">
            <w:pPr>
              <w:spacing w:before="180" w:after="0" w:line="330" w:lineRule="atLeast"/>
              <w:rPr>
                <w:sz w:val="20"/>
              </w:rPr>
            </w:pPr>
          </w:p>
        </w:tc>
      </w:tr>
      <w:tr w:rsidR="00A61F7A" w:rsidRPr="006C6A95" w14:paraId="4B5A0772" w14:textId="77777777" w:rsidTr="004570F2">
        <w:trPr>
          <w:trHeight w:val="283"/>
        </w:trPr>
        <w:tc>
          <w:tcPr>
            <w:tcW w:w="2134" w:type="pct"/>
            <w:hideMark/>
          </w:tcPr>
          <w:p w14:paraId="4D974952" w14:textId="77777777" w:rsidR="00A61F7A" w:rsidRPr="004570F2" w:rsidRDefault="00A61F7A">
            <w:pPr>
              <w:spacing w:before="180" w:after="0" w:line="330" w:lineRule="atLeast"/>
              <w:jc w:val="left"/>
              <w:rPr>
                <w:b/>
                <w:sz w:val="20"/>
              </w:rPr>
            </w:pPr>
            <w:r w:rsidRPr="004570F2">
              <w:rPr>
                <w:b/>
                <w:sz w:val="20"/>
              </w:rPr>
              <w:t xml:space="preserve">          Number of sites</w:t>
            </w:r>
          </w:p>
        </w:tc>
        <w:tc>
          <w:tcPr>
            <w:tcW w:w="720" w:type="pct"/>
            <w:noWrap/>
            <w:hideMark/>
          </w:tcPr>
          <w:p w14:paraId="3FE4A5EE" w14:textId="77777777" w:rsidR="00A61F7A" w:rsidRPr="004570F2" w:rsidRDefault="00A61F7A">
            <w:pPr>
              <w:spacing w:before="180" w:after="0" w:line="330" w:lineRule="atLeast"/>
              <w:jc w:val="center"/>
              <w:rPr>
                <w:sz w:val="20"/>
              </w:rPr>
            </w:pPr>
            <w:r w:rsidRPr="004570F2">
              <w:rPr>
                <w:sz w:val="20"/>
              </w:rPr>
              <w:t>2</w:t>
            </w:r>
          </w:p>
        </w:tc>
        <w:tc>
          <w:tcPr>
            <w:tcW w:w="1061" w:type="pct"/>
          </w:tcPr>
          <w:p w14:paraId="41BE7ED1" w14:textId="77777777" w:rsidR="00A61F7A" w:rsidRPr="004570F2" w:rsidRDefault="00A61F7A">
            <w:pPr>
              <w:spacing w:before="180" w:after="0" w:line="330" w:lineRule="atLeast"/>
              <w:jc w:val="center"/>
              <w:rPr>
                <w:sz w:val="20"/>
              </w:rPr>
            </w:pPr>
            <w:r w:rsidRPr="004570F2">
              <w:rPr>
                <w:sz w:val="20"/>
              </w:rPr>
              <w:t>2</w:t>
            </w:r>
          </w:p>
        </w:tc>
        <w:tc>
          <w:tcPr>
            <w:tcW w:w="1086" w:type="pct"/>
          </w:tcPr>
          <w:p w14:paraId="4413EC38" w14:textId="77777777" w:rsidR="00A61F7A" w:rsidRPr="004570F2" w:rsidRDefault="00A61F7A">
            <w:pPr>
              <w:spacing w:before="180" w:after="0" w:line="330" w:lineRule="atLeast"/>
              <w:jc w:val="center"/>
              <w:rPr>
                <w:sz w:val="20"/>
              </w:rPr>
            </w:pPr>
            <w:r w:rsidRPr="004570F2">
              <w:rPr>
                <w:sz w:val="20"/>
              </w:rPr>
              <w:t>15</w:t>
            </w:r>
          </w:p>
        </w:tc>
      </w:tr>
    </w:tbl>
    <w:p w14:paraId="43E634E2" w14:textId="1998DF62" w:rsidR="00DA1971" w:rsidRPr="004570F2" w:rsidRDefault="00A61F7A" w:rsidP="006B27F9">
      <w:pPr>
        <w:pStyle w:val="Subtitle"/>
        <w:rPr>
          <w:rFonts w:ascii="Times New Roman" w:hAnsi="Times New Roman"/>
          <w:i/>
          <w:sz w:val="18"/>
          <w:lang w:val="fr-FR"/>
        </w:rPr>
      </w:pPr>
      <w:r w:rsidRPr="004570F2">
        <w:rPr>
          <w:rFonts w:ascii="Times New Roman" w:hAnsi="Times New Roman"/>
          <w:i/>
          <w:sz w:val="18"/>
          <w:lang w:val="fr-FR"/>
        </w:rPr>
        <w:t xml:space="preserve">Source: </w:t>
      </w:r>
      <w:hyperlink r:id="rId46" w:history="1">
        <w:r w:rsidRPr="004570F2">
          <w:rPr>
            <w:rStyle w:val="Hyperlink"/>
            <w:rFonts w:ascii="Times New Roman" w:hAnsi="Times New Roman"/>
            <w:i/>
            <w:sz w:val="18"/>
            <w:lang w:val="fr-FR"/>
          </w:rPr>
          <w:t>https://securebio.org/blog/biothreat_radar/</w:t>
        </w:r>
      </w:hyperlink>
      <w:r w:rsidRPr="004570F2">
        <w:rPr>
          <w:rFonts w:ascii="Times New Roman" w:hAnsi="Times New Roman"/>
          <w:i/>
          <w:sz w:val="18"/>
          <w:lang w:val="fr-FR"/>
        </w:rPr>
        <w:t xml:space="preserve"> ; </w:t>
      </w:r>
      <w:hyperlink r:id="rId47" w:anchor="gid=1660342520" w:history="1">
        <w:r w:rsidRPr="004570F2">
          <w:rPr>
            <w:rStyle w:val="Hyperlink"/>
            <w:rFonts w:ascii="Times New Roman" w:hAnsi="Times New Roman"/>
            <w:i/>
            <w:sz w:val="18"/>
            <w:lang w:val="fr-FR"/>
          </w:rPr>
          <w:t>https://docs.google.com/spreadsheets/d/1ay2cFWjGjjnPOTBXqD-X2Kh32R4hAW4GHMUSxZxG_8g/edit?gid=1660342520#gid=1660342520</w:t>
        </w:r>
      </w:hyperlink>
      <w:r w:rsidRPr="004570F2">
        <w:rPr>
          <w:rFonts w:ascii="Times New Roman" w:hAnsi="Times New Roman"/>
          <w:i/>
          <w:sz w:val="18"/>
          <w:lang w:val="fr-FR"/>
        </w:rPr>
        <w:t xml:space="preserve"> </w:t>
      </w:r>
    </w:p>
    <w:p w14:paraId="43915CE2" w14:textId="12FCE267" w:rsidR="00F175BF" w:rsidRPr="00960345" w:rsidRDefault="00F175BF">
      <w:pPr>
        <w:spacing w:after="200" w:line="276" w:lineRule="auto"/>
        <w:jc w:val="left"/>
        <w:rPr>
          <w:lang w:val="fr-BE"/>
        </w:rPr>
      </w:pPr>
    </w:p>
    <w:p w14:paraId="728BEC37" w14:textId="77777777" w:rsidR="00663E97" w:rsidRPr="00F46227" w:rsidRDefault="00663E97">
      <w:pPr>
        <w:spacing w:after="200" w:line="276" w:lineRule="auto"/>
        <w:jc w:val="left"/>
        <w:rPr>
          <w:rFonts w:eastAsia="Times New Roman"/>
          <w:b/>
          <w:smallCaps/>
          <w:sz w:val="32"/>
          <w:szCs w:val="20"/>
          <w:lang w:val="fr-BE"/>
        </w:rPr>
      </w:pPr>
      <w:bookmarkStart w:id="169" w:name="_Toc224898303"/>
      <w:bookmarkStart w:id="170" w:name="_Toc225979109"/>
      <w:r w:rsidRPr="00F46227">
        <w:rPr>
          <w:lang w:val="fr-BE"/>
        </w:rPr>
        <w:br w:type="page"/>
      </w:r>
    </w:p>
    <w:p w14:paraId="420B2FC0" w14:textId="2A17EA80" w:rsidR="00F175BF" w:rsidRDefault="00F175BF" w:rsidP="00B35BA0">
      <w:pPr>
        <w:pStyle w:val="AnnexTitle"/>
      </w:pPr>
      <w:r w:rsidRPr="00DD0CE5">
        <w:lastRenderedPageBreak/>
        <w:t xml:space="preserve">Annex </w:t>
      </w:r>
      <w:r w:rsidR="00665299">
        <w:t>5</w:t>
      </w:r>
      <w:r w:rsidRPr="00DD0CE5">
        <w:t xml:space="preserve">: </w:t>
      </w:r>
      <w:r w:rsidR="00665299">
        <w:t xml:space="preserve">Additional information on </w:t>
      </w:r>
      <w:r w:rsidR="005C1F49">
        <w:t>background on the sector</w:t>
      </w:r>
      <w:r w:rsidR="00C512C3">
        <w:t xml:space="preserve"> and</w:t>
      </w:r>
      <w:r w:rsidR="005C1F49">
        <w:t xml:space="preserve"> problem definition</w:t>
      </w:r>
      <w:bookmarkEnd w:id="169"/>
      <w:bookmarkEnd w:id="170"/>
    </w:p>
    <w:p w14:paraId="35C0D210" w14:textId="6F6AEB49" w:rsidR="00733529" w:rsidRDefault="00733529" w:rsidP="00E5568D">
      <w:pPr>
        <w:pStyle w:val="Heading1"/>
      </w:pPr>
      <w:bookmarkStart w:id="171" w:name="_Toc224747255"/>
      <w:bookmarkStart w:id="172" w:name="_Toc224749725"/>
      <w:bookmarkStart w:id="173" w:name="_Toc225783195"/>
      <w:bookmarkStart w:id="174" w:name="_Toc225969778"/>
      <w:bookmarkStart w:id="175" w:name="_Toc225979110"/>
      <w:r>
        <w:t>Background on the sector</w:t>
      </w:r>
      <w:bookmarkEnd w:id="171"/>
      <w:bookmarkEnd w:id="172"/>
      <w:bookmarkEnd w:id="173"/>
      <w:bookmarkEnd w:id="174"/>
      <w:bookmarkEnd w:id="175"/>
    </w:p>
    <w:p w14:paraId="5F962811" w14:textId="2E006561" w:rsidR="008227DD" w:rsidRPr="00D305C5" w:rsidRDefault="008227DD" w:rsidP="007D2650">
      <w:bookmarkStart w:id="176" w:name="_Ref222478191"/>
      <w:bookmarkStart w:id="177" w:name="_Toc222753727"/>
      <w:r w:rsidRPr="00D658D7">
        <w:rPr>
          <w:b/>
        </w:rPr>
        <w:t>Figure</w:t>
      </w:r>
      <w:r w:rsidR="004405C5" w:rsidRPr="004570F2">
        <w:rPr>
          <w:b/>
        </w:rPr>
        <w:t xml:space="preserve"> </w:t>
      </w:r>
      <w:r w:rsidR="00F12A7E">
        <w:rPr>
          <w:b/>
        </w:rPr>
        <w:t>1.</w:t>
      </w:r>
      <w:bookmarkEnd w:id="176"/>
      <w:r w:rsidR="00C23F88" w:rsidRPr="004570F2">
        <w:rPr>
          <w:b/>
        </w:rPr>
        <w:t xml:space="preserve"> </w:t>
      </w:r>
      <w:r w:rsidRPr="004570F2">
        <w:rPr>
          <w:b/>
        </w:rPr>
        <w:t>Distribution of EU biotech startups across biotechnology domains (founding year ≥2015; active in 2025)</w:t>
      </w:r>
      <w:bookmarkEnd w:id="177"/>
    </w:p>
    <w:p w14:paraId="1E8C0937" w14:textId="77777777" w:rsidR="008227DD" w:rsidRPr="00E168FA" w:rsidRDefault="008227DD" w:rsidP="007D2650">
      <w:r w:rsidRPr="00E168FA">
        <w:rPr>
          <w:noProof/>
        </w:rPr>
        <w:drawing>
          <wp:inline distT="0" distB="0" distL="0" distR="0" wp14:anchorId="273F8854" wp14:editId="46331D88">
            <wp:extent cx="4560002" cy="2736000"/>
            <wp:effectExtent l="0" t="0" r="0" b="0"/>
            <wp:docPr id="123" name="Picture" descr="A screenshot of a colo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descr="A screenshot of a color chart&#10;&#10;AI-generated content may be incorrect."/>
                    <pic:cNvPicPr>
                      <a:picLocks noChangeAspect="1" noChangeArrowheads="1"/>
                    </pic:cNvPicPr>
                  </pic:nvPicPr>
                  <pic:blipFill>
                    <a:blip r:embed="rId48"/>
                    <a:stretch>
                      <a:fillRect/>
                    </a:stretch>
                  </pic:blipFill>
                  <pic:spPr bwMode="auto">
                    <a:xfrm>
                      <a:off x="0" y="0"/>
                      <a:ext cx="4560002" cy="2736000"/>
                    </a:xfrm>
                    <a:prstGeom prst="rect">
                      <a:avLst/>
                    </a:prstGeom>
                    <a:noFill/>
                    <a:ln w="9525">
                      <a:noFill/>
                      <a:headEnd/>
                      <a:tailEnd/>
                    </a:ln>
                  </pic:spPr>
                </pic:pic>
              </a:graphicData>
            </a:graphic>
          </wp:inline>
        </w:drawing>
      </w:r>
    </w:p>
    <w:p w14:paraId="7D4A522D" w14:textId="45779D23" w:rsidR="008227DD" w:rsidRPr="004570F2" w:rsidRDefault="008227DD" w:rsidP="007D2650">
      <w:pPr>
        <w:rPr>
          <w:i/>
        </w:rPr>
      </w:pPr>
      <w:r w:rsidRPr="004570F2">
        <w:rPr>
          <w:b/>
          <w:i/>
        </w:rPr>
        <w:t>Source</w:t>
      </w:r>
      <w:r w:rsidRPr="004570F2">
        <w:rPr>
          <w:i/>
        </w:rPr>
        <w:t>: Technopolis</w:t>
      </w:r>
      <w:r w:rsidR="00B47C7E" w:rsidRPr="004570F2">
        <w:rPr>
          <w:i/>
        </w:rPr>
        <w:t xml:space="preserve"> Group</w:t>
      </w:r>
      <w:r w:rsidR="00E168FA" w:rsidRPr="004570F2">
        <w:rPr>
          <w:i/>
        </w:rPr>
        <w:t xml:space="preserve"> </w:t>
      </w:r>
      <w:r w:rsidRPr="004570F2">
        <w:rPr>
          <w:i/>
        </w:rPr>
        <w:t xml:space="preserve">based on Crunchbase </w:t>
      </w:r>
      <w:r w:rsidR="00B47C7E" w:rsidRPr="004570F2">
        <w:rPr>
          <w:i/>
        </w:rPr>
        <w:t>(Landscape</w:t>
      </w:r>
      <w:r w:rsidR="008A500D" w:rsidRPr="004570F2">
        <w:rPr>
          <w:i/>
        </w:rPr>
        <w:t xml:space="preserve"> analysis</w:t>
      </w:r>
      <w:r w:rsidR="00B47C7E" w:rsidRPr="004570F2">
        <w:rPr>
          <w:i/>
        </w:rPr>
        <w:t xml:space="preserve"> study</w:t>
      </w:r>
      <w:r w:rsidR="00B47C7E" w:rsidRPr="00D658D7">
        <w:rPr>
          <w:i/>
          <w:iCs/>
        </w:rPr>
        <w:t>)</w:t>
      </w:r>
      <w:r w:rsidR="003E7CCE">
        <w:rPr>
          <w:i/>
          <w:iCs/>
        </w:rPr>
        <w:t>.</w:t>
      </w:r>
    </w:p>
    <w:p w14:paraId="1867019D" w14:textId="77777777" w:rsidR="008F2862" w:rsidRPr="00D658D7" w:rsidRDefault="008F2862" w:rsidP="007D2650">
      <w:pPr>
        <w:rPr>
          <w:b/>
        </w:rPr>
      </w:pPr>
    </w:p>
    <w:p w14:paraId="19F0E2EC" w14:textId="18D41232" w:rsidR="006E172E" w:rsidRPr="004570F2" w:rsidRDefault="006E172E" w:rsidP="007D2650">
      <w:pPr>
        <w:rPr>
          <w:b/>
        </w:rPr>
      </w:pPr>
      <w:bookmarkStart w:id="178" w:name="_Toc222753713"/>
      <w:r w:rsidRPr="00D658D7">
        <w:rPr>
          <w:b/>
        </w:rPr>
        <w:t>Figure 2</w:t>
      </w:r>
      <w:r w:rsidR="00C23F88">
        <w:rPr>
          <w:b/>
        </w:rPr>
        <w:t xml:space="preserve">. </w:t>
      </w:r>
      <w:r w:rsidRPr="004570F2">
        <w:rPr>
          <w:b/>
        </w:rPr>
        <w:t>Sector GVA comparison (index = 100 in 2015)</w:t>
      </w:r>
      <w:bookmarkEnd w:id="178"/>
    </w:p>
    <w:p w14:paraId="493E29C9" w14:textId="2BEC625F" w:rsidR="006E172E" w:rsidRPr="00E168FA" w:rsidRDefault="006E172E" w:rsidP="007D2650">
      <w:r w:rsidRPr="00E168FA">
        <w:rPr>
          <w:noProof/>
        </w:rPr>
        <w:drawing>
          <wp:inline distT="0" distB="0" distL="0" distR="0" wp14:anchorId="599B7C59" wp14:editId="6B9242E6">
            <wp:extent cx="5004000" cy="2736000"/>
            <wp:effectExtent l="0" t="0" r="0" b="0"/>
            <wp:docPr id="30" name="Picture" descr="A graph of different colo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30" name="Picture" descr="A graph of different colored lines&#10;&#10;AI-generated content may be incorrect."/>
                    <pic:cNvPicPr>
                      <a:picLocks noChangeAspect="1" noChangeArrowheads="1"/>
                    </pic:cNvPicPr>
                  </pic:nvPicPr>
                  <pic:blipFill>
                    <a:blip r:embed="rId49"/>
                    <a:stretch>
                      <a:fillRect/>
                    </a:stretch>
                  </pic:blipFill>
                  <pic:spPr bwMode="auto">
                    <a:xfrm>
                      <a:off x="0" y="0"/>
                      <a:ext cx="5004000" cy="2736000"/>
                    </a:xfrm>
                    <a:prstGeom prst="rect">
                      <a:avLst/>
                    </a:prstGeom>
                    <a:noFill/>
                    <a:ln w="9525">
                      <a:noFill/>
                      <a:headEnd/>
                      <a:tailEnd/>
                    </a:ln>
                  </pic:spPr>
                </pic:pic>
              </a:graphicData>
            </a:graphic>
          </wp:inline>
        </w:drawing>
      </w:r>
    </w:p>
    <w:p w14:paraId="21ABBD93" w14:textId="1ACAD0C6" w:rsidR="00051135" w:rsidRPr="004570F2" w:rsidRDefault="006E172E" w:rsidP="007D2650">
      <w:pPr>
        <w:rPr>
          <w:i/>
        </w:rPr>
      </w:pPr>
      <w:r w:rsidRPr="004570F2">
        <w:rPr>
          <w:b/>
          <w:i/>
        </w:rPr>
        <w:t>Source</w:t>
      </w:r>
      <w:r w:rsidRPr="004570F2">
        <w:rPr>
          <w:i/>
        </w:rPr>
        <w:t>: Technopolis</w:t>
      </w:r>
      <w:r w:rsidR="00B47C7E" w:rsidRPr="004570F2">
        <w:rPr>
          <w:i/>
        </w:rPr>
        <w:t xml:space="preserve"> Group</w:t>
      </w:r>
      <w:r w:rsidR="00E168FA" w:rsidRPr="004570F2">
        <w:rPr>
          <w:i/>
        </w:rPr>
        <w:t xml:space="preserve"> </w:t>
      </w:r>
      <w:r w:rsidRPr="004570F2">
        <w:rPr>
          <w:i/>
        </w:rPr>
        <w:t>based on Prodcom; Eurostat</w:t>
      </w:r>
      <w:r w:rsidR="00B47C7E" w:rsidRPr="004570F2">
        <w:rPr>
          <w:i/>
        </w:rPr>
        <w:t xml:space="preserve"> (Landscape </w:t>
      </w:r>
      <w:r w:rsidR="008A500D" w:rsidRPr="004570F2">
        <w:rPr>
          <w:i/>
        </w:rPr>
        <w:t xml:space="preserve">analysis </w:t>
      </w:r>
      <w:r w:rsidR="00B47C7E" w:rsidRPr="004570F2">
        <w:rPr>
          <w:i/>
        </w:rPr>
        <w:t>study</w:t>
      </w:r>
      <w:r w:rsidR="00B47C7E" w:rsidRPr="00D658D7">
        <w:rPr>
          <w:i/>
          <w:iCs/>
        </w:rPr>
        <w:t>)</w:t>
      </w:r>
      <w:r w:rsidR="003E7CCE">
        <w:rPr>
          <w:i/>
          <w:iCs/>
        </w:rPr>
        <w:t>.</w:t>
      </w:r>
    </w:p>
    <w:p w14:paraId="14D060F8" w14:textId="71B7EFC7" w:rsidR="00051135" w:rsidRPr="002B392A" w:rsidRDefault="00051135" w:rsidP="007D2650">
      <w:pPr>
        <w:rPr>
          <w:b/>
        </w:rPr>
      </w:pPr>
      <w:r w:rsidRPr="004F48D9">
        <w:rPr>
          <w:b/>
        </w:rPr>
        <w:lastRenderedPageBreak/>
        <w:t xml:space="preserve">Figure </w:t>
      </w:r>
      <w:r w:rsidRPr="004F48D9" w:rsidDel="005A04D9">
        <w:rPr>
          <w:b/>
        </w:rPr>
        <w:t>3</w:t>
      </w:r>
      <w:bookmarkStart w:id="179" w:name="_Toc222753730"/>
      <w:r w:rsidR="00132DCC">
        <w:rPr>
          <w:b/>
          <w:bCs/>
        </w:rPr>
        <w:t xml:space="preserve">. </w:t>
      </w:r>
      <w:r w:rsidRPr="002B392A">
        <w:rPr>
          <w:b/>
        </w:rPr>
        <w:t>Global biotechnology exports (billion EUR)</w:t>
      </w:r>
      <w:bookmarkEnd w:id="179"/>
    </w:p>
    <w:p w14:paraId="1924D94C" w14:textId="77777777" w:rsidR="00051135" w:rsidRPr="00E168FA" w:rsidRDefault="00051135" w:rsidP="007D2650">
      <w:r w:rsidRPr="00E168FA">
        <w:rPr>
          <w:noProof/>
        </w:rPr>
        <w:drawing>
          <wp:inline distT="0" distB="0" distL="0" distR="0" wp14:anchorId="63A0EA79" wp14:editId="68303B1A">
            <wp:extent cx="5004000" cy="2944799"/>
            <wp:effectExtent l="0" t="0" r="0" b="0"/>
            <wp:docPr id="54" name="Picture"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descr="A graph of different colored lines&#10;&#10;AI-generated content may be incorrect."/>
                    <pic:cNvPicPr>
                      <a:picLocks noChangeAspect="1" noChangeArrowheads="1"/>
                    </pic:cNvPicPr>
                  </pic:nvPicPr>
                  <pic:blipFill>
                    <a:blip r:embed="rId50"/>
                    <a:stretch>
                      <a:fillRect/>
                    </a:stretch>
                  </pic:blipFill>
                  <pic:spPr bwMode="auto">
                    <a:xfrm>
                      <a:off x="0" y="0"/>
                      <a:ext cx="5004000" cy="2944799"/>
                    </a:xfrm>
                    <a:prstGeom prst="rect">
                      <a:avLst/>
                    </a:prstGeom>
                    <a:noFill/>
                    <a:ln w="9525">
                      <a:noFill/>
                      <a:headEnd/>
                      <a:tailEnd/>
                    </a:ln>
                  </pic:spPr>
                </pic:pic>
              </a:graphicData>
            </a:graphic>
          </wp:inline>
        </w:drawing>
      </w:r>
    </w:p>
    <w:p w14:paraId="5F553A0D" w14:textId="2BB58EEA" w:rsidR="00051135" w:rsidRPr="004570F2" w:rsidRDefault="00051135" w:rsidP="007D2650">
      <w:pPr>
        <w:rPr>
          <w:i/>
        </w:rPr>
      </w:pPr>
      <w:r w:rsidRPr="004570F2">
        <w:rPr>
          <w:b/>
          <w:i/>
        </w:rPr>
        <w:t>Source</w:t>
      </w:r>
      <w:r w:rsidRPr="004570F2">
        <w:rPr>
          <w:i/>
        </w:rPr>
        <w:t>: UN Comtrade</w:t>
      </w:r>
      <w:r w:rsidR="0047050C" w:rsidRPr="004570F2">
        <w:rPr>
          <w:i/>
        </w:rPr>
        <w:t xml:space="preserve"> (Landscape analysis study)</w:t>
      </w:r>
      <w:r w:rsidR="00E168FA" w:rsidRPr="004570F2">
        <w:rPr>
          <w:i/>
        </w:rPr>
        <w:t xml:space="preserve">; </w:t>
      </w:r>
      <w:r w:rsidRPr="00D658D7">
        <w:rPr>
          <w:i/>
          <w:iCs/>
        </w:rPr>
        <w:t>Note: East Asia does not include China</w:t>
      </w:r>
      <w:r w:rsidR="003E7CCE">
        <w:rPr>
          <w:i/>
          <w:iCs/>
        </w:rPr>
        <w:t>.</w:t>
      </w:r>
      <w:r w:rsidR="00B47C7E" w:rsidRPr="004570F2">
        <w:rPr>
          <w:i/>
        </w:rPr>
        <w:t xml:space="preserve"> </w:t>
      </w:r>
    </w:p>
    <w:p w14:paraId="3D4BBB27" w14:textId="77777777" w:rsidR="008F2862" w:rsidRPr="00E168FA" w:rsidRDefault="008F2862" w:rsidP="007D2650"/>
    <w:p w14:paraId="34CC393D" w14:textId="387699CF" w:rsidR="00CA5046" w:rsidRPr="00316FB7" w:rsidRDefault="00CA5046" w:rsidP="007D2650">
      <w:bookmarkStart w:id="180" w:name="_Ref222752822"/>
      <w:bookmarkStart w:id="181" w:name="_Toc222753731"/>
      <w:r w:rsidRPr="002B392A">
        <w:rPr>
          <w:b/>
        </w:rPr>
        <w:t>Figure</w:t>
      </w:r>
      <w:r w:rsidR="005A04D9">
        <w:rPr>
          <w:b/>
        </w:rPr>
        <w:t xml:space="preserve"> </w:t>
      </w:r>
      <w:r w:rsidR="005A04D9">
        <w:rPr>
          <w:b/>
          <w:bCs/>
        </w:rPr>
        <w:t>4</w:t>
      </w:r>
      <w:bookmarkEnd w:id="180"/>
      <w:r w:rsidR="00132DCC">
        <w:rPr>
          <w:b/>
        </w:rPr>
        <w:t xml:space="preserve">. </w:t>
      </w:r>
      <w:r w:rsidRPr="002B392A">
        <w:rPr>
          <w:b/>
        </w:rPr>
        <w:t>Biotechnology export share</w:t>
      </w:r>
      <w:bookmarkEnd w:id="181"/>
    </w:p>
    <w:p w14:paraId="19BCAFEE" w14:textId="77777777" w:rsidR="00CA5046" w:rsidRPr="00E168FA" w:rsidRDefault="00CA5046" w:rsidP="007D2650">
      <w:r w:rsidRPr="00E168FA">
        <w:rPr>
          <w:noProof/>
        </w:rPr>
        <w:drawing>
          <wp:inline distT="0" distB="0" distL="0" distR="0" wp14:anchorId="3EDD225B" wp14:editId="07715762">
            <wp:extent cx="5004000" cy="3409591"/>
            <wp:effectExtent l="0" t="0" r="0" b="0"/>
            <wp:docPr id="57" name="Picture"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descr="A graph of different colored squares&#10;&#10;AI-generated content may be incorrect."/>
                    <pic:cNvPicPr>
                      <a:picLocks noChangeAspect="1" noChangeArrowheads="1"/>
                    </pic:cNvPicPr>
                  </pic:nvPicPr>
                  <pic:blipFill>
                    <a:blip r:embed="rId51"/>
                    <a:stretch>
                      <a:fillRect/>
                    </a:stretch>
                  </pic:blipFill>
                  <pic:spPr bwMode="auto">
                    <a:xfrm>
                      <a:off x="0" y="0"/>
                      <a:ext cx="5004000" cy="3409591"/>
                    </a:xfrm>
                    <a:prstGeom prst="rect">
                      <a:avLst/>
                    </a:prstGeom>
                    <a:noFill/>
                    <a:ln w="9525">
                      <a:noFill/>
                      <a:headEnd/>
                      <a:tailEnd/>
                    </a:ln>
                  </pic:spPr>
                </pic:pic>
              </a:graphicData>
            </a:graphic>
          </wp:inline>
        </w:drawing>
      </w:r>
    </w:p>
    <w:p w14:paraId="5F5357BC" w14:textId="38F75F0F" w:rsidR="00CA5046" w:rsidRPr="004570F2" w:rsidRDefault="00CA5046" w:rsidP="007D2650">
      <w:pPr>
        <w:rPr>
          <w:i/>
          <w:lang w:val="en-IE"/>
        </w:rPr>
      </w:pPr>
      <w:r w:rsidRPr="004570F2">
        <w:rPr>
          <w:b/>
          <w:i/>
          <w:lang w:val="en-IE"/>
        </w:rPr>
        <w:t>Source</w:t>
      </w:r>
      <w:r w:rsidRPr="004570F2">
        <w:rPr>
          <w:i/>
          <w:lang w:val="en-IE"/>
        </w:rPr>
        <w:t>: UN Comtrade</w:t>
      </w:r>
      <w:r w:rsidR="00B47C7E" w:rsidRPr="004570F2">
        <w:rPr>
          <w:i/>
          <w:lang w:val="en-IE"/>
        </w:rPr>
        <w:t xml:space="preserve"> (Landscape</w:t>
      </w:r>
      <w:r w:rsidR="008A500D" w:rsidRPr="004570F2">
        <w:rPr>
          <w:i/>
          <w:lang w:val="en-IE"/>
        </w:rPr>
        <w:t xml:space="preserve"> analysis</w:t>
      </w:r>
      <w:r w:rsidR="00B47C7E" w:rsidRPr="004570F2">
        <w:rPr>
          <w:i/>
          <w:lang w:val="en-IE"/>
        </w:rPr>
        <w:t xml:space="preserve"> study</w:t>
      </w:r>
      <w:r w:rsidR="00B47C7E" w:rsidRPr="00D658D7">
        <w:rPr>
          <w:i/>
          <w:iCs/>
          <w:lang w:val="en-IE"/>
        </w:rPr>
        <w:t>)</w:t>
      </w:r>
      <w:r w:rsidR="003E7CCE">
        <w:rPr>
          <w:i/>
          <w:iCs/>
          <w:lang w:val="en-IE"/>
        </w:rPr>
        <w:t>.</w:t>
      </w:r>
    </w:p>
    <w:p w14:paraId="4008D2B7" w14:textId="05069985" w:rsidR="00CA5046" w:rsidRPr="004F48D9" w:rsidRDefault="00972ECE" w:rsidP="007D2650">
      <w:pPr>
        <w:spacing w:after="160" w:line="276" w:lineRule="auto"/>
        <w:rPr>
          <w:rFonts w:eastAsia="Times New Roman"/>
        </w:rPr>
      </w:pPr>
      <w:r>
        <w:rPr>
          <w:rFonts w:eastAsia="Times New Roman"/>
        </w:rPr>
        <w:lastRenderedPageBreak/>
        <w:t>Focusing on the</w:t>
      </w:r>
      <w:r w:rsidR="01CAB0EE" w:rsidRPr="1FC6A063">
        <w:rPr>
          <w:rFonts w:eastAsia="Times New Roman"/>
        </w:rPr>
        <w:t xml:space="preserve"> relative technological specialization in biotechnology within the EU, the study conducted by the JRC “Exploring the global landscape of biotech Innovation: preliminary insights from patent analysis”, points out a few statements. </w:t>
      </w:r>
    </w:p>
    <w:p w14:paraId="42101F6B" w14:textId="693C3956" w:rsidR="00CA5046" w:rsidRPr="004F48D9" w:rsidRDefault="01CAB0EE" w:rsidP="007D2650">
      <w:pPr>
        <w:spacing w:after="160" w:line="276" w:lineRule="auto"/>
        <w:rPr>
          <w:rFonts w:eastAsia="Times New Roman"/>
        </w:rPr>
      </w:pPr>
      <w:r w:rsidRPr="1FC6A063">
        <w:rPr>
          <w:rFonts w:eastAsia="Times New Roman"/>
        </w:rPr>
        <w:t>Firstly, Germany, France, The Netherlands, Denmark and Italy are the five Member States with the highest share of biotechnology patents during the study period (from 2001 to 2020), which accounted for 74.9</w:t>
      </w:r>
      <w:r w:rsidR="006856C2">
        <w:rPr>
          <w:rFonts w:eastAsia="Times New Roman"/>
        </w:rPr>
        <w:t>%</w:t>
      </w:r>
      <w:r w:rsidRPr="1FC6A063">
        <w:rPr>
          <w:rFonts w:eastAsia="Times New Roman"/>
        </w:rPr>
        <w:t xml:space="preserve"> of the total EU biotechnology patents</w:t>
      </w:r>
      <w:r w:rsidR="082B10FD" w:rsidRPr="70C7A2FA">
        <w:rPr>
          <w:rFonts w:eastAsia="Times New Roman"/>
        </w:rPr>
        <w:t xml:space="preserve"> </w:t>
      </w:r>
      <w:r w:rsidR="082B10FD" w:rsidRPr="64EB6D6F">
        <w:rPr>
          <w:rFonts w:eastAsia="Times New Roman"/>
        </w:rPr>
        <w:t>(see Figure 5)</w:t>
      </w:r>
      <w:r w:rsidRPr="64EB6D6F">
        <w:rPr>
          <w:rFonts w:eastAsia="Times New Roman"/>
        </w:rPr>
        <w:t>.</w:t>
      </w:r>
      <w:r w:rsidRPr="1FC6A063">
        <w:rPr>
          <w:rFonts w:eastAsia="Times New Roman"/>
        </w:rPr>
        <w:t xml:space="preserve"> </w:t>
      </w:r>
    </w:p>
    <w:p w14:paraId="4CAEF081" w14:textId="130E6411" w:rsidR="00CA5046" w:rsidRPr="004F48D9" w:rsidRDefault="01CAB0EE" w:rsidP="007D2650">
      <w:pPr>
        <w:spacing w:after="160" w:line="276" w:lineRule="auto"/>
        <w:rPr>
          <w:rFonts w:eastAsia="Times New Roman"/>
        </w:rPr>
      </w:pPr>
      <w:r w:rsidRPr="1FC6A063">
        <w:rPr>
          <w:rFonts w:eastAsia="Times New Roman"/>
        </w:rPr>
        <w:t xml:space="preserve">Secondly, the number of white and red biotechnology patents represents the majority of all biotechnology patents, whereas the number of green biotechnology patents is extremely low. </w:t>
      </w:r>
    </w:p>
    <w:p w14:paraId="6D47EAE1" w14:textId="46709705" w:rsidR="00CA5046" w:rsidRPr="004F48D9" w:rsidRDefault="01CAB0EE" w:rsidP="007D2650">
      <w:pPr>
        <w:spacing w:after="160" w:line="276" w:lineRule="auto"/>
        <w:rPr>
          <w:rFonts w:eastAsia="Times New Roman"/>
        </w:rPr>
      </w:pPr>
      <w:r w:rsidRPr="1FC6A063">
        <w:rPr>
          <w:rFonts w:eastAsia="Times New Roman"/>
        </w:rPr>
        <w:t>Thirdly, Germany and France are the Member States that account for the highest number of biotechnology patent applicants. In fact, the two countries represent more than 50</w:t>
      </w:r>
      <w:r w:rsidR="006856C2">
        <w:rPr>
          <w:rFonts w:eastAsia="Times New Roman"/>
        </w:rPr>
        <w:t>%</w:t>
      </w:r>
      <w:r w:rsidRPr="1FC6A063">
        <w:rPr>
          <w:rFonts w:eastAsia="Times New Roman"/>
        </w:rPr>
        <w:t xml:space="preserve"> of all EU biotechnology patents (see Figure 5). </w:t>
      </w:r>
    </w:p>
    <w:p w14:paraId="24C134EF" w14:textId="5878B9BB" w:rsidR="008F2862" w:rsidRDefault="01CAB0EE" w:rsidP="007D2650">
      <w:pPr>
        <w:spacing w:after="160" w:line="276" w:lineRule="auto"/>
        <w:rPr>
          <w:rFonts w:eastAsia="Times New Roman"/>
        </w:rPr>
      </w:pPr>
      <w:r w:rsidRPr="1FC6A063">
        <w:rPr>
          <w:rFonts w:eastAsia="Times New Roman"/>
        </w:rPr>
        <w:t>Lastly, it is also important to note that The Netherlands is the only country that shows clear specialisation in green biotechnology. Italy has the highest specialisation index in red biotechnology and Denmark has the highest index values for white biotechnology.</w:t>
      </w:r>
    </w:p>
    <w:p w14:paraId="016E8ED0" w14:textId="77777777" w:rsidR="008F2862" w:rsidRPr="004F48D9" w:rsidRDefault="008F2862" w:rsidP="007D2650">
      <w:pPr>
        <w:spacing w:after="160" w:line="276" w:lineRule="auto"/>
        <w:rPr>
          <w:rFonts w:eastAsia="Times New Roman"/>
        </w:rPr>
      </w:pPr>
    </w:p>
    <w:p w14:paraId="02EAAFBA" w14:textId="685E818A" w:rsidR="00B47C7E" w:rsidRPr="00B94A2C" w:rsidRDefault="00B47C7E" w:rsidP="007D2650">
      <w:bookmarkStart w:id="182" w:name="_Toc222753719"/>
      <w:r w:rsidRPr="006B27F9">
        <w:rPr>
          <w:b/>
        </w:rPr>
        <w:t>Figure 5</w:t>
      </w:r>
      <w:r w:rsidR="00132DCC">
        <w:rPr>
          <w:b/>
        </w:rPr>
        <w:t xml:space="preserve">. </w:t>
      </w:r>
      <w:r w:rsidRPr="006B27F9">
        <w:rPr>
          <w:b/>
        </w:rPr>
        <w:t>Geographic distribution of applicants within the EU-27</w:t>
      </w:r>
      <w:bookmarkEnd w:id="182"/>
      <w:r w:rsidRPr="006B27F9">
        <w:rPr>
          <w:b/>
        </w:rPr>
        <w:t xml:space="preserve"> </w:t>
      </w:r>
    </w:p>
    <w:p w14:paraId="00642959" w14:textId="77777777" w:rsidR="00B47C7E" w:rsidRPr="00D777C9" w:rsidRDefault="00B47C7E" w:rsidP="007D2650">
      <w:r w:rsidRPr="00D777C9">
        <w:rPr>
          <w:noProof/>
        </w:rPr>
        <w:drawing>
          <wp:inline distT="0" distB="0" distL="0" distR="0" wp14:anchorId="279B927C" wp14:editId="2884BDC8">
            <wp:extent cx="5400675" cy="2981960"/>
            <wp:effectExtent l="0" t="0" r="0" b="0"/>
            <wp:docPr id="2015839611" name="Picture 4" descr="A map of europe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39611" name="Picture 4" descr="A map of europe with different colors&#10;&#10;AI-generated content may be incorrect."/>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11662"/>
                    <a:stretch>
                      <a:fillRect/>
                    </a:stretch>
                  </pic:blipFill>
                  <pic:spPr bwMode="auto">
                    <a:xfrm>
                      <a:off x="0" y="0"/>
                      <a:ext cx="5400675" cy="2981960"/>
                    </a:xfrm>
                    <a:prstGeom prst="rect">
                      <a:avLst/>
                    </a:prstGeom>
                    <a:noFill/>
                    <a:ln>
                      <a:noFill/>
                    </a:ln>
                    <a:extLst>
                      <a:ext uri="{53640926-AAD7-44D8-BBD7-CCE9431645EC}">
                        <a14:shadowObscured xmlns:a14="http://schemas.microsoft.com/office/drawing/2010/main"/>
                      </a:ext>
                    </a:extLst>
                  </pic:spPr>
                </pic:pic>
              </a:graphicData>
            </a:graphic>
          </wp:inline>
        </w:drawing>
      </w:r>
    </w:p>
    <w:p w14:paraId="5B4A7231" w14:textId="5085C9E7" w:rsidR="00B47C7E" w:rsidRPr="004570F2" w:rsidDel="00133D92" w:rsidRDefault="00B47C7E" w:rsidP="007D2650">
      <w:pPr>
        <w:rPr>
          <w:i/>
        </w:rPr>
      </w:pPr>
      <w:r w:rsidRPr="004570F2">
        <w:rPr>
          <w:b/>
          <w:i/>
        </w:rPr>
        <w:t>Source</w:t>
      </w:r>
      <w:r w:rsidRPr="004570F2">
        <w:rPr>
          <w:i/>
        </w:rPr>
        <w:t xml:space="preserve">: Orbis IP, calculation: Technopolis Group (Landscape </w:t>
      </w:r>
      <w:r w:rsidR="008A500D" w:rsidRPr="004570F2">
        <w:rPr>
          <w:i/>
        </w:rPr>
        <w:t xml:space="preserve">analysis </w:t>
      </w:r>
      <w:r w:rsidRPr="004570F2">
        <w:rPr>
          <w:i/>
        </w:rPr>
        <w:t xml:space="preserve">study) </w:t>
      </w:r>
      <w:r w:rsidRPr="003E7CCE">
        <w:rPr>
          <w:i/>
          <w:iCs/>
        </w:rPr>
        <w:t>Note: the number of distinct patent publications are represented with a log scale to account for strong disparities across countries. The geographical dimension is analysed based on the inventors’ location.</w:t>
      </w:r>
    </w:p>
    <w:p w14:paraId="273D0C7E" w14:textId="77777777" w:rsidR="0041165A" w:rsidRDefault="00733529" w:rsidP="00E5568D">
      <w:pPr>
        <w:pStyle w:val="Heading1"/>
      </w:pPr>
      <w:bookmarkStart w:id="183" w:name="_Toc224747256"/>
      <w:bookmarkStart w:id="184" w:name="_Toc224749726"/>
      <w:bookmarkStart w:id="185" w:name="_Toc225783196"/>
      <w:bookmarkStart w:id="186" w:name="_Toc225969779"/>
      <w:bookmarkStart w:id="187" w:name="_Toc225979111"/>
      <w:r w:rsidRPr="00DD2303">
        <w:rPr>
          <w:szCs w:val="24"/>
        </w:rPr>
        <w:lastRenderedPageBreak/>
        <w:t>Problem definition</w:t>
      </w:r>
      <w:r w:rsidR="00DD2303" w:rsidRPr="00DD2303">
        <w:rPr>
          <w:szCs w:val="24"/>
        </w:rPr>
        <w:t xml:space="preserve"> -</w:t>
      </w:r>
      <w:r w:rsidR="00DD2303">
        <w:t xml:space="preserve"> S</w:t>
      </w:r>
      <w:r w:rsidR="00D33434">
        <w:t xml:space="preserve">upporting evidence to and detailed explanations of the problem </w:t>
      </w:r>
      <w:r w:rsidR="00DD2303">
        <w:t xml:space="preserve">and </w:t>
      </w:r>
      <w:r w:rsidR="00D33434">
        <w:t>driver</w:t>
      </w:r>
      <w:r w:rsidR="00DD2303">
        <w:t>s</w:t>
      </w:r>
      <w:bookmarkStart w:id="188" w:name="_Toc224747257"/>
      <w:bookmarkStart w:id="189" w:name="_Toc224749727"/>
      <w:bookmarkStart w:id="190" w:name="_Toc225783197"/>
      <w:bookmarkEnd w:id="183"/>
      <w:bookmarkEnd w:id="184"/>
      <w:bookmarkEnd w:id="185"/>
      <w:bookmarkEnd w:id="186"/>
      <w:bookmarkEnd w:id="187"/>
    </w:p>
    <w:p w14:paraId="12B59914" w14:textId="3E4A89B8" w:rsidR="00062F08" w:rsidRPr="00E71499" w:rsidRDefault="00062F08" w:rsidP="00E5568D">
      <w:pPr>
        <w:pStyle w:val="Heading2"/>
      </w:pPr>
      <w:bookmarkStart w:id="191" w:name="_Toc225969780"/>
      <w:bookmarkStart w:id="192" w:name="_Toc225979112"/>
      <w:r w:rsidRPr="00E71499">
        <w:t xml:space="preserve">Supporting evidence to the </w:t>
      </w:r>
      <w:r w:rsidR="00434129" w:rsidRPr="00E71499">
        <w:t xml:space="preserve">overall </w:t>
      </w:r>
      <w:r w:rsidRPr="00E71499">
        <w:t>problem</w:t>
      </w:r>
      <w:bookmarkEnd w:id="188"/>
      <w:bookmarkEnd w:id="189"/>
      <w:bookmarkEnd w:id="190"/>
      <w:bookmarkEnd w:id="191"/>
      <w:bookmarkEnd w:id="192"/>
      <w:r w:rsidRPr="00E71499">
        <w:t xml:space="preserve"> </w:t>
      </w:r>
    </w:p>
    <w:p w14:paraId="12BE5F39" w14:textId="6CC551F9" w:rsidR="00062F08" w:rsidRPr="00D41540" w:rsidRDefault="00062F08" w:rsidP="007D2650">
      <w:pPr>
        <w:pStyle w:val="Caption"/>
        <w:keepNext/>
        <w:spacing w:before="240"/>
        <w:rPr>
          <w:rFonts w:ascii="Times New Roman" w:hAnsi="Times New Roman"/>
          <w:sz w:val="24"/>
        </w:rPr>
      </w:pPr>
      <w:r w:rsidRPr="005A04D9">
        <w:rPr>
          <w:rFonts w:ascii="Times New Roman" w:hAnsi="Times New Roman"/>
          <w:sz w:val="24"/>
        </w:rPr>
        <w:t>Figure 6</w:t>
      </w:r>
      <w:r w:rsidR="00132DCC">
        <w:rPr>
          <w:rFonts w:ascii="Times New Roman" w:hAnsi="Times New Roman"/>
          <w:sz w:val="24"/>
        </w:rPr>
        <w:t xml:space="preserve">. </w:t>
      </w:r>
      <w:r w:rsidRPr="00D41540">
        <w:rPr>
          <w:rFonts w:ascii="Times New Roman" w:hAnsi="Times New Roman"/>
          <w:sz w:val="24"/>
        </w:rPr>
        <w:t>Globa</w:t>
      </w:r>
      <w:r w:rsidR="00B06C7F" w:rsidRPr="00D41540">
        <w:rPr>
          <w:rFonts w:ascii="Times New Roman" w:hAnsi="Times New Roman"/>
          <w:sz w:val="24"/>
        </w:rPr>
        <w:t>l</w:t>
      </w:r>
      <w:r w:rsidRPr="00D41540">
        <w:rPr>
          <w:rFonts w:ascii="Times New Roman" w:hAnsi="Times New Roman"/>
          <w:sz w:val="24"/>
        </w:rPr>
        <w:t xml:space="preserve"> distribution of biotechnology startups founded since 2015</w:t>
      </w:r>
    </w:p>
    <w:p w14:paraId="2C51E707" w14:textId="77777777" w:rsidR="00062F08" w:rsidRPr="00D777C9" w:rsidRDefault="00062F08" w:rsidP="007D2650">
      <w:r w:rsidRPr="00D777C9">
        <w:rPr>
          <w:noProof/>
        </w:rPr>
        <w:drawing>
          <wp:inline distT="0" distB="0" distL="0" distR="0" wp14:anchorId="7C8BD51A" wp14:editId="7A1235D9">
            <wp:extent cx="4560001" cy="2736000"/>
            <wp:effectExtent l="0" t="0" r="0" b="0"/>
            <wp:docPr id="743442563" name="Picture" descr="A screenshot of a colo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descr="A screenshot of a color chart&#10;&#10;AI-generated content may be incorrect."/>
                    <pic:cNvPicPr>
                      <a:picLocks noChangeAspect="1" noChangeArrowheads="1"/>
                    </pic:cNvPicPr>
                  </pic:nvPicPr>
                  <pic:blipFill>
                    <a:blip r:embed="rId53"/>
                    <a:stretch>
                      <a:fillRect/>
                    </a:stretch>
                  </pic:blipFill>
                  <pic:spPr bwMode="auto">
                    <a:xfrm>
                      <a:off x="0" y="0"/>
                      <a:ext cx="4560001" cy="2736000"/>
                    </a:xfrm>
                    <a:prstGeom prst="rect">
                      <a:avLst/>
                    </a:prstGeom>
                    <a:noFill/>
                    <a:ln w="9525">
                      <a:noFill/>
                      <a:headEnd/>
                      <a:tailEnd/>
                    </a:ln>
                  </pic:spPr>
                </pic:pic>
              </a:graphicData>
            </a:graphic>
          </wp:inline>
        </w:drawing>
      </w:r>
    </w:p>
    <w:p w14:paraId="5D18B9B4" w14:textId="68E6A5C1" w:rsidR="00062F08" w:rsidRDefault="00062F08" w:rsidP="007D2650">
      <w:pPr>
        <w:pStyle w:val="Datainchart"/>
        <w:rPr>
          <w:rStyle w:val="Bold"/>
          <w:b w:val="0"/>
          <w:bCs w:val="0"/>
          <w:i/>
          <w:iCs/>
        </w:rPr>
      </w:pPr>
      <w:r w:rsidRPr="004570F2">
        <w:rPr>
          <w:rStyle w:val="Bold"/>
          <w:i/>
        </w:rPr>
        <w:t>Source</w:t>
      </w:r>
      <w:r w:rsidRPr="004570F2">
        <w:rPr>
          <w:rStyle w:val="Bold"/>
          <w:b w:val="0"/>
          <w:i/>
        </w:rPr>
        <w:t>: Technopolis Group based on Crunchbase (Landscape analysis study</w:t>
      </w:r>
      <w:r w:rsidRPr="008F1623">
        <w:rPr>
          <w:rStyle w:val="Bold"/>
          <w:b w:val="0"/>
          <w:bCs w:val="0"/>
          <w:i/>
          <w:iCs/>
        </w:rPr>
        <w:t>)</w:t>
      </w:r>
      <w:r w:rsidR="008F1623">
        <w:rPr>
          <w:rStyle w:val="Bold"/>
          <w:b w:val="0"/>
          <w:bCs w:val="0"/>
          <w:i/>
          <w:iCs/>
        </w:rPr>
        <w:t>.</w:t>
      </w:r>
    </w:p>
    <w:p w14:paraId="104D34CF" w14:textId="77777777" w:rsidR="00AB0E2C" w:rsidRPr="004570F2" w:rsidRDefault="00AB0E2C" w:rsidP="007D2650">
      <w:pPr>
        <w:pStyle w:val="Datainchart"/>
        <w:rPr>
          <w:rStyle w:val="Bold"/>
          <w:b w:val="0"/>
          <w:i/>
        </w:rPr>
      </w:pPr>
    </w:p>
    <w:p w14:paraId="18991725" w14:textId="7371D752" w:rsidR="00062F08" w:rsidRPr="008F1623" w:rsidRDefault="00062F08" w:rsidP="007D2650">
      <w:pPr>
        <w:pStyle w:val="Datainchart"/>
        <w:rPr>
          <w:rStyle w:val="Bold"/>
          <w:rFonts w:eastAsiaTheme="minorHAnsi"/>
        </w:rPr>
      </w:pPr>
      <w:r w:rsidRPr="008F1623">
        <w:rPr>
          <w:rStyle w:val="Bold"/>
        </w:rPr>
        <w:t>Figure 7</w:t>
      </w:r>
      <w:r w:rsidR="00132DCC">
        <w:rPr>
          <w:rStyle w:val="Bold"/>
        </w:rPr>
        <w:t xml:space="preserve">. </w:t>
      </w:r>
      <w:r w:rsidRPr="008F1623">
        <w:rPr>
          <w:rStyle w:val="Bold"/>
        </w:rPr>
        <w:t>VC investment per biotechnology area in the EU, 2015 – 2025</w:t>
      </w:r>
    </w:p>
    <w:p w14:paraId="4419975F" w14:textId="77777777" w:rsidR="00062F08" w:rsidRPr="002B54DE" w:rsidRDefault="00062F08" w:rsidP="007D2650">
      <w:pPr>
        <w:pStyle w:val="Datainchart"/>
        <w:rPr>
          <w:rStyle w:val="Bold"/>
          <w:b w:val="0"/>
        </w:rPr>
      </w:pPr>
      <w:r w:rsidRPr="002B54DE">
        <w:rPr>
          <w:rStyle w:val="Bold"/>
          <w:b w:val="0"/>
        </w:rPr>
        <w:drawing>
          <wp:inline distT="0" distB="0" distL="0" distR="0" wp14:anchorId="5FABEA28" wp14:editId="42B4A892">
            <wp:extent cx="5004000" cy="2323312"/>
            <wp:effectExtent l="0" t="0" r="0" b="0"/>
            <wp:docPr id="2024556550" name="Picture"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descr="A graph of different colored bars&#10;&#10;AI-generated content may be incorrect."/>
                    <pic:cNvPicPr>
                      <a:picLocks noChangeAspect="1"/>
                    </pic:cNvPicPr>
                  </pic:nvPicPr>
                  <pic:blipFill>
                    <a:blip r:embed="rId54"/>
                    <a:stretch>
                      <a:fillRect/>
                    </a:stretch>
                  </pic:blipFill>
                  <pic:spPr bwMode="auto">
                    <a:xfrm>
                      <a:off x="0" y="0"/>
                      <a:ext cx="5004000" cy="2323312"/>
                    </a:xfrm>
                    <a:prstGeom prst="rect">
                      <a:avLst/>
                    </a:prstGeom>
                    <a:noFill/>
                    <a:ln w="9525">
                      <a:noFill/>
                      <a:headEnd/>
                      <a:tailEnd/>
                    </a:ln>
                  </pic:spPr>
                </pic:pic>
              </a:graphicData>
            </a:graphic>
          </wp:inline>
        </w:drawing>
      </w:r>
    </w:p>
    <w:p w14:paraId="24D0E271" w14:textId="715E4871" w:rsidR="00062F08" w:rsidRPr="004570F2" w:rsidRDefault="00062F08" w:rsidP="007D2650">
      <w:pPr>
        <w:pStyle w:val="Datainchart"/>
        <w:rPr>
          <w:rStyle w:val="Bold"/>
          <w:b w:val="0"/>
          <w:i/>
        </w:rPr>
      </w:pPr>
      <w:r w:rsidRPr="004570F2">
        <w:rPr>
          <w:rStyle w:val="Bold"/>
          <w:i/>
        </w:rPr>
        <w:t>Source</w:t>
      </w:r>
      <w:r w:rsidRPr="004570F2">
        <w:rPr>
          <w:rStyle w:val="Bold"/>
          <w:b w:val="0"/>
          <w:i/>
        </w:rPr>
        <w:t>: Technopolis Group based on Crunchbase (Landscape analysis study</w:t>
      </w:r>
      <w:r w:rsidRPr="008F1623">
        <w:rPr>
          <w:rStyle w:val="Bold"/>
          <w:b w:val="0"/>
          <w:bCs w:val="0"/>
          <w:i/>
          <w:iCs/>
        </w:rPr>
        <w:t>)</w:t>
      </w:r>
      <w:r w:rsidR="00020277">
        <w:rPr>
          <w:rStyle w:val="Bold"/>
          <w:b w:val="0"/>
          <w:bCs w:val="0"/>
          <w:i/>
          <w:iCs/>
        </w:rPr>
        <w:t>.</w:t>
      </w:r>
    </w:p>
    <w:p w14:paraId="245EF736" w14:textId="77777777" w:rsidR="009A2452" w:rsidRPr="002B54DE" w:rsidRDefault="009A2452" w:rsidP="007D2650">
      <w:pPr>
        <w:pStyle w:val="Datainchart"/>
        <w:rPr>
          <w:rStyle w:val="Bold"/>
          <w:b w:val="0"/>
        </w:rPr>
      </w:pPr>
    </w:p>
    <w:p w14:paraId="7417F9E3" w14:textId="2351F732" w:rsidR="009B2040" w:rsidRPr="00E71499" w:rsidRDefault="009B2040" w:rsidP="00E5568D">
      <w:pPr>
        <w:pStyle w:val="Heading2"/>
      </w:pPr>
      <w:bookmarkStart w:id="193" w:name="_Toc224747258"/>
      <w:bookmarkStart w:id="194" w:name="_Toc224749728"/>
      <w:bookmarkStart w:id="195" w:name="_Toc225783198"/>
      <w:bookmarkStart w:id="196" w:name="_Toc225969781"/>
      <w:bookmarkStart w:id="197" w:name="_Toc225979113"/>
      <w:r w:rsidRPr="00E71499">
        <w:lastRenderedPageBreak/>
        <w:t xml:space="preserve">Supporting evidence </w:t>
      </w:r>
      <w:r w:rsidR="00EB3946" w:rsidRPr="00E71499">
        <w:t xml:space="preserve">on the </w:t>
      </w:r>
      <w:r w:rsidR="00A241C5" w:rsidRPr="00E71499">
        <w:t>problem and drivers across</w:t>
      </w:r>
      <w:r w:rsidR="009425CE" w:rsidRPr="00E71499">
        <w:t xml:space="preserve"> selected</w:t>
      </w:r>
      <w:r w:rsidR="00A241C5" w:rsidRPr="00E71499">
        <w:t xml:space="preserve"> health and food biotechnology sectors</w:t>
      </w:r>
      <w:bookmarkEnd w:id="193"/>
      <w:bookmarkEnd w:id="194"/>
      <w:bookmarkEnd w:id="195"/>
      <w:bookmarkEnd w:id="196"/>
      <w:bookmarkEnd w:id="197"/>
      <w:r w:rsidRPr="00E71499">
        <w:t xml:space="preserve"> </w:t>
      </w:r>
    </w:p>
    <w:p w14:paraId="2C5071CD" w14:textId="17FF1C79" w:rsidR="00D33434" w:rsidRPr="00E71499" w:rsidRDefault="00D33434" w:rsidP="00E5568D">
      <w:pPr>
        <w:pStyle w:val="Heading3"/>
      </w:pPr>
      <w:bookmarkStart w:id="198" w:name="_Toc225969782"/>
      <w:bookmarkStart w:id="199" w:name="_Toc225979114"/>
      <w:r w:rsidRPr="00E71499">
        <w:t>Authorisation of clinical trials</w:t>
      </w:r>
      <w:bookmarkEnd w:id="198"/>
      <w:bookmarkEnd w:id="199"/>
    </w:p>
    <w:p w14:paraId="252A9F3D" w14:textId="77777777" w:rsidR="00D33434" w:rsidRPr="00DD0CE5" w:rsidRDefault="7D9192DA" w:rsidP="007D2650">
      <w:r w:rsidRPr="00DD0CE5">
        <w:t>Europe faces growing challenges in maintaining its competitive edge due to lengthy regulatory timelines and higher administrative requirements compared to other regions. As a result, sponsors</w:t>
      </w:r>
      <w:r w:rsidR="00D33434" w:rsidRPr="00DD0CE5">
        <w:rPr>
          <w:rStyle w:val="FootnoteReference"/>
        </w:rPr>
        <w:footnoteReference w:id="44"/>
      </w:r>
      <w:r w:rsidRPr="00DD0CE5">
        <w:t xml:space="preserve"> increasingly favour jurisdictions that offer faster regulatory timelines, simpler and more streamlined approval processes, and improved access for the recruitment of patient populations, contributing to a widening in the competitive gap.</w:t>
      </w:r>
    </w:p>
    <w:p w14:paraId="6F2BB1DC" w14:textId="77777777" w:rsidR="00D33434" w:rsidRPr="00DD0CE5" w:rsidRDefault="00D33434" w:rsidP="007D2650">
      <w:pPr>
        <w:pStyle w:val="ListParagraph"/>
        <w:numPr>
          <w:ilvl w:val="0"/>
          <w:numId w:val="335"/>
        </w:numPr>
        <w:spacing w:after="160" w:line="259" w:lineRule="auto"/>
        <w:ind w:left="720"/>
        <w:jc w:val="left"/>
        <w:rPr>
          <w:i/>
          <w:iCs/>
        </w:rPr>
      </w:pPr>
      <w:r w:rsidRPr="00DD0CE5">
        <w:rPr>
          <w:i/>
          <w:iCs/>
        </w:rPr>
        <w:t>Longer timelines for the authorisation of clinical trials in EU/EEA compared to other regions</w:t>
      </w:r>
    </w:p>
    <w:p w14:paraId="7A5348CB" w14:textId="1C7B68A2" w:rsidR="00D33434" w:rsidRPr="00DD0CE5" w:rsidRDefault="00D33434" w:rsidP="007D2650">
      <w:r w:rsidRPr="00DD0CE5">
        <w:t xml:space="preserve">The average time from submission to decision for the authorisation of Part I of multinational clinical trials in the EU/EEA is 117 days, with relatively little variation across Member States (Standard Deviation= 6 days). In contrast, mono-national clinical trials are generally authorised more quickly, with an average duration of 91 days, but this varies substantially across Member States (Standard Deviation= 19). Approval times range from approximately 60 days in Belgium, the Czech Republic, and Portugal to around 120 days in Slovakia, Ireland, and Poland (see Figure </w:t>
      </w:r>
      <w:r w:rsidR="00B23A6B">
        <w:t>8</w:t>
      </w:r>
      <w:r w:rsidRPr="00DD0CE5">
        <w:t>). Additionally, the low share of ATMP trials in the EU/EEA (~3.8</w:t>
      </w:r>
      <w:r w:rsidR="006856C2">
        <w:t>%</w:t>
      </w:r>
      <w:r w:rsidRPr="00DD0CE5">
        <w:t xml:space="preserve"> of the applications) may be attributed to long and complex approval timelines.</w:t>
      </w:r>
    </w:p>
    <w:p w14:paraId="58B9BBF5" w14:textId="77777777" w:rsidR="0098187B" w:rsidRDefault="0098187B" w:rsidP="007D2650">
      <w:pPr>
        <w:rPr>
          <w:b/>
          <w:bCs/>
        </w:rPr>
      </w:pPr>
    </w:p>
    <w:p w14:paraId="681C87F5" w14:textId="3A3D85C7" w:rsidR="00D33434" w:rsidRPr="00DD0CE5" w:rsidRDefault="7D9192DA" w:rsidP="007D2650">
      <w:pPr>
        <w:rPr>
          <w:b/>
          <w:bCs/>
        </w:rPr>
      </w:pPr>
      <w:r w:rsidRPr="00DD0CE5">
        <w:rPr>
          <w:b/>
          <w:bCs/>
        </w:rPr>
        <w:t xml:space="preserve">Figure </w:t>
      </w:r>
      <w:r w:rsidR="5C9C6BFB">
        <w:rPr>
          <w:b/>
          <w:bCs/>
        </w:rPr>
        <w:t>8</w:t>
      </w:r>
      <w:r w:rsidR="00132DCC">
        <w:rPr>
          <w:b/>
          <w:bCs/>
        </w:rPr>
        <w:t xml:space="preserve">. </w:t>
      </w:r>
      <w:r w:rsidRPr="00DD0CE5">
        <w:rPr>
          <w:b/>
          <w:bCs/>
        </w:rPr>
        <w:t>Duration in days from submission to decision for mono-national clinical trials in the EU/EEA</w:t>
      </w:r>
      <w:r w:rsidR="00D33434" w:rsidRPr="00DD0CE5">
        <w:rPr>
          <w:rStyle w:val="FootnoteReference"/>
          <w:b/>
          <w:bCs/>
        </w:rPr>
        <w:footnoteReference w:id="45"/>
      </w:r>
    </w:p>
    <w:p w14:paraId="2998B7B8" w14:textId="77777777" w:rsidR="00D33434" w:rsidRPr="00DD0CE5" w:rsidRDefault="00D33434" w:rsidP="007D2650">
      <w:pPr>
        <w:ind w:left="720"/>
        <w:rPr>
          <w:b/>
          <w:bCs/>
          <w:i/>
          <w:iCs/>
        </w:rPr>
      </w:pPr>
      <w:r w:rsidRPr="00DD0CE5">
        <w:rPr>
          <w:b/>
          <w:bCs/>
          <w:i/>
          <w:iCs/>
          <w:noProof/>
        </w:rPr>
        <w:drawing>
          <wp:anchor distT="0" distB="0" distL="114300" distR="114300" simplePos="0" relativeHeight="251658241" behindDoc="0" locked="0" layoutInCell="1" allowOverlap="1" wp14:anchorId="6AB4E5D6" wp14:editId="1C6EB0E6">
            <wp:simplePos x="0" y="0"/>
            <wp:positionH relativeFrom="column">
              <wp:posOffset>-5080</wp:posOffset>
            </wp:positionH>
            <wp:positionV relativeFrom="paragraph">
              <wp:posOffset>69850</wp:posOffset>
            </wp:positionV>
            <wp:extent cx="3493571" cy="2412000"/>
            <wp:effectExtent l="0" t="0" r="0" b="0"/>
            <wp:wrapSquare wrapText="bothSides"/>
            <wp:docPr id="806769458" name="Picture 7" descr="A map of europe with different color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31791" name="Picture 7" descr="A map of europe with different colored states&#10;&#10;AI-generated content may be incorrect."/>
                    <pic:cNvPicPr>
                      <a:picLocks noChangeAspect="1" noChangeArrowheads="1"/>
                    </pic:cNvPicPr>
                  </pic:nvPicPr>
                  <pic:blipFill>
                    <a:blip r:embed="rId55">
                      <a:extLst>
                        <a:ext uri="{28A0092B-C50C-407E-A947-70E740481C1C}">
                          <a14:useLocalDpi xmlns:a14="http://schemas.microsoft.com/office/drawing/2010/main"/>
                        </a:ext>
                      </a:extLst>
                    </a:blip>
                    <a:srcRect/>
                    <a:stretch>
                      <a:fillRect/>
                    </a:stretch>
                  </pic:blipFill>
                  <pic:spPr bwMode="auto">
                    <a:xfrm>
                      <a:off x="0" y="0"/>
                      <a:ext cx="3493571" cy="241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E5">
        <w:rPr>
          <w:b/>
          <w:bCs/>
          <w:i/>
          <w:iCs/>
        </w:rPr>
        <w:t xml:space="preserve">Note: </w:t>
      </w:r>
      <w:r w:rsidRPr="00DD0CE5">
        <w:rPr>
          <w:i/>
          <w:iCs/>
        </w:rPr>
        <w:t xml:space="preserve">The Figure illustrates the average duration in days from submission to decision for mono-national trials between January 2022 and May 2025. </w:t>
      </w:r>
    </w:p>
    <w:p w14:paraId="62CCCF08" w14:textId="77777777" w:rsidR="00D33434" w:rsidRPr="00DD0CE5" w:rsidRDefault="7D9192DA" w:rsidP="007D2650">
      <w:r w:rsidRPr="00DD0CE5">
        <w:t xml:space="preserve">Overall approval timelines appear to be systematically longer in the EU/EEA compared to the USA, Australia, and Canada across various therapeutic areas. In the USA, authorisation typically takes approximately 1–3 months, accounting for the Food and Drug Administration's 30-day Investigational </w:t>
      </w:r>
      <w:r w:rsidRPr="00DD0CE5">
        <w:lastRenderedPageBreak/>
        <w:t>New Drug review period and parallel Institutional Review Board approval.</w:t>
      </w:r>
      <w:r w:rsidR="00D33434" w:rsidRPr="00DD0CE5">
        <w:rPr>
          <w:rStyle w:val="FootnoteReference"/>
        </w:rPr>
        <w:footnoteReference w:id="46"/>
      </w:r>
      <w:r w:rsidRPr="00DD0CE5">
        <w:t xml:space="preserve"> China has progressively streamlined its clinical trial approval procedures, and recent 2025 reforms establish an expedited 30-working-day review pathway for eligible Class I innovative drugs, representing a significant acceleration relative to the standard 60-working-day implicit approval timeline introduced around 2018–2019 under China’s silent approval mechanism.</w:t>
      </w:r>
      <w:r w:rsidR="00D33434" w:rsidRPr="00DD0CE5">
        <w:rPr>
          <w:rStyle w:val="FootnoteReference"/>
        </w:rPr>
        <w:footnoteReference w:id="47"/>
      </w:r>
      <w:r w:rsidRPr="00DD0CE5">
        <w:t xml:space="preserve"> In the EU/EEA, these longer timelines are driven by several factors, including the Member State with the longest assessment period, limited reliance on existing assessments, and duplication of assessment by the Reference Member State (RMS) and Member States concerned (MSC).</w:t>
      </w:r>
    </w:p>
    <w:p w14:paraId="29F531C4" w14:textId="6D3006C4" w:rsidR="0098187B" w:rsidRDefault="00D33434" w:rsidP="007D2650">
      <w:r w:rsidRPr="00DD0CE5">
        <w:t>Beyond, in situation of public health emergencies, multi-national clinical trials offer the advantage of involving large groups of investigators across different regions, facilitating the achievement of required sample sizes within a shorter timeframe and mitigating the impact of regional or local variations in participant eligibility. However, experience during the COVID-19 pandemic has demonstrated that slow assessment and authorisation of clinical trial applications in the EU/EEA ha</w:t>
      </w:r>
      <w:r w:rsidR="007C1D42">
        <w:t>ve</w:t>
      </w:r>
      <w:r w:rsidRPr="00DD0CE5">
        <w:t xml:space="preserve"> hindered the rapid setup of multinational clinical trials, where timely and scientifically sound decisions are crucial.</w:t>
      </w:r>
    </w:p>
    <w:p w14:paraId="2EBE252B" w14:textId="77777777" w:rsidR="0098187B" w:rsidRPr="00DD0CE5" w:rsidRDefault="0098187B" w:rsidP="007D2650"/>
    <w:p w14:paraId="3DD59240" w14:textId="77777777" w:rsidR="00D33434" w:rsidRPr="00DD0CE5" w:rsidRDefault="00D33434" w:rsidP="007D2650">
      <w:pPr>
        <w:pStyle w:val="ListParagraph"/>
        <w:numPr>
          <w:ilvl w:val="0"/>
          <w:numId w:val="335"/>
        </w:numPr>
        <w:spacing w:after="160" w:line="259" w:lineRule="auto"/>
        <w:ind w:left="720"/>
        <w:jc w:val="left"/>
        <w:rPr>
          <w:i/>
          <w:iCs/>
        </w:rPr>
      </w:pPr>
      <w:r w:rsidRPr="00DD0CE5">
        <w:rPr>
          <w:i/>
          <w:iCs/>
        </w:rPr>
        <w:t>Comparatively higher administrative burdens/costs associated with the clinical trials authorisation process and conduct in clinical trials in the EU/EEA due to a fragmented clinical trial environment and regulatory complexity.</w:t>
      </w:r>
    </w:p>
    <w:p w14:paraId="4558674F" w14:textId="16EA67BE" w:rsidR="00D33434" w:rsidRPr="00DD0CE5" w:rsidRDefault="7D9192DA" w:rsidP="007D2650">
      <w:pPr>
        <w:rPr>
          <w:rFonts w:eastAsia="Times New Roman"/>
        </w:rPr>
      </w:pPr>
      <w:r w:rsidRPr="00DD0CE5">
        <w:t>Within the EU regulatory framework, diverse national systems and intricate administrative requirements add layers of complexity for sponsors, possibly impacting the EU’s ability to remain competitive in the rapidly advancing global pharmaceutical sector.</w:t>
      </w:r>
      <w:r w:rsidR="00D33434" w:rsidRPr="00DD0CE5">
        <w:rPr>
          <w:rStyle w:val="FootnoteReference"/>
        </w:rPr>
        <w:footnoteReference w:id="48"/>
      </w:r>
      <w:r w:rsidRPr="00DD0CE5">
        <w:t xml:space="preserve"> In contrast to the centralised regulatory framework in the US, China, or Australia, the authorisation procedure for multinational clinical trials in the EU requires close coordination and cooperation across multiple Member States. Sponsors for multinational clinical trials currently face increased administrative burden associated with diverging national requirements and approaches, insufficient reliance across Member States in the scientific and ethics reviews contributing to duplicative and complex documentary submission requirements, unpredictable timelines, language translation requirements, and a lack of harmonised personal data protection requirements</w:t>
      </w:r>
      <w:r w:rsidR="00D33434" w:rsidRPr="00DD0CE5">
        <w:rPr>
          <w:rStyle w:val="FootnoteReference"/>
        </w:rPr>
        <w:footnoteReference w:id="49"/>
      </w:r>
      <w:r w:rsidRPr="00DD0CE5">
        <w:t>. Additionally, current regulatory authorisation requirements for postmarketing trials, such as treatment optimisation trials, may impose disproportionate obligations on sponsors, often academics, and thus, hinder trial conduct in the EU, despite the potential for these trials to reduce costs of the public health system</w:t>
      </w:r>
      <w:r w:rsidRPr="00D41540">
        <w:rPr>
          <w:rFonts w:eastAsia="Times New Roman"/>
        </w:rPr>
        <w:t>.</w:t>
      </w:r>
      <w:r w:rsidR="452200CE" w:rsidRPr="00D41540">
        <w:rPr>
          <w:rFonts w:eastAsia="Times New Roman"/>
        </w:rPr>
        <w:t xml:space="preserve"> Compared to </w:t>
      </w:r>
      <w:r w:rsidR="17058E1A" w:rsidRPr="00D41540">
        <w:rPr>
          <w:rFonts w:eastAsia="Times New Roman"/>
        </w:rPr>
        <w:t xml:space="preserve">the EU, other jurisdictions, such as the US and China, </w:t>
      </w:r>
      <w:r w:rsidR="3578F5BB" w:rsidRPr="00D41540">
        <w:rPr>
          <w:rFonts w:eastAsia="Times New Roman"/>
        </w:rPr>
        <w:t xml:space="preserve">show a </w:t>
      </w:r>
      <w:r w:rsidR="3578F5BB" w:rsidRPr="00D41540">
        <w:rPr>
          <w:rFonts w:eastAsia="Times New Roman"/>
        </w:rPr>
        <w:lastRenderedPageBreak/>
        <w:t>higher e</w:t>
      </w:r>
      <w:r w:rsidR="17058E1A" w:rsidRPr="00D41540">
        <w:rPr>
          <w:rFonts w:eastAsia="Times New Roman"/>
          <w:color w:val="000000" w:themeColor="text1"/>
        </w:rPr>
        <w:t>mphasis on earlier-stage development, reflected in its relatively high share of Phase 1 trials, underscoring its central role in early clinical innovation</w:t>
      </w:r>
      <w:r w:rsidRPr="47EEFE60">
        <w:rPr>
          <w:rFonts w:eastAsia="Times New Roman"/>
          <w:color w:val="000000" w:themeColor="text1"/>
          <w:vertAlign w:val="superscript"/>
        </w:rPr>
        <w:footnoteReference w:id="50"/>
      </w:r>
      <w:r w:rsidR="17058E1A" w:rsidRPr="00D41540">
        <w:rPr>
          <w:rFonts w:eastAsia="Times New Roman"/>
          <w:color w:val="000000" w:themeColor="text1"/>
          <w:vertAlign w:val="superscript"/>
        </w:rPr>
        <w:t>.</w:t>
      </w:r>
    </w:p>
    <w:p w14:paraId="390F62B6" w14:textId="54F0127D" w:rsidR="0098187B" w:rsidRDefault="00D33434" w:rsidP="007D2650">
      <w:r w:rsidRPr="00DD0CE5">
        <w:t xml:space="preserve">This regulatory fragmentation is also evident in the uneven distribution of annual clinical trial applications across Member States. Although the majority of clinical trials take place in large-population countries such as France, Germany, Italy, and Poland (see Figure </w:t>
      </w:r>
      <w:r w:rsidR="00CA2145">
        <w:t>9</w:t>
      </w:r>
      <w:r w:rsidRPr="00DD0CE5">
        <w:t xml:space="preserve">a), per-capita figures reveal that some medium-size Member States—including Belgium, Denmark, the Czech Republic, and Austria—exhibit comparatively higher clinical trial activity (Figure </w:t>
      </w:r>
      <w:r w:rsidR="00CA2145">
        <w:t>9</w:t>
      </w:r>
      <w:r w:rsidRPr="00DD0CE5">
        <w:t>b). This uneven distribution points to structural, regulatory inefficiencies and may lead to the underutilisation of population potential for clinical trials in several Member States, highlighting the need for more coordinated policy approaches at EU level.</w:t>
      </w:r>
    </w:p>
    <w:p w14:paraId="05D019FA" w14:textId="77777777" w:rsidR="0098187B" w:rsidRPr="00DD0CE5" w:rsidRDefault="0098187B" w:rsidP="007D2650"/>
    <w:p w14:paraId="2BB8F9CD" w14:textId="399AA762" w:rsidR="00D33434" w:rsidRPr="00DD0CE5" w:rsidRDefault="7D9192DA" w:rsidP="007D2650">
      <w:pPr>
        <w:rPr>
          <w:b/>
        </w:rPr>
      </w:pPr>
      <w:r w:rsidRPr="337FA1CF">
        <w:rPr>
          <w:b/>
          <w:bCs/>
        </w:rPr>
        <w:t xml:space="preserve">Figure </w:t>
      </w:r>
      <w:r w:rsidR="5C9C6BFB" w:rsidRPr="337FA1CF">
        <w:rPr>
          <w:b/>
          <w:bCs/>
        </w:rPr>
        <w:t>9</w:t>
      </w:r>
      <w:r w:rsidR="001E3EB6">
        <w:rPr>
          <w:b/>
          <w:bCs/>
        </w:rPr>
        <w:t xml:space="preserve">. </w:t>
      </w:r>
      <w:r w:rsidRPr="337FA1CF">
        <w:rPr>
          <w:b/>
          <w:bCs/>
        </w:rPr>
        <w:t>Number of clinical trials applications in 2024</w:t>
      </w:r>
      <w:r w:rsidR="00D33434" w:rsidRPr="00DD0CE5">
        <w:rPr>
          <w:rStyle w:val="FootnoteReference"/>
          <w:b/>
          <w:bCs/>
        </w:rPr>
        <w:footnoteReference w:id="51"/>
      </w:r>
    </w:p>
    <w:tbl>
      <w:tblPr>
        <w:tblStyle w:val="TableGrid"/>
        <w:tblW w:w="0" w:type="auto"/>
        <w:tblInd w:w="720" w:type="dxa"/>
        <w:tblLook w:val="04A0" w:firstRow="1" w:lastRow="0" w:firstColumn="1" w:lastColumn="0" w:noHBand="0" w:noVBand="1"/>
      </w:tblPr>
      <w:tblGrid>
        <w:gridCol w:w="3780"/>
        <w:gridCol w:w="4117"/>
      </w:tblGrid>
      <w:tr w:rsidR="00D33434" w:rsidRPr="00DD0CE5" w14:paraId="501E37E3" w14:textId="77777777" w:rsidTr="00A95B1C">
        <w:tc>
          <w:tcPr>
            <w:tcW w:w="4675" w:type="dxa"/>
            <w:tcBorders>
              <w:top w:val="nil"/>
              <w:left w:val="nil"/>
              <w:bottom w:val="nil"/>
              <w:right w:val="nil"/>
            </w:tcBorders>
          </w:tcPr>
          <w:p w14:paraId="7253E597" w14:textId="7D143FC0" w:rsidR="00D33434" w:rsidRPr="00DD0CE5" w:rsidRDefault="00D33434" w:rsidP="007D2650">
            <w:pPr>
              <w:pStyle w:val="ListParagraph"/>
              <w:ind w:left="0"/>
            </w:pPr>
            <w:r w:rsidRPr="00DD0CE5">
              <w:rPr>
                <w:b/>
                <w:bCs/>
                <w:i/>
                <w:iCs/>
              </w:rPr>
              <w:t xml:space="preserve">Figure </w:t>
            </w:r>
            <w:r w:rsidR="00BB1075">
              <w:rPr>
                <w:b/>
                <w:bCs/>
                <w:i/>
                <w:iCs/>
              </w:rPr>
              <w:t>9</w:t>
            </w:r>
            <w:r w:rsidRPr="00DD0CE5">
              <w:rPr>
                <w:b/>
                <w:bCs/>
                <w:i/>
                <w:iCs/>
              </w:rPr>
              <w:t>a</w:t>
            </w:r>
            <w:r w:rsidR="001E3EB6">
              <w:rPr>
                <w:b/>
                <w:bCs/>
                <w:i/>
                <w:iCs/>
              </w:rPr>
              <w:t>.</w:t>
            </w:r>
            <w:r w:rsidR="001E3EB6" w:rsidRPr="004570F2">
              <w:rPr>
                <w:b/>
                <w:i/>
              </w:rPr>
              <w:t xml:space="preserve"> </w:t>
            </w:r>
            <w:r w:rsidRPr="00DD0CE5">
              <w:rPr>
                <w:i/>
                <w:iCs/>
              </w:rPr>
              <w:t>Total number of clinical trials in 2024</w:t>
            </w:r>
          </w:p>
        </w:tc>
        <w:tc>
          <w:tcPr>
            <w:tcW w:w="4675" w:type="dxa"/>
            <w:tcBorders>
              <w:top w:val="nil"/>
              <w:left w:val="nil"/>
              <w:bottom w:val="nil"/>
              <w:right w:val="nil"/>
            </w:tcBorders>
          </w:tcPr>
          <w:p w14:paraId="179BD3EF" w14:textId="0CDEB133" w:rsidR="00D33434" w:rsidRPr="00DD0CE5" w:rsidRDefault="00D33434" w:rsidP="007D2650">
            <w:pPr>
              <w:pStyle w:val="ListParagraph"/>
              <w:ind w:left="0"/>
              <w:rPr>
                <w:b/>
                <w:bCs/>
                <w:i/>
                <w:iCs/>
              </w:rPr>
            </w:pPr>
            <w:r w:rsidRPr="00DD0CE5">
              <w:rPr>
                <w:b/>
                <w:bCs/>
                <w:i/>
                <w:iCs/>
              </w:rPr>
              <w:t xml:space="preserve">Figure </w:t>
            </w:r>
            <w:r w:rsidR="00BB1075">
              <w:rPr>
                <w:b/>
                <w:bCs/>
                <w:i/>
                <w:iCs/>
              </w:rPr>
              <w:t>9</w:t>
            </w:r>
            <w:r w:rsidRPr="00DD0CE5">
              <w:rPr>
                <w:b/>
                <w:bCs/>
                <w:i/>
                <w:iCs/>
              </w:rPr>
              <w:t>b</w:t>
            </w:r>
            <w:r w:rsidR="001E3EB6">
              <w:rPr>
                <w:b/>
                <w:bCs/>
                <w:i/>
                <w:iCs/>
              </w:rPr>
              <w:t xml:space="preserve">. </w:t>
            </w:r>
            <w:r w:rsidRPr="00DD0CE5">
              <w:rPr>
                <w:i/>
                <w:iCs/>
              </w:rPr>
              <w:t>Number of clinical trial applications per 100,000 inhabitants in 2024</w:t>
            </w:r>
          </w:p>
        </w:tc>
      </w:tr>
      <w:tr w:rsidR="00D33434" w:rsidRPr="00DD0CE5" w14:paraId="6F23DE2B" w14:textId="77777777" w:rsidTr="00A95B1C">
        <w:tc>
          <w:tcPr>
            <w:tcW w:w="4675" w:type="dxa"/>
            <w:tcBorders>
              <w:top w:val="nil"/>
              <w:left w:val="nil"/>
              <w:bottom w:val="nil"/>
              <w:right w:val="nil"/>
            </w:tcBorders>
          </w:tcPr>
          <w:p w14:paraId="3252E4EB" w14:textId="77777777" w:rsidR="00D33434" w:rsidRPr="00DD0CE5" w:rsidRDefault="00D33434" w:rsidP="007D2650">
            <w:pPr>
              <w:pStyle w:val="ListParagraph"/>
              <w:ind w:left="0"/>
              <w:rPr>
                <w:u w:val="single"/>
              </w:rPr>
            </w:pPr>
            <w:r w:rsidRPr="00DD0CE5">
              <w:rPr>
                <w:noProof/>
                <w:u w:val="single"/>
              </w:rPr>
              <w:drawing>
                <wp:anchor distT="0" distB="0" distL="114300" distR="114300" simplePos="0" relativeHeight="251658240" behindDoc="0" locked="0" layoutInCell="1" allowOverlap="1" wp14:anchorId="5618EA2B" wp14:editId="14DC666A">
                  <wp:simplePos x="0" y="0"/>
                  <wp:positionH relativeFrom="column">
                    <wp:posOffset>-2540</wp:posOffset>
                  </wp:positionH>
                  <wp:positionV relativeFrom="paragraph">
                    <wp:posOffset>174625</wp:posOffset>
                  </wp:positionV>
                  <wp:extent cx="2512060" cy="2375535"/>
                  <wp:effectExtent l="0" t="0" r="0" b="0"/>
                  <wp:wrapSquare wrapText="bothSides"/>
                  <wp:docPr id="1638356619" name="Picture 1"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68761" name="Picture 1" descr="A map of europe with different colored countries/regions&#10;&#10;AI-generated content may be incorrect."/>
                          <pic:cNvPicPr/>
                        </pic:nvPicPr>
                        <pic:blipFill>
                          <a:blip r:embed="rId56">
                            <a:extLst>
                              <a:ext uri="{28A0092B-C50C-407E-A947-70E740481C1C}">
                                <a14:useLocalDpi xmlns:a14="http://schemas.microsoft.com/office/drawing/2010/main"/>
                              </a:ext>
                            </a:extLst>
                          </a:blip>
                          <a:stretch>
                            <a:fillRect/>
                          </a:stretch>
                        </pic:blipFill>
                        <pic:spPr>
                          <a:xfrm>
                            <a:off x="0" y="0"/>
                            <a:ext cx="2512060" cy="2375535"/>
                          </a:xfrm>
                          <a:prstGeom prst="rect">
                            <a:avLst/>
                          </a:prstGeom>
                        </pic:spPr>
                      </pic:pic>
                    </a:graphicData>
                  </a:graphic>
                  <wp14:sizeRelH relativeFrom="margin">
                    <wp14:pctWidth>0</wp14:pctWidth>
                  </wp14:sizeRelH>
                  <wp14:sizeRelV relativeFrom="margin">
                    <wp14:pctHeight>0</wp14:pctHeight>
                  </wp14:sizeRelV>
                </wp:anchor>
              </w:drawing>
            </w:r>
          </w:p>
        </w:tc>
        <w:tc>
          <w:tcPr>
            <w:tcW w:w="4675" w:type="dxa"/>
            <w:tcBorders>
              <w:top w:val="nil"/>
              <w:left w:val="nil"/>
              <w:bottom w:val="nil"/>
              <w:right w:val="nil"/>
            </w:tcBorders>
          </w:tcPr>
          <w:p w14:paraId="3124E2F7" w14:textId="77777777" w:rsidR="00D33434" w:rsidRPr="00DD0CE5" w:rsidRDefault="00D33434" w:rsidP="007D2650">
            <w:pPr>
              <w:pStyle w:val="ListParagraph"/>
              <w:ind w:left="0"/>
              <w:rPr>
                <w:u w:val="single"/>
              </w:rPr>
            </w:pPr>
            <w:r w:rsidRPr="00DD0CE5">
              <w:rPr>
                <w:noProof/>
              </w:rPr>
              <w:drawing>
                <wp:inline distT="0" distB="0" distL="0" distR="0" wp14:anchorId="6651AE79" wp14:editId="669F3A1C">
                  <wp:extent cx="2750185" cy="2431398"/>
                  <wp:effectExtent l="0" t="0" r="0" b="7620"/>
                  <wp:docPr id="1465486253" name="Picture 1" descr="A map of europe with different colored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29761" name="Picture 1" descr="A map of europe with different colored countries/regions&#10;&#10;AI-generated content may be incorrect."/>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67592" cy="2446787"/>
                          </a:xfrm>
                          <a:prstGeom prst="rect">
                            <a:avLst/>
                          </a:prstGeom>
                          <a:noFill/>
                          <a:ln>
                            <a:noFill/>
                          </a:ln>
                        </pic:spPr>
                      </pic:pic>
                    </a:graphicData>
                  </a:graphic>
                </wp:inline>
              </w:drawing>
            </w:r>
          </w:p>
        </w:tc>
      </w:tr>
    </w:tbl>
    <w:p w14:paraId="4E0EF98D" w14:textId="77777777" w:rsidR="00D33434" w:rsidRPr="00DD0CE5" w:rsidRDefault="00D33434" w:rsidP="007D2650">
      <w:pPr>
        <w:pStyle w:val="Text2"/>
        <w:ind w:left="0"/>
        <w:rPr>
          <w:lang w:val="en-IE"/>
        </w:rPr>
      </w:pPr>
    </w:p>
    <w:p w14:paraId="2F887FA6" w14:textId="31015F88" w:rsidR="00D33434" w:rsidRPr="00E71499" w:rsidRDefault="00D33434" w:rsidP="00E5568D">
      <w:pPr>
        <w:pStyle w:val="Heading3"/>
      </w:pPr>
      <w:bookmarkStart w:id="200" w:name="_Toc225969783"/>
      <w:bookmarkStart w:id="201" w:name="_Toc225979115"/>
      <w:r w:rsidRPr="00E71499">
        <w:t>Advanced Therapeutical Medicinal Products</w:t>
      </w:r>
      <w:r w:rsidR="007E169A" w:rsidRPr="00E71499">
        <w:t xml:space="preserve"> </w:t>
      </w:r>
      <w:r w:rsidRPr="00E71499">
        <w:t>(ATMPs)</w:t>
      </w:r>
      <w:bookmarkEnd w:id="200"/>
      <w:bookmarkEnd w:id="201"/>
    </w:p>
    <w:p w14:paraId="702B2349" w14:textId="07B3B84D" w:rsidR="6372EF99" w:rsidRPr="00D41540" w:rsidRDefault="6372EF99" w:rsidP="007D2650">
      <w:pPr>
        <w:rPr>
          <w:b/>
          <w:bCs/>
        </w:rPr>
      </w:pPr>
      <w:r w:rsidRPr="00D41540">
        <w:rPr>
          <w:b/>
          <w:bCs/>
        </w:rPr>
        <w:t xml:space="preserve">Dual </w:t>
      </w:r>
      <w:r w:rsidR="0054771B">
        <w:rPr>
          <w:b/>
          <w:bCs/>
        </w:rPr>
        <w:t>r</w:t>
      </w:r>
      <w:r w:rsidRPr="00D41540">
        <w:rPr>
          <w:b/>
          <w:bCs/>
        </w:rPr>
        <w:t xml:space="preserve">egulatory </w:t>
      </w:r>
      <w:r w:rsidR="0054771B">
        <w:rPr>
          <w:b/>
          <w:bCs/>
        </w:rPr>
        <w:t>b</w:t>
      </w:r>
      <w:r w:rsidRPr="00D41540">
        <w:rPr>
          <w:b/>
          <w:bCs/>
        </w:rPr>
        <w:t xml:space="preserve">urden for </w:t>
      </w:r>
      <w:r w:rsidR="0054771B">
        <w:rPr>
          <w:b/>
          <w:bCs/>
        </w:rPr>
        <w:t>i</w:t>
      </w:r>
      <w:r w:rsidRPr="00D41540">
        <w:rPr>
          <w:b/>
          <w:bCs/>
        </w:rPr>
        <w:t>nvestigational GMO-ATMPs</w:t>
      </w:r>
    </w:p>
    <w:p w14:paraId="3C960272" w14:textId="37FB25F9" w:rsidR="6372EF99" w:rsidRPr="00D41540" w:rsidRDefault="6372EF99" w:rsidP="007D2650">
      <w:pPr>
        <w:rPr>
          <w:lang w:val="en-IE"/>
        </w:rPr>
      </w:pPr>
      <w:r w:rsidRPr="00D41540">
        <w:rPr>
          <w:lang w:val="en-IE"/>
        </w:rPr>
        <w:t xml:space="preserve">Clinical trials involving investigational ATMPs containing GMOs are currently regulated under both Regulation (EU) No 536/2014 and the GMO legislation, creating a dual regulatory burden. Sponsors must submit both a clinical trial authorisation application and a separate GMO submission, leading to administrative complexity, delays, and increased </w:t>
      </w:r>
      <w:r w:rsidRPr="00D41540">
        <w:rPr>
          <w:lang w:val="en-IE"/>
        </w:rPr>
        <w:lastRenderedPageBreak/>
        <w:t>costs due to varying national GMO dossier requirements across Member States. This fragmented system undermines the competitiveness of EU-based ATMP developers compa</w:t>
      </w:r>
      <w:r w:rsidR="00591BF9">
        <w:rPr>
          <w:lang w:val="en-IE"/>
        </w:rPr>
        <w:t>r</w:t>
      </w:r>
      <w:r w:rsidRPr="00D41540">
        <w:rPr>
          <w:lang w:val="en-IE"/>
        </w:rPr>
        <w:t>ed to US and Asian markets and makes the EU a less attractive location for clinical trials and investments for foreign sponsors.</w:t>
      </w:r>
    </w:p>
    <w:p w14:paraId="4CDCD1AB" w14:textId="37223E24" w:rsidR="6372EF99" w:rsidRPr="00D41540" w:rsidRDefault="6372EF99" w:rsidP="007D2650">
      <w:pPr>
        <w:rPr>
          <w:b/>
          <w:bCs/>
        </w:rPr>
      </w:pPr>
      <w:r w:rsidRPr="00D41540">
        <w:rPr>
          <w:b/>
          <w:bCs/>
        </w:rPr>
        <w:t xml:space="preserve">Recent </w:t>
      </w:r>
      <w:r w:rsidR="0054771B">
        <w:rPr>
          <w:b/>
          <w:bCs/>
        </w:rPr>
        <w:t>p</w:t>
      </w:r>
      <w:r w:rsidRPr="00D41540">
        <w:rPr>
          <w:b/>
          <w:bCs/>
        </w:rPr>
        <w:t xml:space="preserve">rogress </w:t>
      </w:r>
      <w:r w:rsidR="0054771B">
        <w:rPr>
          <w:b/>
          <w:bCs/>
        </w:rPr>
        <w:t>u</w:t>
      </w:r>
      <w:r w:rsidRPr="00D41540">
        <w:rPr>
          <w:b/>
          <w:bCs/>
        </w:rPr>
        <w:t xml:space="preserve">nder the </w:t>
      </w:r>
      <w:r w:rsidR="0054771B">
        <w:rPr>
          <w:b/>
          <w:bCs/>
        </w:rPr>
        <w:t xml:space="preserve">revision of the EU </w:t>
      </w:r>
      <w:r w:rsidR="0054771B" w:rsidRPr="004570F2">
        <w:rPr>
          <w:b/>
        </w:rPr>
        <w:t>p</w:t>
      </w:r>
      <w:r w:rsidRPr="004570F2">
        <w:rPr>
          <w:b/>
        </w:rPr>
        <w:t>harma</w:t>
      </w:r>
      <w:r w:rsidR="0054771B" w:rsidRPr="004570F2">
        <w:rPr>
          <w:b/>
        </w:rPr>
        <w:t>ceutical legislation</w:t>
      </w:r>
    </w:p>
    <w:p w14:paraId="68187865" w14:textId="70652D0A" w:rsidR="6372EF99" w:rsidRPr="00D41540" w:rsidRDefault="6372EF99" w:rsidP="007D2650">
      <w:pPr>
        <w:rPr>
          <w:lang w:val="en-IE"/>
        </w:rPr>
      </w:pPr>
      <w:r w:rsidRPr="00D41540">
        <w:rPr>
          <w:lang w:val="en-IE"/>
        </w:rPr>
        <w:t>The recent</w:t>
      </w:r>
      <w:r w:rsidRPr="00D41540" w:rsidDel="002E5C37">
        <w:rPr>
          <w:lang w:val="en-IE"/>
        </w:rPr>
        <w:t>ly agreed</w:t>
      </w:r>
      <w:r w:rsidRPr="00D41540">
        <w:rPr>
          <w:lang w:val="en-IE"/>
        </w:rPr>
        <w:t xml:space="preserve"> </w:t>
      </w:r>
      <w:r w:rsidR="009B3E58">
        <w:rPr>
          <w:lang w:val="en-IE"/>
        </w:rPr>
        <w:t xml:space="preserve">revision of the </w:t>
      </w:r>
      <w:r w:rsidR="00674206">
        <w:rPr>
          <w:lang w:val="en-IE"/>
        </w:rPr>
        <w:t xml:space="preserve">EU </w:t>
      </w:r>
      <w:r w:rsidRPr="00D41540">
        <w:rPr>
          <w:lang w:val="en-IE"/>
        </w:rPr>
        <w:t>pharmaceutical legislation</w:t>
      </w:r>
      <w:r w:rsidRPr="00D41540" w:rsidDel="00674206">
        <w:rPr>
          <w:lang w:val="en-IE"/>
        </w:rPr>
        <w:t xml:space="preserve"> </w:t>
      </w:r>
      <w:r w:rsidRPr="00D41540">
        <w:rPr>
          <w:lang w:val="en-IE"/>
        </w:rPr>
        <w:t xml:space="preserve">introduces a centralised EU-wide procedure for GMO submissions. It transfers authorisation requirements, including Environmental Risk Assessments (ERAs), from GMO </w:t>
      </w:r>
      <w:r w:rsidR="008C31EE">
        <w:rPr>
          <w:lang w:val="en-IE"/>
        </w:rPr>
        <w:t xml:space="preserve">authorities </w:t>
      </w:r>
      <w:r w:rsidRPr="00D41540">
        <w:rPr>
          <w:lang w:val="en-IE"/>
        </w:rPr>
        <w:t xml:space="preserve">to the EMA and its Committee for Medicinal Products for Human Use (CHMP). </w:t>
      </w:r>
      <w:r w:rsidR="22D049F9" w:rsidRPr="00D41540">
        <w:rPr>
          <w:lang w:val="en-IE"/>
        </w:rPr>
        <w:t>However, the</w:t>
      </w:r>
      <w:r w:rsidR="22D049F9" w:rsidRPr="00D41540" w:rsidDel="00674206">
        <w:rPr>
          <w:lang w:val="en-IE"/>
        </w:rPr>
        <w:t xml:space="preserve"> </w:t>
      </w:r>
      <w:r w:rsidR="00674206">
        <w:rPr>
          <w:lang w:val="en-IE"/>
        </w:rPr>
        <w:t>revision</w:t>
      </w:r>
      <w:r w:rsidR="00674206" w:rsidRPr="00D41540">
        <w:rPr>
          <w:lang w:val="en-IE"/>
        </w:rPr>
        <w:t xml:space="preserve"> </w:t>
      </w:r>
      <w:r w:rsidR="22D049F9" w:rsidRPr="00D41540">
        <w:rPr>
          <w:lang w:val="en-IE"/>
        </w:rPr>
        <w:t xml:space="preserve">does not </w:t>
      </w:r>
      <w:r w:rsidR="00923F19">
        <w:rPr>
          <w:lang w:val="en-IE"/>
        </w:rPr>
        <w:t xml:space="preserve">provide for </w:t>
      </w:r>
      <w:r w:rsidR="22D049F9" w:rsidRPr="00D41540">
        <w:rPr>
          <w:lang w:val="en-IE"/>
        </w:rPr>
        <w:t>risk-based derogations from GMO requirements for specific categories of investigational ATMPs, particularly where EU experience demonstrates negligible environmental risk</w:t>
      </w:r>
      <w:r w:rsidR="004749E7">
        <w:rPr>
          <w:lang w:val="en-IE"/>
        </w:rPr>
        <w:t>.</w:t>
      </w:r>
    </w:p>
    <w:p w14:paraId="0F72E2C3" w14:textId="747DCB0C" w:rsidR="6372EF99" w:rsidRPr="00D41540" w:rsidRDefault="6372EF99" w:rsidP="007D2650">
      <w:pPr>
        <w:rPr>
          <w:b/>
          <w:bCs/>
        </w:rPr>
      </w:pPr>
      <w:r w:rsidRPr="00D41540">
        <w:rPr>
          <w:b/>
          <w:bCs/>
        </w:rPr>
        <w:t xml:space="preserve">Outdated </w:t>
      </w:r>
      <w:r w:rsidR="0054771B">
        <w:rPr>
          <w:b/>
          <w:bCs/>
        </w:rPr>
        <w:t>d</w:t>
      </w:r>
      <w:r w:rsidRPr="00D41540">
        <w:rPr>
          <w:b/>
          <w:bCs/>
        </w:rPr>
        <w:t xml:space="preserve">efinitions </w:t>
      </w:r>
      <w:r w:rsidR="0054771B">
        <w:rPr>
          <w:b/>
          <w:bCs/>
        </w:rPr>
        <w:t>h</w:t>
      </w:r>
      <w:r w:rsidRPr="00D41540">
        <w:rPr>
          <w:b/>
          <w:bCs/>
        </w:rPr>
        <w:t xml:space="preserve">amper </w:t>
      </w:r>
      <w:r w:rsidR="0054771B">
        <w:rPr>
          <w:b/>
          <w:bCs/>
        </w:rPr>
        <w:t>i</w:t>
      </w:r>
      <w:r w:rsidRPr="00D41540">
        <w:rPr>
          <w:b/>
          <w:bCs/>
        </w:rPr>
        <w:t>nnovation</w:t>
      </w:r>
    </w:p>
    <w:p w14:paraId="42A18C88" w14:textId="3AD215F9" w:rsidR="6372EF99" w:rsidRPr="00D41540" w:rsidRDefault="6372EF99" w:rsidP="007D2650">
      <w:pPr>
        <w:rPr>
          <w:lang w:val="en-IE"/>
        </w:rPr>
      </w:pPr>
      <w:r w:rsidRPr="00D41540">
        <w:rPr>
          <w:lang w:val="en-IE"/>
        </w:rPr>
        <w:t>Definitions in the ATMP Regulation (Regulation (EC) No 1394/2007) encompass gene therapy medicinal products, somatic cell therapy medicinal products, and tissue-engineered products (TIEPs). However, scientific and technological advances are outpacing this framework, driving the development of new ATMPs that may challenge existing definitions. The current definition of TIEPs is outdated and fails to capture emerging modalities such as in vivo tissue generation, acellular therapies, and bio-synthetic hybrids</w:t>
      </w:r>
      <w:r w:rsidR="007C1D42">
        <w:rPr>
          <w:lang w:val="en-IE"/>
        </w:rPr>
        <w:t>.</w:t>
      </w:r>
    </w:p>
    <w:p w14:paraId="61E89911" w14:textId="18E3734A" w:rsidR="6372EF99" w:rsidRPr="00D41540" w:rsidRDefault="6372EF99" w:rsidP="007D2650">
      <w:pPr>
        <w:rPr>
          <w:lang w:val="en-IE"/>
        </w:rPr>
      </w:pPr>
      <w:r w:rsidRPr="00D41540">
        <w:rPr>
          <w:lang w:val="en-IE"/>
        </w:rPr>
        <w:t>This leads to regulatory gaps and classification uncertainty, placing EU ATMP developers at a disadvantage compared to jurisdictions with more adaptable regulatory frameworks.</w:t>
      </w:r>
    </w:p>
    <w:p w14:paraId="2DF2ED5D" w14:textId="68CA8EF5" w:rsidR="6372EF99" w:rsidRPr="00D41540" w:rsidRDefault="6372EF99" w:rsidP="007D2650">
      <w:pPr>
        <w:rPr>
          <w:b/>
          <w:bCs/>
        </w:rPr>
      </w:pPr>
      <w:r w:rsidRPr="00D41540">
        <w:rPr>
          <w:b/>
          <w:bCs/>
        </w:rPr>
        <w:t xml:space="preserve">Prolonged </w:t>
      </w:r>
      <w:r w:rsidR="0054771B">
        <w:rPr>
          <w:b/>
          <w:bCs/>
        </w:rPr>
        <w:t>a</w:t>
      </w:r>
      <w:r w:rsidRPr="00D41540">
        <w:rPr>
          <w:b/>
          <w:bCs/>
        </w:rPr>
        <w:t xml:space="preserve">ssessment </w:t>
      </w:r>
      <w:r w:rsidR="0054771B">
        <w:rPr>
          <w:b/>
          <w:bCs/>
        </w:rPr>
        <w:t>t</w:t>
      </w:r>
      <w:r w:rsidRPr="00D41540">
        <w:rPr>
          <w:b/>
          <w:bCs/>
        </w:rPr>
        <w:t>imelines</w:t>
      </w:r>
    </w:p>
    <w:p w14:paraId="33451038" w14:textId="3DDB4C3C" w:rsidR="6372EF99" w:rsidRPr="00D41540" w:rsidRDefault="6372EF99" w:rsidP="007D2650">
      <w:pPr>
        <w:rPr>
          <w:lang w:val="en-IE"/>
        </w:rPr>
      </w:pPr>
      <w:r w:rsidRPr="00D41540">
        <w:rPr>
          <w:lang w:val="en-IE"/>
        </w:rPr>
        <w:t>Under the Clinical Trials Regulation, ATMPs are subject to additional assessment time beyond that for conventional medicinal products. The current rules allow up to 50 extra days for ATMP clinical trial application assessments, with further extensions for substantial modifications. These prolonged and less predictable timelines undermine global competitiveness, as developers in other regions, such as the US, often face shorter assessment periods and can secure earlier market access. Extended timelines also</w:t>
      </w:r>
      <w:r w:rsidR="004749E7">
        <w:rPr>
          <w:lang w:val="en-IE"/>
        </w:rPr>
        <w:t xml:space="preserve"> </w:t>
      </w:r>
      <w:r w:rsidRPr="00D41540">
        <w:rPr>
          <w:lang w:val="en-IE"/>
        </w:rPr>
        <w:t>increase development costs for EU-based companies and delay patient access to potentially curative therapies.</w:t>
      </w:r>
    </w:p>
    <w:p w14:paraId="498F00ED" w14:textId="21085D9C" w:rsidR="6372EF99" w:rsidRPr="00D41540" w:rsidRDefault="6372EF99" w:rsidP="007D2650">
      <w:pPr>
        <w:rPr>
          <w:b/>
          <w:bCs/>
        </w:rPr>
      </w:pPr>
      <w:r w:rsidRPr="00D41540">
        <w:rPr>
          <w:b/>
          <w:bCs/>
        </w:rPr>
        <w:t xml:space="preserve">Consequences of </w:t>
      </w:r>
      <w:r w:rsidR="0054771B">
        <w:rPr>
          <w:b/>
          <w:bCs/>
        </w:rPr>
        <w:t>i</w:t>
      </w:r>
      <w:r w:rsidRPr="00D41540">
        <w:rPr>
          <w:b/>
          <w:bCs/>
        </w:rPr>
        <w:t>naction</w:t>
      </w:r>
    </w:p>
    <w:p w14:paraId="22717470" w14:textId="58FBEBE8" w:rsidR="00D33434" w:rsidRDefault="6372EF99" w:rsidP="007D2650">
      <w:pPr>
        <w:rPr>
          <w:lang w:val="en-IE"/>
        </w:rPr>
      </w:pPr>
      <w:r w:rsidRPr="00D41540">
        <w:rPr>
          <w:lang w:val="en-IE"/>
        </w:rPr>
        <w:t>Without intervention the EU risks falling further behind global competitors in ATMP development, compromising its leadership in this critical sector. This regulatory lag could lead to poorer patient outcomes, increased healthcare costs, and limited access to effective treatments across Europe.</w:t>
      </w:r>
    </w:p>
    <w:p w14:paraId="3CA6DF07" w14:textId="77777777" w:rsidR="00EB7828" w:rsidRPr="004570F2" w:rsidRDefault="00EB7828" w:rsidP="007D2650"/>
    <w:p w14:paraId="758CAF72" w14:textId="4EE46FF6" w:rsidR="00D33434" w:rsidRPr="00DD0CE5" w:rsidRDefault="00D33434" w:rsidP="00E5568D">
      <w:pPr>
        <w:pStyle w:val="Heading3"/>
      </w:pPr>
      <w:bookmarkStart w:id="202" w:name="_Toc225969784"/>
      <w:bookmarkStart w:id="203" w:name="_Toc225979116"/>
      <w:r w:rsidRPr="00DD0CE5">
        <w:lastRenderedPageBreak/>
        <w:t>Veterinary medicine products</w:t>
      </w:r>
      <w:bookmarkEnd w:id="202"/>
      <w:bookmarkEnd w:id="203"/>
    </w:p>
    <w:p w14:paraId="3133A28C" w14:textId="2C2EADB1" w:rsidR="00D33434" w:rsidRPr="00DD0CE5" w:rsidRDefault="00D33434" w:rsidP="007D2650">
      <w:pPr>
        <w:pStyle w:val="ListParagraph"/>
        <w:numPr>
          <w:ilvl w:val="0"/>
          <w:numId w:val="211"/>
        </w:numPr>
        <w:spacing w:after="160" w:line="259" w:lineRule="auto"/>
        <w:ind w:left="720"/>
        <w:jc w:val="left"/>
        <w:rPr>
          <w:rFonts w:eastAsia="Calibri"/>
          <w:i/>
        </w:rPr>
      </w:pPr>
      <w:r w:rsidRPr="00DD0CE5">
        <w:rPr>
          <w:rFonts w:eastAsia="Calibri"/>
          <w:i/>
        </w:rPr>
        <w:t>Duplicative, not-fit-for purpose regulatory framework applicable to veterinary medicinal products that contain or consists of GMOs</w:t>
      </w:r>
    </w:p>
    <w:p w14:paraId="24EFB1B3" w14:textId="15CA1D6B" w:rsidR="00D33434" w:rsidRPr="00DD0CE5" w:rsidRDefault="7D9192DA" w:rsidP="007D2650">
      <w:r w:rsidRPr="00DD0CE5">
        <w:t>Veterinary medicinal products that contain or consist of GMOs, developers are not only required to comply with the Regulation (EU) 2019/6, which</w:t>
      </w:r>
      <w:r>
        <w:t xml:space="preserve"> ensures the safety of veterinary medicinal products as regards the treated animal, the user of the veterinary medicinal product, the consumer (in case of food-producing animals) and the environment</w:t>
      </w:r>
      <w:r w:rsidRPr="00DD0CE5">
        <w:t xml:space="preserve"> but also with </w:t>
      </w:r>
      <w:r>
        <w:t>Union</w:t>
      </w:r>
      <w:r w:rsidRPr="00DD0CE5">
        <w:t xml:space="preserve"> GMO legislation</w:t>
      </w:r>
      <w:r w:rsidR="00D33434" w:rsidRPr="00DD0CE5">
        <w:rPr>
          <w:rStyle w:val="FootnoteReference"/>
        </w:rPr>
        <w:footnoteReference w:id="52"/>
      </w:r>
      <w:r w:rsidRPr="00DD0CE5">
        <w:t xml:space="preserve">, which also aims at ensuring the protection of human </w:t>
      </w:r>
      <w:r w:rsidR="1524BE99">
        <w:t>and animal</w:t>
      </w:r>
      <w:r>
        <w:t xml:space="preserve"> </w:t>
      </w:r>
      <w:r w:rsidRPr="00DD0CE5">
        <w:t>health and the environment. Challenges on the application of the GMO legislation to medicinal products has been consistently identified as a hurdle for the development of novel medicinal products</w:t>
      </w:r>
      <w:r w:rsidR="00D33434" w:rsidRPr="00DD0CE5">
        <w:rPr>
          <w:rStyle w:val="FootnoteReference"/>
        </w:rPr>
        <w:footnoteReference w:id="53"/>
      </w:r>
      <w:r w:rsidRPr="00DD0CE5">
        <w:t>. Actions to address this</w:t>
      </w:r>
      <w:r w:rsidRPr="00DD0CE5" w:rsidDel="00B2682C">
        <w:t xml:space="preserve"> </w:t>
      </w:r>
      <w:r w:rsidRPr="00DD0CE5">
        <w:t>have focused on human medicinal products,</w:t>
      </w:r>
      <w:r w:rsidRPr="00DD0CE5" w:rsidDel="00B2682C">
        <w:t xml:space="preserve"> </w:t>
      </w:r>
      <w:r w:rsidRPr="00DD0CE5">
        <w:t>leaving veterinary products unaddressed.</w:t>
      </w:r>
    </w:p>
    <w:p w14:paraId="1A80D587" w14:textId="3F63BA2C" w:rsidR="00D33434" w:rsidRPr="00DD0CE5" w:rsidRDefault="00D33434" w:rsidP="007D2650">
      <w:r w:rsidRPr="00FC463F">
        <w:rPr>
          <w:b/>
          <w:bCs/>
        </w:rPr>
        <w:t>Clinical trials</w:t>
      </w:r>
      <w:r w:rsidRPr="00DD0CE5">
        <w:t xml:space="preserve"> with veterinary medicinal products containing or consisting of GMOs are subject to a </w:t>
      </w:r>
      <w:r w:rsidRPr="00DD0CE5">
        <w:rPr>
          <w:b/>
        </w:rPr>
        <w:t xml:space="preserve">double authorisation procedure: </w:t>
      </w:r>
      <w:r w:rsidRPr="00DD0CE5">
        <w:t>approval</w:t>
      </w:r>
      <w:r w:rsidRPr="00DD0CE5">
        <w:rPr>
          <w:b/>
        </w:rPr>
        <w:t xml:space="preserve"> </w:t>
      </w:r>
      <w:r w:rsidRPr="00DD0CE5">
        <w:t>by competent authorities responsible for veterinary medicines in accordance with applicable national laws</w:t>
      </w:r>
      <w:r w:rsidR="00813093">
        <w:t xml:space="preserve"> </w:t>
      </w:r>
      <w:r w:rsidRPr="00DD0CE5">
        <w:t xml:space="preserve">and Good Clinical Practice which includes the protection of the environment, and also compliance with the Union GMO legislation. </w:t>
      </w:r>
      <w:r w:rsidRPr="00FC463F">
        <w:rPr>
          <w:bCs/>
        </w:rPr>
        <w:t>The latter has not been designed for veterinary medicinal products,</w:t>
      </w:r>
      <w:r w:rsidRPr="00DD0CE5">
        <w:rPr>
          <w:b/>
        </w:rPr>
        <w:t xml:space="preserve"> </w:t>
      </w:r>
      <w:r w:rsidRPr="00DD0CE5">
        <w:rPr>
          <w:b/>
          <w:bCs/>
        </w:rPr>
        <w:t>resulting in complex</w:t>
      </w:r>
      <w:r w:rsidRPr="00DD0CE5">
        <w:rPr>
          <w:b/>
        </w:rPr>
        <w:t xml:space="preserve"> compliance requirements and </w:t>
      </w:r>
      <w:r w:rsidRPr="00DD0CE5">
        <w:rPr>
          <w:b/>
          <w:bCs/>
        </w:rPr>
        <w:t>delays</w:t>
      </w:r>
      <w:r w:rsidRPr="00DD0CE5">
        <w:t>. Additionally</w:t>
      </w:r>
      <w:r w:rsidRPr="00FC463F">
        <w:rPr>
          <w:b/>
          <w:bCs/>
        </w:rPr>
        <w:t xml:space="preserve">, </w:t>
      </w:r>
      <w:r w:rsidRPr="00B42578">
        <w:rPr>
          <w:b/>
          <w:bCs/>
        </w:rPr>
        <w:t>the GMO legislation is</w:t>
      </w:r>
      <w:r w:rsidRPr="00DD0CE5">
        <w:rPr>
          <w:b/>
        </w:rPr>
        <w:t xml:space="preserve"> not applied in a harmonised way throughout the Union, </w:t>
      </w:r>
      <w:r w:rsidRPr="00FC463F">
        <w:rPr>
          <w:bCs/>
        </w:rPr>
        <w:t xml:space="preserve">leading to an </w:t>
      </w:r>
      <w:r w:rsidRPr="00B42578">
        <w:rPr>
          <w:b/>
        </w:rPr>
        <w:t>unequal level playing field</w:t>
      </w:r>
      <w:r w:rsidRPr="00FC463F">
        <w:rPr>
          <w:bCs/>
        </w:rPr>
        <w:t xml:space="preserve"> for operators across the EU and </w:t>
      </w:r>
      <w:r w:rsidRPr="00B42578">
        <w:rPr>
          <w:b/>
        </w:rPr>
        <w:t>increased costs and time</w:t>
      </w:r>
      <w:r w:rsidRPr="00FC463F">
        <w:rPr>
          <w:bCs/>
        </w:rPr>
        <w:t xml:space="preserve"> for multinational trials</w:t>
      </w:r>
      <w:r w:rsidRPr="00DD0CE5">
        <w:t>.</w:t>
      </w:r>
    </w:p>
    <w:p w14:paraId="5B8C6A0B" w14:textId="77777777" w:rsidR="00D33434" w:rsidRPr="00DD0CE5" w:rsidRDefault="00D33434" w:rsidP="007D2650">
      <w:r w:rsidRPr="00DD0CE5">
        <w:t xml:space="preserve">For </w:t>
      </w:r>
      <w:r w:rsidRPr="00DD0CE5">
        <w:rPr>
          <w:b/>
          <w:bCs/>
        </w:rPr>
        <w:t xml:space="preserve">marketing </w:t>
      </w:r>
      <w:r w:rsidRPr="00DD0CE5">
        <w:rPr>
          <w:b/>
        </w:rPr>
        <w:t>authorisation</w:t>
      </w:r>
      <w:r w:rsidRPr="00DD0CE5">
        <w:t xml:space="preserve"> of such products, applicants must include technical documentation and an environmental risk assessment in accordance with Directive 2001/18/EC. The content of this technical file does not account for the specific characteristics of veterinary medicinal products and overlaps with other parts of the marketing authorisation application. Moreover, competent authorities under Regulation (EU) 2019/6 are required to hold consultations with competent authorities under Directive 2001/18/EC. Experience shows that these consultations increase burden for the assessors of marketing authorisation applications and can be challenging in case of accelerated procedures. </w:t>
      </w:r>
    </w:p>
    <w:p w14:paraId="34CD0535" w14:textId="6FE9F549" w:rsidR="00D33434" w:rsidRPr="00DD0CE5" w:rsidRDefault="7D9192DA" w:rsidP="007D2650">
      <w:pPr>
        <w:rPr>
          <w:lang w:val="en-IE"/>
        </w:rPr>
      </w:pPr>
      <w:r w:rsidRPr="00DD0CE5">
        <w:t xml:space="preserve">Additionally, the </w:t>
      </w:r>
      <w:r w:rsidRPr="00FD09C8">
        <w:rPr>
          <w:b/>
          <w:bCs/>
        </w:rPr>
        <w:t>lack of legal certainty on the status of animals</w:t>
      </w:r>
      <w:r w:rsidRPr="004570F2">
        <w:rPr>
          <w:b/>
        </w:rPr>
        <w:t xml:space="preserve"> that are treated with certain novel biological veterinary medicinal products</w:t>
      </w:r>
      <w:r w:rsidRPr="00DD0CE5">
        <w:t xml:space="preserve"> can deter the use thereof. While the GMO legislation specifically excludes that humans treated with medicinal products are regarded as GMOs, clarification as regards the legal status of animals that are administered medicinal products does not currently exist in Union legislation.</w:t>
      </w:r>
    </w:p>
    <w:p w14:paraId="384D9A98" w14:textId="77777777" w:rsidR="00D33434" w:rsidRPr="00DD0CE5" w:rsidRDefault="00D33434" w:rsidP="007D2650">
      <w:pPr>
        <w:pStyle w:val="ListParagraph"/>
        <w:numPr>
          <w:ilvl w:val="0"/>
          <w:numId w:val="211"/>
        </w:numPr>
        <w:spacing w:after="160" w:line="259" w:lineRule="auto"/>
        <w:ind w:left="720"/>
        <w:jc w:val="left"/>
        <w:rPr>
          <w:i/>
        </w:rPr>
      </w:pPr>
      <w:r w:rsidRPr="00DD0CE5">
        <w:rPr>
          <w:i/>
        </w:rPr>
        <w:t>Disproportionate administrative burden of the handling of variations non requiring assessment</w:t>
      </w:r>
    </w:p>
    <w:p w14:paraId="143098FB" w14:textId="05D75B9B" w:rsidR="00D33434" w:rsidRPr="00DD0CE5" w:rsidRDefault="00D33434" w:rsidP="007D2650">
      <w:r w:rsidRPr="00DD0CE5">
        <w:rPr>
          <w:b/>
        </w:rPr>
        <w:lastRenderedPageBreak/>
        <w:t>Variations</w:t>
      </w:r>
      <w:r w:rsidRPr="00DD0CE5">
        <w:t xml:space="preserve"> to the </w:t>
      </w:r>
      <w:r w:rsidR="00985998">
        <w:t>marketing</w:t>
      </w:r>
      <w:r w:rsidR="00985998" w:rsidRPr="00DD0CE5">
        <w:t xml:space="preserve"> </w:t>
      </w:r>
      <w:r w:rsidRPr="00DD0CE5">
        <w:t xml:space="preserve">authorisation happen routinely during the life-cycle of any medicinal product; the number of variations being typically higher for biological veterinary medicinal products. Regulation (EU) 2019/6 created the category of variations not requiring assessment. This category of variations was established with a view to reduce administrative burden, allowing notification of changes without formal procedure or cost. </w:t>
      </w:r>
    </w:p>
    <w:p w14:paraId="27698DE8" w14:textId="77777777" w:rsidR="00D33434" w:rsidRPr="00DD0CE5" w:rsidRDefault="00D33434" w:rsidP="007D2650">
      <w:pPr>
        <w:rPr>
          <w:b/>
        </w:rPr>
      </w:pPr>
      <w:r w:rsidRPr="00DD0CE5">
        <w:t xml:space="preserve">Experience with the implementation of the Regulation shows that this objective has not been achieved. The obligation to </w:t>
      </w:r>
      <w:r w:rsidRPr="00DD0CE5">
        <w:rPr>
          <w:b/>
        </w:rPr>
        <w:t>notify</w:t>
      </w:r>
      <w:r w:rsidRPr="00DD0CE5">
        <w:t xml:space="preserve"> all variations non requiring assessment within 30 days has led to an overall increase in the number of notifications by marketing authorisation holders, thus </w:t>
      </w:r>
      <w:r w:rsidRPr="00DD0CE5">
        <w:rPr>
          <w:b/>
          <w:bCs/>
        </w:rPr>
        <w:t>increasing administrative burden for operators</w:t>
      </w:r>
      <w:r w:rsidRPr="00DD0CE5">
        <w:t xml:space="preserve">. The obligation for competent authorities to record the rejection or approval of the variation resulted in the </w:t>
      </w:r>
      <w:r w:rsidRPr="00DD0CE5">
        <w:rPr>
          <w:b/>
        </w:rPr>
        <w:t>assessment</w:t>
      </w:r>
      <w:r w:rsidRPr="00DD0CE5">
        <w:t xml:space="preserve"> by competent authorities of the submission, leading to </w:t>
      </w:r>
      <w:r w:rsidRPr="00DD0CE5">
        <w:rPr>
          <w:b/>
          <w:bCs/>
        </w:rPr>
        <w:t>administrative burden also for public authorities</w:t>
      </w:r>
      <w:r w:rsidRPr="00DD0CE5">
        <w:t xml:space="preserve">. In some Member States the confirmation by the authority is associated with </w:t>
      </w:r>
      <w:r w:rsidRPr="00DD0CE5">
        <w:rPr>
          <w:b/>
        </w:rPr>
        <w:t>a fee</w:t>
      </w:r>
      <w:r w:rsidRPr="00DD0CE5">
        <w:t>, further increasing for operators</w:t>
      </w:r>
      <w:r w:rsidRPr="004570F2">
        <w:t>.</w:t>
      </w:r>
    </w:p>
    <w:p w14:paraId="4D1C26FC" w14:textId="77777777" w:rsidR="00114E45" w:rsidRPr="00DD0CE5" w:rsidRDefault="00114E45" w:rsidP="007D2650">
      <w:pPr>
        <w:pStyle w:val="ListParagraph"/>
        <w:numPr>
          <w:ilvl w:val="0"/>
          <w:numId w:val="211"/>
        </w:numPr>
        <w:spacing w:after="160" w:line="259" w:lineRule="auto"/>
        <w:ind w:left="720"/>
        <w:jc w:val="left"/>
        <w:rPr>
          <w:i/>
        </w:rPr>
      </w:pPr>
      <w:r w:rsidRPr="00DD0CE5">
        <w:rPr>
          <w:i/>
        </w:rPr>
        <w:t>Future innovation</w:t>
      </w:r>
    </w:p>
    <w:p w14:paraId="4C1064CB" w14:textId="77777777" w:rsidR="00114E45" w:rsidRDefault="00114E45" w:rsidP="007D2650">
      <w:r w:rsidRPr="00DD0CE5">
        <w:t>Regulatory</w:t>
      </w:r>
      <w:r w:rsidRPr="00DD0CE5">
        <w:rPr>
          <w:lang w:val="en-IE"/>
        </w:rPr>
        <w:t xml:space="preserve"> uncertainty represents a serious hurdle to the marketing or use of novel technologies, methods or products. W</w:t>
      </w:r>
      <w:r w:rsidRPr="00DD0CE5">
        <w:t>hile advances in biotechnology enable the development of novel concepts, this innovation may never reach the market due to the lack a clear regulatory framework which secures access to the Union market. While regulatory sandboxes have been proposed for human medicine and in other areas, no such framework exists for animal healthcare, which would deter the development of new technologies, methods or products in</w:t>
      </w:r>
      <w:r w:rsidRPr="00DD0CE5" w:rsidDel="00635D76">
        <w:t xml:space="preserve"> </w:t>
      </w:r>
      <w:r w:rsidRPr="00DD0CE5">
        <w:t>the EU.</w:t>
      </w:r>
    </w:p>
    <w:p w14:paraId="2BF79205" w14:textId="7D73E069" w:rsidR="00114E45" w:rsidRPr="004570F2" w:rsidRDefault="00114E45" w:rsidP="007D2650">
      <w:pPr>
        <w:pStyle w:val="ListParagraph"/>
        <w:numPr>
          <w:ilvl w:val="0"/>
          <w:numId w:val="211"/>
        </w:numPr>
        <w:spacing w:after="160" w:line="259" w:lineRule="auto"/>
        <w:ind w:left="720"/>
        <w:jc w:val="left"/>
        <w:rPr>
          <w:i/>
        </w:rPr>
      </w:pPr>
      <w:r w:rsidRPr="004570F2">
        <w:rPr>
          <w:i/>
        </w:rPr>
        <w:t>Regulatory protection</w:t>
      </w:r>
    </w:p>
    <w:p w14:paraId="53A98E3A" w14:textId="77777777" w:rsidR="00114E45" w:rsidRPr="003B0CDF" w:rsidRDefault="00114E45" w:rsidP="007D2650">
      <w:r w:rsidRPr="00AA72DC">
        <w:t>The regulatory protection for biological VMPs comprises two strong distinct and interacting approaches: regulatory data protection (Articles 39-40 of Regulation 2019/6) and intellectual property (IP) protection (patents and Supplementary Protection Certificates (SPCs) under Regulation (EC) No 469/2009).</w:t>
      </w:r>
    </w:p>
    <w:p w14:paraId="2AC21AB1" w14:textId="49732A8F" w:rsidR="00114E45" w:rsidRDefault="00114E45" w:rsidP="007D2650">
      <w:r w:rsidRPr="00AA72DC">
        <w:t>Nevertheless, the veterinary pharmaceutical market presents distinctive challenges for innovation</w:t>
      </w:r>
      <w:r w:rsidR="00985998">
        <w:t xml:space="preserve">, such as </w:t>
      </w:r>
      <w:r w:rsidRPr="00AA72DC">
        <w:t xml:space="preserve">fragmented species-specific markets, low prices, a small overall market size. </w:t>
      </w:r>
    </w:p>
    <w:p w14:paraId="128DD2F7" w14:textId="6E3E7D46" w:rsidR="00D33434" w:rsidRPr="00DD0CE5" w:rsidRDefault="00114E45" w:rsidP="008C74CE">
      <w:r w:rsidRPr="00AA72DC">
        <w:t>In this context,</w:t>
      </w:r>
      <w:r w:rsidRPr="003B0CDF">
        <w:t xml:space="preserve"> </w:t>
      </w:r>
      <w:r w:rsidRPr="00AA72DC">
        <w:t>there is a need for enhanced incentives as a way of supporting the development of biotech VMPs to diagnose, treat or prevent zoonotic diseases.</w:t>
      </w:r>
    </w:p>
    <w:p w14:paraId="65E3046D" w14:textId="77777777" w:rsidR="00D33434" w:rsidRPr="00DD0CE5" w:rsidRDefault="00D33434" w:rsidP="00E5568D">
      <w:pPr>
        <w:pStyle w:val="Heading3"/>
      </w:pPr>
      <w:bookmarkStart w:id="204" w:name="_Toc225969785"/>
      <w:bookmarkStart w:id="205" w:name="_Toc225979117"/>
      <w:r w:rsidRPr="00DD0CE5">
        <w:t>Novel health biotechnologies</w:t>
      </w:r>
      <w:bookmarkEnd w:id="204"/>
      <w:bookmarkEnd w:id="205"/>
    </w:p>
    <w:p w14:paraId="512DBA5D" w14:textId="77777777" w:rsidR="00D33434" w:rsidRPr="00DD0CE5" w:rsidRDefault="00D33434" w:rsidP="007D2650">
      <w:pPr>
        <w:pStyle w:val="ListParagraph"/>
        <w:numPr>
          <w:ilvl w:val="0"/>
          <w:numId w:val="175"/>
        </w:numPr>
        <w:spacing w:after="160" w:line="259" w:lineRule="auto"/>
        <w:ind w:left="720"/>
        <w:jc w:val="left"/>
        <w:rPr>
          <w:i/>
        </w:rPr>
      </w:pPr>
      <w:r w:rsidRPr="00DD0CE5">
        <w:rPr>
          <w:i/>
        </w:rPr>
        <w:t>Union legislative frameworks not adapted to complex and hybrid emerging health biotechnology products</w:t>
      </w:r>
    </w:p>
    <w:p w14:paraId="625369C9" w14:textId="76CC5240" w:rsidR="00D33434" w:rsidRPr="00DD0CE5" w:rsidRDefault="00D33434" w:rsidP="007D2650">
      <w:r>
        <w:t xml:space="preserve">While existing </w:t>
      </w:r>
      <w:r w:rsidR="00396C99">
        <w:t xml:space="preserve">EU </w:t>
      </w:r>
      <w:r>
        <w:t>regulatory frameworks in the health area (including recent or forthcoming revisions) ensure a high level of health and safety protection</w:t>
      </w:r>
      <w:r w:rsidDel="00526F5F">
        <w:t xml:space="preserve">, </w:t>
      </w:r>
      <w:r w:rsidR="00526F5F">
        <w:t>t</w:t>
      </w:r>
      <w:r w:rsidRPr="00DD0CE5">
        <w:t xml:space="preserve">hese frameworks operate largely in silos, each addressing specific product categories with insufficient flexibility. </w:t>
      </w:r>
      <w:r>
        <w:t xml:space="preserve">In practice developers </w:t>
      </w:r>
      <w:r w:rsidR="00526F5F">
        <w:t xml:space="preserve">of </w:t>
      </w:r>
      <w:r w:rsidR="00526F5F" w:rsidRPr="00DD0CE5">
        <w:t>complex and hybrid emerging novel health biotechnology products</w:t>
      </w:r>
      <w:r w:rsidR="00526F5F">
        <w:t xml:space="preserve"> </w:t>
      </w:r>
      <w:r>
        <w:t xml:space="preserve">must navigate several regulatory frameworks, </w:t>
      </w:r>
      <w:r w:rsidR="00C652E1">
        <w:t>including</w:t>
      </w:r>
      <w:r>
        <w:t xml:space="preserve"> their specific differing logic, evidence </w:t>
      </w:r>
      <w:r w:rsidR="00DF0E61">
        <w:t xml:space="preserve">requirements </w:t>
      </w:r>
      <w:r>
        <w:t xml:space="preserve">and language. This is a particular </w:t>
      </w:r>
      <w:r>
        <w:lastRenderedPageBreak/>
        <w:t xml:space="preserve">challenge for smaller companies, often start-ups working on a breakthrough product, as they lack the regulatory expertise and resources to optimally navigate regulatory options. </w:t>
      </w:r>
      <w:r w:rsidRPr="004570F2">
        <w:rPr>
          <w:b/>
        </w:rPr>
        <w:t>Current mechanisms for addressing complexities related to the novelty of health biotechnology products focus on individual products on a case-by-case basis, without structural cross-framework dialogue on emerging innovation</w:t>
      </w:r>
      <w:r w:rsidRPr="00DD0CE5">
        <w:t>. This reactive, product-specific approach lacks systematic coordination across Union legislative frameworks and prevents regulators from identifying patterns, preparing for emerging innovations, and developing consistent approaches. Without horizontal foresight and structured horizon-scanning activities, regulators remain perpetually reactive rather than proactive, and therefore less efficient than they could be.</w:t>
      </w:r>
    </w:p>
    <w:p w14:paraId="350E225B" w14:textId="5EF4AC80" w:rsidR="00D33434" w:rsidRDefault="00D33434" w:rsidP="007D2650">
      <w:r>
        <w:t xml:space="preserve">It is also </w:t>
      </w:r>
      <w:r w:rsidR="00AE3FBC">
        <w:t xml:space="preserve">cannot be excluded </w:t>
      </w:r>
      <w:r w:rsidR="009255A9">
        <w:t xml:space="preserve">that </w:t>
      </w:r>
      <w:r w:rsidR="00E3236E">
        <w:t>in the future</w:t>
      </w:r>
      <w:r>
        <w:t xml:space="preserve"> innovative health biotech products </w:t>
      </w:r>
      <w:r w:rsidR="00E3236E">
        <w:t>may</w:t>
      </w:r>
      <w:r w:rsidR="00D02565">
        <w:t xml:space="preserve"> not </w:t>
      </w:r>
      <w:r w:rsidR="00677702">
        <w:t xml:space="preserve">find fully suitable regulatory pathways </w:t>
      </w:r>
      <w:r>
        <w:t xml:space="preserve">in the existing </w:t>
      </w:r>
      <w:r w:rsidR="00E3236E">
        <w:t xml:space="preserve">EU legal </w:t>
      </w:r>
      <w:r>
        <w:t>frameworks, including the regulatory sandboxes foreseen in those frameworks, resulting in products getting ‘stuck’ in the system.</w:t>
      </w:r>
    </w:p>
    <w:p w14:paraId="7A48CAD5" w14:textId="77777777" w:rsidR="00D33434" w:rsidRDefault="00D33434" w:rsidP="007D2650">
      <w:r>
        <w:t>Taken together, these elements lower the perceived innovation-friendliness of the EU regulatory system, making the EU less attractive for cutting edge research, investments in breakthrough innovation, and as an early launch market for complex but clinically impactful products.</w:t>
      </w:r>
    </w:p>
    <w:p w14:paraId="559A3C0C" w14:textId="77777777" w:rsidR="00D33434" w:rsidRPr="00DD0CE5" w:rsidRDefault="00D33434" w:rsidP="007D2650">
      <w:pPr>
        <w:pStyle w:val="ListParagraph"/>
        <w:numPr>
          <w:ilvl w:val="0"/>
          <w:numId w:val="175"/>
        </w:numPr>
        <w:spacing w:after="160" w:line="259" w:lineRule="auto"/>
        <w:ind w:left="720"/>
        <w:jc w:val="left"/>
        <w:rPr>
          <w:i/>
        </w:rPr>
      </w:pPr>
      <w:r w:rsidRPr="00DD0CE5">
        <w:rPr>
          <w:i/>
        </w:rPr>
        <w:t>Lack of legal certainty on products classification and evaluation</w:t>
      </w:r>
    </w:p>
    <w:p w14:paraId="18FE7D24" w14:textId="77777777" w:rsidR="00D33434" w:rsidRPr="00DD0CE5" w:rsidRDefault="00D33434" w:rsidP="007D2650">
      <w:r w:rsidRPr="00DD0CE5">
        <w:t>Developers, particularly smaller entities, also lack easy access to consolidated information about available regulatory options and guidance, and on how similar products have been classified and evaluated under various frameworks. While opinions, recommendations, and decisions exist, they are not systematically compiled or made accessible in a way that enables developers and authorities to learn from precedents and ensure consistency. Especially for SMEs, start-ups, and scale-ups, there is a significant gap in regulatory expertise. These entities often cannot afford dedicated regulatory affairs specialists and struggle to understand which frameworks apply, what adaptations might be needed, and how to efficiently navigate procedures.</w:t>
      </w:r>
    </w:p>
    <w:p w14:paraId="76138D51" w14:textId="74BFD295" w:rsidR="00D33434" w:rsidRPr="00DD0CE5" w:rsidRDefault="00D33434" w:rsidP="00E5568D">
      <w:pPr>
        <w:pStyle w:val="Heading3"/>
      </w:pPr>
      <w:bookmarkStart w:id="206" w:name="_Toc225969786"/>
      <w:bookmarkStart w:id="207" w:name="_Toc225979118"/>
      <w:r w:rsidRPr="00DD0CE5">
        <w:t>Biosimilars</w:t>
      </w:r>
      <w:bookmarkEnd w:id="206"/>
      <w:bookmarkEnd w:id="207"/>
    </w:p>
    <w:p w14:paraId="72FF49E0" w14:textId="64810BCF" w:rsidR="4E26AC25" w:rsidRDefault="00D33434" w:rsidP="007D2650">
      <w:r>
        <w:t xml:space="preserve">The current EU regulatory framework for biosimilars </w:t>
      </w:r>
      <w:r w:rsidR="750CD960">
        <w:t xml:space="preserve">can </w:t>
      </w:r>
      <w:r w:rsidR="4904ED07">
        <w:t>includ</w:t>
      </w:r>
      <w:r w:rsidR="6DD345EC">
        <w:t xml:space="preserve">e unnecessary, </w:t>
      </w:r>
      <w:r>
        <w:t xml:space="preserve">lengthy </w:t>
      </w:r>
      <w:r w:rsidR="5891F776">
        <w:t>and</w:t>
      </w:r>
      <w:r>
        <w:t xml:space="preserve"> </w:t>
      </w:r>
      <w:r w:rsidR="5891F776">
        <w:t xml:space="preserve">costly </w:t>
      </w:r>
      <w:r>
        <w:t xml:space="preserve">multi-country </w:t>
      </w:r>
      <w:r w:rsidR="59C22667">
        <w:t xml:space="preserve">clinical </w:t>
      </w:r>
      <w:r>
        <w:t xml:space="preserve">trials. </w:t>
      </w:r>
      <w:r w:rsidR="3892911F">
        <w:t>A tailored development approach, where</w:t>
      </w:r>
      <w:r w:rsidR="17BDF968">
        <w:t xml:space="preserve"> </w:t>
      </w:r>
      <w:r w:rsidR="27093E0B">
        <w:t>robust analytical and in vitro characterisation reduce clinical data requirements without compromising quality, safety, or efficacy—could accelerate approvals, as also being considered by the U.S. Food and Drug Administration.</w:t>
      </w:r>
    </w:p>
    <w:p w14:paraId="40592DEF" w14:textId="13CCE4CB" w:rsidR="4E26AC25" w:rsidRDefault="67775F01" w:rsidP="007D2650">
      <w:pPr>
        <w:rPr>
          <w:rFonts w:eastAsia="Times New Roman"/>
          <w:color w:val="000000" w:themeColor="text1"/>
          <w:lang w:val="en-IE"/>
        </w:rPr>
      </w:pPr>
      <w:r w:rsidRPr="0E1EF736">
        <w:rPr>
          <w:rFonts w:eastAsia="Times New Roman"/>
          <w:color w:val="000000" w:themeColor="text1"/>
          <w:lang w:val="en-IE"/>
        </w:rPr>
        <w:t xml:space="preserve">Biosimilar development currently entails costs of approximately </w:t>
      </w:r>
      <w:r w:rsidR="009759C3" w:rsidRPr="5DA36055">
        <w:rPr>
          <w:rFonts w:eastAsia="Times New Roman"/>
          <w:color w:val="000000" w:themeColor="text1"/>
          <w:lang w:val="en-IE"/>
        </w:rPr>
        <w:t>EUR 85.5</w:t>
      </w:r>
      <w:r w:rsidRPr="0E1EF736">
        <w:rPr>
          <w:rFonts w:eastAsia="Times New Roman"/>
          <w:color w:val="000000" w:themeColor="text1"/>
          <w:lang w:val="en-IE"/>
        </w:rPr>
        <w:t>–</w:t>
      </w:r>
      <w:r w:rsidR="000B4A07" w:rsidRPr="5DA36055">
        <w:rPr>
          <w:rFonts w:eastAsia="Times New Roman"/>
          <w:color w:val="000000" w:themeColor="text1"/>
          <w:lang w:val="en-IE"/>
        </w:rPr>
        <w:t xml:space="preserve">256 </w:t>
      </w:r>
      <w:r w:rsidRPr="0E1EF736">
        <w:rPr>
          <w:rFonts w:eastAsia="Times New Roman"/>
          <w:color w:val="000000" w:themeColor="text1"/>
          <w:lang w:val="en-IE"/>
        </w:rPr>
        <w:t>million and timelines of 6–9 years</w:t>
      </w:r>
      <w:r w:rsidR="4E26AC25" w:rsidRPr="10ECFBC3">
        <w:rPr>
          <w:rStyle w:val="FootnoteReference"/>
          <w:rFonts w:eastAsia="Times New Roman"/>
          <w:color w:val="000000" w:themeColor="text1"/>
        </w:rPr>
        <w:footnoteReference w:id="54"/>
      </w:r>
      <w:r w:rsidR="00F240CE" w:rsidRPr="00F240CE">
        <w:rPr>
          <w:rFonts w:eastAsia="Times New Roman"/>
          <w:color w:val="000000" w:themeColor="text1"/>
          <w:vertAlign w:val="superscript"/>
          <w:lang w:val="en-IE"/>
        </w:rPr>
        <w:t xml:space="preserve">, </w:t>
      </w:r>
      <w:r w:rsidR="4E26AC25" w:rsidRPr="00BA0DC4">
        <w:rPr>
          <w:rFonts w:eastAsia="Times New Roman"/>
          <w:color w:val="000000" w:themeColor="text1"/>
          <w:vertAlign w:val="superscript"/>
        </w:rPr>
        <w:footnoteReference w:id="55"/>
      </w:r>
      <w:r w:rsidRPr="0E1EF736">
        <w:rPr>
          <w:rFonts w:eastAsia="Times New Roman"/>
          <w:color w:val="000000" w:themeColor="text1"/>
        </w:rPr>
        <w:t xml:space="preserve"> Europe is the leading region for biosimilar clinical trials </w:t>
      </w:r>
      <w:r w:rsidRPr="0E1EF736">
        <w:rPr>
          <w:rFonts w:eastAsia="Times New Roman"/>
          <w:color w:val="000000" w:themeColor="text1"/>
        </w:rPr>
        <w:lastRenderedPageBreak/>
        <w:t>with 83 trials conducted between 2020–202 and roughly EUR 0.7 billion with 71</w:t>
      </w:r>
      <w:r w:rsidR="006856C2">
        <w:rPr>
          <w:rFonts w:eastAsia="Times New Roman"/>
          <w:color w:val="000000" w:themeColor="text1"/>
        </w:rPr>
        <w:t>%</w:t>
      </w:r>
      <w:r w:rsidRPr="00D41540">
        <w:rPr>
          <w:rFonts w:eastAsia="Times New Roman"/>
          <w:color w:val="000000" w:themeColor="text1"/>
        </w:rPr>
        <w:t xml:space="preserve"> allocated to </w:t>
      </w:r>
      <w:r w:rsidR="46271A97" w:rsidRPr="5DA36055">
        <w:rPr>
          <w:rFonts w:eastAsia="Times New Roman"/>
          <w:color w:val="000000" w:themeColor="text1"/>
        </w:rPr>
        <w:t>comparative efficacy studies (</w:t>
      </w:r>
      <w:r w:rsidRPr="00D41540">
        <w:rPr>
          <w:rFonts w:eastAsia="Times New Roman"/>
          <w:color w:val="000000" w:themeColor="text1"/>
        </w:rPr>
        <w:t>CES</w:t>
      </w:r>
      <w:r w:rsidR="620AE998" w:rsidRPr="5DA36055">
        <w:rPr>
          <w:rFonts w:eastAsia="Times New Roman"/>
          <w:color w:val="000000" w:themeColor="text1"/>
        </w:rPr>
        <w:t>)</w:t>
      </w:r>
      <w:r w:rsidRPr="00D41540">
        <w:rPr>
          <w:rFonts w:eastAsia="Times New Roman"/>
          <w:color w:val="000000" w:themeColor="text1"/>
        </w:rPr>
        <w:t xml:space="preserve">.  </w:t>
      </w:r>
    </w:p>
    <w:p w14:paraId="7D39ECF3" w14:textId="7A283A52" w:rsidR="57F1879C" w:rsidRPr="004570F2" w:rsidRDefault="67775F01" w:rsidP="004570F2">
      <w:pPr>
        <w:rPr>
          <w:color w:val="000000" w:themeColor="text1"/>
          <w:lang w:val="en-IE"/>
        </w:rPr>
      </w:pPr>
      <w:r w:rsidRPr="00D41540">
        <w:rPr>
          <w:rFonts w:eastAsia="Times New Roman"/>
          <w:color w:val="000000" w:themeColor="text1"/>
          <w:lang w:val="en-IE"/>
        </w:rPr>
        <w:t xml:space="preserve">Regulatory practice has already begun to evolve toward a risk-based approach. </w:t>
      </w:r>
      <w:r w:rsidRPr="00D41540">
        <w:rPr>
          <w:rFonts w:eastAsia="Times New Roman"/>
          <w:color w:val="000000" w:themeColor="text1"/>
        </w:rPr>
        <w:t>For well-characterised, simpler products with accepted pharmacodynamic biomarkers the EMA has accepted PK/PD-based clinical packages without Phase III CES for many years. From the EMA Medicines Database, 41 of 151 authorised biosimilars (27.2</w:t>
      </w:r>
      <w:r w:rsidR="006856C2">
        <w:rPr>
          <w:rFonts w:eastAsia="Times New Roman"/>
          <w:color w:val="000000" w:themeColor="text1"/>
        </w:rPr>
        <w:t>%</w:t>
      </w:r>
      <w:r w:rsidRPr="00D41540">
        <w:rPr>
          <w:rFonts w:eastAsia="Times New Roman"/>
          <w:color w:val="000000" w:themeColor="text1"/>
        </w:rPr>
        <w:t>) are simple biologics in this category</w:t>
      </w:r>
      <w:r w:rsidR="40060A34" w:rsidRPr="57F1879C">
        <w:rPr>
          <w:rFonts w:eastAsia="Times New Roman"/>
          <w:color w:val="000000" w:themeColor="text1"/>
        </w:rPr>
        <w:t>, but in the past 3 years, their share fell to below 10</w:t>
      </w:r>
      <w:r w:rsidR="006856C2">
        <w:rPr>
          <w:rFonts w:eastAsia="Times New Roman"/>
          <w:color w:val="000000" w:themeColor="text1"/>
        </w:rPr>
        <w:t>%</w:t>
      </w:r>
      <w:r w:rsidR="773FA754" w:rsidRPr="00D41540">
        <w:rPr>
          <w:rFonts w:eastAsia="Times New Roman"/>
          <w:color w:val="000000" w:themeColor="text1"/>
        </w:rPr>
        <w:t>.</w:t>
      </w:r>
      <w:r w:rsidR="4E26AC25" w:rsidRPr="0E1EF736">
        <w:rPr>
          <w:rStyle w:val="FootnoteReference"/>
          <w:rFonts w:eastAsia="Times New Roman"/>
          <w:color w:val="000000" w:themeColor="text1"/>
          <w:lang w:val="en-IE"/>
        </w:rPr>
        <w:footnoteReference w:id="56"/>
      </w:r>
      <w:r w:rsidR="773FA754" w:rsidRPr="00D41540">
        <w:rPr>
          <w:rFonts w:eastAsia="Times New Roman"/>
          <w:color w:val="000000" w:themeColor="text1"/>
          <w:lang w:val="en-IE"/>
        </w:rPr>
        <w:t>.</w:t>
      </w:r>
      <w:r w:rsidRPr="00D41540">
        <w:rPr>
          <w:rFonts w:eastAsia="Times New Roman"/>
          <w:color w:val="000000" w:themeColor="text1"/>
          <w:lang w:val="en-IE"/>
        </w:rPr>
        <w:t xml:space="preserve"> </w:t>
      </w:r>
      <w:r w:rsidRPr="00D41540">
        <w:rPr>
          <w:rFonts w:eastAsia="Times New Roman"/>
          <w:color w:val="000000" w:themeColor="text1"/>
        </w:rPr>
        <w:t>For monoclonal antibodies and fusion proteins, Phase III CES with clinical efficacy endpoints was included in 100</w:t>
      </w:r>
      <w:r w:rsidR="006856C2">
        <w:rPr>
          <w:rFonts w:eastAsia="Times New Roman"/>
          <w:color w:val="000000" w:themeColor="text1"/>
        </w:rPr>
        <w:t>%</w:t>
      </w:r>
      <w:r w:rsidRPr="00D41540">
        <w:rPr>
          <w:rFonts w:eastAsia="Times New Roman"/>
          <w:color w:val="000000" w:themeColor="text1"/>
        </w:rPr>
        <w:t xml:space="preserve"> of the 36 MAAs evaluated by EMA between July 2012 and November 2022</w:t>
      </w:r>
      <w:r w:rsidR="4E26AC25" w:rsidRPr="004570F2">
        <w:rPr>
          <w:color w:val="000000" w:themeColor="text1"/>
          <w:vertAlign w:val="superscript"/>
        </w:rPr>
        <w:footnoteReference w:id="57"/>
      </w:r>
      <w:r w:rsidRPr="00D41540">
        <w:rPr>
          <w:rFonts w:eastAsia="Times New Roman"/>
          <w:color w:val="000000" w:themeColor="text1"/>
        </w:rPr>
        <w:t>. H</w:t>
      </w:r>
      <w:r w:rsidRPr="00D41540">
        <w:rPr>
          <w:rFonts w:eastAsia="Times New Roman"/>
          <w:color w:val="000000" w:themeColor="text1"/>
          <w:lang w:val="en-IE"/>
        </w:rPr>
        <w:t>owever, evidence shows that negative regulatory outcomes were linked to quality deficiencies rather than clinical efficacy results, indicating that CES has had limited regulatory impact in determining approval outcomes</w:t>
      </w:r>
      <w:r w:rsidR="4E26AC25" w:rsidRPr="0E1EF736">
        <w:rPr>
          <w:rStyle w:val="FootnoteReference"/>
          <w:rFonts w:eastAsia="Times New Roman"/>
          <w:color w:val="000000" w:themeColor="text1"/>
          <w:lang w:val="en-IE"/>
        </w:rPr>
        <w:footnoteReference w:id="58"/>
      </w:r>
      <w:r w:rsidRPr="0E1EF736">
        <w:rPr>
          <w:rFonts w:eastAsia="Times New Roman"/>
          <w:color w:val="000000" w:themeColor="text1"/>
          <w:lang w:val="en-IE"/>
        </w:rPr>
        <w:t>.</w:t>
      </w:r>
      <w:r w:rsidR="7503ABA4" w:rsidRPr="57F1879C">
        <w:rPr>
          <w:rFonts w:eastAsia="Times New Roman"/>
          <w:color w:val="000000" w:themeColor="text1"/>
          <w:lang w:val="en-IE"/>
        </w:rPr>
        <w:t xml:space="preserve"> </w:t>
      </w:r>
    </w:p>
    <w:p w14:paraId="5442380F" w14:textId="12E87BC1" w:rsidR="4386884A" w:rsidRPr="00D41540" w:rsidRDefault="4386884A" w:rsidP="007D2650">
      <w:pPr>
        <w:spacing w:before="60" w:after="60"/>
        <w:ind w:left="-54"/>
        <w:rPr>
          <w:rFonts w:ascii="Palatino Linotype" w:eastAsia="Palatino Linotype" w:hAnsi="Palatino Linotype" w:cs="Palatino Linotype"/>
          <w:b/>
          <w:bCs/>
          <w:color w:val="000000" w:themeColor="text1"/>
          <w:sz w:val="18"/>
          <w:szCs w:val="18"/>
          <w:u w:val="single"/>
        </w:rPr>
      </w:pPr>
      <w:r w:rsidRPr="00D41540">
        <w:rPr>
          <w:rFonts w:eastAsia="Arial" w:cs="Arial"/>
          <w:b/>
          <w:bCs/>
        </w:rPr>
        <w:t xml:space="preserve">Table </w:t>
      </w:r>
      <w:r w:rsidR="00C146A0">
        <w:rPr>
          <w:rFonts w:eastAsia="Arial" w:cs="Arial"/>
          <w:b/>
          <w:bCs/>
        </w:rPr>
        <w:t>1</w:t>
      </w:r>
      <w:r w:rsidR="001E3EB6">
        <w:rPr>
          <w:rFonts w:eastAsia="Arial" w:cs="Arial"/>
          <w:b/>
          <w:bCs/>
        </w:rPr>
        <w:t xml:space="preserve">. </w:t>
      </w:r>
      <w:r w:rsidRPr="00D41540">
        <w:rPr>
          <w:rFonts w:eastAsia="Arial" w:cs="Arial"/>
          <w:b/>
          <w:bCs/>
        </w:rPr>
        <w:t>The EMA Medicines Database records the following biosimilar CHMP opinions per year, disaggregated by molecule type:</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8"/>
        <w:gridCol w:w="728"/>
        <w:gridCol w:w="729"/>
        <w:gridCol w:w="729"/>
        <w:gridCol w:w="752"/>
        <w:gridCol w:w="729"/>
        <w:gridCol w:w="752"/>
        <w:gridCol w:w="729"/>
        <w:gridCol w:w="729"/>
        <w:gridCol w:w="1221"/>
      </w:tblGrid>
      <w:tr w:rsidR="00BB182A" w:rsidRPr="00B632A8" w14:paraId="5530FD1D" w14:textId="77777777" w:rsidTr="002B00FB">
        <w:trPr>
          <w:trHeight w:val="144"/>
        </w:trPr>
        <w:tc>
          <w:tcPr>
            <w:tcW w:w="1761" w:type="dxa"/>
            <w:tcMar>
              <w:top w:w="60" w:type="dxa"/>
              <w:left w:w="100" w:type="dxa"/>
              <w:bottom w:w="60" w:type="dxa"/>
              <w:right w:w="100" w:type="dxa"/>
            </w:tcMar>
          </w:tcPr>
          <w:p w14:paraId="0F98872C" w14:textId="77777777" w:rsidR="57F1879C" w:rsidRPr="004570F2" w:rsidRDefault="57F1879C" w:rsidP="007D2650">
            <w:pPr>
              <w:spacing w:before="30" w:after="30"/>
            </w:pPr>
          </w:p>
        </w:tc>
        <w:tc>
          <w:tcPr>
            <w:tcW w:w="797" w:type="dxa"/>
            <w:tcMar>
              <w:top w:w="60" w:type="dxa"/>
              <w:left w:w="100" w:type="dxa"/>
              <w:bottom w:w="60" w:type="dxa"/>
              <w:right w:w="100" w:type="dxa"/>
            </w:tcMar>
          </w:tcPr>
          <w:p w14:paraId="16F91570" w14:textId="77777777" w:rsidR="57F1879C" w:rsidRPr="004570F2" w:rsidRDefault="57F1879C" w:rsidP="007D2650">
            <w:pPr>
              <w:spacing w:before="30" w:after="30"/>
              <w:rPr>
                <w:b/>
                <w:sz w:val="17"/>
              </w:rPr>
            </w:pPr>
            <w:r w:rsidRPr="004570F2">
              <w:rPr>
                <w:b/>
                <w:sz w:val="17"/>
              </w:rPr>
              <w:t>2018</w:t>
            </w:r>
          </w:p>
        </w:tc>
        <w:tc>
          <w:tcPr>
            <w:tcW w:w="798" w:type="dxa"/>
            <w:tcMar>
              <w:top w:w="60" w:type="dxa"/>
              <w:left w:w="100" w:type="dxa"/>
              <w:bottom w:w="60" w:type="dxa"/>
              <w:right w:w="100" w:type="dxa"/>
            </w:tcMar>
          </w:tcPr>
          <w:p w14:paraId="2FF1361A" w14:textId="77777777" w:rsidR="57F1879C" w:rsidRPr="004570F2" w:rsidRDefault="57F1879C" w:rsidP="007D2650">
            <w:pPr>
              <w:spacing w:before="30" w:after="30"/>
              <w:rPr>
                <w:b/>
                <w:sz w:val="17"/>
              </w:rPr>
            </w:pPr>
            <w:r w:rsidRPr="004570F2">
              <w:rPr>
                <w:b/>
                <w:sz w:val="17"/>
              </w:rPr>
              <w:t>2019</w:t>
            </w:r>
          </w:p>
        </w:tc>
        <w:tc>
          <w:tcPr>
            <w:tcW w:w="798" w:type="dxa"/>
            <w:tcMar>
              <w:top w:w="60" w:type="dxa"/>
              <w:left w:w="100" w:type="dxa"/>
              <w:bottom w:w="60" w:type="dxa"/>
              <w:right w:w="100" w:type="dxa"/>
            </w:tcMar>
          </w:tcPr>
          <w:p w14:paraId="0A6FF077" w14:textId="77777777" w:rsidR="57F1879C" w:rsidRPr="004570F2" w:rsidRDefault="57F1879C" w:rsidP="007D2650">
            <w:pPr>
              <w:spacing w:before="30" w:after="30"/>
              <w:rPr>
                <w:b/>
                <w:sz w:val="17"/>
              </w:rPr>
            </w:pPr>
            <w:r w:rsidRPr="004570F2">
              <w:rPr>
                <w:b/>
                <w:sz w:val="17"/>
              </w:rPr>
              <w:t>2020</w:t>
            </w:r>
          </w:p>
        </w:tc>
        <w:tc>
          <w:tcPr>
            <w:tcW w:w="809" w:type="dxa"/>
            <w:tcMar>
              <w:top w:w="60" w:type="dxa"/>
              <w:left w:w="100" w:type="dxa"/>
              <w:bottom w:w="60" w:type="dxa"/>
              <w:right w:w="100" w:type="dxa"/>
            </w:tcMar>
          </w:tcPr>
          <w:p w14:paraId="3AF6F46B" w14:textId="77777777" w:rsidR="57F1879C" w:rsidRPr="004570F2" w:rsidRDefault="57F1879C" w:rsidP="007D2650">
            <w:pPr>
              <w:spacing w:before="30" w:after="30"/>
              <w:rPr>
                <w:b/>
                <w:sz w:val="17"/>
              </w:rPr>
            </w:pPr>
            <w:r w:rsidRPr="004570F2">
              <w:rPr>
                <w:b/>
                <w:sz w:val="17"/>
              </w:rPr>
              <w:t>2021</w:t>
            </w:r>
          </w:p>
        </w:tc>
        <w:tc>
          <w:tcPr>
            <w:tcW w:w="798" w:type="dxa"/>
            <w:tcMar>
              <w:top w:w="60" w:type="dxa"/>
              <w:left w:w="100" w:type="dxa"/>
              <w:bottom w:w="60" w:type="dxa"/>
              <w:right w:w="100" w:type="dxa"/>
            </w:tcMar>
          </w:tcPr>
          <w:p w14:paraId="6A98A857" w14:textId="77777777" w:rsidR="57F1879C" w:rsidRPr="004570F2" w:rsidRDefault="57F1879C" w:rsidP="007D2650">
            <w:pPr>
              <w:spacing w:before="30" w:after="30"/>
              <w:rPr>
                <w:b/>
                <w:sz w:val="17"/>
              </w:rPr>
            </w:pPr>
            <w:r w:rsidRPr="004570F2">
              <w:rPr>
                <w:b/>
                <w:sz w:val="17"/>
              </w:rPr>
              <w:t>2022</w:t>
            </w:r>
          </w:p>
        </w:tc>
        <w:tc>
          <w:tcPr>
            <w:tcW w:w="809" w:type="dxa"/>
            <w:tcMar>
              <w:top w:w="60" w:type="dxa"/>
              <w:left w:w="100" w:type="dxa"/>
              <w:bottom w:w="60" w:type="dxa"/>
              <w:right w:w="100" w:type="dxa"/>
            </w:tcMar>
          </w:tcPr>
          <w:p w14:paraId="5411BC5E" w14:textId="77777777" w:rsidR="57F1879C" w:rsidRPr="004570F2" w:rsidRDefault="57F1879C" w:rsidP="007D2650">
            <w:pPr>
              <w:spacing w:before="30" w:after="30"/>
              <w:rPr>
                <w:b/>
                <w:sz w:val="17"/>
              </w:rPr>
            </w:pPr>
            <w:r w:rsidRPr="004570F2">
              <w:rPr>
                <w:b/>
                <w:sz w:val="17"/>
              </w:rPr>
              <w:t>2023</w:t>
            </w:r>
          </w:p>
        </w:tc>
        <w:tc>
          <w:tcPr>
            <w:tcW w:w="798" w:type="dxa"/>
            <w:tcMar>
              <w:top w:w="60" w:type="dxa"/>
              <w:left w:w="100" w:type="dxa"/>
              <w:bottom w:w="60" w:type="dxa"/>
              <w:right w:w="100" w:type="dxa"/>
            </w:tcMar>
          </w:tcPr>
          <w:p w14:paraId="048BDC11" w14:textId="77777777" w:rsidR="57F1879C" w:rsidRPr="004570F2" w:rsidRDefault="57F1879C" w:rsidP="007D2650">
            <w:pPr>
              <w:spacing w:before="30" w:after="30"/>
              <w:rPr>
                <w:b/>
                <w:sz w:val="17"/>
              </w:rPr>
            </w:pPr>
            <w:r w:rsidRPr="004570F2">
              <w:rPr>
                <w:b/>
                <w:sz w:val="17"/>
              </w:rPr>
              <w:t>2024</w:t>
            </w:r>
          </w:p>
        </w:tc>
        <w:tc>
          <w:tcPr>
            <w:tcW w:w="798" w:type="dxa"/>
            <w:tcMar>
              <w:top w:w="60" w:type="dxa"/>
              <w:left w:w="100" w:type="dxa"/>
              <w:bottom w:w="60" w:type="dxa"/>
              <w:right w:w="100" w:type="dxa"/>
            </w:tcMar>
          </w:tcPr>
          <w:p w14:paraId="3DC26AC0" w14:textId="77777777" w:rsidR="57F1879C" w:rsidRPr="004570F2" w:rsidRDefault="57F1879C" w:rsidP="007D2650">
            <w:pPr>
              <w:spacing w:before="30" w:after="30"/>
              <w:rPr>
                <w:b/>
                <w:sz w:val="17"/>
              </w:rPr>
            </w:pPr>
            <w:r w:rsidRPr="004570F2">
              <w:rPr>
                <w:b/>
                <w:sz w:val="17"/>
              </w:rPr>
              <w:t>2025</w:t>
            </w:r>
          </w:p>
        </w:tc>
        <w:tc>
          <w:tcPr>
            <w:tcW w:w="1435" w:type="dxa"/>
            <w:tcMar>
              <w:top w:w="60" w:type="dxa"/>
              <w:left w:w="100" w:type="dxa"/>
              <w:bottom w:w="60" w:type="dxa"/>
              <w:right w:w="100" w:type="dxa"/>
            </w:tcMar>
          </w:tcPr>
          <w:p w14:paraId="6AEC87B1" w14:textId="77777777" w:rsidR="57F1879C" w:rsidRPr="004570F2" w:rsidRDefault="57F1879C" w:rsidP="007D2650">
            <w:pPr>
              <w:spacing w:before="30" w:after="30"/>
              <w:rPr>
                <w:b/>
                <w:sz w:val="17"/>
              </w:rPr>
            </w:pPr>
            <w:r w:rsidRPr="004570F2">
              <w:rPr>
                <w:b/>
                <w:sz w:val="17"/>
              </w:rPr>
              <w:t>Cum. Total</w:t>
            </w:r>
          </w:p>
        </w:tc>
      </w:tr>
      <w:tr w:rsidR="57F1879C" w:rsidRPr="00B632A8" w14:paraId="2D34E51E" w14:textId="77777777" w:rsidTr="004570F2">
        <w:trPr>
          <w:trHeight w:val="144"/>
        </w:trPr>
        <w:tc>
          <w:tcPr>
            <w:tcW w:w="1761" w:type="dxa"/>
            <w:tcMar>
              <w:top w:w="60" w:type="dxa"/>
              <w:left w:w="100" w:type="dxa"/>
              <w:bottom w:w="60" w:type="dxa"/>
              <w:right w:w="100" w:type="dxa"/>
            </w:tcMar>
          </w:tcPr>
          <w:p w14:paraId="4FE800CC" w14:textId="77777777" w:rsidR="57F1879C" w:rsidRPr="00B632A8" w:rsidRDefault="57F1879C" w:rsidP="007D2650">
            <w:pPr>
              <w:spacing w:before="30" w:after="30"/>
            </w:pPr>
            <w:r w:rsidRPr="57F1879C">
              <w:rPr>
                <w:rFonts w:eastAsia="Arial" w:cs="Arial"/>
                <w:sz w:val="17"/>
                <w:szCs w:val="17"/>
              </w:rPr>
              <w:t>Total opinions</w:t>
            </w:r>
          </w:p>
        </w:tc>
        <w:tc>
          <w:tcPr>
            <w:tcW w:w="797" w:type="dxa"/>
            <w:tcMar>
              <w:top w:w="60" w:type="dxa"/>
              <w:left w:w="100" w:type="dxa"/>
              <w:bottom w:w="60" w:type="dxa"/>
              <w:right w:w="100" w:type="dxa"/>
            </w:tcMar>
          </w:tcPr>
          <w:p w14:paraId="28091DB7" w14:textId="77777777" w:rsidR="57F1879C" w:rsidRPr="00B632A8" w:rsidRDefault="57F1879C" w:rsidP="007D2650">
            <w:pPr>
              <w:spacing w:before="30" w:after="30"/>
            </w:pPr>
            <w:r w:rsidRPr="57F1879C">
              <w:rPr>
                <w:rFonts w:eastAsia="Arial" w:cs="Arial"/>
                <w:sz w:val="17"/>
                <w:szCs w:val="17"/>
              </w:rPr>
              <w:t>13</w:t>
            </w:r>
          </w:p>
        </w:tc>
        <w:tc>
          <w:tcPr>
            <w:tcW w:w="798" w:type="dxa"/>
            <w:tcMar>
              <w:top w:w="60" w:type="dxa"/>
              <w:left w:w="100" w:type="dxa"/>
              <w:bottom w:w="60" w:type="dxa"/>
              <w:right w:w="100" w:type="dxa"/>
            </w:tcMar>
          </w:tcPr>
          <w:p w14:paraId="58BE4363" w14:textId="77777777" w:rsidR="57F1879C" w:rsidRPr="00B632A8" w:rsidRDefault="57F1879C" w:rsidP="007D2650">
            <w:pPr>
              <w:spacing w:before="30" w:after="30"/>
            </w:pPr>
            <w:r w:rsidRPr="57F1879C">
              <w:rPr>
                <w:rFonts w:eastAsia="Arial" w:cs="Arial"/>
                <w:sz w:val="17"/>
                <w:szCs w:val="17"/>
              </w:rPr>
              <w:t>4</w:t>
            </w:r>
          </w:p>
        </w:tc>
        <w:tc>
          <w:tcPr>
            <w:tcW w:w="798" w:type="dxa"/>
            <w:tcMar>
              <w:top w:w="60" w:type="dxa"/>
              <w:left w:w="100" w:type="dxa"/>
              <w:bottom w:w="60" w:type="dxa"/>
              <w:right w:w="100" w:type="dxa"/>
            </w:tcMar>
          </w:tcPr>
          <w:p w14:paraId="11AE136E" w14:textId="77777777" w:rsidR="57F1879C" w:rsidRPr="00B632A8" w:rsidRDefault="57F1879C" w:rsidP="007D2650">
            <w:pPr>
              <w:spacing w:before="30" w:after="30"/>
            </w:pPr>
            <w:r w:rsidRPr="57F1879C">
              <w:rPr>
                <w:rFonts w:eastAsia="Arial" w:cs="Arial"/>
                <w:sz w:val="17"/>
                <w:szCs w:val="17"/>
              </w:rPr>
              <w:t>9</w:t>
            </w:r>
          </w:p>
        </w:tc>
        <w:tc>
          <w:tcPr>
            <w:tcW w:w="809" w:type="dxa"/>
            <w:tcMar>
              <w:top w:w="60" w:type="dxa"/>
              <w:left w:w="100" w:type="dxa"/>
              <w:bottom w:w="60" w:type="dxa"/>
              <w:right w:w="100" w:type="dxa"/>
            </w:tcMar>
          </w:tcPr>
          <w:p w14:paraId="48CB56EA" w14:textId="77777777" w:rsidR="57F1879C" w:rsidRPr="00B632A8" w:rsidRDefault="57F1879C" w:rsidP="007D2650">
            <w:pPr>
              <w:spacing w:before="30" w:after="30"/>
            </w:pPr>
            <w:r w:rsidRPr="57F1879C">
              <w:rPr>
                <w:rFonts w:eastAsia="Arial" w:cs="Arial"/>
                <w:sz w:val="17"/>
                <w:szCs w:val="17"/>
              </w:rPr>
              <w:t>6</w:t>
            </w:r>
          </w:p>
        </w:tc>
        <w:tc>
          <w:tcPr>
            <w:tcW w:w="798" w:type="dxa"/>
            <w:tcMar>
              <w:top w:w="60" w:type="dxa"/>
              <w:left w:w="100" w:type="dxa"/>
              <w:bottom w:w="60" w:type="dxa"/>
              <w:right w:w="100" w:type="dxa"/>
            </w:tcMar>
          </w:tcPr>
          <w:p w14:paraId="36175EDE" w14:textId="77777777" w:rsidR="57F1879C" w:rsidRPr="00B632A8" w:rsidRDefault="57F1879C" w:rsidP="007D2650">
            <w:pPr>
              <w:spacing w:before="30" w:after="30"/>
            </w:pPr>
            <w:r w:rsidRPr="57F1879C">
              <w:rPr>
                <w:rFonts w:eastAsia="Arial" w:cs="Arial"/>
                <w:sz w:val="17"/>
                <w:szCs w:val="17"/>
              </w:rPr>
              <w:t>7</w:t>
            </w:r>
          </w:p>
        </w:tc>
        <w:tc>
          <w:tcPr>
            <w:tcW w:w="809" w:type="dxa"/>
            <w:tcMar>
              <w:top w:w="60" w:type="dxa"/>
              <w:left w:w="100" w:type="dxa"/>
              <w:bottom w:w="60" w:type="dxa"/>
              <w:right w:w="100" w:type="dxa"/>
            </w:tcMar>
          </w:tcPr>
          <w:p w14:paraId="3F6E7D3E" w14:textId="77777777" w:rsidR="57F1879C" w:rsidRPr="00B632A8" w:rsidRDefault="57F1879C" w:rsidP="007D2650">
            <w:pPr>
              <w:spacing w:before="30" w:after="30"/>
            </w:pPr>
            <w:r w:rsidRPr="57F1879C">
              <w:rPr>
                <w:rFonts w:eastAsia="Arial" w:cs="Arial"/>
                <w:sz w:val="17"/>
                <w:szCs w:val="17"/>
              </w:rPr>
              <w:t>8</w:t>
            </w:r>
          </w:p>
        </w:tc>
        <w:tc>
          <w:tcPr>
            <w:tcW w:w="798" w:type="dxa"/>
            <w:tcMar>
              <w:top w:w="60" w:type="dxa"/>
              <w:left w:w="100" w:type="dxa"/>
              <w:bottom w:w="60" w:type="dxa"/>
              <w:right w:w="100" w:type="dxa"/>
            </w:tcMar>
          </w:tcPr>
          <w:p w14:paraId="0F9F15AB" w14:textId="77777777" w:rsidR="57F1879C" w:rsidRPr="00B632A8" w:rsidRDefault="57F1879C" w:rsidP="007D2650">
            <w:pPr>
              <w:spacing w:before="30" w:after="30"/>
            </w:pPr>
            <w:r w:rsidRPr="57F1879C">
              <w:rPr>
                <w:rFonts w:eastAsia="Arial" w:cs="Arial"/>
                <w:sz w:val="17"/>
                <w:szCs w:val="17"/>
              </w:rPr>
              <w:t>25</w:t>
            </w:r>
          </w:p>
        </w:tc>
        <w:tc>
          <w:tcPr>
            <w:tcW w:w="798" w:type="dxa"/>
            <w:tcMar>
              <w:top w:w="60" w:type="dxa"/>
              <w:left w:w="100" w:type="dxa"/>
              <w:bottom w:w="60" w:type="dxa"/>
              <w:right w:w="100" w:type="dxa"/>
            </w:tcMar>
          </w:tcPr>
          <w:p w14:paraId="0ABC1824" w14:textId="77777777" w:rsidR="57F1879C" w:rsidRPr="00B632A8" w:rsidRDefault="57F1879C" w:rsidP="007D2650">
            <w:pPr>
              <w:spacing w:before="30" w:after="30"/>
            </w:pPr>
            <w:r w:rsidRPr="57F1879C">
              <w:rPr>
                <w:rFonts w:eastAsia="Arial" w:cs="Arial"/>
                <w:sz w:val="17"/>
                <w:szCs w:val="17"/>
              </w:rPr>
              <w:t>40</w:t>
            </w:r>
          </w:p>
        </w:tc>
        <w:tc>
          <w:tcPr>
            <w:tcW w:w="1435" w:type="dxa"/>
            <w:tcMar>
              <w:top w:w="60" w:type="dxa"/>
              <w:left w:w="100" w:type="dxa"/>
              <w:bottom w:w="60" w:type="dxa"/>
              <w:right w:w="100" w:type="dxa"/>
            </w:tcMar>
          </w:tcPr>
          <w:p w14:paraId="7963B641" w14:textId="77777777" w:rsidR="57F1879C" w:rsidRPr="00B632A8" w:rsidRDefault="57F1879C" w:rsidP="007D2650">
            <w:pPr>
              <w:spacing w:before="80" w:after="80"/>
            </w:pPr>
            <w:r w:rsidRPr="57F1879C">
              <w:rPr>
                <w:rFonts w:eastAsia="Arial" w:cs="Arial"/>
                <w:b/>
                <w:sz w:val="17"/>
                <w:szCs w:val="17"/>
              </w:rPr>
              <w:t>151</w:t>
            </w:r>
          </w:p>
        </w:tc>
      </w:tr>
      <w:tr w:rsidR="57F1879C" w:rsidRPr="00B632A8" w14:paraId="3754CB58" w14:textId="77777777" w:rsidTr="004570F2">
        <w:trPr>
          <w:trHeight w:val="144"/>
        </w:trPr>
        <w:tc>
          <w:tcPr>
            <w:tcW w:w="1761" w:type="dxa"/>
            <w:tcMar>
              <w:top w:w="60" w:type="dxa"/>
              <w:left w:w="100" w:type="dxa"/>
              <w:bottom w:w="60" w:type="dxa"/>
              <w:right w:w="100" w:type="dxa"/>
            </w:tcMar>
          </w:tcPr>
          <w:p w14:paraId="60D05B05" w14:textId="77777777" w:rsidR="57F1879C" w:rsidRPr="00B632A8" w:rsidRDefault="57F1879C" w:rsidP="007D2650">
            <w:pPr>
              <w:spacing w:before="30" w:after="30"/>
            </w:pPr>
            <w:r w:rsidRPr="57F1879C">
              <w:rPr>
                <w:rFonts w:eastAsia="Arial" w:cs="Arial"/>
                <w:sz w:val="17"/>
                <w:szCs w:val="17"/>
              </w:rPr>
              <w:t>Simple biologics</w:t>
            </w:r>
          </w:p>
        </w:tc>
        <w:tc>
          <w:tcPr>
            <w:tcW w:w="797" w:type="dxa"/>
            <w:tcMar>
              <w:top w:w="60" w:type="dxa"/>
              <w:left w:w="100" w:type="dxa"/>
              <w:bottom w:w="60" w:type="dxa"/>
              <w:right w:w="100" w:type="dxa"/>
            </w:tcMar>
          </w:tcPr>
          <w:p w14:paraId="04C84D20" w14:textId="77777777" w:rsidR="57F1879C" w:rsidRPr="00B632A8" w:rsidRDefault="57F1879C" w:rsidP="007D2650">
            <w:pPr>
              <w:spacing w:before="30" w:after="30"/>
            </w:pPr>
            <w:r w:rsidRPr="57F1879C">
              <w:rPr>
                <w:rFonts w:eastAsia="Arial" w:cs="Arial"/>
                <w:sz w:val="17"/>
                <w:szCs w:val="17"/>
              </w:rPr>
              <w:t>5</w:t>
            </w:r>
          </w:p>
        </w:tc>
        <w:tc>
          <w:tcPr>
            <w:tcW w:w="798" w:type="dxa"/>
            <w:tcMar>
              <w:top w:w="60" w:type="dxa"/>
              <w:left w:w="100" w:type="dxa"/>
              <w:bottom w:w="60" w:type="dxa"/>
              <w:right w:w="100" w:type="dxa"/>
            </w:tcMar>
          </w:tcPr>
          <w:p w14:paraId="76270B30" w14:textId="77777777" w:rsidR="57F1879C" w:rsidRPr="00B632A8" w:rsidRDefault="57F1879C" w:rsidP="007D2650">
            <w:pPr>
              <w:spacing w:before="30" w:after="30"/>
            </w:pPr>
            <w:r w:rsidRPr="57F1879C">
              <w:rPr>
                <w:rFonts w:eastAsia="Arial" w:cs="Arial"/>
                <w:sz w:val="17"/>
                <w:szCs w:val="17"/>
              </w:rPr>
              <w:t>2</w:t>
            </w:r>
          </w:p>
        </w:tc>
        <w:tc>
          <w:tcPr>
            <w:tcW w:w="798" w:type="dxa"/>
            <w:tcMar>
              <w:top w:w="60" w:type="dxa"/>
              <w:left w:w="100" w:type="dxa"/>
              <w:bottom w:w="60" w:type="dxa"/>
              <w:right w:w="100" w:type="dxa"/>
            </w:tcMar>
          </w:tcPr>
          <w:p w14:paraId="33A98ED0" w14:textId="77777777" w:rsidR="57F1879C" w:rsidRPr="00B632A8" w:rsidRDefault="57F1879C" w:rsidP="007D2650">
            <w:pPr>
              <w:spacing w:before="30" w:after="30"/>
            </w:pPr>
            <w:r w:rsidRPr="57F1879C">
              <w:rPr>
                <w:rFonts w:eastAsia="Arial" w:cs="Arial"/>
                <w:sz w:val="17"/>
                <w:szCs w:val="17"/>
              </w:rPr>
              <w:t>4</w:t>
            </w:r>
          </w:p>
        </w:tc>
        <w:tc>
          <w:tcPr>
            <w:tcW w:w="809" w:type="dxa"/>
            <w:tcMar>
              <w:top w:w="60" w:type="dxa"/>
              <w:left w:w="100" w:type="dxa"/>
              <w:bottom w:w="60" w:type="dxa"/>
              <w:right w:w="100" w:type="dxa"/>
            </w:tcMar>
          </w:tcPr>
          <w:p w14:paraId="408857BD" w14:textId="77777777" w:rsidR="57F1879C" w:rsidRPr="00B632A8" w:rsidRDefault="57F1879C" w:rsidP="007D2650">
            <w:pPr>
              <w:spacing w:before="30" w:after="30"/>
            </w:pPr>
            <w:r w:rsidRPr="57F1879C">
              <w:rPr>
                <w:rFonts w:eastAsia="Arial" w:cs="Arial"/>
                <w:sz w:val="17"/>
                <w:szCs w:val="17"/>
              </w:rPr>
              <w:t>0</w:t>
            </w:r>
          </w:p>
        </w:tc>
        <w:tc>
          <w:tcPr>
            <w:tcW w:w="798" w:type="dxa"/>
            <w:tcMar>
              <w:top w:w="60" w:type="dxa"/>
              <w:left w:w="100" w:type="dxa"/>
              <w:bottom w:w="60" w:type="dxa"/>
              <w:right w:w="100" w:type="dxa"/>
            </w:tcMar>
          </w:tcPr>
          <w:p w14:paraId="10411278" w14:textId="77777777" w:rsidR="57F1879C" w:rsidRPr="00B632A8" w:rsidRDefault="57F1879C" w:rsidP="007D2650">
            <w:pPr>
              <w:spacing w:before="30" w:after="30"/>
            </w:pPr>
            <w:r w:rsidRPr="57F1879C">
              <w:rPr>
                <w:rFonts w:eastAsia="Arial" w:cs="Arial"/>
                <w:sz w:val="17"/>
                <w:szCs w:val="17"/>
              </w:rPr>
              <w:t>4</w:t>
            </w:r>
          </w:p>
        </w:tc>
        <w:tc>
          <w:tcPr>
            <w:tcW w:w="809" w:type="dxa"/>
            <w:tcMar>
              <w:top w:w="60" w:type="dxa"/>
              <w:left w:w="100" w:type="dxa"/>
              <w:bottom w:w="60" w:type="dxa"/>
              <w:right w:w="100" w:type="dxa"/>
            </w:tcMar>
          </w:tcPr>
          <w:p w14:paraId="4EC6DE94" w14:textId="77777777" w:rsidR="57F1879C" w:rsidRPr="00B632A8" w:rsidRDefault="57F1879C" w:rsidP="007D2650">
            <w:pPr>
              <w:spacing w:before="30" w:after="30"/>
            </w:pPr>
            <w:r w:rsidRPr="57F1879C">
              <w:rPr>
                <w:rFonts w:eastAsia="Arial" w:cs="Arial"/>
                <w:sz w:val="17"/>
                <w:szCs w:val="17"/>
              </w:rPr>
              <w:t>0</w:t>
            </w:r>
          </w:p>
        </w:tc>
        <w:tc>
          <w:tcPr>
            <w:tcW w:w="798" w:type="dxa"/>
            <w:tcMar>
              <w:top w:w="60" w:type="dxa"/>
              <w:left w:w="100" w:type="dxa"/>
              <w:bottom w:w="60" w:type="dxa"/>
              <w:right w:w="100" w:type="dxa"/>
            </w:tcMar>
          </w:tcPr>
          <w:p w14:paraId="1A68864D" w14:textId="77777777" w:rsidR="57F1879C" w:rsidRPr="00B632A8" w:rsidRDefault="57F1879C" w:rsidP="007D2650">
            <w:pPr>
              <w:spacing w:before="30" w:after="30"/>
            </w:pPr>
            <w:r w:rsidRPr="57F1879C">
              <w:rPr>
                <w:rFonts w:eastAsia="Arial" w:cs="Arial"/>
                <w:sz w:val="17"/>
                <w:szCs w:val="17"/>
              </w:rPr>
              <w:t>1</w:t>
            </w:r>
          </w:p>
        </w:tc>
        <w:tc>
          <w:tcPr>
            <w:tcW w:w="798" w:type="dxa"/>
            <w:tcMar>
              <w:top w:w="60" w:type="dxa"/>
              <w:left w:w="100" w:type="dxa"/>
              <w:bottom w:w="60" w:type="dxa"/>
              <w:right w:w="100" w:type="dxa"/>
            </w:tcMar>
          </w:tcPr>
          <w:p w14:paraId="678D87F6" w14:textId="77777777" w:rsidR="57F1879C" w:rsidRPr="00B632A8" w:rsidRDefault="57F1879C" w:rsidP="007D2650">
            <w:pPr>
              <w:spacing w:before="30" w:after="30"/>
            </w:pPr>
            <w:r w:rsidRPr="57F1879C">
              <w:rPr>
                <w:rFonts w:eastAsia="Arial" w:cs="Arial"/>
                <w:sz w:val="17"/>
                <w:szCs w:val="17"/>
              </w:rPr>
              <w:t>3</w:t>
            </w:r>
          </w:p>
        </w:tc>
        <w:tc>
          <w:tcPr>
            <w:tcW w:w="1435" w:type="dxa"/>
            <w:tcMar>
              <w:top w:w="60" w:type="dxa"/>
              <w:left w:w="100" w:type="dxa"/>
              <w:bottom w:w="60" w:type="dxa"/>
              <w:right w:w="100" w:type="dxa"/>
            </w:tcMar>
          </w:tcPr>
          <w:p w14:paraId="4EDD6001" w14:textId="77777777" w:rsidR="57F1879C" w:rsidRPr="00B632A8" w:rsidRDefault="57F1879C" w:rsidP="007D2650">
            <w:pPr>
              <w:spacing w:before="30" w:after="30"/>
            </w:pPr>
            <w:r w:rsidRPr="57F1879C">
              <w:rPr>
                <w:rFonts w:eastAsia="Arial" w:cs="Arial"/>
                <w:sz w:val="17"/>
                <w:szCs w:val="17"/>
              </w:rPr>
              <w:t>41</w:t>
            </w:r>
          </w:p>
        </w:tc>
      </w:tr>
      <w:tr w:rsidR="57F1879C" w:rsidRPr="00B632A8" w14:paraId="4734FA24" w14:textId="77777777" w:rsidTr="004570F2">
        <w:trPr>
          <w:trHeight w:val="144"/>
        </w:trPr>
        <w:tc>
          <w:tcPr>
            <w:tcW w:w="1761" w:type="dxa"/>
            <w:tcMar>
              <w:top w:w="60" w:type="dxa"/>
              <w:left w:w="100" w:type="dxa"/>
              <w:bottom w:w="60" w:type="dxa"/>
              <w:right w:w="100" w:type="dxa"/>
            </w:tcMar>
          </w:tcPr>
          <w:p w14:paraId="1F488EC9" w14:textId="77777777" w:rsidR="57F1879C" w:rsidRPr="00B632A8" w:rsidRDefault="57F1879C" w:rsidP="007D2650">
            <w:pPr>
              <w:spacing w:before="30" w:after="30"/>
            </w:pPr>
            <w:r w:rsidRPr="57F1879C">
              <w:rPr>
                <w:rFonts w:eastAsia="Arial" w:cs="Arial"/>
                <w:sz w:val="17"/>
                <w:szCs w:val="17"/>
              </w:rPr>
              <w:t>mAb / fusion proteins</w:t>
            </w:r>
          </w:p>
        </w:tc>
        <w:tc>
          <w:tcPr>
            <w:tcW w:w="797" w:type="dxa"/>
            <w:tcMar>
              <w:top w:w="60" w:type="dxa"/>
              <w:left w:w="100" w:type="dxa"/>
              <w:bottom w:w="60" w:type="dxa"/>
              <w:right w:w="100" w:type="dxa"/>
            </w:tcMar>
          </w:tcPr>
          <w:p w14:paraId="337D7524" w14:textId="77777777" w:rsidR="57F1879C" w:rsidRPr="00B632A8" w:rsidRDefault="57F1879C" w:rsidP="007D2650">
            <w:pPr>
              <w:spacing w:before="30" w:after="30"/>
            </w:pPr>
            <w:r w:rsidRPr="57F1879C">
              <w:rPr>
                <w:rFonts w:eastAsia="Arial" w:cs="Arial"/>
                <w:sz w:val="17"/>
                <w:szCs w:val="17"/>
              </w:rPr>
              <w:t>8</w:t>
            </w:r>
          </w:p>
        </w:tc>
        <w:tc>
          <w:tcPr>
            <w:tcW w:w="798" w:type="dxa"/>
            <w:tcMar>
              <w:top w:w="60" w:type="dxa"/>
              <w:left w:w="100" w:type="dxa"/>
              <w:bottom w:w="60" w:type="dxa"/>
              <w:right w:w="100" w:type="dxa"/>
            </w:tcMar>
          </w:tcPr>
          <w:p w14:paraId="5999B2E9" w14:textId="77777777" w:rsidR="57F1879C" w:rsidRPr="00B632A8" w:rsidRDefault="57F1879C" w:rsidP="007D2650">
            <w:pPr>
              <w:spacing w:before="30" w:after="30"/>
            </w:pPr>
            <w:r w:rsidRPr="57F1879C">
              <w:rPr>
                <w:rFonts w:eastAsia="Arial" w:cs="Arial"/>
                <w:sz w:val="17"/>
                <w:szCs w:val="17"/>
              </w:rPr>
              <w:t>2</w:t>
            </w:r>
          </w:p>
        </w:tc>
        <w:tc>
          <w:tcPr>
            <w:tcW w:w="798" w:type="dxa"/>
            <w:tcMar>
              <w:top w:w="60" w:type="dxa"/>
              <w:left w:w="100" w:type="dxa"/>
              <w:bottom w:w="60" w:type="dxa"/>
              <w:right w:w="100" w:type="dxa"/>
            </w:tcMar>
          </w:tcPr>
          <w:p w14:paraId="1541407E" w14:textId="77777777" w:rsidR="57F1879C" w:rsidRPr="00B632A8" w:rsidRDefault="57F1879C" w:rsidP="007D2650">
            <w:pPr>
              <w:spacing w:before="30" w:after="30"/>
            </w:pPr>
            <w:r w:rsidRPr="57F1879C">
              <w:rPr>
                <w:rFonts w:eastAsia="Arial" w:cs="Arial"/>
                <w:sz w:val="17"/>
                <w:szCs w:val="17"/>
              </w:rPr>
              <w:t>5</w:t>
            </w:r>
          </w:p>
        </w:tc>
        <w:tc>
          <w:tcPr>
            <w:tcW w:w="809" w:type="dxa"/>
            <w:tcMar>
              <w:top w:w="60" w:type="dxa"/>
              <w:left w:w="100" w:type="dxa"/>
              <w:bottom w:w="60" w:type="dxa"/>
              <w:right w:w="100" w:type="dxa"/>
            </w:tcMar>
          </w:tcPr>
          <w:p w14:paraId="7CBE8603" w14:textId="77777777" w:rsidR="57F1879C" w:rsidRPr="00B632A8" w:rsidRDefault="57F1879C" w:rsidP="007D2650">
            <w:pPr>
              <w:spacing w:before="30" w:after="30"/>
            </w:pPr>
            <w:r w:rsidRPr="57F1879C">
              <w:rPr>
                <w:rFonts w:eastAsia="Arial" w:cs="Arial"/>
                <w:sz w:val="17"/>
                <w:szCs w:val="17"/>
              </w:rPr>
              <w:t>6</w:t>
            </w:r>
          </w:p>
        </w:tc>
        <w:tc>
          <w:tcPr>
            <w:tcW w:w="798" w:type="dxa"/>
            <w:tcMar>
              <w:top w:w="60" w:type="dxa"/>
              <w:left w:w="100" w:type="dxa"/>
              <w:bottom w:w="60" w:type="dxa"/>
              <w:right w:w="100" w:type="dxa"/>
            </w:tcMar>
          </w:tcPr>
          <w:p w14:paraId="1A20D6CC" w14:textId="77777777" w:rsidR="57F1879C" w:rsidRPr="00B632A8" w:rsidRDefault="57F1879C" w:rsidP="007D2650">
            <w:pPr>
              <w:spacing w:before="30" w:after="30"/>
            </w:pPr>
            <w:r w:rsidRPr="57F1879C">
              <w:rPr>
                <w:rFonts w:eastAsia="Arial" w:cs="Arial"/>
                <w:sz w:val="17"/>
                <w:szCs w:val="17"/>
              </w:rPr>
              <w:t>3</w:t>
            </w:r>
          </w:p>
        </w:tc>
        <w:tc>
          <w:tcPr>
            <w:tcW w:w="809" w:type="dxa"/>
            <w:tcMar>
              <w:top w:w="60" w:type="dxa"/>
              <w:left w:w="100" w:type="dxa"/>
              <w:bottom w:w="60" w:type="dxa"/>
              <w:right w:w="100" w:type="dxa"/>
            </w:tcMar>
          </w:tcPr>
          <w:p w14:paraId="7C0B85B2" w14:textId="77777777" w:rsidR="57F1879C" w:rsidRPr="00B632A8" w:rsidRDefault="57F1879C" w:rsidP="007D2650">
            <w:pPr>
              <w:spacing w:before="30" w:after="30"/>
            </w:pPr>
            <w:r w:rsidRPr="57F1879C">
              <w:rPr>
                <w:rFonts w:eastAsia="Arial" w:cs="Arial"/>
                <w:sz w:val="17"/>
                <w:szCs w:val="17"/>
              </w:rPr>
              <w:t>8</w:t>
            </w:r>
          </w:p>
        </w:tc>
        <w:tc>
          <w:tcPr>
            <w:tcW w:w="798" w:type="dxa"/>
            <w:tcMar>
              <w:top w:w="60" w:type="dxa"/>
              <w:left w:w="100" w:type="dxa"/>
              <w:bottom w:w="60" w:type="dxa"/>
              <w:right w:w="100" w:type="dxa"/>
            </w:tcMar>
          </w:tcPr>
          <w:p w14:paraId="3CA114F4" w14:textId="77777777" w:rsidR="57F1879C" w:rsidRPr="00B632A8" w:rsidRDefault="57F1879C" w:rsidP="007D2650">
            <w:pPr>
              <w:spacing w:before="30" w:after="30"/>
            </w:pPr>
            <w:r w:rsidRPr="57F1879C">
              <w:rPr>
                <w:rFonts w:eastAsia="Arial" w:cs="Arial"/>
                <w:sz w:val="17"/>
                <w:szCs w:val="17"/>
              </w:rPr>
              <w:t>24</w:t>
            </w:r>
          </w:p>
        </w:tc>
        <w:tc>
          <w:tcPr>
            <w:tcW w:w="798" w:type="dxa"/>
            <w:tcMar>
              <w:top w:w="60" w:type="dxa"/>
              <w:left w:w="100" w:type="dxa"/>
              <w:bottom w:w="60" w:type="dxa"/>
              <w:right w:w="100" w:type="dxa"/>
            </w:tcMar>
          </w:tcPr>
          <w:p w14:paraId="1C0039CA" w14:textId="77777777" w:rsidR="57F1879C" w:rsidRPr="00B632A8" w:rsidRDefault="57F1879C" w:rsidP="007D2650">
            <w:pPr>
              <w:spacing w:before="30" w:after="30"/>
            </w:pPr>
            <w:r w:rsidRPr="57F1879C">
              <w:rPr>
                <w:rFonts w:eastAsia="Arial" w:cs="Arial"/>
                <w:sz w:val="17"/>
                <w:szCs w:val="17"/>
              </w:rPr>
              <w:t>37</w:t>
            </w:r>
          </w:p>
        </w:tc>
        <w:tc>
          <w:tcPr>
            <w:tcW w:w="1435" w:type="dxa"/>
            <w:tcMar>
              <w:top w:w="60" w:type="dxa"/>
              <w:left w:w="100" w:type="dxa"/>
              <w:bottom w:w="60" w:type="dxa"/>
              <w:right w:w="100" w:type="dxa"/>
            </w:tcMar>
          </w:tcPr>
          <w:p w14:paraId="3B37278A" w14:textId="77777777" w:rsidR="57F1879C" w:rsidRPr="00B632A8" w:rsidRDefault="57F1879C" w:rsidP="007D2650">
            <w:pPr>
              <w:spacing w:before="80" w:after="80"/>
            </w:pPr>
            <w:r w:rsidRPr="57F1879C">
              <w:rPr>
                <w:rFonts w:eastAsia="Arial" w:cs="Arial"/>
                <w:b/>
                <w:sz w:val="17"/>
                <w:szCs w:val="17"/>
              </w:rPr>
              <w:t>110</w:t>
            </w:r>
          </w:p>
        </w:tc>
      </w:tr>
      <w:tr w:rsidR="57F1879C" w:rsidRPr="00B632A8" w14:paraId="27BE4043" w14:textId="77777777" w:rsidTr="004570F2">
        <w:trPr>
          <w:trHeight w:val="144"/>
        </w:trPr>
        <w:tc>
          <w:tcPr>
            <w:tcW w:w="1761" w:type="dxa"/>
            <w:tcMar>
              <w:top w:w="60" w:type="dxa"/>
              <w:left w:w="100" w:type="dxa"/>
              <w:bottom w:w="60" w:type="dxa"/>
              <w:right w:w="100" w:type="dxa"/>
            </w:tcMar>
          </w:tcPr>
          <w:p w14:paraId="5E9B6FEA" w14:textId="77777777" w:rsidR="57F1879C" w:rsidRPr="00B632A8" w:rsidRDefault="57F1879C" w:rsidP="007D2650">
            <w:pPr>
              <w:spacing w:before="30" w:after="30"/>
            </w:pPr>
            <w:r w:rsidRPr="57F1879C">
              <w:rPr>
                <w:rFonts w:eastAsia="Arial" w:cs="Arial"/>
                <w:sz w:val="17"/>
                <w:szCs w:val="17"/>
              </w:rPr>
              <w:t>% mAb/FP</w:t>
            </w:r>
          </w:p>
        </w:tc>
        <w:tc>
          <w:tcPr>
            <w:tcW w:w="797" w:type="dxa"/>
            <w:tcMar>
              <w:top w:w="60" w:type="dxa"/>
              <w:left w:w="100" w:type="dxa"/>
              <w:bottom w:w="60" w:type="dxa"/>
              <w:right w:w="100" w:type="dxa"/>
            </w:tcMar>
          </w:tcPr>
          <w:p w14:paraId="062D9071" w14:textId="7BE06391" w:rsidR="57F1879C" w:rsidRPr="00B632A8" w:rsidRDefault="57F1879C" w:rsidP="007D2650">
            <w:pPr>
              <w:spacing w:before="30" w:after="30"/>
            </w:pPr>
            <w:r w:rsidRPr="57F1879C">
              <w:rPr>
                <w:rFonts w:eastAsia="Arial" w:cs="Arial"/>
                <w:sz w:val="17"/>
                <w:szCs w:val="17"/>
              </w:rPr>
              <w:t>62</w:t>
            </w:r>
            <w:r w:rsidR="006856C2">
              <w:rPr>
                <w:rFonts w:eastAsia="Arial" w:cs="Arial"/>
                <w:sz w:val="17"/>
                <w:szCs w:val="17"/>
              </w:rPr>
              <w:t>%</w:t>
            </w:r>
          </w:p>
        </w:tc>
        <w:tc>
          <w:tcPr>
            <w:tcW w:w="798" w:type="dxa"/>
            <w:tcMar>
              <w:top w:w="60" w:type="dxa"/>
              <w:left w:w="100" w:type="dxa"/>
              <w:bottom w:w="60" w:type="dxa"/>
              <w:right w:w="100" w:type="dxa"/>
            </w:tcMar>
          </w:tcPr>
          <w:p w14:paraId="5E4C0199" w14:textId="6A58A450" w:rsidR="57F1879C" w:rsidRPr="00B632A8" w:rsidRDefault="57F1879C" w:rsidP="007D2650">
            <w:pPr>
              <w:spacing w:before="30" w:after="30"/>
            </w:pPr>
            <w:r w:rsidRPr="57F1879C">
              <w:rPr>
                <w:rFonts w:eastAsia="Arial" w:cs="Arial"/>
                <w:sz w:val="17"/>
                <w:szCs w:val="17"/>
              </w:rPr>
              <w:t>50</w:t>
            </w:r>
            <w:r w:rsidR="006856C2">
              <w:rPr>
                <w:rFonts w:eastAsia="Arial" w:cs="Arial"/>
                <w:sz w:val="17"/>
                <w:szCs w:val="17"/>
              </w:rPr>
              <w:t>%</w:t>
            </w:r>
          </w:p>
        </w:tc>
        <w:tc>
          <w:tcPr>
            <w:tcW w:w="798" w:type="dxa"/>
            <w:tcMar>
              <w:top w:w="60" w:type="dxa"/>
              <w:left w:w="100" w:type="dxa"/>
              <w:bottom w:w="60" w:type="dxa"/>
              <w:right w:w="100" w:type="dxa"/>
            </w:tcMar>
          </w:tcPr>
          <w:p w14:paraId="2B624627" w14:textId="65A48DF7" w:rsidR="57F1879C" w:rsidRPr="00B632A8" w:rsidRDefault="57F1879C" w:rsidP="007D2650">
            <w:pPr>
              <w:spacing w:before="30" w:after="30"/>
            </w:pPr>
            <w:r w:rsidRPr="57F1879C">
              <w:rPr>
                <w:rFonts w:eastAsia="Arial" w:cs="Arial"/>
                <w:sz w:val="17"/>
                <w:szCs w:val="17"/>
              </w:rPr>
              <w:t>56</w:t>
            </w:r>
            <w:r w:rsidR="006856C2">
              <w:rPr>
                <w:rFonts w:eastAsia="Arial" w:cs="Arial"/>
                <w:sz w:val="17"/>
                <w:szCs w:val="17"/>
              </w:rPr>
              <w:t>%</w:t>
            </w:r>
          </w:p>
        </w:tc>
        <w:tc>
          <w:tcPr>
            <w:tcW w:w="809" w:type="dxa"/>
            <w:tcMar>
              <w:top w:w="60" w:type="dxa"/>
              <w:left w:w="100" w:type="dxa"/>
              <w:bottom w:w="60" w:type="dxa"/>
              <w:right w:w="100" w:type="dxa"/>
            </w:tcMar>
          </w:tcPr>
          <w:p w14:paraId="1EA0D705" w14:textId="74E73510" w:rsidR="57F1879C" w:rsidRPr="00B632A8" w:rsidRDefault="57F1879C" w:rsidP="007D2650">
            <w:pPr>
              <w:spacing w:before="30" w:after="30"/>
            </w:pPr>
            <w:r w:rsidRPr="57F1879C">
              <w:rPr>
                <w:rFonts w:eastAsia="Arial" w:cs="Arial"/>
                <w:sz w:val="17"/>
                <w:szCs w:val="17"/>
              </w:rPr>
              <w:t>100</w:t>
            </w:r>
            <w:r w:rsidR="006856C2">
              <w:rPr>
                <w:rFonts w:eastAsia="Arial" w:cs="Arial"/>
                <w:sz w:val="17"/>
                <w:szCs w:val="17"/>
              </w:rPr>
              <w:t>%</w:t>
            </w:r>
          </w:p>
        </w:tc>
        <w:tc>
          <w:tcPr>
            <w:tcW w:w="798" w:type="dxa"/>
            <w:tcMar>
              <w:top w:w="60" w:type="dxa"/>
              <w:left w:w="100" w:type="dxa"/>
              <w:bottom w:w="60" w:type="dxa"/>
              <w:right w:w="100" w:type="dxa"/>
            </w:tcMar>
          </w:tcPr>
          <w:p w14:paraId="75BBBB65" w14:textId="64EB9C13" w:rsidR="57F1879C" w:rsidRPr="00B632A8" w:rsidRDefault="57F1879C" w:rsidP="007D2650">
            <w:pPr>
              <w:spacing w:before="30" w:after="30"/>
            </w:pPr>
            <w:r w:rsidRPr="57F1879C">
              <w:rPr>
                <w:rFonts w:eastAsia="Arial" w:cs="Arial"/>
                <w:sz w:val="17"/>
                <w:szCs w:val="17"/>
              </w:rPr>
              <w:t>43</w:t>
            </w:r>
            <w:r w:rsidR="006856C2">
              <w:rPr>
                <w:rFonts w:eastAsia="Arial" w:cs="Arial"/>
                <w:sz w:val="17"/>
                <w:szCs w:val="17"/>
              </w:rPr>
              <w:t>%</w:t>
            </w:r>
          </w:p>
        </w:tc>
        <w:tc>
          <w:tcPr>
            <w:tcW w:w="809" w:type="dxa"/>
            <w:tcMar>
              <w:top w:w="60" w:type="dxa"/>
              <w:left w:w="100" w:type="dxa"/>
              <w:bottom w:w="60" w:type="dxa"/>
              <w:right w:w="100" w:type="dxa"/>
            </w:tcMar>
          </w:tcPr>
          <w:p w14:paraId="040AC6F6" w14:textId="3DCF6915" w:rsidR="57F1879C" w:rsidRPr="00B632A8" w:rsidRDefault="57F1879C" w:rsidP="007D2650">
            <w:pPr>
              <w:spacing w:before="30" w:after="30"/>
            </w:pPr>
            <w:r w:rsidRPr="57F1879C">
              <w:rPr>
                <w:rFonts w:eastAsia="Arial" w:cs="Arial"/>
                <w:sz w:val="17"/>
                <w:szCs w:val="17"/>
              </w:rPr>
              <w:t>100</w:t>
            </w:r>
            <w:r w:rsidR="006856C2">
              <w:rPr>
                <w:rFonts w:eastAsia="Arial" w:cs="Arial"/>
                <w:sz w:val="17"/>
                <w:szCs w:val="17"/>
              </w:rPr>
              <w:t>%</w:t>
            </w:r>
          </w:p>
        </w:tc>
        <w:tc>
          <w:tcPr>
            <w:tcW w:w="798" w:type="dxa"/>
            <w:tcMar>
              <w:top w:w="60" w:type="dxa"/>
              <w:left w:w="100" w:type="dxa"/>
              <w:bottom w:w="60" w:type="dxa"/>
              <w:right w:w="100" w:type="dxa"/>
            </w:tcMar>
          </w:tcPr>
          <w:p w14:paraId="01EEBA01" w14:textId="58FF1ED9" w:rsidR="57F1879C" w:rsidRPr="00B632A8" w:rsidRDefault="57F1879C" w:rsidP="007D2650">
            <w:pPr>
              <w:spacing w:before="30" w:after="30"/>
            </w:pPr>
            <w:r w:rsidRPr="57F1879C">
              <w:rPr>
                <w:rFonts w:eastAsia="Arial" w:cs="Arial"/>
                <w:sz w:val="17"/>
                <w:szCs w:val="17"/>
              </w:rPr>
              <w:t>96</w:t>
            </w:r>
            <w:r w:rsidR="006856C2">
              <w:rPr>
                <w:rFonts w:eastAsia="Arial" w:cs="Arial"/>
                <w:sz w:val="17"/>
                <w:szCs w:val="17"/>
              </w:rPr>
              <w:t>%</w:t>
            </w:r>
          </w:p>
        </w:tc>
        <w:tc>
          <w:tcPr>
            <w:tcW w:w="798" w:type="dxa"/>
            <w:tcMar>
              <w:top w:w="60" w:type="dxa"/>
              <w:left w:w="100" w:type="dxa"/>
              <w:bottom w:w="60" w:type="dxa"/>
              <w:right w:w="100" w:type="dxa"/>
            </w:tcMar>
          </w:tcPr>
          <w:p w14:paraId="27D94D8D" w14:textId="4E4F4AF7" w:rsidR="57F1879C" w:rsidRPr="00B632A8" w:rsidRDefault="57F1879C" w:rsidP="007D2650">
            <w:pPr>
              <w:spacing w:before="30" w:after="30"/>
            </w:pPr>
            <w:r w:rsidRPr="57F1879C">
              <w:rPr>
                <w:rFonts w:eastAsia="Arial" w:cs="Arial"/>
                <w:sz w:val="17"/>
                <w:szCs w:val="17"/>
              </w:rPr>
              <w:t>93</w:t>
            </w:r>
            <w:r w:rsidR="006856C2">
              <w:rPr>
                <w:rFonts w:eastAsia="Arial" w:cs="Arial"/>
                <w:sz w:val="17"/>
                <w:szCs w:val="17"/>
              </w:rPr>
              <w:t>%</w:t>
            </w:r>
          </w:p>
        </w:tc>
        <w:tc>
          <w:tcPr>
            <w:tcW w:w="1435" w:type="dxa"/>
            <w:tcMar>
              <w:top w:w="60" w:type="dxa"/>
              <w:left w:w="100" w:type="dxa"/>
              <w:bottom w:w="60" w:type="dxa"/>
              <w:right w:w="100" w:type="dxa"/>
            </w:tcMar>
          </w:tcPr>
          <w:p w14:paraId="1620FF92" w14:textId="52FBC14B" w:rsidR="57F1879C" w:rsidRPr="00B632A8" w:rsidRDefault="57F1879C" w:rsidP="007D2650">
            <w:pPr>
              <w:spacing w:before="30" w:after="30"/>
            </w:pPr>
            <w:r w:rsidRPr="57F1879C">
              <w:rPr>
                <w:rFonts w:eastAsia="Arial" w:cs="Arial"/>
                <w:sz w:val="17"/>
                <w:szCs w:val="17"/>
              </w:rPr>
              <w:t>72.8</w:t>
            </w:r>
            <w:r w:rsidR="006856C2">
              <w:rPr>
                <w:rFonts w:eastAsia="Arial" w:cs="Arial"/>
                <w:sz w:val="17"/>
                <w:szCs w:val="17"/>
              </w:rPr>
              <w:t>%</w:t>
            </w:r>
          </w:p>
        </w:tc>
      </w:tr>
    </w:tbl>
    <w:p w14:paraId="06FCDC3B" w14:textId="514BC0DA" w:rsidR="57F1879C" w:rsidRPr="004570F2" w:rsidRDefault="002B00FB" w:rsidP="004570F2">
      <w:pPr>
        <w:rPr>
          <w:i/>
          <w:sz w:val="18"/>
        </w:rPr>
      </w:pPr>
      <w:r w:rsidRPr="008C74CE">
        <w:rPr>
          <w:b/>
          <w:i/>
          <w:sz w:val="18"/>
          <w:szCs w:val="18"/>
        </w:rPr>
        <w:t>Source</w:t>
      </w:r>
      <w:r w:rsidRPr="008C74CE">
        <w:rPr>
          <w:i/>
          <w:sz w:val="18"/>
          <w:szCs w:val="18"/>
        </w:rPr>
        <w:t xml:space="preserve">: </w:t>
      </w:r>
      <w:r w:rsidR="543F388C" w:rsidRPr="004570F2">
        <w:rPr>
          <w:i/>
          <w:sz w:val="18"/>
        </w:rPr>
        <w:t>The EMA Medicines Database (extracted 2 March 2026) records 151 authorised biosimilars in the EU (over 160 including subsequent approvals through Q3 2025; IQVIA, 2026; Medicines for Europe, 2025).</w:t>
      </w:r>
    </w:p>
    <w:p w14:paraId="54040D1B" w14:textId="0A2E43FF" w:rsidR="57F1879C" w:rsidRPr="004570F2" w:rsidRDefault="377484E9" w:rsidP="008C74CE">
      <w:pPr>
        <w:spacing w:before="80" w:after="80"/>
        <w:rPr>
          <w:color w:val="353332"/>
          <w:sz w:val="18"/>
        </w:rPr>
      </w:pPr>
      <w:r w:rsidRPr="00D41540">
        <w:rPr>
          <w:rFonts w:eastAsia="Arial" w:cs="Arial"/>
          <w:b/>
          <w:bCs/>
        </w:rPr>
        <w:t xml:space="preserve">Table </w:t>
      </w:r>
      <w:r w:rsidR="00C146A0">
        <w:rPr>
          <w:rFonts w:eastAsia="Arial" w:cs="Arial"/>
          <w:b/>
        </w:rPr>
        <w:t>2</w:t>
      </w:r>
      <w:r w:rsidR="001E3EB6">
        <w:rPr>
          <w:rFonts w:eastAsia="Arial" w:cs="Arial"/>
          <w:b/>
        </w:rPr>
        <w:t xml:space="preserve">. </w:t>
      </w:r>
      <w:r w:rsidRPr="00D41540">
        <w:rPr>
          <w:rFonts w:eastAsia="Arial" w:cs="Arial"/>
          <w:b/>
          <w:bCs/>
        </w:rPr>
        <w:t>Biosimilar Authorisation Activity in the EU</w:t>
      </w:r>
    </w:p>
    <w:tbl>
      <w:tblPr>
        <w:tblStyle w:val="TableGrid"/>
        <w:tblW w:w="0" w:type="auto"/>
        <w:tblLook w:val="06A0" w:firstRow="1" w:lastRow="0" w:firstColumn="1" w:lastColumn="0" w:noHBand="1" w:noVBand="1"/>
      </w:tblPr>
      <w:tblGrid>
        <w:gridCol w:w="1928"/>
        <w:gridCol w:w="592"/>
        <w:gridCol w:w="615"/>
        <w:gridCol w:w="636"/>
        <w:gridCol w:w="696"/>
        <w:gridCol w:w="666"/>
        <w:gridCol w:w="605"/>
        <w:gridCol w:w="595"/>
        <w:gridCol w:w="646"/>
        <w:gridCol w:w="889"/>
        <w:gridCol w:w="729"/>
      </w:tblGrid>
      <w:tr w:rsidR="57F1879C" w14:paraId="6F01A816" w14:textId="77777777" w:rsidTr="008C74CE">
        <w:trPr>
          <w:trHeight w:val="615"/>
        </w:trPr>
        <w:tc>
          <w:tcPr>
            <w:tcW w:w="246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4EDE7DFF" w14:textId="0E96B285" w:rsidR="57F1879C" w:rsidRPr="004570F2" w:rsidRDefault="57F1879C" w:rsidP="007D2650">
            <w:pPr>
              <w:spacing w:before="60" w:after="60"/>
              <w:ind w:left="-54"/>
              <w:rPr>
                <w:rFonts w:eastAsia="Palatino Linotype"/>
                <w:sz w:val="18"/>
              </w:rPr>
            </w:pPr>
            <w:r w:rsidRPr="004570F2">
              <w:rPr>
                <w:rFonts w:eastAsia="Palatino Linotype"/>
                <w:sz w:val="18"/>
              </w:rPr>
              <w:t xml:space="preserve"> </w:t>
            </w:r>
          </w:p>
        </w:tc>
        <w:tc>
          <w:tcPr>
            <w:tcW w:w="626"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5CA9529D" w14:textId="68FEA362" w:rsidR="57F1879C" w:rsidRPr="004570F2" w:rsidRDefault="57F1879C" w:rsidP="007D2650">
            <w:pPr>
              <w:spacing w:before="60" w:after="60"/>
              <w:ind w:left="-54"/>
              <w:rPr>
                <w:rFonts w:eastAsia="Palatino Linotype"/>
                <w:b/>
                <w:sz w:val="18"/>
              </w:rPr>
            </w:pPr>
            <w:r w:rsidRPr="004570F2">
              <w:rPr>
                <w:rFonts w:eastAsia="Palatino Linotype"/>
                <w:b/>
                <w:sz w:val="18"/>
              </w:rPr>
              <w:t>2018</w:t>
            </w:r>
          </w:p>
        </w:tc>
        <w:tc>
          <w:tcPr>
            <w:tcW w:w="66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54AC3192" w14:textId="6A7F11FC" w:rsidR="57F1879C" w:rsidRPr="004570F2" w:rsidRDefault="57F1879C" w:rsidP="007D2650">
            <w:pPr>
              <w:spacing w:before="60" w:after="60"/>
              <w:ind w:left="-54"/>
              <w:rPr>
                <w:rFonts w:eastAsia="Palatino Linotype"/>
                <w:b/>
                <w:sz w:val="18"/>
              </w:rPr>
            </w:pPr>
            <w:r w:rsidRPr="004570F2">
              <w:rPr>
                <w:rFonts w:eastAsia="Palatino Linotype"/>
                <w:b/>
                <w:sz w:val="18"/>
              </w:rPr>
              <w:t>2019</w:t>
            </w:r>
          </w:p>
        </w:tc>
        <w:tc>
          <w:tcPr>
            <w:tcW w:w="69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488E6D02" w14:textId="078B56C8" w:rsidR="57F1879C" w:rsidRPr="004570F2" w:rsidRDefault="57F1879C" w:rsidP="007D2650">
            <w:pPr>
              <w:spacing w:before="60" w:after="60"/>
              <w:ind w:left="-54"/>
              <w:rPr>
                <w:rFonts w:eastAsia="Palatino Linotype"/>
                <w:b/>
                <w:sz w:val="18"/>
              </w:rPr>
            </w:pPr>
            <w:r w:rsidRPr="004570F2">
              <w:rPr>
                <w:rFonts w:eastAsia="Palatino Linotype"/>
                <w:b/>
                <w:sz w:val="18"/>
              </w:rPr>
              <w:t>2020</w:t>
            </w:r>
          </w:p>
        </w:tc>
        <w:tc>
          <w:tcPr>
            <w:tcW w:w="78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5EE61EFD" w14:textId="287C6964" w:rsidR="57F1879C" w:rsidRPr="004570F2" w:rsidRDefault="57F1879C" w:rsidP="007D2650">
            <w:pPr>
              <w:spacing w:before="60" w:after="60"/>
              <w:ind w:left="-54"/>
              <w:rPr>
                <w:rFonts w:eastAsia="Palatino Linotype"/>
                <w:b/>
                <w:sz w:val="18"/>
              </w:rPr>
            </w:pPr>
            <w:r w:rsidRPr="004570F2">
              <w:rPr>
                <w:rFonts w:eastAsia="Palatino Linotype"/>
                <w:b/>
                <w:sz w:val="18"/>
              </w:rPr>
              <w:t>2021</w:t>
            </w:r>
          </w:p>
        </w:tc>
        <w:tc>
          <w:tcPr>
            <w:tcW w:w="735"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5DC07DAD" w14:textId="730C056C" w:rsidR="57F1879C" w:rsidRPr="004570F2" w:rsidRDefault="57F1879C" w:rsidP="007D2650">
            <w:pPr>
              <w:spacing w:before="60" w:after="60"/>
              <w:ind w:left="-54"/>
              <w:rPr>
                <w:rFonts w:eastAsia="Palatino Linotype"/>
                <w:b/>
                <w:sz w:val="18"/>
              </w:rPr>
            </w:pPr>
            <w:r w:rsidRPr="004570F2">
              <w:rPr>
                <w:rFonts w:eastAsia="Palatino Linotype"/>
                <w:b/>
                <w:sz w:val="18"/>
              </w:rPr>
              <w:t>2022</w:t>
            </w:r>
          </w:p>
        </w:tc>
        <w:tc>
          <w:tcPr>
            <w:tcW w:w="645"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1240FE10" w14:textId="5D8C8AD1" w:rsidR="57F1879C" w:rsidRPr="004570F2" w:rsidRDefault="57F1879C" w:rsidP="007D2650">
            <w:pPr>
              <w:spacing w:before="60" w:after="60"/>
              <w:ind w:left="-54"/>
              <w:rPr>
                <w:rFonts w:eastAsia="Palatino Linotype"/>
                <w:b/>
                <w:sz w:val="18"/>
              </w:rPr>
            </w:pPr>
            <w:r w:rsidRPr="004570F2">
              <w:rPr>
                <w:rFonts w:eastAsia="Palatino Linotype"/>
                <w:b/>
                <w:sz w:val="18"/>
              </w:rPr>
              <w:t>2023</w:t>
            </w:r>
          </w:p>
        </w:tc>
        <w:tc>
          <w:tcPr>
            <w:tcW w:w="63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277B9805" w14:textId="43FC0E87" w:rsidR="57F1879C" w:rsidRPr="004570F2" w:rsidRDefault="57F1879C" w:rsidP="007D2650">
            <w:pPr>
              <w:spacing w:before="60" w:after="60"/>
              <w:ind w:left="-54"/>
              <w:rPr>
                <w:rFonts w:eastAsia="Palatino Linotype"/>
                <w:b/>
                <w:sz w:val="18"/>
              </w:rPr>
            </w:pPr>
            <w:r w:rsidRPr="004570F2">
              <w:rPr>
                <w:rFonts w:eastAsia="Palatino Linotype"/>
                <w:b/>
                <w:sz w:val="18"/>
              </w:rPr>
              <w:t>2024</w:t>
            </w:r>
          </w:p>
        </w:tc>
        <w:tc>
          <w:tcPr>
            <w:tcW w:w="705"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3CB3BF54" w14:textId="3744C80A" w:rsidR="57F1879C" w:rsidRPr="004570F2" w:rsidRDefault="57F1879C" w:rsidP="007D2650">
            <w:pPr>
              <w:spacing w:before="60" w:after="60"/>
              <w:ind w:left="-54"/>
              <w:rPr>
                <w:rFonts w:eastAsia="Palatino Linotype"/>
                <w:b/>
                <w:sz w:val="18"/>
              </w:rPr>
            </w:pPr>
            <w:r w:rsidRPr="004570F2">
              <w:rPr>
                <w:rFonts w:eastAsia="Palatino Linotype"/>
                <w:b/>
                <w:sz w:val="18"/>
              </w:rPr>
              <w:t>2025</w:t>
            </w:r>
          </w:p>
        </w:tc>
        <w:tc>
          <w:tcPr>
            <w:tcW w:w="1035"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61D36EE6" w14:textId="5E9DEFB3" w:rsidR="57F1879C" w:rsidRPr="004570F2" w:rsidRDefault="57F1879C" w:rsidP="007D2650">
            <w:pPr>
              <w:spacing w:before="60" w:after="60"/>
              <w:ind w:left="-54"/>
              <w:rPr>
                <w:rFonts w:eastAsia="Palatino Linotype"/>
                <w:b/>
                <w:sz w:val="18"/>
              </w:rPr>
            </w:pPr>
            <w:r w:rsidRPr="004570F2">
              <w:rPr>
                <w:rFonts w:eastAsia="Palatino Linotype"/>
                <w:b/>
                <w:sz w:val="18"/>
              </w:rPr>
              <w:t>Cum. Total</w:t>
            </w:r>
          </w:p>
        </w:tc>
        <w:tc>
          <w:tcPr>
            <w:tcW w:w="77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799213AD" w14:textId="4D5B2769" w:rsidR="57F1879C" w:rsidRPr="004570F2" w:rsidRDefault="57F1879C" w:rsidP="007D2650">
            <w:pPr>
              <w:spacing w:before="60" w:after="60"/>
              <w:ind w:left="-54"/>
              <w:rPr>
                <w:rFonts w:eastAsia="Palatino Linotype"/>
                <w:b/>
                <w:sz w:val="18"/>
              </w:rPr>
            </w:pPr>
            <w:r w:rsidRPr="004570F2">
              <w:rPr>
                <w:rFonts w:eastAsia="Palatino Linotype"/>
                <w:b/>
                <w:sz w:val="18"/>
              </w:rPr>
              <w:t>Trend</w:t>
            </w:r>
          </w:p>
        </w:tc>
      </w:tr>
      <w:tr w:rsidR="57F1879C" w14:paraId="625FEA4D" w14:textId="77777777" w:rsidTr="008C74CE">
        <w:trPr>
          <w:trHeight w:val="300"/>
        </w:trPr>
        <w:tc>
          <w:tcPr>
            <w:tcW w:w="246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6E441944" w14:textId="002C5A1E" w:rsidR="57F1879C" w:rsidRPr="004570F2" w:rsidRDefault="57F1879C" w:rsidP="007D2650">
            <w:pPr>
              <w:spacing w:before="60" w:after="60"/>
              <w:ind w:left="-54"/>
              <w:rPr>
                <w:rFonts w:eastAsia="Palatino Linotype"/>
                <w:sz w:val="18"/>
              </w:rPr>
            </w:pPr>
            <w:r w:rsidRPr="004570F2">
              <w:rPr>
                <w:rFonts w:eastAsia="Palatino Linotype"/>
                <w:sz w:val="18"/>
              </w:rPr>
              <w:t>Opinions</w:t>
            </w:r>
          </w:p>
        </w:tc>
        <w:tc>
          <w:tcPr>
            <w:tcW w:w="626"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4CDF9CD8" w14:textId="3D97B2BB" w:rsidR="57F1879C" w:rsidRPr="004570F2" w:rsidRDefault="57F1879C" w:rsidP="007D2650">
            <w:pPr>
              <w:spacing w:before="60" w:after="60"/>
              <w:ind w:left="-54"/>
              <w:rPr>
                <w:rFonts w:eastAsia="Palatino Linotype"/>
                <w:sz w:val="18"/>
              </w:rPr>
            </w:pPr>
            <w:r w:rsidRPr="004570F2">
              <w:rPr>
                <w:rFonts w:eastAsia="Palatino Linotype"/>
                <w:sz w:val="18"/>
              </w:rPr>
              <w:t>13</w:t>
            </w:r>
          </w:p>
        </w:tc>
        <w:tc>
          <w:tcPr>
            <w:tcW w:w="66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0CA44854" w14:textId="2421E147" w:rsidR="57F1879C" w:rsidRPr="004570F2" w:rsidRDefault="57F1879C" w:rsidP="007D2650">
            <w:pPr>
              <w:spacing w:before="60" w:after="60"/>
              <w:ind w:left="-54"/>
              <w:rPr>
                <w:rFonts w:eastAsia="Palatino Linotype"/>
                <w:sz w:val="18"/>
              </w:rPr>
            </w:pPr>
            <w:r w:rsidRPr="004570F2">
              <w:rPr>
                <w:rFonts w:eastAsia="Palatino Linotype"/>
                <w:sz w:val="18"/>
              </w:rPr>
              <w:t>4</w:t>
            </w:r>
          </w:p>
        </w:tc>
        <w:tc>
          <w:tcPr>
            <w:tcW w:w="69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08E37627" w14:textId="195A28E7" w:rsidR="57F1879C" w:rsidRPr="004570F2" w:rsidRDefault="57F1879C" w:rsidP="007D2650">
            <w:pPr>
              <w:spacing w:before="60" w:after="60"/>
              <w:ind w:left="-54"/>
              <w:rPr>
                <w:rFonts w:eastAsia="Palatino Linotype"/>
                <w:sz w:val="18"/>
              </w:rPr>
            </w:pPr>
            <w:r w:rsidRPr="004570F2">
              <w:rPr>
                <w:rFonts w:eastAsia="Palatino Linotype"/>
                <w:sz w:val="18"/>
              </w:rPr>
              <w:t>9</w:t>
            </w:r>
          </w:p>
        </w:tc>
        <w:tc>
          <w:tcPr>
            <w:tcW w:w="78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019AA2FC" w14:textId="3DF57EB4" w:rsidR="57F1879C" w:rsidRPr="004570F2" w:rsidRDefault="57F1879C" w:rsidP="007D2650">
            <w:pPr>
              <w:spacing w:before="60" w:after="60"/>
              <w:ind w:left="-54"/>
              <w:rPr>
                <w:rFonts w:eastAsia="Palatino Linotype"/>
                <w:sz w:val="18"/>
              </w:rPr>
            </w:pPr>
            <w:r w:rsidRPr="004570F2">
              <w:rPr>
                <w:rFonts w:eastAsia="Palatino Linotype"/>
                <w:sz w:val="18"/>
              </w:rPr>
              <w:t>6</w:t>
            </w:r>
          </w:p>
        </w:tc>
        <w:tc>
          <w:tcPr>
            <w:tcW w:w="735"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1AECE298" w14:textId="3C198AAA" w:rsidR="57F1879C" w:rsidRPr="004570F2" w:rsidRDefault="57F1879C" w:rsidP="007D2650">
            <w:pPr>
              <w:spacing w:before="60" w:after="60"/>
              <w:ind w:left="-54"/>
              <w:rPr>
                <w:rFonts w:eastAsia="Palatino Linotype"/>
                <w:sz w:val="18"/>
              </w:rPr>
            </w:pPr>
            <w:r w:rsidRPr="004570F2">
              <w:rPr>
                <w:rFonts w:eastAsia="Palatino Linotype"/>
                <w:sz w:val="18"/>
              </w:rPr>
              <w:t>7</w:t>
            </w:r>
          </w:p>
        </w:tc>
        <w:tc>
          <w:tcPr>
            <w:tcW w:w="645"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2BBB4225" w14:textId="65E41B3E" w:rsidR="57F1879C" w:rsidRPr="004570F2" w:rsidRDefault="57F1879C" w:rsidP="007D2650">
            <w:pPr>
              <w:spacing w:before="60" w:after="60"/>
              <w:ind w:left="-54"/>
              <w:rPr>
                <w:rFonts w:eastAsia="Palatino Linotype"/>
                <w:sz w:val="18"/>
              </w:rPr>
            </w:pPr>
            <w:r w:rsidRPr="004570F2">
              <w:rPr>
                <w:rFonts w:eastAsia="Palatino Linotype"/>
                <w:sz w:val="18"/>
              </w:rPr>
              <w:t>8</w:t>
            </w:r>
          </w:p>
        </w:tc>
        <w:tc>
          <w:tcPr>
            <w:tcW w:w="63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77B3A0E8" w14:textId="76F4D059" w:rsidR="57F1879C" w:rsidRPr="004570F2" w:rsidRDefault="57F1879C" w:rsidP="007D2650">
            <w:pPr>
              <w:spacing w:before="60" w:after="60"/>
              <w:ind w:left="-54"/>
              <w:rPr>
                <w:rFonts w:eastAsia="Palatino Linotype"/>
                <w:sz w:val="18"/>
              </w:rPr>
            </w:pPr>
            <w:r w:rsidRPr="004570F2">
              <w:rPr>
                <w:rFonts w:eastAsia="Palatino Linotype"/>
                <w:sz w:val="18"/>
              </w:rPr>
              <w:t>25</w:t>
            </w:r>
          </w:p>
        </w:tc>
        <w:tc>
          <w:tcPr>
            <w:tcW w:w="705"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6D7D8E28" w14:textId="51836931" w:rsidR="57F1879C" w:rsidRPr="004570F2" w:rsidRDefault="57F1879C" w:rsidP="007D2650">
            <w:pPr>
              <w:spacing w:before="60" w:after="60"/>
              <w:ind w:left="-54"/>
              <w:rPr>
                <w:rFonts w:eastAsia="Palatino Linotype"/>
                <w:sz w:val="18"/>
              </w:rPr>
            </w:pPr>
            <w:r w:rsidRPr="004570F2">
              <w:rPr>
                <w:rFonts w:eastAsia="Palatino Linotype"/>
                <w:sz w:val="18"/>
              </w:rPr>
              <w:t>40</w:t>
            </w:r>
          </w:p>
        </w:tc>
        <w:tc>
          <w:tcPr>
            <w:tcW w:w="1035"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76943D35" w14:textId="10F75E0A" w:rsidR="57F1879C" w:rsidRPr="004570F2" w:rsidRDefault="57F1879C" w:rsidP="007D2650">
            <w:pPr>
              <w:spacing w:before="60" w:after="60"/>
              <w:ind w:left="-54"/>
              <w:rPr>
                <w:rFonts w:eastAsia="Palatino Linotype"/>
                <w:sz w:val="18"/>
              </w:rPr>
            </w:pPr>
            <w:r w:rsidRPr="004570F2">
              <w:rPr>
                <w:rFonts w:eastAsia="Palatino Linotype"/>
                <w:sz w:val="18"/>
              </w:rPr>
              <w:t>151</w:t>
            </w:r>
          </w:p>
        </w:tc>
        <w:tc>
          <w:tcPr>
            <w:tcW w:w="77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048EA240" w14:textId="32C29843" w:rsidR="57F1879C" w:rsidRPr="004570F2" w:rsidRDefault="57F1879C" w:rsidP="007D2650">
            <w:pPr>
              <w:spacing w:before="60" w:after="60"/>
              <w:ind w:left="-54"/>
              <w:rPr>
                <w:sz w:val="18"/>
              </w:rPr>
            </w:pPr>
            <w:r w:rsidRPr="004570F2">
              <w:rPr>
                <w:sz w:val="18"/>
              </w:rPr>
              <w:t>↑↑</w:t>
            </w:r>
          </w:p>
        </w:tc>
      </w:tr>
      <w:tr w:rsidR="57F1879C" w14:paraId="531F46BF" w14:textId="77777777" w:rsidTr="008C74CE">
        <w:trPr>
          <w:trHeight w:val="300"/>
        </w:trPr>
        <w:tc>
          <w:tcPr>
            <w:tcW w:w="246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643CE6FF" w14:textId="3B69F513" w:rsidR="57F1879C" w:rsidRPr="004570F2" w:rsidRDefault="57F1879C" w:rsidP="007D2650">
            <w:pPr>
              <w:spacing w:before="60" w:after="60"/>
              <w:ind w:left="-54"/>
              <w:rPr>
                <w:rFonts w:eastAsia="Palatino Linotype"/>
                <w:sz w:val="18"/>
              </w:rPr>
            </w:pPr>
            <w:r w:rsidRPr="004570F2">
              <w:rPr>
                <w:rFonts w:eastAsia="Palatino Linotype"/>
                <w:sz w:val="18"/>
              </w:rPr>
              <w:t>New ref. products</w:t>
            </w:r>
          </w:p>
        </w:tc>
        <w:tc>
          <w:tcPr>
            <w:tcW w:w="626"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047C2299" w14:textId="0D543E03" w:rsidR="57F1879C" w:rsidRPr="004570F2" w:rsidRDefault="57F1879C" w:rsidP="007D2650">
            <w:pPr>
              <w:spacing w:before="60" w:after="60"/>
              <w:ind w:left="-54"/>
              <w:rPr>
                <w:rFonts w:eastAsia="Palatino Linotype"/>
                <w:sz w:val="18"/>
              </w:rPr>
            </w:pPr>
            <w:r w:rsidRPr="004570F2">
              <w:rPr>
                <w:rFonts w:eastAsia="Palatino Linotype"/>
                <w:sz w:val="18"/>
              </w:rPr>
              <w:t>1</w:t>
            </w:r>
          </w:p>
        </w:tc>
        <w:tc>
          <w:tcPr>
            <w:tcW w:w="66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63FA069C" w14:textId="15567C33" w:rsidR="57F1879C" w:rsidRPr="004570F2" w:rsidRDefault="57F1879C" w:rsidP="007D2650">
            <w:pPr>
              <w:spacing w:before="60" w:after="60"/>
              <w:ind w:left="-54"/>
              <w:rPr>
                <w:rFonts w:eastAsia="Palatino Linotype"/>
                <w:sz w:val="18"/>
              </w:rPr>
            </w:pPr>
            <w:r w:rsidRPr="004570F2">
              <w:rPr>
                <w:rFonts w:eastAsia="Palatino Linotype"/>
                <w:sz w:val="18"/>
              </w:rPr>
              <w:t>0</w:t>
            </w:r>
          </w:p>
        </w:tc>
        <w:tc>
          <w:tcPr>
            <w:tcW w:w="69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7C071B03" w14:textId="5B7F63A2" w:rsidR="57F1879C" w:rsidRPr="004570F2" w:rsidRDefault="57F1879C" w:rsidP="007D2650">
            <w:pPr>
              <w:spacing w:before="60" w:after="60"/>
              <w:ind w:left="-54"/>
              <w:rPr>
                <w:rFonts w:eastAsia="Palatino Linotype"/>
                <w:sz w:val="18"/>
              </w:rPr>
            </w:pPr>
            <w:r w:rsidRPr="004570F2">
              <w:rPr>
                <w:rFonts w:eastAsia="Palatino Linotype"/>
                <w:sz w:val="18"/>
              </w:rPr>
              <w:t>1</w:t>
            </w:r>
          </w:p>
        </w:tc>
        <w:tc>
          <w:tcPr>
            <w:tcW w:w="78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6118C1A3" w14:textId="7556A980" w:rsidR="57F1879C" w:rsidRPr="004570F2" w:rsidRDefault="57F1879C" w:rsidP="007D2650">
            <w:pPr>
              <w:spacing w:before="60" w:after="60"/>
              <w:ind w:left="-54"/>
              <w:rPr>
                <w:rFonts w:eastAsia="Palatino Linotype"/>
                <w:sz w:val="18"/>
              </w:rPr>
            </w:pPr>
            <w:r w:rsidRPr="004570F2">
              <w:rPr>
                <w:rFonts w:eastAsia="Palatino Linotype"/>
                <w:sz w:val="18"/>
              </w:rPr>
              <w:t>1</w:t>
            </w:r>
          </w:p>
        </w:tc>
        <w:tc>
          <w:tcPr>
            <w:tcW w:w="735"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384C4794" w14:textId="544FB38B" w:rsidR="57F1879C" w:rsidRPr="004570F2" w:rsidRDefault="57F1879C" w:rsidP="007D2650">
            <w:pPr>
              <w:spacing w:before="60" w:after="60"/>
              <w:ind w:left="-54"/>
              <w:rPr>
                <w:rFonts w:eastAsia="Palatino Linotype"/>
                <w:sz w:val="18"/>
              </w:rPr>
            </w:pPr>
            <w:r w:rsidRPr="004570F2">
              <w:rPr>
                <w:rFonts w:eastAsia="Palatino Linotype"/>
                <w:sz w:val="18"/>
              </w:rPr>
              <w:t>1</w:t>
            </w:r>
          </w:p>
        </w:tc>
        <w:tc>
          <w:tcPr>
            <w:tcW w:w="645"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03C7F1D5" w14:textId="15B799C7" w:rsidR="57F1879C" w:rsidRPr="004570F2" w:rsidRDefault="57F1879C" w:rsidP="007D2650">
            <w:pPr>
              <w:spacing w:before="60" w:after="60"/>
              <w:ind w:left="-54"/>
              <w:rPr>
                <w:rFonts w:eastAsia="Palatino Linotype"/>
                <w:sz w:val="18"/>
              </w:rPr>
            </w:pPr>
            <w:r w:rsidRPr="004570F2">
              <w:rPr>
                <w:rFonts w:eastAsia="Palatino Linotype"/>
                <w:sz w:val="18"/>
              </w:rPr>
              <w:t>5</w:t>
            </w:r>
          </w:p>
        </w:tc>
        <w:tc>
          <w:tcPr>
            <w:tcW w:w="63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533B00BE" w14:textId="795EAD0D" w:rsidR="57F1879C" w:rsidRPr="004570F2" w:rsidRDefault="57F1879C" w:rsidP="007D2650">
            <w:pPr>
              <w:spacing w:before="60" w:after="60"/>
              <w:ind w:left="-54"/>
              <w:rPr>
                <w:rFonts w:eastAsia="Palatino Linotype"/>
                <w:sz w:val="18"/>
              </w:rPr>
            </w:pPr>
            <w:r w:rsidRPr="004570F2">
              <w:rPr>
                <w:rFonts w:eastAsia="Palatino Linotype"/>
                <w:sz w:val="18"/>
              </w:rPr>
              <w:t>3</w:t>
            </w:r>
          </w:p>
        </w:tc>
        <w:tc>
          <w:tcPr>
            <w:tcW w:w="705"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06425884" w14:textId="41172CAC" w:rsidR="57F1879C" w:rsidRPr="004570F2" w:rsidRDefault="57F1879C" w:rsidP="007D2650">
            <w:pPr>
              <w:spacing w:before="60" w:after="60"/>
              <w:ind w:left="-54"/>
              <w:rPr>
                <w:rFonts w:eastAsia="Palatino Linotype"/>
                <w:sz w:val="18"/>
              </w:rPr>
            </w:pPr>
            <w:r w:rsidRPr="004570F2">
              <w:rPr>
                <w:rFonts w:eastAsia="Palatino Linotype"/>
                <w:sz w:val="18"/>
              </w:rPr>
              <w:t>2</w:t>
            </w:r>
          </w:p>
        </w:tc>
        <w:tc>
          <w:tcPr>
            <w:tcW w:w="1035"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1D48B578" w14:textId="7BD97695" w:rsidR="57F1879C" w:rsidRPr="004570F2" w:rsidRDefault="57F1879C" w:rsidP="007D2650">
            <w:pPr>
              <w:spacing w:before="60" w:after="60"/>
              <w:ind w:left="-54"/>
              <w:rPr>
                <w:rFonts w:eastAsia="Palatino Linotype"/>
                <w:sz w:val="18"/>
              </w:rPr>
            </w:pPr>
            <w:r w:rsidRPr="004570F2">
              <w:rPr>
                <w:rFonts w:eastAsia="Palatino Linotype"/>
                <w:sz w:val="18"/>
              </w:rPr>
              <w:t>27</w:t>
            </w:r>
          </w:p>
        </w:tc>
        <w:tc>
          <w:tcPr>
            <w:tcW w:w="770" w:type="dxa"/>
            <w:tcBorders>
              <w:top w:val="single" w:sz="8" w:space="0" w:color="A8A4A2"/>
              <w:left w:val="single" w:sz="8" w:space="0" w:color="A8A4A2"/>
              <w:bottom w:val="single" w:sz="8" w:space="0" w:color="A8A4A2"/>
              <w:right w:val="single" w:sz="8" w:space="0" w:color="A8A4A2"/>
            </w:tcBorders>
            <w:tcMar>
              <w:left w:w="108" w:type="dxa"/>
              <w:right w:w="108" w:type="dxa"/>
            </w:tcMar>
          </w:tcPr>
          <w:p w14:paraId="388D5925" w14:textId="74C17BE4" w:rsidR="57F1879C" w:rsidRPr="004570F2" w:rsidRDefault="57F1879C" w:rsidP="007D2650">
            <w:pPr>
              <w:spacing w:before="60" w:after="60"/>
              <w:ind w:left="-54"/>
              <w:rPr>
                <w:sz w:val="18"/>
              </w:rPr>
            </w:pPr>
            <w:r w:rsidRPr="004570F2">
              <w:rPr>
                <w:sz w:val="18"/>
              </w:rPr>
              <w:t>↑</w:t>
            </w:r>
          </w:p>
        </w:tc>
      </w:tr>
    </w:tbl>
    <w:p w14:paraId="7535D241" w14:textId="2BF33E1E" w:rsidR="63E92BEA" w:rsidRPr="004570F2" w:rsidRDefault="63E92BEA" w:rsidP="004570F2">
      <w:pPr>
        <w:rPr>
          <w:i/>
          <w:sz w:val="18"/>
        </w:rPr>
      </w:pPr>
      <w:r w:rsidRPr="004570F2">
        <w:rPr>
          <w:b/>
          <w:i/>
          <w:sz w:val="18"/>
        </w:rPr>
        <w:t>Source</w:t>
      </w:r>
      <w:r w:rsidRPr="004570F2">
        <w:rPr>
          <w:i/>
          <w:sz w:val="18"/>
        </w:rPr>
        <w:t xml:space="preserve">: EMA Medicines Database </w:t>
      </w:r>
      <w:r w:rsidR="002B00FB" w:rsidRPr="008C74CE">
        <w:rPr>
          <w:i/>
          <w:sz w:val="18"/>
          <w:szCs w:val="18"/>
        </w:rPr>
        <w:t>(</w:t>
      </w:r>
      <w:r w:rsidRPr="004570F2">
        <w:rPr>
          <w:i/>
          <w:sz w:val="18"/>
        </w:rPr>
        <w:t>extracted 2 March 2026</w:t>
      </w:r>
      <w:r w:rsidR="002B00FB" w:rsidRPr="008C74CE">
        <w:rPr>
          <w:i/>
          <w:sz w:val="18"/>
          <w:szCs w:val="18"/>
        </w:rPr>
        <w:t>)</w:t>
      </w:r>
      <w:r w:rsidRPr="008C74CE">
        <w:rPr>
          <w:i/>
          <w:sz w:val="18"/>
          <w:szCs w:val="18"/>
        </w:rPr>
        <w:t>.</w:t>
      </w:r>
      <w:r w:rsidRPr="004570F2">
        <w:rPr>
          <w:i/>
          <w:sz w:val="18"/>
        </w:rPr>
        <w:t xml:space="preserve"> “New ref. products” = active substances receiving their first EU biosimilar authorisation in that year. 2025 data includes CHMP opinions to date.</w:t>
      </w:r>
    </w:p>
    <w:p w14:paraId="0D885FE4" w14:textId="1C3FB483" w:rsidR="57F1879C" w:rsidRPr="004570F2" w:rsidRDefault="27CA2093" w:rsidP="004570F2">
      <w:pPr>
        <w:rPr>
          <w:lang w:val="en-IE"/>
        </w:rPr>
      </w:pPr>
      <w:r w:rsidRPr="004570F2">
        <w:t>The acceleration from 8 opinions in 2023 to 25 in 2024 and 40 in 2025 is the most significant volume increase in EMA biosimilar history. The 2024–2025 period is dominated by mAb/fusion protein classes (93–96</w:t>
      </w:r>
      <w:r w:rsidR="006856C2" w:rsidRPr="004570F2">
        <w:t>%</w:t>
      </w:r>
      <w:r w:rsidRPr="004570F2">
        <w:t xml:space="preserve">), driven by the denosumab (29), aflibercept (12), and ustekinumab (12) cohorts. </w:t>
      </w:r>
      <w:r w:rsidRPr="004570F2">
        <w:rPr>
          <w:b/>
        </w:rPr>
        <w:t>Nine new reference</w:t>
      </w:r>
      <w:r w:rsidRPr="004570F2">
        <w:t xml:space="preserve"> product classes entered the biosimilar market after 2022, compared with 18 in the preceding 19 years - </w:t>
      </w:r>
      <w:r w:rsidRPr="004570F2">
        <w:lastRenderedPageBreak/>
        <w:t xml:space="preserve">indicating a broadening of the biosimilar pipeline </w:t>
      </w:r>
      <w:r w:rsidR="5D287D5F" w:rsidRPr="004570F2">
        <w:t xml:space="preserve">including </w:t>
      </w:r>
      <w:r w:rsidRPr="004570F2">
        <w:t>into new therapeutic areas.</w:t>
      </w:r>
      <w:r w:rsidR="0CE41166" w:rsidRPr="004570F2">
        <w:t xml:space="preserve"> The denosumab cohort (29 products) is the largest single-reference-product biosimilar wave in EU history.</w:t>
      </w:r>
    </w:p>
    <w:p w14:paraId="24A014A2" w14:textId="001C1499" w:rsidR="4E26AC25" w:rsidRPr="00D41540" w:rsidRDefault="67775F01" w:rsidP="004570F2">
      <w:pPr>
        <w:rPr>
          <w:rFonts w:eastAsia="Times New Roman"/>
          <w:lang w:val="en-US"/>
        </w:rPr>
      </w:pPr>
      <w:r w:rsidRPr="004570F2">
        <w:rPr>
          <w:lang w:val="en-IE"/>
        </w:rPr>
        <w:t xml:space="preserve">The </w:t>
      </w:r>
      <w:r w:rsidR="00AC0C29" w:rsidRPr="5DA36055">
        <w:rPr>
          <w:rFonts w:eastAsia="Times New Roman"/>
          <w:lang w:val="en-IE"/>
        </w:rPr>
        <w:t>EMA</w:t>
      </w:r>
      <w:r w:rsidRPr="004570F2">
        <w:rPr>
          <w:lang w:val="en-IE"/>
        </w:rPr>
        <w:t xml:space="preserve"> </w:t>
      </w:r>
      <w:r w:rsidR="7F990B8C" w:rsidRPr="004570F2">
        <w:rPr>
          <w:lang w:val="en-IE"/>
        </w:rPr>
        <w:t>published a</w:t>
      </w:r>
      <w:r w:rsidRPr="004570F2">
        <w:rPr>
          <w:lang w:val="en-IE"/>
        </w:rPr>
        <w:t xml:space="preserve"> Reflection Paper on a Tailored Clinical Approach in Biosimilar Development (</w:t>
      </w:r>
      <w:r w:rsidR="773FA754" w:rsidRPr="004570F2">
        <w:rPr>
          <w:lang w:val="en-IE"/>
        </w:rPr>
        <w:t>202</w:t>
      </w:r>
      <w:r w:rsidR="3A8331DF" w:rsidRPr="004570F2">
        <w:rPr>
          <w:lang w:val="en-IE"/>
        </w:rPr>
        <w:t>6</w:t>
      </w:r>
      <w:r w:rsidR="773FA754" w:rsidRPr="004570F2">
        <w:rPr>
          <w:lang w:val="en-IE"/>
        </w:rPr>
        <w:t xml:space="preserve">) </w:t>
      </w:r>
      <w:r w:rsidR="07D73577" w:rsidRPr="004570F2">
        <w:rPr>
          <w:lang w:val="en-IE"/>
        </w:rPr>
        <w:t xml:space="preserve">concluding </w:t>
      </w:r>
      <w:r w:rsidR="40EDC3FE" w:rsidRPr="004570F2">
        <w:rPr>
          <w:lang w:val="en-IE"/>
        </w:rPr>
        <w:t>that “</w:t>
      </w:r>
      <w:r w:rsidR="40EDC3FE" w:rsidRPr="004570F2">
        <w:rPr>
          <w:lang w:val="en-US"/>
        </w:rPr>
        <w:t xml:space="preserve">Based on the advancements in analytical technology and the regulatory experience gained, a tailored approach </w:t>
      </w:r>
      <w:r w:rsidR="773FA754" w:rsidRPr="004570F2">
        <w:rPr>
          <w:lang w:val="en-US"/>
        </w:rPr>
        <w:t xml:space="preserve">for </w:t>
      </w:r>
      <w:r w:rsidR="40EDC3FE" w:rsidRPr="004570F2">
        <w:rPr>
          <w:lang w:val="en-US"/>
        </w:rPr>
        <w:t>clinical development of biosimilar candidates is possible.</w:t>
      </w:r>
      <w:r w:rsidR="773FA754" w:rsidRPr="004570F2">
        <w:rPr>
          <w:lang w:val="en-US"/>
        </w:rPr>
        <w:t xml:space="preserve"> CES </w:t>
      </w:r>
      <w:r w:rsidR="40EDC3FE" w:rsidRPr="004570F2">
        <w:rPr>
          <w:lang w:val="en-US"/>
        </w:rPr>
        <w:t xml:space="preserve">are no longer expected to be required for approval of biosimilars that can be thoroughly characterised using state-of-the-art analytical methods and have demonstrated similarity in physicochemical and functional properties. Comparative clinical PK studies are still essential elements in </w:t>
      </w:r>
      <w:r w:rsidR="00E071E8" w:rsidRPr="004570F2">
        <w:rPr>
          <w:lang w:val="en-US"/>
        </w:rPr>
        <w:t>biosimilar</w:t>
      </w:r>
      <w:r w:rsidR="40EDC3FE" w:rsidRPr="004570F2">
        <w:rPr>
          <w:lang w:val="en-US"/>
        </w:rPr>
        <w:t xml:space="preserve"> development and can provide supportive safety and immunogenicity data. This tailored clinical approach is expected to be applicable for the majority of biosimilar candidates. A regulatory option that, under certain conditions, allows authorisation of biosimilars based on demonstrated comparability at the analytical level with </w:t>
      </w:r>
      <w:r w:rsidR="773FA754" w:rsidRPr="004570F2">
        <w:rPr>
          <w:lang w:val="en-US"/>
        </w:rPr>
        <w:t xml:space="preserve">a </w:t>
      </w:r>
      <w:r w:rsidR="40EDC3FE" w:rsidRPr="004570F2">
        <w:rPr>
          <w:lang w:val="en-US"/>
        </w:rPr>
        <w:t>limited clinical data package streamlines the development process without compromising efficacy and safety</w:t>
      </w:r>
      <w:r w:rsidR="40EDC3FE" w:rsidRPr="00D41540">
        <w:rPr>
          <w:rFonts w:eastAsia="Times New Roman"/>
          <w:lang w:val="en-US"/>
        </w:rPr>
        <w:t>.</w:t>
      </w:r>
      <w:r w:rsidR="00452D54" w:rsidRPr="5DA36055">
        <w:rPr>
          <w:rFonts w:eastAsia="Times New Roman"/>
          <w:lang w:val="en-US"/>
        </w:rPr>
        <w:t>”</w:t>
      </w:r>
      <w:r w:rsidRPr="004570F2">
        <w:rPr>
          <w:vertAlign w:val="superscript"/>
          <w:lang w:val="en-US"/>
        </w:rPr>
        <w:footnoteReference w:id="59"/>
      </w:r>
      <w:r w:rsidR="05481262" w:rsidRPr="004570F2">
        <w:rPr>
          <w:lang w:val="en-US"/>
        </w:rPr>
        <w:t xml:space="preserve"> Building on this conclusion, the revised guidance for biosimilars </w:t>
      </w:r>
      <w:r w:rsidR="004A6AAE">
        <w:rPr>
          <w:rFonts w:eastAsia="Times New Roman"/>
          <w:lang w:val="en-US"/>
        </w:rPr>
        <w:t>is</w:t>
      </w:r>
      <w:r w:rsidR="05481262" w:rsidRPr="004570F2">
        <w:rPr>
          <w:lang w:val="en-US"/>
        </w:rPr>
        <w:t xml:space="preserve"> expected t</w:t>
      </w:r>
      <w:r w:rsidR="6C955A32" w:rsidRPr="004570F2">
        <w:rPr>
          <w:lang w:val="en-US"/>
        </w:rPr>
        <w:t>o</w:t>
      </w:r>
      <w:r w:rsidR="05481262" w:rsidRPr="004570F2">
        <w:rPr>
          <w:lang w:val="en-US"/>
        </w:rPr>
        <w:t xml:space="preserve"> set out the conditions and provide for more tailored approach for</w:t>
      </w:r>
      <w:r w:rsidRPr="004570F2">
        <w:rPr>
          <w:lang w:val="en-US"/>
        </w:rPr>
        <w:t xml:space="preserve"> CES requirements</w:t>
      </w:r>
      <w:r w:rsidR="05481262" w:rsidRPr="004570F2">
        <w:rPr>
          <w:lang w:val="en-US"/>
        </w:rPr>
        <w:t xml:space="preserve"> f</w:t>
      </w:r>
      <w:r w:rsidR="7BBCAE5C" w:rsidRPr="004570F2">
        <w:rPr>
          <w:lang w:val="en-US"/>
        </w:rPr>
        <w:t xml:space="preserve">or complex biosimilar products. </w:t>
      </w:r>
      <w:r w:rsidR="7BBCAE5C" w:rsidRPr="57F1879C">
        <w:rPr>
          <w:rFonts w:eastAsia="Times New Roman"/>
          <w:lang w:val="en-US"/>
        </w:rPr>
        <w:t>This is particularly relevant in light of recent regulatory trends. Over the past three years, applications concerning monoclonal antibodies and fusion proteins have represented more than 90% of all biosimilar marketing authorisation applications (see Annex). The revised approach is therefore expected to have a broad practical impact, as it applies to the majority of current and future biosimilar development programmes.</w:t>
      </w:r>
      <w:r w:rsidR="5CF42B8C" w:rsidRPr="57F1879C">
        <w:rPr>
          <w:rFonts w:eastAsia="Times New Roman"/>
          <w:lang w:val="en-US"/>
        </w:rPr>
        <w:t xml:space="preserve"> The finalised Reflection Paper supports rapid advancement already in the interim, currently </w:t>
      </w:r>
      <w:r w:rsidR="48AEFFAB" w:rsidRPr="57F1879C">
        <w:rPr>
          <w:rFonts w:eastAsia="Times New Roman"/>
          <w:lang w:val="en-US"/>
        </w:rPr>
        <w:t>several</w:t>
      </w:r>
      <w:r w:rsidRPr="57F1879C">
        <w:rPr>
          <w:rFonts w:eastAsia="Times New Roman"/>
          <w:lang w:val="en-US"/>
        </w:rPr>
        <w:t xml:space="preserve"> scientific </w:t>
      </w:r>
      <w:r w:rsidR="002231CB" w:rsidRPr="5DA36055">
        <w:rPr>
          <w:rFonts w:eastAsia="Times New Roman"/>
          <w:lang w:val="en-US"/>
        </w:rPr>
        <w:t>advices</w:t>
      </w:r>
      <w:r w:rsidR="48AEFFAB" w:rsidRPr="57F1879C">
        <w:rPr>
          <w:rFonts w:eastAsia="Times New Roman"/>
          <w:lang w:val="en-US"/>
        </w:rPr>
        <w:t xml:space="preserve"> as well as </w:t>
      </w:r>
      <w:r w:rsidR="5CF42B8C" w:rsidRPr="57F1879C">
        <w:rPr>
          <w:rFonts w:eastAsia="Times New Roman"/>
          <w:lang w:val="en-US"/>
        </w:rPr>
        <w:t>2 marketing authorisation application assessments are ongoing</w:t>
      </w:r>
      <w:r w:rsidR="5191924F" w:rsidRPr="57F1879C">
        <w:rPr>
          <w:rFonts w:eastAsia="Times New Roman"/>
          <w:lang w:val="en-US"/>
        </w:rPr>
        <w:t>,</w:t>
      </w:r>
      <w:r w:rsidR="5CF42B8C" w:rsidRPr="57F1879C">
        <w:rPr>
          <w:rFonts w:eastAsia="Times New Roman"/>
          <w:lang w:val="en-US"/>
        </w:rPr>
        <w:t xml:space="preserve"> which propose tailored CES approach.</w:t>
      </w:r>
    </w:p>
    <w:p w14:paraId="3093A308" w14:textId="115D4C11" w:rsidR="4E26AC25" w:rsidRPr="004570F2" w:rsidRDefault="773FA754" w:rsidP="007D2650">
      <w:pPr>
        <w:rPr>
          <w:lang w:val="en-IE"/>
        </w:rPr>
      </w:pPr>
      <w:r w:rsidRPr="004570F2">
        <w:rPr>
          <w:lang w:val="en-IE"/>
        </w:rPr>
        <w:t>Th</w:t>
      </w:r>
      <w:r w:rsidR="78AA5B5F" w:rsidRPr="004570F2">
        <w:rPr>
          <w:lang w:val="en-IE"/>
        </w:rPr>
        <w:t xml:space="preserve">is </w:t>
      </w:r>
      <w:r w:rsidR="00E071E8" w:rsidRPr="004570F2">
        <w:rPr>
          <w:lang w:val="en-IE"/>
        </w:rPr>
        <w:t>risk-</w:t>
      </w:r>
      <w:r w:rsidR="78AA5B5F" w:rsidRPr="004570F2">
        <w:rPr>
          <w:lang w:val="en-IE"/>
        </w:rPr>
        <w:t>based</w:t>
      </w:r>
      <w:r w:rsidRPr="004570F2">
        <w:rPr>
          <w:lang w:val="en-IE"/>
        </w:rPr>
        <w:t xml:space="preserve"> </w:t>
      </w:r>
      <w:r w:rsidR="67775F01" w:rsidRPr="004570F2">
        <w:rPr>
          <w:lang w:val="en-IE"/>
        </w:rPr>
        <w:t>approach aligns with international regulatory convergence.</w:t>
      </w:r>
      <w:r w:rsidR="67775F01" w:rsidRPr="004570F2">
        <w:t xml:space="preserve"> </w:t>
      </w:r>
      <w:r w:rsidR="67775F01" w:rsidRPr="004570F2">
        <w:rPr>
          <w:lang w:val="en-IE"/>
        </w:rPr>
        <w:t>The U.S. Food and Drug Administration has removed switching study requirements and expanded flexibility in clinical evidence (2024–2025)</w:t>
      </w:r>
      <w:r w:rsidR="4E26AC25" w:rsidRPr="0E1EF736">
        <w:rPr>
          <w:rStyle w:val="FootnoteReference"/>
          <w:rFonts w:eastAsia="Times New Roman"/>
          <w:color w:val="000000" w:themeColor="text1"/>
          <w:lang w:val="en-IE"/>
        </w:rPr>
        <w:footnoteReference w:id="60"/>
      </w:r>
      <w:r w:rsidR="67775F01" w:rsidRPr="004570F2">
        <w:rPr>
          <w:lang w:val="en-IE"/>
        </w:rPr>
        <w:t>, while Canada is consulting on CES elimination for most biosimilars</w:t>
      </w:r>
      <w:r w:rsidR="4E26AC25" w:rsidRPr="0E1EF736">
        <w:rPr>
          <w:rStyle w:val="FootnoteReference"/>
          <w:rFonts w:eastAsia="Times New Roman"/>
          <w:color w:val="000000" w:themeColor="text1"/>
          <w:lang w:val="en-IE"/>
        </w:rPr>
        <w:footnoteReference w:id="61"/>
      </w:r>
      <w:r w:rsidR="67775F01" w:rsidRPr="004570F2">
        <w:rPr>
          <w:lang w:val="en-IE"/>
        </w:rPr>
        <w:t>. South Korea already applies CES waivers in practice</w:t>
      </w:r>
      <w:r w:rsidR="4E26AC25" w:rsidRPr="0E1EF736">
        <w:rPr>
          <w:rStyle w:val="FootnoteReference"/>
          <w:rFonts w:eastAsia="Times New Roman"/>
          <w:color w:val="000000" w:themeColor="text1"/>
          <w:lang w:val="en-IE"/>
        </w:rPr>
        <w:footnoteReference w:id="62"/>
      </w:r>
      <w:r w:rsidR="67775F01" w:rsidRPr="004570F2">
        <w:rPr>
          <w:lang w:val="en-IE"/>
        </w:rPr>
        <w:t>, and Japan is expected to adopt similar flexibility by 2028.</w:t>
      </w:r>
      <w:r w:rsidR="0279EBC1" w:rsidRPr="004570F2">
        <w:rPr>
          <w:lang w:val="en-IE"/>
        </w:rPr>
        <w:t xml:space="preserve"> </w:t>
      </w:r>
      <w:r w:rsidR="7526A929" w:rsidRPr="004570F2">
        <w:rPr>
          <w:lang w:val="en-IE"/>
        </w:rPr>
        <w:t xml:space="preserve">In this context, the EMA plays an active role in international regulatory dialogue and outreach. Ensuring that the </w:t>
      </w:r>
      <w:r w:rsidR="7526A929" w:rsidRPr="00D41540">
        <w:rPr>
          <w:rFonts w:eastAsia="Times New Roman"/>
          <w:lang w:val="en-IE"/>
        </w:rPr>
        <w:t>E</w:t>
      </w:r>
      <w:r w:rsidR="00574C48" w:rsidRPr="5DA36055">
        <w:rPr>
          <w:rFonts w:eastAsia="Times New Roman"/>
          <w:lang w:val="en-IE"/>
        </w:rPr>
        <w:t>U</w:t>
      </w:r>
      <w:r w:rsidR="7526A929" w:rsidRPr="004570F2">
        <w:rPr>
          <w:lang w:val="en-IE"/>
        </w:rPr>
        <w:t xml:space="preserve"> approach is effectively promoted at global level will be important to support convergence towards a harmonised, tailored and streamlined approach to biosimilar development, in particular with regard to the reduced reliance on Comparative Efficacy Studies</w:t>
      </w:r>
      <w:r w:rsidR="00E071E8" w:rsidRPr="004570F2">
        <w:rPr>
          <w:lang w:val="en-IE"/>
        </w:rPr>
        <w:t>.</w:t>
      </w:r>
      <w:r w:rsidR="67775F01" w:rsidRPr="00D41540">
        <w:rPr>
          <w:rStyle w:val="FootnoteReference"/>
          <w:rFonts w:eastAsia="Times New Roman"/>
          <w:lang w:val="en-IE"/>
        </w:rPr>
        <w:footnoteReference w:id="63"/>
      </w:r>
      <w:r w:rsidR="32594F26" w:rsidRPr="00D41540">
        <w:rPr>
          <w:rStyle w:val="FootnoteReference"/>
          <w:rFonts w:eastAsia="Times New Roman"/>
          <w:lang w:val="en-IE"/>
        </w:rPr>
        <w:t xml:space="preserve">, </w:t>
      </w:r>
      <w:r w:rsidR="67775F01" w:rsidRPr="00D41540">
        <w:rPr>
          <w:rStyle w:val="FootnoteReference"/>
          <w:rFonts w:eastAsia="Times New Roman"/>
          <w:lang w:val="en-IE"/>
        </w:rPr>
        <w:footnoteReference w:id="64"/>
      </w:r>
    </w:p>
    <w:p w14:paraId="775BB283" w14:textId="433BE95D" w:rsidR="4E26AC25" w:rsidRDefault="67775F01" w:rsidP="007D2650">
      <w:pPr>
        <w:rPr>
          <w:rFonts w:eastAsia="Times New Roman"/>
          <w:color w:val="000000" w:themeColor="text1"/>
          <w:lang w:val="en-IE"/>
        </w:rPr>
      </w:pPr>
      <w:r w:rsidRPr="00D41540">
        <w:rPr>
          <w:rFonts w:eastAsia="Times New Roman"/>
          <w:b/>
          <w:color w:val="000000" w:themeColor="text1"/>
          <w:lang w:val="en-IE"/>
        </w:rPr>
        <w:t>Under the baseline,</w:t>
      </w:r>
      <w:r w:rsidRPr="0E1EF736">
        <w:rPr>
          <w:rFonts w:eastAsia="Times New Roman"/>
          <w:color w:val="000000" w:themeColor="text1"/>
          <w:lang w:val="en-IE"/>
        </w:rPr>
        <w:t xml:space="preserve"> the EMA </w:t>
      </w:r>
      <w:r w:rsidR="00C708A5">
        <w:rPr>
          <w:rFonts w:eastAsia="Times New Roman"/>
          <w:color w:val="000000" w:themeColor="text1"/>
          <w:lang w:val="en-IE"/>
        </w:rPr>
        <w:t>is expected to</w:t>
      </w:r>
      <w:r w:rsidRPr="0E1EF736">
        <w:rPr>
          <w:rFonts w:eastAsia="Times New Roman"/>
          <w:color w:val="000000" w:themeColor="text1"/>
          <w:lang w:val="en-IE"/>
        </w:rPr>
        <w:t xml:space="preserve"> continue a gradual shift toward tailored, risk-based approaches </w:t>
      </w:r>
      <w:r w:rsidR="24671CC7" w:rsidRPr="57F1879C">
        <w:rPr>
          <w:rFonts w:eastAsia="Times New Roman"/>
          <w:color w:val="000000" w:themeColor="text1"/>
          <w:lang w:val="en-IE"/>
        </w:rPr>
        <w:t>without the revision of the current biosimilar</w:t>
      </w:r>
      <w:r w:rsidR="773FA754" w:rsidRPr="57F1879C">
        <w:rPr>
          <w:rFonts w:eastAsia="Times New Roman"/>
          <w:color w:val="000000" w:themeColor="text1"/>
          <w:lang w:val="en-IE"/>
        </w:rPr>
        <w:t xml:space="preserve"> </w:t>
      </w:r>
      <w:r w:rsidRPr="0E1EF736">
        <w:rPr>
          <w:rFonts w:eastAsia="Times New Roman"/>
          <w:color w:val="000000" w:themeColor="text1"/>
          <w:lang w:val="en-IE"/>
        </w:rPr>
        <w:t>guidance</w:t>
      </w:r>
      <w:r w:rsidR="5297FAC7" w:rsidRPr="57F1879C">
        <w:rPr>
          <w:rFonts w:eastAsia="Times New Roman"/>
          <w:color w:val="000000" w:themeColor="text1"/>
          <w:lang w:val="en-IE"/>
        </w:rPr>
        <w:t xml:space="preserve"> </w:t>
      </w:r>
      <w:r w:rsidR="3DCFFF5A" w:rsidRPr="57F1879C">
        <w:rPr>
          <w:rFonts w:eastAsia="Times New Roman"/>
          <w:color w:val="000000" w:themeColor="text1"/>
          <w:lang w:val="en-IE"/>
        </w:rPr>
        <w:t>portfolio</w:t>
      </w:r>
      <w:r w:rsidR="776E2E3B" w:rsidRPr="57F1879C">
        <w:rPr>
          <w:rFonts w:eastAsia="Times New Roman"/>
          <w:color w:val="000000" w:themeColor="text1"/>
          <w:lang w:val="en-IE"/>
        </w:rPr>
        <w:t xml:space="preserve"> for a </w:t>
      </w:r>
      <w:r w:rsidR="22ACB1DD" w:rsidRPr="57F1879C">
        <w:rPr>
          <w:rFonts w:eastAsia="Times New Roman"/>
          <w:color w:val="000000" w:themeColor="text1"/>
          <w:lang w:val="en-IE"/>
        </w:rPr>
        <w:t xml:space="preserve">more </w:t>
      </w:r>
      <w:r w:rsidR="776E2E3B" w:rsidRPr="57F1879C">
        <w:rPr>
          <w:rFonts w:eastAsia="Times New Roman"/>
          <w:color w:val="000000" w:themeColor="text1"/>
          <w:lang w:val="en-IE"/>
        </w:rPr>
        <w:t xml:space="preserve">systematic and predictable procedure for unnecessary CES elimination, as </w:t>
      </w:r>
      <w:r w:rsidR="776E2E3B" w:rsidRPr="57F1879C">
        <w:rPr>
          <w:rFonts w:eastAsia="Times New Roman"/>
          <w:color w:val="000000" w:themeColor="text1"/>
          <w:lang w:val="en-IE"/>
        </w:rPr>
        <w:lastRenderedPageBreak/>
        <w:t>appropri</w:t>
      </w:r>
      <w:r w:rsidR="3D3E14E0" w:rsidRPr="57F1879C">
        <w:rPr>
          <w:rFonts w:eastAsia="Times New Roman"/>
          <w:color w:val="000000" w:themeColor="text1"/>
          <w:lang w:val="en-IE"/>
        </w:rPr>
        <w:t>ate</w:t>
      </w:r>
      <w:r w:rsidR="3DCFFF5A" w:rsidRPr="57F1879C">
        <w:rPr>
          <w:rFonts w:eastAsia="Times New Roman"/>
          <w:color w:val="000000" w:themeColor="text1"/>
          <w:lang w:val="en-IE"/>
        </w:rPr>
        <w:t>.</w:t>
      </w:r>
      <w:r w:rsidR="773FA754" w:rsidRPr="57F1879C">
        <w:rPr>
          <w:rFonts w:eastAsia="Times New Roman"/>
          <w:color w:val="000000" w:themeColor="text1"/>
          <w:lang w:val="en-IE"/>
        </w:rPr>
        <w:t xml:space="preserve"> </w:t>
      </w:r>
      <w:r w:rsidR="4777550A" w:rsidRPr="57F1879C">
        <w:rPr>
          <w:rFonts w:eastAsia="Times New Roman"/>
          <w:color w:val="000000" w:themeColor="text1"/>
          <w:lang w:val="en-IE"/>
        </w:rPr>
        <w:t>The</w:t>
      </w:r>
      <w:r w:rsidRPr="0E1EF736">
        <w:rPr>
          <w:rFonts w:eastAsia="Times New Roman"/>
          <w:color w:val="000000" w:themeColor="text1"/>
          <w:lang w:val="en-IE"/>
        </w:rPr>
        <w:t xml:space="preserve"> formal regulatory standards for safety, quality, or efficacy</w:t>
      </w:r>
      <w:r w:rsidR="64544C51" w:rsidRPr="57F1879C">
        <w:rPr>
          <w:rFonts w:eastAsia="Times New Roman"/>
          <w:color w:val="000000" w:themeColor="text1"/>
          <w:lang w:val="en-IE"/>
        </w:rPr>
        <w:t xml:space="preserve"> are and will remain maintained</w:t>
      </w:r>
      <w:r w:rsidR="773FA754" w:rsidRPr="57F1879C">
        <w:rPr>
          <w:rFonts w:eastAsia="Times New Roman"/>
          <w:color w:val="000000" w:themeColor="text1"/>
          <w:lang w:val="en-IE"/>
        </w:rPr>
        <w:t>.</w:t>
      </w:r>
      <w:r w:rsidRPr="0E1EF736">
        <w:rPr>
          <w:rFonts w:eastAsia="Times New Roman"/>
          <w:color w:val="000000" w:themeColor="text1"/>
          <w:lang w:val="en-IE"/>
        </w:rPr>
        <w:t xml:space="preserve"> At the same time, global competitors streamline evidentiary requirements more rapidly. As a result, EU competitiveness in biosimilar development is expected to weaken, with developers prioritising earlier submissions in jurisdictions with lighter requirements, potentially delaying EU market entry.</w:t>
      </w:r>
    </w:p>
    <w:p w14:paraId="709D1C4A" w14:textId="058EE5F8" w:rsidR="00E071E8" w:rsidRPr="004570F2" w:rsidRDefault="1412FCFB" w:rsidP="004570F2">
      <w:pPr>
        <w:rPr>
          <w:lang w:val="en-IE"/>
        </w:rPr>
      </w:pPr>
      <w:r>
        <w:t>The EU</w:t>
      </w:r>
      <w:r w:rsidR="67775F01" w:rsidRPr="004570F2">
        <w:t xml:space="preserve"> and the United States combined </w:t>
      </w:r>
      <w:r w:rsidRPr="004570F2" w:rsidDel="67775F01">
        <w:t xml:space="preserve">hold </w:t>
      </w:r>
      <w:r w:rsidR="0FFAACCC">
        <w:t>the vast majority</w:t>
      </w:r>
      <w:r w:rsidR="0FFAACCC" w:rsidRPr="004570F2">
        <w:t xml:space="preserve"> </w:t>
      </w:r>
      <w:r w:rsidR="67775F01" w:rsidRPr="004570F2">
        <w:t xml:space="preserve">of the global biosimilar market by revenue. However, the EU’s relative share is declining as the US market expands rapidly. The US biosimilar market grew from </w:t>
      </w:r>
      <w:r w:rsidR="00024242">
        <w:t>EUR 6.07</w:t>
      </w:r>
      <w:r w:rsidR="67775F01" w:rsidRPr="004570F2">
        <w:t xml:space="preserve"> billion in 2020 to an estimated </w:t>
      </w:r>
      <w:r w:rsidR="00AC594D">
        <w:t>EUR</w:t>
      </w:r>
      <w:r w:rsidR="67775F01" w:rsidRPr="00D41540">
        <w:t xml:space="preserve"> </w:t>
      </w:r>
      <w:r w:rsidR="00AC594D">
        <w:t>10.1</w:t>
      </w:r>
      <w:r w:rsidR="67775F01" w:rsidRPr="004570F2">
        <w:t xml:space="preserve"> billion in 2024, while the Asia-Pacific region - driven primarily by China - grew from </w:t>
      </w:r>
      <w:r w:rsidR="00640499">
        <w:t>EUR</w:t>
      </w:r>
      <w:r w:rsidR="67775F01" w:rsidRPr="004570F2">
        <w:t xml:space="preserve"> 1.</w:t>
      </w:r>
      <w:r w:rsidR="00640499">
        <w:t>54</w:t>
      </w:r>
      <w:r w:rsidR="67775F01" w:rsidRPr="004570F2">
        <w:t xml:space="preserve"> billion to approximately </w:t>
      </w:r>
      <w:r w:rsidR="00567305">
        <w:t>EUR 4.53</w:t>
      </w:r>
      <w:r w:rsidR="67775F01" w:rsidRPr="004570F2">
        <w:t xml:space="preserve"> billion over the same period</w:t>
      </w:r>
      <w:r w:rsidR="4E26AC25" w:rsidRPr="004570F2">
        <w:rPr>
          <w:vertAlign w:val="superscript"/>
        </w:rPr>
        <w:footnoteReference w:id="65"/>
      </w:r>
      <w:r w:rsidR="67775F01" w:rsidRPr="004570F2">
        <w:t>.</w:t>
      </w:r>
      <w:r w:rsidR="67775F01" w:rsidRPr="004570F2">
        <w:rPr>
          <w:lang w:val="en-IE"/>
        </w:rPr>
        <w:t xml:space="preserve"> The EU biosimilar market projected to grow at a compound annual growth rate (CAGR) of approximately 17</w:t>
      </w:r>
      <w:r w:rsidR="006856C2" w:rsidRPr="004570F2">
        <w:rPr>
          <w:lang w:val="en-IE"/>
        </w:rPr>
        <w:t>%</w:t>
      </w:r>
      <w:r w:rsidR="67775F01" w:rsidRPr="004570F2">
        <w:rPr>
          <w:lang w:val="en-IE"/>
        </w:rPr>
        <w:t xml:space="preserve">, increasing from </w:t>
      </w:r>
      <w:r w:rsidR="005E22F9" w:rsidRPr="5DA36055">
        <w:rPr>
          <w:lang w:val="en-IE"/>
        </w:rPr>
        <w:t>EUR 13.2</w:t>
      </w:r>
      <w:r w:rsidR="67775F01" w:rsidRPr="004570F2">
        <w:rPr>
          <w:lang w:val="en-IE"/>
        </w:rPr>
        <w:t xml:space="preserve"> billion in 2025 to </w:t>
      </w:r>
      <w:r w:rsidR="006B3E69" w:rsidRPr="5DA36055">
        <w:rPr>
          <w:lang w:val="en-IE"/>
        </w:rPr>
        <w:t>EUR 62.9</w:t>
      </w:r>
      <w:r w:rsidR="67775F01" w:rsidRPr="004570F2">
        <w:rPr>
          <w:lang w:val="en-IE"/>
        </w:rPr>
        <w:t xml:space="preserve"> billion by </w:t>
      </w:r>
      <w:r w:rsidR="67775F01" w:rsidRPr="0E1EF736">
        <w:rPr>
          <w:lang w:val="en-IE"/>
        </w:rPr>
        <w:t>203</w:t>
      </w:r>
      <w:r w:rsidR="004D3163" w:rsidRPr="5DA36055">
        <w:rPr>
          <w:lang w:val="en-IE"/>
        </w:rPr>
        <w:t>5</w:t>
      </w:r>
      <w:r w:rsidR="4E26AC25" w:rsidRPr="004570F2">
        <w:rPr>
          <w:vertAlign w:val="superscript"/>
          <w:lang w:val="en-IE"/>
        </w:rPr>
        <w:footnoteReference w:id="66"/>
      </w:r>
      <w:r w:rsidR="67775F01" w:rsidRPr="004570F2">
        <w:rPr>
          <w:lang w:val="en-IE"/>
        </w:rPr>
        <w:t xml:space="preserve"> driven primarily by patent expiries and expanding therapeutic applications. The estimated cumulative savings of EUR </w:t>
      </w:r>
      <w:r w:rsidR="67775F01" w:rsidRPr="004570F2">
        <w:t>75 billion from biosimilar competition since 2006 with EUR 13 billion in 2024 continues to grow.</w:t>
      </w:r>
      <w:r w:rsidR="67775F01" w:rsidRPr="004570F2">
        <w:rPr>
          <w:lang w:val="en-IE"/>
        </w:rPr>
        <w:t xml:space="preserve"> Advances in analytical sciences are expected to further strengthen the scientific consensus that Phase III CES provides limited additional value for well-characterised biosimilars. However, as development shifts toward more complex products (e.g. monoclonal antibodies, bispecific antibodies, antibody–drug conjugates), a proportion of applications will continue to require clinical data, particularly for immunogenicity assessment.</w:t>
      </w:r>
    </w:p>
    <w:p w14:paraId="2DB0888A" w14:textId="1ABB23EE" w:rsidR="764AEC59" w:rsidRPr="00D41540" w:rsidRDefault="5FEB93A1" w:rsidP="007D2650">
      <w:pPr>
        <w:spacing w:before="60" w:after="60"/>
        <w:ind w:left="-54"/>
        <w:rPr>
          <w:rFonts w:eastAsia="Times New Roman"/>
          <w:b/>
          <w:bCs/>
          <w:color w:val="000000" w:themeColor="text1"/>
          <w:lang w:val="en-IE"/>
        </w:rPr>
      </w:pPr>
      <w:r w:rsidRPr="00D41540">
        <w:rPr>
          <w:rFonts w:eastAsia="Times New Roman"/>
          <w:b/>
          <w:bCs/>
          <w:color w:val="000000" w:themeColor="text1"/>
          <w:lang w:val="en-IE"/>
        </w:rPr>
        <w:t xml:space="preserve">Table </w:t>
      </w:r>
      <w:r w:rsidR="005B590D">
        <w:rPr>
          <w:rFonts w:eastAsia="Times New Roman"/>
          <w:b/>
          <w:bCs/>
          <w:color w:val="000000" w:themeColor="text1"/>
          <w:lang w:val="en-IE"/>
        </w:rPr>
        <w:t>3</w:t>
      </w:r>
      <w:r w:rsidR="001E3EB6">
        <w:rPr>
          <w:rFonts w:eastAsia="Times New Roman"/>
          <w:b/>
          <w:bCs/>
          <w:color w:val="000000" w:themeColor="text1"/>
          <w:lang w:val="en-IE"/>
        </w:rPr>
        <w:t xml:space="preserve">. </w:t>
      </w:r>
      <w:r w:rsidRPr="00D41540">
        <w:rPr>
          <w:rFonts w:eastAsia="Times New Roman"/>
          <w:b/>
          <w:bCs/>
          <w:color w:val="000000" w:themeColor="text1"/>
          <w:lang w:val="en-IE"/>
        </w:rPr>
        <w:t>Biosimilar MAA pipeline efficiency: submission-to-authorisation outcomes in the EU centralised procedure, 2003–2026 (EMA Medicines Database, extracted 2 March 2026; EMA Annual Report 2024).</w:t>
      </w:r>
    </w:p>
    <w:tbl>
      <w:tblPr>
        <w:tblStyle w:val="TableGrid"/>
        <w:tblW w:w="8844" w:type="dxa"/>
        <w:tblLook w:val="04A0" w:firstRow="1" w:lastRow="0" w:firstColumn="1" w:lastColumn="0" w:noHBand="0" w:noVBand="1"/>
      </w:tblPr>
      <w:tblGrid>
        <w:gridCol w:w="3742"/>
        <w:gridCol w:w="2381"/>
        <w:gridCol w:w="2721"/>
      </w:tblGrid>
      <w:tr w:rsidR="29227ADE" w14:paraId="302DA326" w14:textId="77777777" w:rsidTr="00E5568D">
        <w:trPr>
          <w:trHeight w:val="391"/>
        </w:trPr>
        <w:tc>
          <w:tcPr>
            <w:tcW w:w="3742" w:type="dxa"/>
            <w:tcMar>
              <w:left w:w="108" w:type="dxa"/>
              <w:right w:w="108" w:type="dxa"/>
            </w:tcMar>
          </w:tcPr>
          <w:p w14:paraId="3C8BD8DE" w14:textId="0363D7BA" w:rsidR="29227ADE" w:rsidRPr="00D41540" w:rsidRDefault="29227ADE" w:rsidP="004570F2">
            <w:pPr>
              <w:spacing w:after="120"/>
              <w:rPr>
                <w:sz w:val="22"/>
                <w:szCs w:val="22"/>
              </w:rPr>
            </w:pPr>
          </w:p>
        </w:tc>
        <w:tc>
          <w:tcPr>
            <w:tcW w:w="2381" w:type="dxa"/>
            <w:tcMar>
              <w:left w:w="108" w:type="dxa"/>
              <w:right w:w="108" w:type="dxa"/>
            </w:tcMar>
          </w:tcPr>
          <w:p w14:paraId="5C3667B4" w14:textId="0CBE7B6D" w:rsidR="29227ADE" w:rsidRPr="00D41540" w:rsidRDefault="29227ADE" w:rsidP="004570F2">
            <w:pPr>
              <w:spacing w:after="120"/>
              <w:rPr>
                <w:rFonts w:eastAsia="Palatino Linotype"/>
                <w:b/>
                <w:bCs/>
                <w:caps/>
                <w:sz w:val="22"/>
                <w:szCs w:val="22"/>
              </w:rPr>
            </w:pPr>
            <w:r w:rsidRPr="00D41540">
              <w:rPr>
                <w:rFonts w:eastAsia="Palatino Linotype"/>
                <w:b/>
                <w:bCs/>
                <w:caps/>
                <w:sz w:val="22"/>
                <w:szCs w:val="22"/>
              </w:rPr>
              <w:t>Value</w:t>
            </w:r>
          </w:p>
        </w:tc>
        <w:tc>
          <w:tcPr>
            <w:tcW w:w="2721" w:type="dxa"/>
            <w:tcMar>
              <w:left w:w="108" w:type="dxa"/>
              <w:right w:w="108" w:type="dxa"/>
            </w:tcMar>
          </w:tcPr>
          <w:p w14:paraId="7DB6A137" w14:textId="61DDB72A" w:rsidR="29227ADE" w:rsidRPr="00D41540" w:rsidRDefault="29227ADE" w:rsidP="004570F2">
            <w:pPr>
              <w:spacing w:after="120"/>
              <w:rPr>
                <w:rFonts w:eastAsia="Palatino Linotype"/>
                <w:b/>
                <w:bCs/>
                <w:caps/>
                <w:sz w:val="22"/>
                <w:szCs w:val="22"/>
              </w:rPr>
            </w:pPr>
            <w:r w:rsidRPr="00D41540">
              <w:rPr>
                <w:rFonts w:eastAsia="Palatino Linotype"/>
                <w:b/>
                <w:bCs/>
                <w:caps/>
                <w:sz w:val="22"/>
                <w:szCs w:val="22"/>
              </w:rPr>
              <w:t>Source</w:t>
            </w:r>
          </w:p>
        </w:tc>
      </w:tr>
      <w:tr w:rsidR="29227ADE" w14:paraId="645CBC5A" w14:textId="77777777" w:rsidTr="00E5568D">
        <w:trPr>
          <w:trHeight w:val="284"/>
        </w:trPr>
        <w:tc>
          <w:tcPr>
            <w:tcW w:w="3742" w:type="dxa"/>
            <w:shd w:val="clear" w:color="auto" w:fill="F2F2F2" w:themeFill="background1" w:themeFillShade="F2"/>
            <w:tcMar>
              <w:left w:w="108" w:type="dxa"/>
              <w:right w:w="108" w:type="dxa"/>
            </w:tcMar>
          </w:tcPr>
          <w:p w14:paraId="56327D74" w14:textId="777379BC" w:rsidR="29227ADE" w:rsidRPr="00D41540" w:rsidRDefault="29227ADE" w:rsidP="004570F2">
            <w:pPr>
              <w:spacing w:after="120"/>
              <w:rPr>
                <w:rFonts w:eastAsia="Palatino Linotype"/>
                <w:b/>
                <w:bCs/>
                <w:sz w:val="22"/>
                <w:szCs w:val="22"/>
              </w:rPr>
            </w:pPr>
            <w:r w:rsidRPr="00D41540">
              <w:rPr>
                <w:rFonts w:eastAsia="Palatino Linotype"/>
                <w:b/>
                <w:bCs/>
                <w:sz w:val="22"/>
                <w:szCs w:val="22"/>
              </w:rPr>
              <w:t>Total biosimilar MAAs (2003–2026)</w:t>
            </w:r>
          </w:p>
        </w:tc>
        <w:tc>
          <w:tcPr>
            <w:tcW w:w="2381" w:type="dxa"/>
            <w:shd w:val="clear" w:color="auto" w:fill="F2F2F2" w:themeFill="background1" w:themeFillShade="F2"/>
            <w:tcMar>
              <w:left w:w="108" w:type="dxa"/>
              <w:right w:w="108" w:type="dxa"/>
            </w:tcMar>
          </w:tcPr>
          <w:p w14:paraId="29D59246" w14:textId="4B182843" w:rsidR="29227ADE" w:rsidRPr="00D41540" w:rsidRDefault="29227ADE" w:rsidP="004570F2">
            <w:pPr>
              <w:spacing w:after="120"/>
              <w:rPr>
                <w:rFonts w:eastAsia="Palatino Linotype"/>
                <w:sz w:val="22"/>
                <w:szCs w:val="22"/>
              </w:rPr>
            </w:pPr>
            <w:r w:rsidRPr="00D41540">
              <w:rPr>
                <w:rFonts w:eastAsia="Palatino Linotype"/>
                <w:sz w:val="22"/>
                <w:szCs w:val="22"/>
              </w:rPr>
              <w:t>173</w:t>
            </w:r>
          </w:p>
        </w:tc>
        <w:tc>
          <w:tcPr>
            <w:tcW w:w="2721" w:type="dxa"/>
            <w:shd w:val="clear" w:color="auto" w:fill="F2F2F2" w:themeFill="background1" w:themeFillShade="F2"/>
            <w:tcMar>
              <w:left w:w="108" w:type="dxa"/>
              <w:right w:w="108" w:type="dxa"/>
            </w:tcMar>
          </w:tcPr>
          <w:p w14:paraId="7848599C" w14:textId="3F853FBF" w:rsidR="29227ADE" w:rsidRPr="00D41540" w:rsidRDefault="29227ADE" w:rsidP="004570F2">
            <w:pPr>
              <w:spacing w:after="120"/>
              <w:rPr>
                <w:rFonts w:eastAsia="Palatino Linotype"/>
                <w:sz w:val="22"/>
                <w:szCs w:val="22"/>
              </w:rPr>
            </w:pPr>
            <w:r w:rsidRPr="00D41540">
              <w:rPr>
                <w:rFonts w:eastAsia="Palatino Linotype"/>
                <w:sz w:val="22"/>
                <w:szCs w:val="22"/>
              </w:rPr>
              <w:t>EPAR Database</w:t>
            </w:r>
          </w:p>
        </w:tc>
      </w:tr>
      <w:tr w:rsidR="29227ADE" w14:paraId="60B45B19" w14:textId="77777777" w:rsidTr="00E5568D">
        <w:trPr>
          <w:trHeight w:val="273"/>
        </w:trPr>
        <w:tc>
          <w:tcPr>
            <w:tcW w:w="3742" w:type="dxa"/>
            <w:tcMar>
              <w:left w:w="108" w:type="dxa"/>
              <w:right w:w="108" w:type="dxa"/>
            </w:tcMar>
          </w:tcPr>
          <w:p w14:paraId="592D96AC" w14:textId="663A26B9" w:rsidR="29227ADE" w:rsidRPr="00D41540" w:rsidRDefault="29227ADE" w:rsidP="004570F2">
            <w:pPr>
              <w:spacing w:after="120"/>
              <w:rPr>
                <w:rFonts w:eastAsia="Palatino Linotype"/>
                <w:b/>
                <w:bCs/>
                <w:sz w:val="22"/>
                <w:szCs w:val="22"/>
              </w:rPr>
            </w:pPr>
            <w:r w:rsidRPr="00D41540">
              <w:rPr>
                <w:rFonts w:eastAsia="Palatino Linotype"/>
                <w:b/>
                <w:bCs/>
                <w:sz w:val="22"/>
                <w:szCs w:val="22"/>
              </w:rPr>
              <w:t>Authorised</w:t>
            </w:r>
          </w:p>
        </w:tc>
        <w:tc>
          <w:tcPr>
            <w:tcW w:w="2381" w:type="dxa"/>
            <w:tcMar>
              <w:left w:w="108" w:type="dxa"/>
              <w:right w:w="108" w:type="dxa"/>
            </w:tcMar>
          </w:tcPr>
          <w:p w14:paraId="3B035D75" w14:textId="185E1577" w:rsidR="29227ADE" w:rsidRPr="00D41540" w:rsidRDefault="29227ADE" w:rsidP="004570F2">
            <w:pPr>
              <w:spacing w:after="120"/>
              <w:rPr>
                <w:rFonts w:eastAsia="Palatino Linotype"/>
                <w:sz w:val="22"/>
                <w:szCs w:val="22"/>
              </w:rPr>
            </w:pPr>
            <w:r w:rsidRPr="00D41540">
              <w:rPr>
                <w:rFonts w:eastAsia="Palatino Linotype"/>
                <w:sz w:val="22"/>
                <w:szCs w:val="22"/>
              </w:rPr>
              <w:t>151 (87.3</w:t>
            </w:r>
            <w:r w:rsidR="006856C2">
              <w:rPr>
                <w:rFonts w:eastAsia="Palatino Linotype"/>
                <w:sz w:val="22"/>
                <w:szCs w:val="22"/>
              </w:rPr>
              <w:t>%</w:t>
            </w:r>
            <w:r w:rsidRPr="00D41540">
              <w:rPr>
                <w:rFonts w:eastAsia="Palatino Linotype"/>
                <w:sz w:val="22"/>
                <w:szCs w:val="22"/>
              </w:rPr>
              <w:t>)</w:t>
            </w:r>
          </w:p>
        </w:tc>
        <w:tc>
          <w:tcPr>
            <w:tcW w:w="2721" w:type="dxa"/>
            <w:tcMar>
              <w:left w:w="108" w:type="dxa"/>
              <w:right w:w="108" w:type="dxa"/>
            </w:tcMar>
          </w:tcPr>
          <w:p w14:paraId="22385B51" w14:textId="4BD3A145" w:rsidR="29227ADE" w:rsidRPr="00D41540" w:rsidRDefault="29227ADE" w:rsidP="004570F2">
            <w:pPr>
              <w:spacing w:after="120"/>
              <w:rPr>
                <w:rFonts w:eastAsia="Palatino Linotype"/>
                <w:sz w:val="22"/>
                <w:szCs w:val="22"/>
              </w:rPr>
            </w:pPr>
            <w:r w:rsidRPr="00D41540">
              <w:rPr>
                <w:rFonts w:eastAsia="Palatino Linotype"/>
                <w:sz w:val="22"/>
                <w:szCs w:val="22"/>
              </w:rPr>
              <w:t>EPAR Database</w:t>
            </w:r>
          </w:p>
        </w:tc>
      </w:tr>
      <w:tr w:rsidR="29227ADE" w14:paraId="011E6448" w14:textId="77777777" w:rsidTr="00E5568D">
        <w:trPr>
          <w:trHeight w:val="278"/>
        </w:trPr>
        <w:tc>
          <w:tcPr>
            <w:tcW w:w="3742" w:type="dxa"/>
            <w:shd w:val="clear" w:color="auto" w:fill="F2F2F2" w:themeFill="background1" w:themeFillShade="F2"/>
            <w:tcMar>
              <w:left w:w="108" w:type="dxa"/>
              <w:right w:w="108" w:type="dxa"/>
            </w:tcMar>
          </w:tcPr>
          <w:p w14:paraId="34161217" w14:textId="25F6AD29" w:rsidR="29227ADE" w:rsidRPr="00D41540" w:rsidRDefault="29227ADE" w:rsidP="004570F2">
            <w:pPr>
              <w:spacing w:after="120"/>
              <w:rPr>
                <w:rFonts w:eastAsia="Palatino Linotype"/>
                <w:b/>
                <w:bCs/>
                <w:sz w:val="22"/>
                <w:szCs w:val="22"/>
              </w:rPr>
            </w:pPr>
            <w:r w:rsidRPr="00D41540">
              <w:rPr>
                <w:rFonts w:eastAsia="Palatino Linotype"/>
                <w:b/>
                <w:bCs/>
                <w:sz w:val="22"/>
                <w:szCs w:val="22"/>
              </w:rPr>
              <w:t>Withdrawn/Refused</w:t>
            </w:r>
          </w:p>
        </w:tc>
        <w:tc>
          <w:tcPr>
            <w:tcW w:w="2381" w:type="dxa"/>
            <w:shd w:val="clear" w:color="auto" w:fill="F2F2F2" w:themeFill="background1" w:themeFillShade="F2"/>
            <w:tcMar>
              <w:left w:w="108" w:type="dxa"/>
              <w:right w:w="108" w:type="dxa"/>
            </w:tcMar>
          </w:tcPr>
          <w:p w14:paraId="5D43ED45" w14:textId="6C6A2BF4" w:rsidR="29227ADE" w:rsidRPr="00D41540" w:rsidRDefault="29227ADE" w:rsidP="004570F2">
            <w:pPr>
              <w:spacing w:after="120"/>
              <w:rPr>
                <w:rFonts w:eastAsia="Palatino Linotype"/>
                <w:sz w:val="22"/>
                <w:szCs w:val="22"/>
              </w:rPr>
            </w:pPr>
            <w:r w:rsidRPr="00D41540">
              <w:rPr>
                <w:rFonts w:eastAsia="Palatino Linotype"/>
                <w:sz w:val="22"/>
                <w:szCs w:val="22"/>
              </w:rPr>
              <w:t>22 (12.7</w:t>
            </w:r>
            <w:r w:rsidR="006856C2">
              <w:rPr>
                <w:rFonts w:eastAsia="Palatino Linotype"/>
                <w:sz w:val="22"/>
                <w:szCs w:val="22"/>
              </w:rPr>
              <w:t>%</w:t>
            </w:r>
            <w:r w:rsidRPr="00D41540">
              <w:rPr>
                <w:rFonts w:eastAsia="Palatino Linotype"/>
                <w:sz w:val="22"/>
                <w:szCs w:val="22"/>
              </w:rPr>
              <w:t>)</w:t>
            </w:r>
          </w:p>
        </w:tc>
        <w:tc>
          <w:tcPr>
            <w:tcW w:w="2721" w:type="dxa"/>
            <w:shd w:val="clear" w:color="auto" w:fill="F2F2F2" w:themeFill="background1" w:themeFillShade="F2"/>
            <w:tcMar>
              <w:left w:w="108" w:type="dxa"/>
              <w:right w:w="108" w:type="dxa"/>
            </w:tcMar>
          </w:tcPr>
          <w:p w14:paraId="694A7122" w14:textId="184C562A" w:rsidR="29227ADE" w:rsidRPr="00D41540" w:rsidRDefault="29227ADE" w:rsidP="004570F2">
            <w:pPr>
              <w:spacing w:after="120"/>
              <w:rPr>
                <w:rFonts w:eastAsia="Palatino Linotype"/>
                <w:sz w:val="22"/>
                <w:szCs w:val="22"/>
              </w:rPr>
            </w:pPr>
            <w:r w:rsidRPr="00D41540">
              <w:rPr>
                <w:rFonts w:eastAsia="Palatino Linotype"/>
                <w:sz w:val="22"/>
                <w:szCs w:val="22"/>
              </w:rPr>
              <w:t>EPAR Database</w:t>
            </w:r>
          </w:p>
        </w:tc>
      </w:tr>
      <w:tr w:rsidR="29227ADE" w14:paraId="39BE5603" w14:textId="77777777" w:rsidTr="00E5568D">
        <w:trPr>
          <w:trHeight w:val="267"/>
        </w:trPr>
        <w:tc>
          <w:tcPr>
            <w:tcW w:w="3742" w:type="dxa"/>
            <w:tcMar>
              <w:left w:w="108" w:type="dxa"/>
              <w:right w:w="108" w:type="dxa"/>
            </w:tcMar>
          </w:tcPr>
          <w:p w14:paraId="38603499" w14:textId="6C62C8B3" w:rsidR="29227ADE" w:rsidRPr="00D41540" w:rsidRDefault="29227ADE" w:rsidP="004570F2">
            <w:pPr>
              <w:spacing w:after="120"/>
              <w:rPr>
                <w:rFonts w:eastAsia="Palatino Linotype"/>
                <w:b/>
                <w:bCs/>
                <w:sz w:val="22"/>
                <w:szCs w:val="22"/>
              </w:rPr>
            </w:pPr>
            <w:r w:rsidRPr="00D41540">
              <w:rPr>
                <w:rFonts w:eastAsia="Palatino Linotype"/>
                <w:b/>
                <w:bCs/>
                <w:sz w:val="22"/>
                <w:szCs w:val="22"/>
              </w:rPr>
              <w:t>Success rate 2020–2026</w:t>
            </w:r>
          </w:p>
        </w:tc>
        <w:tc>
          <w:tcPr>
            <w:tcW w:w="2381" w:type="dxa"/>
            <w:tcMar>
              <w:left w:w="108" w:type="dxa"/>
              <w:right w:w="108" w:type="dxa"/>
            </w:tcMar>
          </w:tcPr>
          <w:p w14:paraId="46C3BA50" w14:textId="4025128C" w:rsidR="29227ADE" w:rsidRPr="00D41540" w:rsidRDefault="29227ADE" w:rsidP="004570F2">
            <w:pPr>
              <w:spacing w:after="120"/>
              <w:rPr>
                <w:rFonts w:eastAsia="Palatino Linotype"/>
                <w:sz w:val="22"/>
                <w:szCs w:val="22"/>
              </w:rPr>
            </w:pPr>
            <w:r w:rsidRPr="00D41540">
              <w:rPr>
                <w:rFonts w:eastAsia="Palatino Linotype"/>
                <w:sz w:val="22"/>
                <w:szCs w:val="22"/>
              </w:rPr>
              <w:t>92.7</w:t>
            </w:r>
            <w:r w:rsidR="006856C2">
              <w:rPr>
                <w:rFonts w:eastAsia="Palatino Linotype"/>
                <w:sz w:val="22"/>
                <w:szCs w:val="22"/>
              </w:rPr>
              <w:t>%</w:t>
            </w:r>
            <w:r w:rsidRPr="00D41540">
              <w:rPr>
                <w:rFonts w:eastAsia="Palatino Linotype"/>
                <w:sz w:val="22"/>
                <w:szCs w:val="22"/>
              </w:rPr>
              <w:t xml:space="preserve"> (101/109)</w:t>
            </w:r>
          </w:p>
        </w:tc>
        <w:tc>
          <w:tcPr>
            <w:tcW w:w="2721" w:type="dxa"/>
            <w:tcMar>
              <w:left w:w="108" w:type="dxa"/>
              <w:right w:w="108" w:type="dxa"/>
            </w:tcMar>
          </w:tcPr>
          <w:p w14:paraId="2BFFA910" w14:textId="5F628E31" w:rsidR="29227ADE" w:rsidRPr="00D41540" w:rsidRDefault="29227ADE" w:rsidP="004570F2">
            <w:pPr>
              <w:spacing w:after="120"/>
              <w:rPr>
                <w:rFonts w:eastAsia="Palatino Linotype"/>
                <w:sz w:val="22"/>
                <w:szCs w:val="22"/>
              </w:rPr>
            </w:pPr>
            <w:r w:rsidRPr="00D41540">
              <w:rPr>
                <w:rFonts w:eastAsia="Palatino Linotype"/>
                <w:sz w:val="22"/>
                <w:szCs w:val="22"/>
              </w:rPr>
              <w:t>EPAR Database</w:t>
            </w:r>
          </w:p>
        </w:tc>
      </w:tr>
      <w:tr w:rsidR="29227ADE" w14:paraId="07F64163" w14:textId="77777777" w:rsidTr="00E5568D">
        <w:trPr>
          <w:trHeight w:val="272"/>
        </w:trPr>
        <w:tc>
          <w:tcPr>
            <w:tcW w:w="3742" w:type="dxa"/>
            <w:shd w:val="clear" w:color="auto" w:fill="F2F2F2" w:themeFill="background1" w:themeFillShade="F2"/>
            <w:tcMar>
              <w:left w:w="108" w:type="dxa"/>
              <w:right w:w="108" w:type="dxa"/>
            </w:tcMar>
          </w:tcPr>
          <w:p w14:paraId="69F23E54" w14:textId="228BFB1C" w:rsidR="29227ADE" w:rsidRPr="00D41540" w:rsidRDefault="29227ADE" w:rsidP="004570F2">
            <w:pPr>
              <w:spacing w:after="120"/>
              <w:rPr>
                <w:rFonts w:eastAsia="Palatino Linotype"/>
                <w:b/>
                <w:bCs/>
                <w:sz w:val="22"/>
                <w:szCs w:val="22"/>
              </w:rPr>
            </w:pPr>
            <w:r w:rsidRPr="00D41540">
              <w:rPr>
                <w:rFonts w:eastAsia="Palatino Linotype"/>
                <w:b/>
                <w:bCs/>
                <w:sz w:val="22"/>
                <w:szCs w:val="22"/>
              </w:rPr>
              <w:t>2024 biosimilar MAAs resolved</w:t>
            </w:r>
          </w:p>
        </w:tc>
        <w:tc>
          <w:tcPr>
            <w:tcW w:w="2381" w:type="dxa"/>
            <w:shd w:val="clear" w:color="auto" w:fill="F2F2F2" w:themeFill="background1" w:themeFillShade="F2"/>
            <w:tcMar>
              <w:left w:w="108" w:type="dxa"/>
              <w:right w:w="108" w:type="dxa"/>
            </w:tcMar>
          </w:tcPr>
          <w:p w14:paraId="47C7906E" w14:textId="724D4219" w:rsidR="29227ADE" w:rsidRPr="00D41540" w:rsidRDefault="29227ADE" w:rsidP="004570F2">
            <w:pPr>
              <w:spacing w:after="120"/>
              <w:rPr>
                <w:rFonts w:eastAsia="Palatino Linotype"/>
                <w:sz w:val="22"/>
                <w:szCs w:val="22"/>
              </w:rPr>
            </w:pPr>
            <w:r w:rsidRPr="00D41540">
              <w:rPr>
                <w:rFonts w:eastAsia="Palatino Linotype"/>
                <w:sz w:val="22"/>
                <w:szCs w:val="22"/>
              </w:rPr>
              <w:t>27 (25 auth + 2 W/R)</w:t>
            </w:r>
          </w:p>
        </w:tc>
        <w:tc>
          <w:tcPr>
            <w:tcW w:w="2721" w:type="dxa"/>
            <w:shd w:val="clear" w:color="auto" w:fill="F2F2F2" w:themeFill="background1" w:themeFillShade="F2"/>
            <w:tcMar>
              <w:left w:w="108" w:type="dxa"/>
              <w:right w:w="108" w:type="dxa"/>
            </w:tcMar>
          </w:tcPr>
          <w:p w14:paraId="3F534D8F" w14:textId="27A891C5" w:rsidR="29227ADE" w:rsidRPr="00D41540" w:rsidRDefault="29227ADE" w:rsidP="004570F2">
            <w:pPr>
              <w:spacing w:after="120"/>
              <w:rPr>
                <w:rFonts w:eastAsia="Palatino Linotype"/>
                <w:sz w:val="22"/>
                <w:szCs w:val="22"/>
              </w:rPr>
            </w:pPr>
            <w:r w:rsidRPr="00D41540">
              <w:rPr>
                <w:rFonts w:eastAsia="Palatino Linotype"/>
                <w:sz w:val="22"/>
                <w:szCs w:val="22"/>
              </w:rPr>
              <w:t>EPAR Database</w:t>
            </w:r>
          </w:p>
        </w:tc>
      </w:tr>
      <w:tr w:rsidR="29227ADE" w14:paraId="55AFD711" w14:textId="77777777" w:rsidTr="00E5568D">
        <w:trPr>
          <w:trHeight w:val="261"/>
        </w:trPr>
        <w:tc>
          <w:tcPr>
            <w:tcW w:w="3742" w:type="dxa"/>
            <w:tcMar>
              <w:left w:w="108" w:type="dxa"/>
              <w:right w:w="108" w:type="dxa"/>
            </w:tcMar>
          </w:tcPr>
          <w:p w14:paraId="41297205" w14:textId="026D2120" w:rsidR="29227ADE" w:rsidRPr="00D41540" w:rsidRDefault="29227ADE" w:rsidP="004570F2">
            <w:pPr>
              <w:spacing w:after="120"/>
              <w:rPr>
                <w:rFonts w:eastAsia="Palatino Linotype"/>
                <w:b/>
                <w:bCs/>
                <w:sz w:val="22"/>
                <w:szCs w:val="22"/>
              </w:rPr>
            </w:pPr>
            <w:r w:rsidRPr="00D41540">
              <w:rPr>
                <w:rFonts w:eastAsia="Palatino Linotype"/>
                <w:b/>
                <w:bCs/>
                <w:sz w:val="22"/>
                <w:szCs w:val="22"/>
              </w:rPr>
              <w:t>EMA scientific advice requests 2024</w:t>
            </w:r>
          </w:p>
        </w:tc>
        <w:tc>
          <w:tcPr>
            <w:tcW w:w="2381" w:type="dxa"/>
            <w:tcMar>
              <w:left w:w="108" w:type="dxa"/>
              <w:right w:w="108" w:type="dxa"/>
            </w:tcMar>
          </w:tcPr>
          <w:p w14:paraId="6E4DAF56" w14:textId="298FFD4C" w:rsidR="29227ADE" w:rsidRPr="00D41540" w:rsidRDefault="29227ADE" w:rsidP="004570F2">
            <w:pPr>
              <w:spacing w:after="120"/>
              <w:rPr>
                <w:rFonts w:eastAsia="Palatino Linotype"/>
                <w:sz w:val="22"/>
                <w:szCs w:val="22"/>
              </w:rPr>
            </w:pPr>
            <w:r w:rsidRPr="00D41540">
              <w:rPr>
                <w:rFonts w:eastAsia="Palatino Linotype"/>
                <w:sz w:val="22"/>
                <w:szCs w:val="22"/>
              </w:rPr>
              <w:t>635 (all products)</w:t>
            </w:r>
          </w:p>
        </w:tc>
        <w:tc>
          <w:tcPr>
            <w:tcW w:w="2721" w:type="dxa"/>
            <w:tcMar>
              <w:left w:w="108" w:type="dxa"/>
              <w:right w:w="108" w:type="dxa"/>
            </w:tcMar>
          </w:tcPr>
          <w:p w14:paraId="1873F98F" w14:textId="30ABDE37" w:rsidR="29227ADE" w:rsidRPr="00D41540" w:rsidRDefault="29227ADE" w:rsidP="004570F2">
            <w:pPr>
              <w:spacing w:after="120"/>
              <w:rPr>
                <w:rFonts w:eastAsia="Palatino Linotype"/>
                <w:sz w:val="22"/>
                <w:szCs w:val="22"/>
              </w:rPr>
            </w:pPr>
            <w:r w:rsidRPr="00D41540">
              <w:rPr>
                <w:rFonts w:eastAsia="Palatino Linotype"/>
                <w:sz w:val="22"/>
                <w:szCs w:val="22"/>
              </w:rPr>
              <w:t>EMA Annual Report 2024</w:t>
            </w:r>
          </w:p>
        </w:tc>
      </w:tr>
    </w:tbl>
    <w:p w14:paraId="67AD3977" w14:textId="4D14486F" w:rsidR="43276275" w:rsidRPr="00D41540" w:rsidRDefault="43276275" w:rsidP="004570F2"/>
    <w:p w14:paraId="479D5DEC" w14:textId="694555B4" w:rsidR="00E01D80" w:rsidRPr="00490ACB" w:rsidRDefault="00E01D80" w:rsidP="00E5568D">
      <w:pPr>
        <w:pStyle w:val="Heading3"/>
        <w:rPr>
          <w:rFonts w:eastAsiaTheme="minorHAnsi"/>
        </w:rPr>
      </w:pPr>
      <w:bookmarkStart w:id="208" w:name="_Toc225969787"/>
      <w:bookmarkStart w:id="209" w:name="_Toc225979119"/>
      <w:r w:rsidRPr="00D41540" w:rsidDel="004D3163">
        <w:t>12</w:t>
      </w:r>
      <w:r w:rsidR="004D3163" w:rsidRPr="00D41540">
        <w:t>-month</w:t>
      </w:r>
      <w:r w:rsidRPr="00D41540">
        <w:t xml:space="preserve"> extension of Supplementary Protection Certificates (SPC) for</w:t>
      </w:r>
      <w:r w:rsidR="00F6263A" w:rsidRPr="00D41540">
        <w:t xml:space="preserve"> biotechnology medicine</w:t>
      </w:r>
      <w:bookmarkEnd w:id="208"/>
      <w:bookmarkEnd w:id="209"/>
    </w:p>
    <w:p w14:paraId="0F9B7DFC" w14:textId="578BAF8E" w:rsidR="00CD782D" w:rsidRPr="00DE6B0B" w:rsidRDefault="77A96013" w:rsidP="007D2650">
      <w:r>
        <w:rPr>
          <w:lang w:val="en-IE"/>
        </w:rPr>
        <w:t>The</w:t>
      </w:r>
      <w:r w:rsidR="0EBD8CA6" w:rsidRPr="00CD782D">
        <w:rPr>
          <w:lang w:val="en-IE"/>
        </w:rPr>
        <w:t xml:space="preserve"> EU faces increasing global competition in the field of biotechnology. Patent data</w:t>
      </w:r>
      <w:r w:rsidR="0EBD8CA6" w:rsidRPr="005434E8">
        <w:t xml:space="preserve">, geographic distribution of clinical trials and biologic manufacturing reflect this reality and support the need for urgent action </w:t>
      </w:r>
      <w:r w:rsidR="0EBD8CA6" w:rsidRPr="00DE6B0B">
        <w:t>to boost Europe’s competitiveness in health biotech through a combined set of regulatory and industrial policy measures</w:t>
      </w:r>
      <w:r w:rsidR="6698521E" w:rsidRPr="00DE6B0B">
        <w:t>. These</w:t>
      </w:r>
      <w:r w:rsidR="0EBD8CA6" w:rsidRPr="00DE6B0B">
        <w:t xml:space="preserve"> includ</w:t>
      </w:r>
      <w:r w:rsidR="6698521E" w:rsidRPr="00DE6B0B">
        <w:t>e</w:t>
      </w:r>
      <w:r w:rsidR="0EBD8CA6" w:rsidRPr="00DE6B0B">
        <w:t xml:space="preserve"> the 12-</w:t>
      </w:r>
      <w:r w:rsidR="0EBD8CA6" w:rsidRPr="00DE6B0B">
        <w:lastRenderedPageBreak/>
        <w:t>month SPC extension</w:t>
      </w:r>
      <w:r w:rsidR="3A77D795" w:rsidRPr="00DE6B0B">
        <w:t xml:space="preserve">, a very attractive and effective patent </w:t>
      </w:r>
      <w:r w:rsidR="629E7621" w:rsidRPr="00DE6B0B">
        <w:t>incentive</w:t>
      </w:r>
      <w:r w:rsidR="15551E17" w:rsidRPr="00DE6B0B">
        <w:t xml:space="preserve"> that extend</w:t>
      </w:r>
      <w:r w:rsidR="00482E50">
        <w:t>s</w:t>
      </w:r>
      <w:r w:rsidR="15551E17" w:rsidRPr="00DE6B0B">
        <w:t xml:space="preserve"> the IP</w:t>
      </w:r>
      <w:r w:rsidR="1BDFF5D8" w:rsidRPr="00DE6B0B">
        <w:t>’s effect</w:t>
      </w:r>
      <w:r w:rsidR="1BA24212" w:rsidRPr="5DA36055">
        <w:rPr>
          <w:i/>
          <w:iCs/>
        </w:rPr>
        <w:t>,</w:t>
      </w:r>
      <w:r w:rsidR="1BA24212" w:rsidRPr="00DE6B0B">
        <w:t xml:space="preserve"> thereby providing a very robust shield from competition for the relevant molecule</w:t>
      </w:r>
      <w:r w:rsidR="007D0805" w:rsidRPr="00DE6B0B">
        <w:rPr>
          <w:rStyle w:val="FootnoteReference"/>
        </w:rPr>
        <w:footnoteReference w:id="67"/>
      </w:r>
      <w:r w:rsidR="1BA24212" w:rsidRPr="00DE6B0B">
        <w:t>.</w:t>
      </w:r>
      <w:r w:rsidR="0EBD8CA6" w:rsidRPr="00DE6B0B">
        <w:t xml:space="preserve"> </w:t>
      </w:r>
      <w:r w:rsidR="0EBD8CA6" w:rsidRPr="00DE6B0B">
        <w:rPr>
          <w:lang w:val="en-IE"/>
        </w:rPr>
        <w:t xml:space="preserve"> </w:t>
      </w:r>
    </w:p>
    <w:p w14:paraId="5B3CD708" w14:textId="4569E193" w:rsidR="00CD782D" w:rsidRDefault="00CD782D" w:rsidP="007D2650">
      <w:r w:rsidRPr="00DE6B0B">
        <w:t xml:space="preserve">First, table </w:t>
      </w:r>
      <w:r w:rsidR="009A73BA">
        <w:t>4</w:t>
      </w:r>
      <w:r w:rsidR="0041523C" w:rsidRPr="00DE6B0B">
        <w:t xml:space="preserve"> </w:t>
      </w:r>
      <w:r w:rsidRPr="00DE6B0B">
        <w:t>below shows</w:t>
      </w:r>
      <w:r w:rsidRPr="00DE6B0B">
        <w:rPr>
          <w:lang w:val="en-IE"/>
        </w:rPr>
        <w:t xml:space="preserve"> </w:t>
      </w:r>
      <w:r w:rsidRPr="00DE6B0B">
        <w:t>that the EU accounts</w:t>
      </w:r>
      <w:r w:rsidRPr="00A31569">
        <w:t xml:space="preserve"> for a limited share of global earliest biotech patent filings</w:t>
      </w:r>
      <w:r>
        <w:t xml:space="preserve"> between </w:t>
      </w:r>
      <w:r w:rsidRPr="00A31569">
        <w:t>2012–2024, representing around 4</w:t>
      </w:r>
      <w:r w:rsidR="006856C2">
        <w:t>%</w:t>
      </w:r>
      <w:r w:rsidRPr="00A31569">
        <w:t xml:space="preserve"> of patent families worldwide.</w:t>
      </w:r>
      <w:r>
        <w:t xml:space="preserve"> </w:t>
      </w:r>
      <w:r w:rsidRPr="00893ABD">
        <w:t>When restricting the analysis to patent families owned by European companies</w:t>
      </w:r>
      <w:r>
        <w:t>, however</w:t>
      </w:r>
      <w:r w:rsidRPr="00893ABD">
        <w:t>, the EU appears more prominent as an early filing location, accounting for around 33</w:t>
      </w:r>
      <w:r w:rsidR="006856C2">
        <w:t>%</w:t>
      </w:r>
      <w:r w:rsidRPr="00893ABD">
        <w:t xml:space="preserve"> of earliest filings over 2012–202</w:t>
      </w:r>
      <w:r w:rsidR="00115D96">
        <w:t>4</w:t>
      </w:r>
      <w:r w:rsidRPr="00893ABD">
        <w:t>, while multiple-jurisdiction filings including the EU represent around 39</w:t>
      </w:r>
      <w:r w:rsidR="006856C2">
        <w:t>%</w:t>
      </w:r>
      <w:r w:rsidRPr="00893ABD">
        <w:t>.</w:t>
      </w:r>
    </w:p>
    <w:p w14:paraId="4812275F" w14:textId="5B8DF389" w:rsidR="00CD782D" w:rsidRPr="00F71111" w:rsidRDefault="0041523C" w:rsidP="007D2650">
      <w:r w:rsidRPr="00D41540">
        <w:rPr>
          <w:b/>
          <w:bCs/>
        </w:rPr>
        <w:t xml:space="preserve">Table </w:t>
      </w:r>
      <w:r w:rsidR="005B590D">
        <w:rPr>
          <w:b/>
          <w:bCs/>
        </w:rPr>
        <w:t>4</w:t>
      </w:r>
      <w:r w:rsidR="001E3EB6">
        <w:rPr>
          <w:b/>
          <w:bCs/>
        </w:rPr>
        <w:t xml:space="preserve">. </w:t>
      </w:r>
      <w:r w:rsidR="00CD782D" w:rsidRPr="00D41540">
        <w:rPr>
          <w:b/>
          <w:bCs/>
        </w:rPr>
        <w:t>Biotech patents in 2012-2024</w:t>
      </w:r>
    </w:p>
    <w:tbl>
      <w:tblPr>
        <w:tblStyle w:val="TableGridLight"/>
        <w:tblW w:w="47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2184"/>
        <w:gridCol w:w="3810"/>
      </w:tblGrid>
      <w:tr w:rsidR="00CD782D" w:rsidRPr="00E5568D" w14:paraId="636065C9" w14:textId="77777777" w:rsidTr="004570F2">
        <w:trPr>
          <w:trHeight w:val="415"/>
        </w:trPr>
        <w:tc>
          <w:tcPr>
            <w:tcW w:w="1369" w:type="pct"/>
            <w:noWrap/>
            <w:hideMark/>
          </w:tcPr>
          <w:p w14:paraId="7B7D3CB4" w14:textId="77777777" w:rsidR="00CD782D" w:rsidRPr="00E5568D" w:rsidRDefault="00CD782D" w:rsidP="007D2650">
            <w:pPr>
              <w:spacing w:after="0"/>
              <w:jc w:val="left"/>
              <w:rPr>
                <w:b/>
                <w:sz w:val="20"/>
                <w:szCs w:val="22"/>
              </w:rPr>
            </w:pPr>
            <w:r w:rsidRPr="00E5568D">
              <w:rPr>
                <w:b/>
                <w:sz w:val="20"/>
                <w:szCs w:val="22"/>
              </w:rPr>
              <w:t> </w:t>
            </w:r>
          </w:p>
        </w:tc>
        <w:tc>
          <w:tcPr>
            <w:tcW w:w="1323" w:type="pct"/>
            <w:hideMark/>
          </w:tcPr>
          <w:p w14:paraId="0E8EB364" w14:textId="77777777" w:rsidR="00CD782D" w:rsidRPr="00E5568D" w:rsidRDefault="00CD782D" w:rsidP="007D2650">
            <w:pPr>
              <w:spacing w:after="0"/>
              <w:jc w:val="left"/>
              <w:rPr>
                <w:b/>
                <w:sz w:val="20"/>
                <w:szCs w:val="22"/>
              </w:rPr>
            </w:pPr>
            <w:r w:rsidRPr="00E5568D">
              <w:rPr>
                <w:b/>
                <w:sz w:val="20"/>
                <w:szCs w:val="22"/>
              </w:rPr>
              <w:t>All PATSTAT patents</w:t>
            </w:r>
          </w:p>
        </w:tc>
        <w:tc>
          <w:tcPr>
            <w:tcW w:w="2308" w:type="pct"/>
            <w:hideMark/>
          </w:tcPr>
          <w:p w14:paraId="1384A952" w14:textId="77777777" w:rsidR="00CD782D" w:rsidRPr="00E5568D" w:rsidRDefault="00CD782D" w:rsidP="007D2650">
            <w:pPr>
              <w:spacing w:after="0"/>
              <w:jc w:val="left"/>
              <w:rPr>
                <w:b/>
                <w:sz w:val="20"/>
                <w:szCs w:val="22"/>
              </w:rPr>
            </w:pPr>
            <w:r w:rsidRPr="00E5568D">
              <w:rPr>
                <w:b/>
                <w:sz w:val="20"/>
                <w:szCs w:val="22"/>
              </w:rPr>
              <w:t>Patents filed by EU-based companies</w:t>
            </w:r>
          </w:p>
        </w:tc>
      </w:tr>
      <w:tr w:rsidR="00CD782D" w:rsidRPr="00E5568D" w14:paraId="0B956E8F" w14:textId="77777777" w:rsidTr="004570F2">
        <w:trPr>
          <w:trHeight w:val="20"/>
        </w:trPr>
        <w:tc>
          <w:tcPr>
            <w:tcW w:w="1369" w:type="pct"/>
            <w:hideMark/>
          </w:tcPr>
          <w:p w14:paraId="042DB64D" w14:textId="77777777" w:rsidR="00CD782D" w:rsidRPr="00E5568D" w:rsidRDefault="00CD782D" w:rsidP="007D2650">
            <w:pPr>
              <w:spacing w:after="0"/>
              <w:jc w:val="left"/>
              <w:rPr>
                <w:b/>
                <w:sz w:val="20"/>
                <w:szCs w:val="22"/>
              </w:rPr>
            </w:pPr>
            <w:r w:rsidRPr="00E5568D">
              <w:rPr>
                <w:b/>
                <w:sz w:val="20"/>
                <w:szCs w:val="22"/>
              </w:rPr>
              <w:t>EU</w:t>
            </w:r>
          </w:p>
        </w:tc>
        <w:tc>
          <w:tcPr>
            <w:tcW w:w="1323" w:type="pct"/>
            <w:noWrap/>
            <w:hideMark/>
          </w:tcPr>
          <w:p w14:paraId="68B75920" w14:textId="6FC4B844" w:rsidR="00CD782D" w:rsidRPr="00E5568D" w:rsidRDefault="00CD782D" w:rsidP="007D2650">
            <w:pPr>
              <w:spacing w:after="0"/>
              <w:jc w:val="right"/>
              <w:rPr>
                <w:sz w:val="20"/>
                <w:szCs w:val="22"/>
              </w:rPr>
            </w:pPr>
            <w:r w:rsidRPr="00E5568D">
              <w:rPr>
                <w:sz w:val="20"/>
                <w:szCs w:val="22"/>
              </w:rPr>
              <w:t>4</w:t>
            </w:r>
            <w:r w:rsidR="006856C2" w:rsidRPr="00E5568D">
              <w:rPr>
                <w:sz w:val="20"/>
                <w:szCs w:val="22"/>
              </w:rPr>
              <w:t>%</w:t>
            </w:r>
          </w:p>
        </w:tc>
        <w:tc>
          <w:tcPr>
            <w:tcW w:w="2308" w:type="pct"/>
            <w:noWrap/>
            <w:hideMark/>
          </w:tcPr>
          <w:p w14:paraId="5CE30075" w14:textId="68DDFF50" w:rsidR="00CD782D" w:rsidRPr="00E5568D" w:rsidRDefault="00CD782D" w:rsidP="007D2650">
            <w:pPr>
              <w:spacing w:after="0"/>
              <w:jc w:val="right"/>
              <w:rPr>
                <w:sz w:val="20"/>
                <w:szCs w:val="22"/>
              </w:rPr>
            </w:pPr>
            <w:r w:rsidRPr="00E5568D">
              <w:rPr>
                <w:sz w:val="20"/>
                <w:szCs w:val="22"/>
              </w:rPr>
              <w:t>33</w:t>
            </w:r>
            <w:r w:rsidR="006856C2" w:rsidRPr="00E5568D">
              <w:rPr>
                <w:sz w:val="20"/>
                <w:szCs w:val="22"/>
              </w:rPr>
              <w:t>%</w:t>
            </w:r>
          </w:p>
        </w:tc>
      </w:tr>
      <w:tr w:rsidR="00CD782D" w:rsidRPr="00E5568D" w14:paraId="1F4421B1" w14:textId="77777777" w:rsidTr="004570F2">
        <w:trPr>
          <w:trHeight w:val="20"/>
        </w:trPr>
        <w:tc>
          <w:tcPr>
            <w:tcW w:w="1369" w:type="pct"/>
            <w:hideMark/>
          </w:tcPr>
          <w:p w14:paraId="7EBF268F" w14:textId="77777777" w:rsidR="00CD782D" w:rsidRPr="00E5568D" w:rsidRDefault="00CD782D" w:rsidP="007D2650">
            <w:pPr>
              <w:spacing w:after="0"/>
              <w:jc w:val="left"/>
              <w:rPr>
                <w:b/>
                <w:sz w:val="20"/>
                <w:szCs w:val="22"/>
              </w:rPr>
            </w:pPr>
            <w:r w:rsidRPr="00E5568D">
              <w:rPr>
                <w:b/>
                <w:sz w:val="20"/>
                <w:szCs w:val="22"/>
              </w:rPr>
              <w:t>Multiple (incl. EU)</w:t>
            </w:r>
          </w:p>
        </w:tc>
        <w:tc>
          <w:tcPr>
            <w:tcW w:w="1323" w:type="pct"/>
            <w:noWrap/>
            <w:hideMark/>
          </w:tcPr>
          <w:p w14:paraId="06372826" w14:textId="27988E95" w:rsidR="00CD782D" w:rsidRPr="00E5568D" w:rsidRDefault="00CD782D" w:rsidP="007D2650">
            <w:pPr>
              <w:spacing w:after="0"/>
              <w:jc w:val="right"/>
              <w:rPr>
                <w:sz w:val="20"/>
                <w:szCs w:val="22"/>
              </w:rPr>
            </w:pPr>
            <w:r w:rsidRPr="00E5568D">
              <w:rPr>
                <w:sz w:val="20"/>
                <w:szCs w:val="22"/>
              </w:rPr>
              <w:t>11</w:t>
            </w:r>
            <w:r w:rsidR="006856C2" w:rsidRPr="00E5568D">
              <w:rPr>
                <w:sz w:val="20"/>
                <w:szCs w:val="22"/>
              </w:rPr>
              <w:t>%</w:t>
            </w:r>
          </w:p>
        </w:tc>
        <w:tc>
          <w:tcPr>
            <w:tcW w:w="2308" w:type="pct"/>
            <w:noWrap/>
            <w:hideMark/>
          </w:tcPr>
          <w:p w14:paraId="0D0BF860" w14:textId="22A2C0E6" w:rsidR="00CD782D" w:rsidRPr="00E5568D" w:rsidRDefault="00CD782D" w:rsidP="007D2650">
            <w:pPr>
              <w:spacing w:after="0"/>
              <w:jc w:val="right"/>
              <w:rPr>
                <w:sz w:val="20"/>
                <w:szCs w:val="22"/>
              </w:rPr>
            </w:pPr>
            <w:r w:rsidRPr="00E5568D">
              <w:rPr>
                <w:sz w:val="20"/>
                <w:szCs w:val="22"/>
              </w:rPr>
              <w:t>39</w:t>
            </w:r>
            <w:r w:rsidR="006856C2" w:rsidRPr="00E5568D">
              <w:rPr>
                <w:sz w:val="20"/>
                <w:szCs w:val="22"/>
              </w:rPr>
              <w:t>%</w:t>
            </w:r>
          </w:p>
        </w:tc>
      </w:tr>
      <w:tr w:rsidR="00CD782D" w:rsidRPr="00E5568D" w14:paraId="1DB62ED1" w14:textId="77777777" w:rsidTr="004570F2">
        <w:trPr>
          <w:trHeight w:val="20"/>
        </w:trPr>
        <w:tc>
          <w:tcPr>
            <w:tcW w:w="1369" w:type="pct"/>
            <w:hideMark/>
          </w:tcPr>
          <w:p w14:paraId="13CD3A3A" w14:textId="77777777" w:rsidR="00CD782D" w:rsidRPr="00E5568D" w:rsidRDefault="00CD782D" w:rsidP="007D2650">
            <w:pPr>
              <w:spacing w:after="0"/>
              <w:jc w:val="left"/>
              <w:rPr>
                <w:b/>
                <w:sz w:val="20"/>
                <w:szCs w:val="22"/>
              </w:rPr>
            </w:pPr>
            <w:r w:rsidRPr="00E5568D">
              <w:rPr>
                <w:b/>
                <w:sz w:val="20"/>
                <w:szCs w:val="22"/>
              </w:rPr>
              <w:t>US</w:t>
            </w:r>
          </w:p>
        </w:tc>
        <w:tc>
          <w:tcPr>
            <w:tcW w:w="1323" w:type="pct"/>
            <w:noWrap/>
            <w:hideMark/>
          </w:tcPr>
          <w:p w14:paraId="433F7C04" w14:textId="58CEF811" w:rsidR="00CD782D" w:rsidRPr="00E5568D" w:rsidRDefault="00CD782D" w:rsidP="007D2650">
            <w:pPr>
              <w:spacing w:after="0"/>
              <w:jc w:val="right"/>
              <w:rPr>
                <w:sz w:val="20"/>
                <w:szCs w:val="22"/>
              </w:rPr>
            </w:pPr>
            <w:r w:rsidRPr="00E5568D">
              <w:rPr>
                <w:sz w:val="20"/>
                <w:szCs w:val="22"/>
              </w:rPr>
              <w:t>7</w:t>
            </w:r>
            <w:r w:rsidR="006856C2" w:rsidRPr="00E5568D">
              <w:rPr>
                <w:sz w:val="20"/>
                <w:szCs w:val="22"/>
              </w:rPr>
              <w:t>%</w:t>
            </w:r>
          </w:p>
        </w:tc>
        <w:tc>
          <w:tcPr>
            <w:tcW w:w="2308" w:type="pct"/>
            <w:noWrap/>
            <w:hideMark/>
          </w:tcPr>
          <w:p w14:paraId="75858116" w14:textId="170F8D14" w:rsidR="00CD782D" w:rsidRPr="00E5568D" w:rsidRDefault="00CD782D" w:rsidP="007D2650">
            <w:pPr>
              <w:spacing w:after="0"/>
              <w:jc w:val="right"/>
              <w:rPr>
                <w:sz w:val="20"/>
                <w:szCs w:val="22"/>
              </w:rPr>
            </w:pPr>
            <w:r w:rsidRPr="00E5568D">
              <w:rPr>
                <w:sz w:val="20"/>
                <w:szCs w:val="22"/>
              </w:rPr>
              <w:t>6</w:t>
            </w:r>
            <w:r w:rsidR="006856C2" w:rsidRPr="00E5568D">
              <w:rPr>
                <w:sz w:val="20"/>
                <w:szCs w:val="22"/>
              </w:rPr>
              <w:t>%</w:t>
            </w:r>
          </w:p>
        </w:tc>
      </w:tr>
      <w:tr w:rsidR="00CD782D" w:rsidRPr="00E5568D" w14:paraId="139C8758" w14:textId="77777777" w:rsidTr="004570F2">
        <w:trPr>
          <w:trHeight w:val="20"/>
        </w:trPr>
        <w:tc>
          <w:tcPr>
            <w:tcW w:w="1369" w:type="pct"/>
            <w:hideMark/>
          </w:tcPr>
          <w:p w14:paraId="712ECB49" w14:textId="77777777" w:rsidR="00CD782D" w:rsidRPr="00E5568D" w:rsidRDefault="00CD782D" w:rsidP="007D2650">
            <w:pPr>
              <w:spacing w:after="0"/>
              <w:jc w:val="left"/>
              <w:rPr>
                <w:b/>
                <w:sz w:val="20"/>
                <w:szCs w:val="22"/>
              </w:rPr>
            </w:pPr>
            <w:r w:rsidRPr="00E5568D">
              <w:rPr>
                <w:b/>
                <w:sz w:val="20"/>
                <w:szCs w:val="22"/>
              </w:rPr>
              <w:t>China</w:t>
            </w:r>
          </w:p>
        </w:tc>
        <w:tc>
          <w:tcPr>
            <w:tcW w:w="1323" w:type="pct"/>
            <w:noWrap/>
            <w:hideMark/>
          </w:tcPr>
          <w:p w14:paraId="2B3994AD" w14:textId="4AA3F721" w:rsidR="00CD782D" w:rsidRPr="00E5568D" w:rsidRDefault="00CD782D" w:rsidP="007D2650">
            <w:pPr>
              <w:spacing w:after="0"/>
              <w:jc w:val="right"/>
              <w:rPr>
                <w:sz w:val="20"/>
                <w:szCs w:val="22"/>
              </w:rPr>
            </w:pPr>
            <w:r w:rsidRPr="00E5568D">
              <w:rPr>
                <w:sz w:val="20"/>
                <w:szCs w:val="22"/>
              </w:rPr>
              <w:t>60</w:t>
            </w:r>
            <w:r w:rsidR="006856C2" w:rsidRPr="00E5568D">
              <w:rPr>
                <w:sz w:val="20"/>
                <w:szCs w:val="22"/>
              </w:rPr>
              <w:t>%</w:t>
            </w:r>
          </w:p>
        </w:tc>
        <w:tc>
          <w:tcPr>
            <w:tcW w:w="2308" w:type="pct"/>
            <w:noWrap/>
            <w:hideMark/>
          </w:tcPr>
          <w:p w14:paraId="5B096CB7" w14:textId="0F4C960B" w:rsidR="00CD782D" w:rsidRPr="00E5568D" w:rsidRDefault="00CD782D" w:rsidP="007D2650">
            <w:pPr>
              <w:spacing w:after="0"/>
              <w:jc w:val="right"/>
              <w:rPr>
                <w:sz w:val="20"/>
                <w:szCs w:val="22"/>
              </w:rPr>
            </w:pPr>
            <w:r w:rsidRPr="00E5568D">
              <w:rPr>
                <w:sz w:val="20"/>
                <w:szCs w:val="22"/>
              </w:rPr>
              <w:t>3</w:t>
            </w:r>
            <w:r w:rsidR="006856C2" w:rsidRPr="00E5568D">
              <w:rPr>
                <w:sz w:val="20"/>
                <w:szCs w:val="22"/>
              </w:rPr>
              <w:t>%</w:t>
            </w:r>
          </w:p>
        </w:tc>
      </w:tr>
      <w:tr w:rsidR="00CD782D" w:rsidRPr="00E5568D" w14:paraId="7AE20F70" w14:textId="77777777" w:rsidTr="004570F2">
        <w:trPr>
          <w:trHeight w:val="20"/>
        </w:trPr>
        <w:tc>
          <w:tcPr>
            <w:tcW w:w="1369" w:type="pct"/>
            <w:hideMark/>
          </w:tcPr>
          <w:p w14:paraId="7700ECCB" w14:textId="77777777" w:rsidR="00CD782D" w:rsidRPr="00E5568D" w:rsidRDefault="00CD782D" w:rsidP="007D2650">
            <w:pPr>
              <w:spacing w:after="0"/>
              <w:jc w:val="left"/>
              <w:rPr>
                <w:b/>
                <w:sz w:val="20"/>
                <w:szCs w:val="22"/>
              </w:rPr>
            </w:pPr>
            <w:r w:rsidRPr="00E5568D">
              <w:rPr>
                <w:b/>
                <w:sz w:val="20"/>
                <w:szCs w:val="22"/>
              </w:rPr>
              <w:t>All other</w:t>
            </w:r>
          </w:p>
        </w:tc>
        <w:tc>
          <w:tcPr>
            <w:tcW w:w="1323" w:type="pct"/>
            <w:noWrap/>
            <w:hideMark/>
          </w:tcPr>
          <w:p w14:paraId="79891FEE" w14:textId="0824CA70" w:rsidR="00CD782D" w:rsidRPr="00E5568D" w:rsidRDefault="00CD782D" w:rsidP="007D2650">
            <w:pPr>
              <w:spacing w:after="0"/>
              <w:jc w:val="right"/>
              <w:rPr>
                <w:sz w:val="20"/>
                <w:szCs w:val="22"/>
              </w:rPr>
            </w:pPr>
            <w:r w:rsidRPr="00E5568D">
              <w:rPr>
                <w:sz w:val="20"/>
                <w:szCs w:val="22"/>
              </w:rPr>
              <w:t>17</w:t>
            </w:r>
            <w:r w:rsidR="006856C2" w:rsidRPr="00E5568D">
              <w:rPr>
                <w:sz w:val="20"/>
                <w:szCs w:val="22"/>
              </w:rPr>
              <w:t>%</w:t>
            </w:r>
          </w:p>
        </w:tc>
        <w:tc>
          <w:tcPr>
            <w:tcW w:w="2308" w:type="pct"/>
            <w:noWrap/>
            <w:hideMark/>
          </w:tcPr>
          <w:p w14:paraId="1C9AD4CA" w14:textId="0676E523" w:rsidR="00CD782D" w:rsidRPr="00E5568D" w:rsidRDefault="00CD782D" w:rsidP="007D2650">
            <w:pPr>
              <w:spacing w:after="0"/>
              <w:jc w:val="right"/>
              <w:rPr>
                <w:sz w:val="20"/>
                <w:szCs w:val="22"/>
              </w:rPr>
            </w:pPr>
            <w:r w:rsidRPr="00E5568D">
              <w:rPr>
                <w:sz w:val="20"/>
                <w:szCs w:val="22"/>
              </w:rPr>
              <w:t>20</w:t>
            </w:r>
            <w:r w:rsidR="006856C2" w:rsidRPr="00E5568D">
              <w:rPr>
                <w:sz w:val="20"/>
                <w:szCs w:val="22"/>
              </w:rPr>
              <w:t>%</w:t>
            </w:r>
          </w:p>
        </w:tc>
      </w:tr>
    </w:tbl>
    <w:p w14:paraId="4D773585" w14:textId="1E35FF50" w:rsidR="00CD782D" w:rsidRPr="00576213" w:rsidRDefault="0015439C" w:rsidP="004570F2">
      <w:pPr>
        <w:rPr>
          <w:i/>
          <w:sz w:val="18"/>
          <w:szCs w:val="18"/>
          <w:lang w:val="en-IE"/>
        </w:rPr>
      </w:pPr>
      <w:r w:rsidRPr="00576213">
        <w:rPr>
          <w:b/>
          <w:i/>
          <w:sz w:val="18"/>
          <w:szCs w:val="18"/>
        </w:rPr>
        <w:t>Source</w:t>
      </w:r>
      <w:r w:rsidRPr="00576213">
        <w:rPr>
          <w:i/>
          <w:sz w:val="18"/>
          <w:szCs w:val="18"/>
        </w:rPr>
        <w:t xml:space="preserve">: </w:t>
      </w:r>
      <w:r w:rsidR="00CD782D" w:rsidRPr="00576213">
        <w:rPr>
          <w:i/>
          <w:sz w:val="18"/>
          <w:szCs w:val="18"/>
        </w:rPr>
        <w:t>PATSTAT data, compiled by PPMI group</w:t>
      </w:r>
    </w:p>
    <w:p w14:paraId="714D16A4" w14:textId="6D70D24D" w:rsidR="00CD782D" w:rsidRPr="0057383E" w:rsidRDefault="483E8B26" w:rsidP="007D2650">
      <w:r w:rsidRPr="0057383E">
        <w:t>Second</w:t>
      </w:r>
      <w:r w:rsidRPr="0057383E">
        <w:rPr>
          <w:lang w:val="en-IE"/>
        </w:rPr>
        <w:t>, the geographical distribution of clinical trials has shifted, with the EU losing ground relative to other regions such as the United States and China</w:t>
      </w:r>
      <w:r w:rsidRPr="0057383E">
        <w:t>. The EU/EEA's share of commercially sponsored clinical trials fell from 22</w:t>
      </w:r>
      <w:r w:rsidR="006856C2">
        <w:t>%</w:t>
      </w:r>
      <w:r w:rsidRPr="0057383E">
        <w:t xml:space="preserve"> in 2013 to 12</w:t>
      </w:r>
      <w:r w:rsidR="006856C2">
        <w:t>%</w:t>
      </w:r>
      <w:r w:rsidRPr="0057383E">
        <w:t xml:space="preserve"> in 2023, with absolute Phase III commercial trial in the EEA declining from 439 in 2018 to 327 in 2023</w:t>
      </w:r>
      <w:r w:rsidR="00CD782D" w:rsidRPr="004570F2">
        <w:rPr>
          <w:rStyle w:val="FootnoteReference"/>
        </w:rPr>
        <w:footnoteReference w:id="68"/>
      </w:r>
      <w:r w:rsidRPr="0057383E">
        <w:t>. This decline is prominent in the biotech segment</w:t>
      </w:r>
      <w:r w:rsidR="0DD0A9FA" w:rsidRPr="0057383E">
        <w:t xml:space="preserve"> as well</w:t>
      </w:r>
      <w:r w:rsidR="2A64523F" w:rsidRPr="0057383E">
        <w:t xml:space="preserve">, where, for instance, Europe’s </w:t>
      </w:r>
      <w:r w:rsidRPr="0057383E">
        <w:t xml:space="preserve">share of cell and gene therapy trials </w:t>
      </w:r>
      <w:r w:rsidR="009A122F" w:rsidRPr="0057383E">
        <w:t>went</w:t>
      </w:r>
      <w:r w:rsidRPr="0057383E">
        <w:t xml:space="preserve"> from 25</w:t>
      </w:r>
      <w:r w:rsidR="006856C2">
        <w:t>%</w:t>
      </w:r>
      <w:r w:rsidRPr="0057383E">
        <w:t xml:space="preserve"> in 2013 to 10</w:t>
      </w:r>
      <w:r w:rsidR="006856C2">
        <w:t>%</w:t>
      </w:r>
      <w:r w:rsidRPr="0057383E">
        <w:t xml:space="preserve"> in 2023 (see problem driver 2.2 for further context)</w:t>
      </w:r>
      <w:r w:rsidRPr="0057383E">
        <w:rPr>
          <w:lang w:val="en-IE"/>
        </w:rPr>
        <w:t>.</w:t>
      </w:r>
      <w:r w:rsidRPr="0057383E">
        <w:t xml:space="preserve"> </w:t>
      </w:r>
    </w:p>
    <w:p w14:paraId="356A7DED" w14:textId="77777777" w:rsidR="00CD782D" w:rsidRDefault="483E8B26" w:rsidP="007D2650">
      <w:r w:rsidRPr="0057383E">
        <w:t xml:space="preserve">Third, </w:t>
      </w:r>
      <w:r w:rsidRPr="0057383E">
        <w:rPr>
          <w:lang w:val="en-IE"/>
        </w:rPr>
        <w:t xml:space="preserve">manufacturing capacity within the EU has expanded over time, as illustrated by the increasing number of manufacturing authorisations and sites </w:t>
      </w:r>
      <w:r w:rsidRPr="0057383E">
        <w:t>recorded in</w:t>
      </w:r>
      <w:r w:rsidRPr="0057383E">
        <w:rPr>
          <w:lang w:val="en-IE"/>
        </w:rPr>
        <w:t xml:space="preserve"> EudraGMDP data</w:t>
      </w:r>
      <w:r w:rsidR="00CD782D" w:rsidRPr="0057383E">
        <w:rPr>
          <w:rStyle w:val="FootnoteReference"/>
        </w:rPr>
        <w:footnoteReference w:id="69"/>
      </w:r>
      <w:r w:rsidRPr="0057383E">
        <w:rPr>
          <w:lang w:val="en-IE"/>
        </w:rPr>
        <w:t>.</w:t>
      </w:r>
      <w:r w:rsidRPr="0057383E">
        <w:t xml:space="preserve"> The table below shows a marked increase in manufacturing authorisations, particularly in recent years, with strong growth in both the number of sites and the number of organisations involved</w:t>
      </w:r>
      <w:r w:rsidRPr="00D41540">
        <w:t xml:space="preserve">. </w:t>
      </w:r>
      <w:bookmarkStart w:id="210" w:name="_Ref221441653"/>
      <w:bookmarkStart w:id="211" w:name="_Toc221617231"/>
    </w:p>
    <w:bookmarkEnd w:id="210"/>
    <w:p w14:paraId="516DB9C0" w14:textId="1C40C830" w:rsidR="00CD782D" w:rsidRPr="00F71111" w:rsidRDefault="0041523C" w:rsidP="007D2650">
      <w:r w:rsidRPr="0057383E">
        <w:rPr>
          <w:b/>
          <w:bCs/>
        </w:rPr>
        <w:t xml:space="preserve">Table </w:t>
      </w:r>
      <w:r w:rsidR="005B590D">
        <w:rPr>
          <w:b/>
          <w:bCs/>
        </w:rPr>
        <w:t>5</w:t>
      </w:r>
      <w:r w:rsidR="00106AA9">
        <w:rPr>
          <w:b/>
          <w:bCs/>
        </w:rPr>
        <w:t xml:space="preserve">. </w:t>
      </w:r>
      <w:r w:rsidR="00CD782D" w:rsidRPr="0057383E">
        <w:rPr>
          <w:b/>
          <w:bCs/>
        </w:rPr>
        <w:t>Annual authorised biological manufacturing footprint in the EU (2012-2025)</w:t>
      </w:r>
      <w:bookmarkEnd w:id="211"/>
    </w:p>
    <w:tbl>
      <w:tblPr>
        <w:tblStyle w:val="TableGridLight"/>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2551"/>
        <w:gridCol w:w="2551"/>
        <w:gridCol w:w="2662"/>
      </w:tblGrid>
      <w:tr w:rsidR="00CD782D" w:rsidRPr="00E5568D" w14:paraId="2D2DCB8D" w14:textId="77777777" w:rsidTr="00E5568D">
        <w:tc>
          <w:tcPr>
            <w:tcW w:w="1020" w:type="dxa"/>
            <w:hideMark/>
          </w:tcPr>
          <w:p w14:paraId="797BCD9E" w14:textId="77777777" w:rsidR="00CD782D" w:rsidRPr="00E5568D" w:rsidRDefault="00CD782D" w:rsidP="007D2650">
            <w:pPr>
              <w:spacing w:after="0"/>
              <w:jc w:val="center"/>
              <w:rPr>
                <w:bCs/>
                <w:sz w:val="20"/>
                <w:szCs w:val="20"/>
              </w:rPr>
            </w:pPr>
            <w:r w:rsidRPr="00E5568D">
              <w:rPr>
                <w:bCs/>
                <w:sz w:val="20"/>
                <w:szCs w:val="20"/>
              </w:rPr>
              <w:t>Year</w:t>
            </w:r>
          </w:p>
        </w:tc>
        <w:tc>
          <w:tcPr>
            <w:tcW w:w="2551" w:type="dxa"/>
            <w:hideMark/>
          </w:tcPr>
          <w:p w14:paraId="1D8C228F" w14:textId="77777777" w:rsidR="00CD782D" w:rsidRPr="00E5568D" w:rsidRDefault="00CD782D" w:rsidP="007D2650">
            <w:pPr>
              <w:spacing w:after="0"/>
              <w:jc w:val="center"/>
              <w:rPr>
                <w:b/>
                <w:bCs/>
                <w:sz w:val="20"/>
                <w:szCs w:val="20"/>
              </w:rPr>
            </w:pPr>
            <w:r w:rsidRPr="00E5568D">
              <w:rPr>
                <w:bCs/>
                <w:sz w:val="20"/>
                <w:szCs w:val="20"/>
              </w:rPr>
              <w:t>New MIAs (flow)</w:t>
            </w:r>
          </w:p>
        </w:tc>
        <w:tc>
          <w:tcPr>
            <w:tcW w:w="2551" w:type="dxa"/>
            <w:hideMark/>
          </w:tcPr>
          <w:p w14:paraId="24167AAD" w14:textId="77777777" w:rsidR="00CD782D" w:rsidRPr="00E5568D" w:rsidRDefault="00CD782D" w:rsidP="007D2650">
            <w:pPr>
              <w:spacing w:after="0"/>
              <w:jc w:val="center"/>
              <w:rPr>
                <w:b/>
                <w:bCs/>
                <w:sz w:val="20"/>
                <w:szCs w:val="20"/>
              </w:rPr>
            </w:pPr>
            <w:r w:rsidRPr="00E5568D">
              <w:rPr>
                <w:bCs/>
                <w:sz w:val="20"/>
                <w:szCs w:val="20"/>
              </w:rPr>
              <w:t>New sites (LOC IDs)</w:t>
            </w:r>
          </w:p>
        </w:tc>
        <w:tc>
          <w:tcPr>
            <w:tcW w:w="2662" w:type="dxa"/>
            <w:hideMark/>
          </w:tcPr>
          <w:p w14:paraId="0D6D1791" w14:textId="77777777" w:rsidR="00CD782D" w:rsidRPr="00E5568D" w:rsidRDefault="00CD782D" w:rsidP="007D2650">
            <w:pPr>
              <w:spacing w:after="0"/>
              <w:jc w:val="center"/>
              <w:rPr>
                <w:b/>
                <w:bCs/>
                <w:sz w:val="20"/>
                <w:szCs w:val="20"/>
              </w:rPr>
            </w:pPr>
            <w:r w:rsidRPr="00E5568D">
              <w:rPr>
                <w:bCs/>
                <w:sz w:val="20"/>
                <w:szCs w:val="20"/>
              </w:rPr>
              <w:t>New organisations (ORG IDs)</w:t>
            </w:r>
          </w:p>
        </w:tc>
      </w:tr>
      <w:tr w:rsidR="00CD782D" w:rsidRPr="00E5568D" w14:paraId="7CC22F1D" w14:textId="77777777" w:rsidTr="00E5568D">
        <w:tc>
          <w:tcPr>
            <w:tcW w:w="1020" w:type="dxa"/>
            <w:hideMark/>
          </w:tcPr>
          <w:p w14:paraId="50E6AAB3" w14:textId="77777777" w:rsidR="00CD782D" w:rsidRPr="00E5568D" w:rsidRDefault="00CD782D" w:rsidP="007D2650">
            <w:pPr>
              <w:spacing w:after="0"/>
              <w:jc w:val="left"/>
              <w:rPr>
                <w:sz w:val="20"/>
                <w:szCs w:val="20"/>
              </w:rPr>
            </w:pPr>
            <w:r w:rsidRPr="00E5568D">
              <w:rPr>
                <w:sz w:val="20"/>
                <w:szCs w:val="20"/>
              </w:rPr>
              <w:t>2012</w:t>
            </w:r>
          </w:p>
        </w:tc>
        <w:tc>
          <w:tcPr>
            <w:tcW w:w="2551" w:type="dxa"/>
            <w:hideMark/>
          </w:tcPr>
          <w:p w14:paraId="3C2F83FF" w14:textId="77777777" w:rsidR="00CD782D" w:rsidRPr="00E5568D" w:rsidRDefault="00CD782D" w:rsidP="007D2650">
            <w:pPr>
              <w:spacing w:after="0"/>
              <w:jc w:val="left"/>
              <w:rPr>
                <w:sz w:val="20"/>
                <w:szCs w:val="20"/>
              </w:rPr>
            </w:pPr>
            <w:r w:rsidRPr="00E5568D">
              <w:rPr>
                <w:sz w:val="20"/>
                <w:szCs w:val="20"/>
              </w:rPr>
              <w:t>6</w:t>
            </w:r>
          </w:p>
        </w:tc>
        <w:tc>
          <w:tcPr>
            <w:tcW w:w="2551" w:type="dxa"/>
            <w:hideMark/>
          </w:tcPr>
          <w:p w14:paraId="05E7A7DB" w14:textId="77777777" w:rsidR="00CD782D" w:rsidRPr="00E5568D" w:rsidRDefault="00CD782D" w:rsidP="007D2650">
            <w:pPr>
              <w:spacing w:after="0"/>
              <w:jc w:val="left"/>
              <w:rPr>
                <w:sz w:val="20"/>
                <w:szCs w:val="20"/>
              </w:rPr>
            </w:pPr>
            <w:r w:rsidRPr="00E5568D">
              <w:rPr>
                <w:sz w:val="20"/>
                <w:szCs w:val="20"/>
              </w:rPr>
              <w:t>6</w:t>
            </w:r>
          </w:p>
        </w:tc>
        <w:tc>
          <w:tcPr>
            <w:tcW w:w="2662" w:type="dxa"/>
            <w:hideMark/>
          </w:tcPr>
          <w:p w14:paraId="231F2459" w14:textId="77777777" w:rsidR="00CD782D" w:rsidRPr="00E5568D" w:rsidRDefault="00CD782D" w:rsidP="007D2650">
            <w:pPr>
              <w:spacing w:after="0"/>
              <w:jc w:val="left"/>
              <w:rPr>
                <w:sz w:val="20"/>
                <w:szCs w:val="20"/>
              </w:rPr>
            </w:pPr>
            <w:r w:rsidRPr="00E5568D">
              <w:rPr>
                <w:sz w:val="20"/>
                <w:szCs w:val="20"/>
              </w:rPr>
              <w:t>6</w:t>
            </w:r>
          </w:p>
        </w:tc>
      </w:tr>
      <w:tr w:rsidR="00CD782D" w:rsidRPr="00E5568D" w14:paraId="143A413C" w14:textId="77777777" w:rsidTr="00E5568D">
        <w:tc>
          <w:tcPr>
            <w:tcW w:w="1020" w:type="dxa"/>
            <w:hideMark/>
          </w:tcPr>
          <w:p w14:paraId="409661FF" w14:textId="77777777" w:rsidR="00CD782D" w:rsidRPr="00E5568D" w:rsidRDefault="00CD782D" w:rsidP="007D2650">
            <w:pPr>
              <w:spacing w:after="0"/>
              <w:jc w:val="left"/>
              <w:rPr>
                <w:sz w:val="20"/>
                <w:szCs w:val="20"/>
              </w:rPr>
            </w:pPr>
            <w:r w:rsidRPr="00E5568D">
              <w:rPr>
                <w:sz w:val="20"/>
                <w:szCs w:val="20"/>
              </w:rPr>
              <w:t>2013</w:t>
            </w:r>
          </w:p>
        </w:tc>
        <w:tc>
          <w:tcPr>
            <w:tcW w:w="2551" w:type="dxa"/>
            <w:hideMark/>
          </w:tcPr>
          <w:p w14:paraId="643A5438" w14:textId="77777777" w:rsidR="00CD782D" w:rsidRPr="00E5568D" w:rsidRDefault="00CD782D" w:rsidP="007D2650">
            <w:pPr>
              <w:spacing w:after="0"/>
              <w:jc w:val="left"/>
              <w:rPr>
                <w:sz w:val="20"/>
                <w:szCs w:val="20"/>
              </w:rPr>
            </w:pPr>
            <w:r w:rsidRPr="00E5568D">
              <w:rPr>
                <w:sz w:val="20"/>
                <w:szCs w:val="20"/>
              </w:rPr>
              <w:t>6</w:t>
            </w:r>
          </w:p>
        </w:tc>
        <w:tc>
          <w:tcPr>
            <w:tcW w:w="2551" w:type="dxa"/>
            <w:hideMark/>
          </w:tcPr>
          <w:p w14:paraId="2CBDC75B" w14:textId="77777777" w:rsidR="00CD782D" w:rsidRPr="00E5568D" w:rsidRDefault="00CD782D" w:rsidP="007D2650">
            <w:pPr>
              <w:spacing w:after="0"/>
              <w:jc w:val="left"/>
              <w:rPr>
                <w:sz w:val="20"/>
                <w:szCs w:val="20"/>
              </w:rPr>
            </w:pPr>
            <w:r w:rsidRPr="00E5568D">
              <w:rPr>
                <w:sz w:val="20"/>
                <w:szCs w:val="20"/>
              </w:rPr>
              <w:t>4</w:t>
            </w:r>
          </w:p>
        </w:tc>
        <w:tc>
          <w:tcPr>
            <w:tcW w:w="2662" w:type="dxa"/>
            <w:hideMark/>
          </w:tcPr>
          <w:p w14:paraId="0795ADD4" w14:textId="77777777" w:rsidR="00CD782D" w:rsidRPr="00E5568D" w:rsidRDefault="00CD782D" w:rsidP="007D2650">
            <w:pPr>
              <w:spacing w:after="0"/>
              <w:jc w:val="left"/>
              <w:rPr>
                <w:sz w:val="20"/>
                <w:szCs w:val="20"/>
              </w:rPr>
            </w:pPr>
            <w:r w:rsidRPr="00E5568D">
              <w:rPr>
                <w:sz w:val="20"/>
                <w:szCs w:val="20"/>
              </w:rPr>
              <w:t>4</w:t>
            </w:r>
          </w:p>
        </w:tc>
      </w:tr>
      <w:tr w:rsidR="00CD782D" w:rsidRPr="00E5568D" w14:paraId="6E2737F4" w14:textId="77777777" w:rsidTr="00E5568D">
        <w:tc>
          <w:tcPr>
            <w:tcW w:w="1020" w:type="dxa"/>
            <w:hideMark/>
          </w:tcPr>
          <w:p w14:paraId="19E55C83" w14:textId="77777777" w:rsidR="00CD782D" w:rsidRPr="00E5568D" w:rsidRDefault="00CD782D" w:rsidP="007D2650">
            <w:pPr>
              <w:spacing w:after="0"/>
              <w:jc w:val="left"/>
              <w:rPr>
                <w:sz w:val="20"/>
                <w:szCs w:val="20"/>
              </w:rPr>
            </w:pPr>
            <w:r w:rsidRPr="00E5568D">
              <w:rPr>
                <w:sz w:val="20"/>
                <w:szCs w:val="20"/>
              </w:rPr>
              <w:t>2014</w:t>
            </w:r>
          </w:p>
        </w:tc>
        <w:tc>
          <w:tcPr>
            <w:tcW w:w="2551" w:type="dxa"/>
            <w:hideMark/>
          </w:tcPr>
          <w:p w14:paraId="0F1ACC88" w14:textId="77777777" w:rsidR="00CD782D" w:rsidRPr="00E5568D" w:rsidRDefault="00CD782D" w:rsidP="007D2650">
            <w:pPr>
              <w:spacing w:after="0"/>
              <w:jc w:val="left"/>
              <w:rPr>
                <w:sz w:val="20"/>
                <w:szCs w:val="20"/>
              </w:rPr>
            </w:pPr>
            <w:r w:rsidRPr="00E5568D">
              <w:rPr>
                <w:sz w:val="20"/>
                <w:szCs w:val="20"/>
              </w:rPr>
              <w:t>16</w:t>
            </w:r>
          </w:p>
        </w:tc>
        <w:tc>
          <w:tcPr>
            <w:tcW w:w="2551" w:type="dxa"/>
            <w:hideMark/>
          </w:tcPr>
          <w:p w14:paraId="12254710" w14:textId="77777777" w:rsidR="00CD782D" w:rsidRPr="00E5568D" w:rsidRDefault="00CD782D" w:rsidP="007D2650">
            <w:pPr>
              <w:spacing w:after="0"/>
              <w:jc w:val="left"/>
              <w:rPr>
                <w:sz w:val="20"/>
                <w:szCs w:val="20"/>
              </w:rPr>
            </w:pPr>
            <w:r w:rsidRPr="00E5568D">
              <w:rPr>
                <w:sz w:val="20"/>
                <w:szCs w:val="20"/>
              </w:rPr>
              <w:t>10</w:t>
            </w:r>
          </w:p>
        </w:tc>
        <w:tc>
          <w:tcPr>
            <w:tcW w:w="2662" w:type="dxa"/>
            <w:hideMark/>
          </w:tcPr>
          <w:p w14:paraId="3B23F97E" w14:textId="77777777" w:rsidR="00CD782D" w:rsidRPr="00E5568D" w:rsidRDefault="00CD782D" w:rsidP="007D2650">
            <w:pPr>
              <w:spacing w:after="0"/>
              <w:jc w:val="left"/>
              <w:rPr>
                <w:sz w:val="20"/>
                <w:szCs w:val="20"/>
              </w:rPr>
            </w:pPr>
            <w:r w:rsidRPr="00E5568D">
              <w:rPr>
                <w:sz w:val="20"/>
                <w:szCs w:val="20"/>
              </w:rPr>
              <w:t>10</w:t>
            </w:r>
          </w:p>
        </w:tc>
      </w:tr>
      <w:tr w:rsidR="00CD782D" w:rsidRPr="00E5568D" w14:paraId="2C794913" w14:textId="77777777" w:rsidTr="00E5568D">
        <w:tc>
          <w:tcPr>
            <w:tcW w:w="1020" w:type="dxa"/>
            <w:hideMark/>
          </w:tcPr>
          <w:p w14:paraId="719A7C08" w14:textId="77777777" w:rsidR="00CD782D" w:rsidRPr="00E5568D" w:rsidRDefault="00CD782D" w:rsidP="007D2650">
            <w:pPr>
              <w:spacing w:after="0"/>
              <w:jc w:val="left"/>
              <w:rPr>
                <w:sz w:val="20"/>
                <w:szCs w:val="20"/>
              </w:rPr>
            </w:pPr>
            <w:r w:rsidRPr="00E5568D">
              <w:rPr>
                <w:sz w:val="20"/>
                <w:szCs w:val="20"/>
              </w:rPr>
              <w:t>2015</w:t>
            </w:r>
          </w:p>
        </w:tc>
        <w:tc>
          <w:tcPr>
            <w:tcW w:w="2551" w:type="dxa"/>
            <w:hideMark/>
          </w:tcPr>
          <w:p w14:paraId="4E952A6E" w14:textId="77777777" w:rsidR="00CD782D" w:rsidRPr="00E5568D" w:rsidRDefault="00CD782D" w:rsidP="007D2650">
            <w:pPr>
              <w:spacing w:after="0"/>
              <w:jc w:val="left"/>
              <w:rPr>
                <w:sz w:val="20"/>
                <w:szCs w:val="20"/>
              </w:rPr>
            </w:pPr>
            <w:r w:rsidRPr="00E5568D">
              <w:rPr>
                <w:sz w:val="20"/>
                <w:szCs w:val="20"/>
              </w:rPr>
              <w:t>14</w:t>
            </w:r>
          </w:p>
        </w:tc>
        <w:tc>
          <w:tcPr>
            <w:tcW w:w="2551" w:type="dxa"/>
            <w:hideMark/>
          </w:tcPr>
          <w:p w14:paraId="4B898A9D" w14:textId="77777777" w:rsidR="00CD782D" w:rsidRPr="00E5568D" w:rsidRDefault="00CD782D" w:rsidP="007D2650">
            <w:pPr>
              <w:spacing w:after="0"/>
              <w:jc w:val="left"/>
              <w:rPr>
                <w:sz w:val="20"/>
                <w:szCs w:val="20"/>
              </w:rPr>
            </w:pPr>
            <w:r w:rsidRPr="00E5568D">
              <w:rPr>
                <w:sz w:val="20"/>
                <w:szCs w:val="20"/>
              </w:rPr>
              <w:t>8</w:t>
            </w:r>
          </w:p>
        </w:tc>
        <w:tc>
          <w:tcPr>
            <w:tcW w:w="2662" w:type="dxa"/>
            <w:hideMark/>
          </w:tcPr>
          <w:p w14:paraId="76977BE7" w14:textId="77777777" w:rsidR="00CD782D" w:rsidRPr="00E5568D" w:rsidRDefault="00CD782D" w:rsidP="007D2650">
            <w:pPr>
              <w:spacing w:after="0"/>
              <w:jc w:val="left"/>
              <w:rPr>
                <w:sz w:val="20"/>
                <w:szCs w:val="20"/>
              </w:rPr>
            </w:pPr>
            <w:r w:rsidRPr="00E5568D">
              <w:rPr>
                <w:sz w:val="20"/>
                <w:szCs w:val="20"/>
              </w:rPr>
              <w:t>7</w:t>
            </w:r>
          </w:p>
        </w:tc>
      </w:tr>
      <w:tr w:rsidR="00CD782D" w:rsidRPr="00E5568D" w14:paraId="296BD920" w14:textId="77777777" w:rsidTr="00E5568D">
        <w:tc>
          <w:tcPr>
            <w:tcW w:w="1020" w:type="dxa"/>
            <w:hideMark/>
          </w:tcPr>
          <w:p w14:paraId="43F536FE" w14:textId="77777777" w:rsidR="00CD782D" w:rsidRPr="00E5568D" w:rsidRDefault="00CD782D" w:rsidP="007D2650">
            <w:pPr>
              <w:spacing w:after="0"/>
              <w:jc w:val="left"/>
              <w:rPr>
                <w:sz w:val="20"/>
                <w:szCs w:val="20"/>
              </w:rPr>
            </w:pPr>
            <w:r w:rsidRPr="00E5568D">
              <w:rPr>
                <w:sz w:val="20"/>
                <w:szCs w:val="20"/>
              </w:rPr>
              <w:lastRenderedPageBreak/>
              <w:t>2016</w:t>
            </w:r>
          </w:p>
        </w:tc>
        <w:tc>
          <w:tcPr>
            <w:tcW w:w="2551" w:type="dxa"/>
            <w:hideMark/>
          </w:tcPr>
          <w:p w14:paraId="314B86FD" w14:textId="77777777" w:rsidR="00CD782D" w:rsidRPr="00E5568D" w:rsidRDefault="00CD782D" w:rsidP="007D2650">
            <w:pPr>
              <w:spacing w:after="0"/>
              <w:jc w:val="left"/>
              <w:rPr>
                <w:sz w:val="20"/>
                <w:szCs w:val="20"/>
              </w:rPr>
            </w:pPr>
            <w:r w:rsidRPr="00E5568D">
              <w:rPr>
                <w:sz w:val="20"/>
                <w:szCs w:val="20"/>
              </w:rPr>
              <w:t>18</w:t>
            </w:r>
          </w:p>
        </w:tc>
        <w:tc>
          <w:tcPr>
            <w:tcW w:w="2551" w:type="dxa"/>
            <w:hideMark/>
          </w:tcPr>
          <w:p w14:paraId="39867426" w14:textId="77777777" w:rsidR="00CD782D" w:rsidRPr="00E5568D" w:rsidRDefault="00CD782D" w:rsidP="007D2650">
            <w:pPr>
              <w:spacing w:after="0"/>
              <w:jc w:val="left"/>
              <w:rPr>
                <w:sz w:val="20"/>
                <w:szCs w:val="20"/>
              </w:rPr>
            </w:pPr>
            <w:r w:rsidRPr="00E5568D">
              <w:rPr>
                <w:sz w:val="20"/>
                <w:szCs w:val="20"/>
              </w:rPr>
              <w:t>11</w:t>
            </w:r>
          </w:p>
        </w:tc>
        <w:tc>
          <w:tcPr>
            <w:tcW w:w="2662" w:type="dxa"/>
            <w:hideMark/>
          </w:tcPr>
          <w:p w14:paraId="7622A048" w14:textId="77777777" w:rsidR="00CD782D" w:rsidRPr="00E5568D" w:rsidRDefault="00CD782D" w:rsidP="007D2650">
            <w:pPr>
              <w:spacing w:after="0"/>
              <w:jc w:val="left"/>
              <w:rPr>
                <w:sz w:val="20"/>
                <w:szCs w:val="20"/>
              </w:rPr>
            </w:pPr>
            <w:r w:rsidRPr="00E5568D">
              <w:rPr>
                <w:sz w:val="20"/>
                <w:szCs w:val="20"/>
              </w:rPr>
              <w:t>11</w:t>
            </w:r>
          </w:p>
        </w:tc>
      </w:tr>
      <w:tr w:rsidR="00CD782D" w:rsidRPr="00E5568D" w14:paraId="17A83711" w14:textId="77777777" w:rsidTr="00E5568D">
        <w:tc>
          <w:tcPr>
            <w:tcW w:w="1020" w:type="dxa"/>
            <w:hideMark/>
          </w:tcPr>
          <w:p w14:paraId="29757AEA" w14:textId="77777777" w:rsidR="00CD782D" w:rsidRPr="00E5568D" w:rsidRDefault="00CD782D" w:rsidP="007D2650">
            <w:pPr>
              <w:spacing w:after="0"/>
              <w:jc w:val="left"/>
              <w:rPr>
                <w:sz w:val="20"/>
                <w:szCs w:val="20"/>
              </w:rPr>
            </w:pPr>
            <w:r w:rsidRPr="00E5568D">
              <w:rPr>
                <w:sz w:val="20"/>
                <w:szCs w:val="20"/>
              </w:rPr>
              <w:t>2017</w:t>
            </w:r>
          </w:p>
        </w:tc>
        <w:tc>
          <w:tcPr>
            <w:tcW w:w="2551" w:type="dxa"/>
            <w:hideMark/>
          </w:tcPr>
          <w:p w14:paraId="1AF93821" w14:textId="77777777" w:rsidR="00CD782D" w:rsidRPr="00E5568D" w:rsidRDefault="00CD782D" w:rsidP="007D2650">
            <w:pPr>
              <w:spacing w:after="0"/>
              <w:jc w:val="left"/>
              <w:rPr>
                <w:sz w:val="20"/>
                <w:szCs w:val="20"/>
              </w:rPr>
            </w:pPr>
            <w:r w:rsidRPr="00E5568D">
              <w:rPr>
                <w:sz w:val="20"/>
                <w:szCs w:val="20"/>
              </w:rPr>
              <w:t>10</w:t>
            </w:r>
          </w:p>
        </w:tc>
        <w:tc>
          <w:tcPr>
            <w:tcW w:w="2551" w:type="dxa"/>
            <w:hideMark/>
          </w:tcPr>
          <w:p w14:paraId="65EB0AA6" w14:textId="77777777" w:rsidR="00CD782D" w:rsidRPr="00E5568D" w:rsidRDefault="00CD782D" w:rsidP="007D2650">
            <w:pPr>
              <w:spacing w:after="0"/>
              <w:jc w:val="left"/>
              <w:rPr>
                <w:sz w:val="20"/>
                <w:szCs w:val="20"/>
              </w:rPr>
            </w:pPr>
            <w:r w:rsidRPr="00E5568D">
              <w:rPr>
                <w:sz w:val="20"/>
                <w:szCs w:val="20"/>
              </w:rPr>
              <w:t>4</w:t>
            </w:r>
          </w:p>
        </w:tc>
        <w:tc>
          <w:tcPr>
            <w:tcW w:w="2662" w:type="dxa"/>
            <w:hideMark/>
          </w:tcPr>
          <w:p w14:paraId="05047925" w14:textId="77777777" w:rsidR="00CD782D" w:rsidRPr="00E5568D" w:rsidRDefault="00CD782D" w:rsidP="007D2650">
            <w:pPr>
              <w:spacing w:after="0"/>
              <w:jc w:val="left"/>
              <w:rPr>
                <w:sz w:val="20"/>
                <w:szCs w:val="20"/>
              </w:rPr>
            </w:pPr>
            <w:r w:rsidRPr="00E5568D">
              <w:rPr>
                <w:sz w:val="20"/>
                <w:szCs w:val="20"/>
              </w:rPr>
              <w:t>4</w:t>
            </w:r>
          </w:p>
        </w:tc>
      </w:tr>
      <w:tr w:rsidR="00CD782D" w:rsidRPr="00E5568D" w14:paraId="1FB5AAA4" w14:textId="77777777" w:rsidTr="00E5568D">
        <w:tc>
          <w:tcPr>
            <w:tcW w:w="1020" w:type="dxa"/>
            <w:hideMark/>
          </w:tcPr>
          <w:p w14:paraId="2B554A9D" w14:textId="77777777" w:rsidR="00CD782D" w:rsidRPr="00E5568D" w:rsidRDefault="00CD782D" w:rsidP="007D2650">
            <w:pPr>
              <w:spacing w:after="0"/>
              <w:jc w:val="left"/>
              <w:rPr>
                <w:sz w:val="20"/>
                <w:szCs w:val="20"/>
              </w:rPr>
            </w:pPr>
            <w:r w:rsidRPr="00E5568D">
              <w:rPr>
                <w:sz w:val="20"/>
                <w:szCs w:val="20"/>
              </w:rPr>
              <w:t>2018</w:t>
            </w:r>
          </w:p>
        </w:tc>
        <w:tc>
          <w:tcPr>
            <w:tcW w:w="2551" w:type="dxa"/>
            <w:hideMark/>
          </w:tcPr>
          <w:p w14:paraId="021C2ECC" w14:textId="77777777" w:rsidR="00CD782D" w:rsidRPr="00E5568D" w:rsidRDefault="00CD782D" w:rsidP="007D2650">
            <w:pPr>
              <w:spacing w:after="0"/>
              <w:jc w:val="left"/>
              <w:rPr>
                <w:sz w:val="20"/>
                <w:szCs w:val="20"/>
              </w:rPr>
            </w:pPr>
            <w:r w:rsidRPr="00E5568D">
              <w:rPr>
                <w:sz w:val="20"/>
                <w:szCs w:val="20"/>
              </w:rPr>
              <w:t>13</w:t>
            </w:r>
          </w:p>
        </w:tc>
        <w:tc>
          <w:tcPr>
            <w:tcW w:w="2551" w:type="dxa"/>
            <w:hideMark/>
          </w:tcPr>
          <w:p w14:paraId="0E3BFFB6" w14:textId="77777777" w:rsidR="00CD782D" w:rsidRPr="00E5568D" w:rsidRDefault="00CD782D" w:rsidP="007D2650">
            <w:pPr>
              <w:spacing w:after="0"/>
              <w:jc w:val="left"/>
              <w:rPr>
                <w:sz w:val="20"/>
                <w:szCs w:val="20"/>
              </w:rPr>
            </w:pPr>
            <w:r w:rsidRPr="00E5568D">
              <w:rPr>
                <w:sz w:val="20"/>
                <w:szCs w:val="20"/>
              </w:rPr>
              <w:t>5</w:t>
            </w:r>
          </w:p>
        </w:tc>
        <w:tc>
          <w:tcPr>
            <w:tcW w:w="2662" w:type="dxa"/>
            <w:hideMark/>
          </w:tcPr>
          <w:p w14:paraId="2ECD940E" w14:textId="77777777" w:rsidR="00CD782D" w:rsidRPr="00E5568D" w:rsidRDefault="00CD782D" w:rsidP="007D2650">
            <w:pPr>
              <w:spacing w:after="0"/>
              <w:jc w:val="left"/>
              <w:rPr>
                <w:sz w:val="20"/>
                <w:szCs w:val="20"/>
              </w:rPr>
            </w:pPr>
            <w:r w:rsidRPr="00E5568D">
              <w:rPr>
                <w:sz w:val="20"/>
                <w:szCs w:val="20"/>
              </w:rPr>
              <w:t>5</w:t>
            </w:r>
          </w:p>
        </w:tc>
      </w:tr>
      <w:tr w:rsidR="00CD782D" w:rsidRPr="00E5568D" w14:paraId="4B7F7DC2" w14:textId="77777777" w:rsidTr="00E5568D">
        <w:tc>
          <w:tcPr>
            <w:tcW w:w="1020" w:type="dxa"/>
            <w:hideMark/>
          </w:tcPr>
          <w:p w14:paraId="176008FB" w14:textId="77777777" w:rsidR="00CD782D" w:rsidRPr="00E5568D" w:rsidRDefault="00CD782D" w:rsidP="007D2650">
            <w:pPr>
              <w:spacing w:after="0"/>
              <w:jc w:val="left"/>
              <w:rPr>
                <w:sz w:val="20"/>
                <w:szCs w:val="20"/>
              </w:rPr>
            </w:pPr>
            <w:r w:rsidRPr="00E5568D">
              <w:rPr>
                <w:sz w:val="20"/>
                <w:szCs w:val="20"/>
              </w:rPr>
              <w:t>2019</w:t>
            </w:r>
          </w:p>
        </w:tc>
        <w:tc>
          <w:tcPr>
            <w:tcW w:w="2551" w:type="dxa"/>
            <w:hideMark/>
          </w:tcPr>
          <w:p w14:paraId="5A454FE3" w14:textId="77777777" w:rsidR="00CD782D" w:rsidRPr="00E5568D" w:rsidRDefault="00CD782D" w:rsidP="007D2650">
            <w:pPr>
              <w:spacing w:after="0"/>
              <w:jc w:val="left"/>
              <w:rPr>
                <w:sz w:val="20"/>
                <w:szCs w:val="20"/>
              </w:rPr>
            </w:pPr>
            <w:r w:rsidRPr="00E5568D">
              <w:rPr>
                <w:sz w:val="20"/>
                <w:szCs w:val="20"/>
              </w:rPr>
              <w:t>17</w:t>
            </w:r>
          </w:p>
        </w:tc>
        <w:tc>
          <w:tcPr>
            <w:tcW w:w="2551" w:type="dxa"/>
            <w:hideMark/>
          </w:tcPr>
          <w:p w14:paraId="301694FA" w14:textId="77777777" w:rsidR="00CD782D" w:rsidRPr="00E5568D" w:rsidRDefault="00CD782D" w:rsidP="007D2650">
            <w:pPr>
              <w:spacing w:after="0"/>
              <w:jc w:val="left"/>
              <w:rPr>
                <w:sz w:val="20"/>
                <w:szCs w:val="20"/>
              </w:rPr>
            </w:pPr>
            <w:r w:rsidRPr="00E5568D">
              <w:rPr>
                <w:sz w:val="20"/>
                <w:szCs w:val="20"/>
              </w:rPr>
              <w:t>10</w:t>
            </w:r>
          </w:p>
        </w:tc>
        <w:tc>
          <w:tcPr>
            <w:tcW w:w="2662" w:type="dxa"/>
            <w:hideMark/>
          </w:tcPr>
          <w:p w14:paraId="6D5E08AB" w14:textId="77777777" w:rsidR="00CD782D" w:rsidRPr="00E5568D" w:rsidRDefault="00CD782D" w:rsidP="007D2650">
            <w:pPr>
              <w:spacing w:after="0"/>
              <w:jc w:val="left"/>
              <w:rPr>
                <w:sz w:val="20"/>
                <w:szCs w:val="20"/>
              </w:rPr>
            </w:pPr>
            <w:r w:rsidRPr="00E5568D">
              <w:rPr>
                <w:sz w:val="20"/>
                <w:szCs w:val="20"/>
              </w:rPr>
              <w:t>10</w:t>
            </w:r>
          </w:p>
        </w:tc>
      </w:tr>
      <w:tr w:rsidR="00CD782D" w:rsidRPr="00E5568D" w14:paraId="2F6FC68F" w14:textId="77777777" w:rsidTr="00E5568D">
        <w:tc>
          <w:tcPr>
            <w:tcW w:w="1020" w:type="dxa"/>
            <w:hideMark/>
          </w:tcPr>
          <w:p w14:paraId="75085C35" w14:textId="77777777" w:rsidR="00CD782D" w:rsidRPr="00E5568D" w:rsidRDefault="00CD782D" w:rsidP="007D2650">
            <w:pPr>
              <w:spacing w:after="0"/>
              <w:jc w:val="left"/>
              <w:rPr>
                <w:sz w:val="20"/>
                <w:szCs w:val="20"/>
              </w:rPr>
            </w:pPr>
            <w:r w:rsidRPr="00E5568D">
              <w:rPr>
                <w:sz w:val="20"/>
                <w:szCs w:val="20"/>
              </w:rPr>
              <w:t>2020</w:t>
            </w:r>
          </w:p>
        </w:tc>
        <w:tc>
          <w:tcPr>
            <w:tcW w:w="2551" w:type="dxa"/>
            <w:hideMark/>
          </w:tcPr>
          <w:p w14:paraId="5CC64A33" w14:textId="77777777" w:rsidR="00CD782D" w:rsidRPr="00E5568D" w:rsidRDefault="00CD782D" w:rsidP="007D2650">
            <w:pPr>
              <w:spacing w:after="0"/>
              <w:jc w:val="left"/>
              <w:rPr>
                <w:sz w:val="20"/>
                <w:szCs w:val="20"/>
              </w:rPr>
            </w:pPr>
            <w:r w:rsidRPr="00E5568D">
              <w:rPr>
                <w:sz w:val="20"/>
                <w:szCs w:val="20"/>
              </w:rPr>
              <w:t>15</w:t>
            </w:r>
          </w:p>
        </w:tc>
        <w:tc>
          <w:tcPr>
            <w:tcW w:w="2551" w:type="dxa"/>
            <w:hideMark/>
          </w:tcPr>
          <w:p w14:paraId="3E196490" w14:textId="77777777" w:rsidR="00CD782D" w:rsidRPr="00E5568D" w:rsidRDefault="00CD782D" w:rsidP="007D2650">
            <w:pPr>
              <w:spacing w:after="0"/>
              <w:jc w:val="left"/>
              <w:rPr>
                <w:sz w:val="20"/>
                <w:szCs w:val="20"/>
              </w:rPr>
            </w:pPr>
            <w:r w:rsidRPr="00E5568D">
              <w:rPr>
                <w:sz w:val="20"/>
                <w:szCs w:val="20"/>
              </w:rPr>
              <w:t>9</w:t>
            </w:r>
          </w:p>
        </w:tc>
        <w:tc>
          <w:tcPr>
            <w:tcW w:w="2662" w:type="dxa"/>
            <w:hideMark/>
          </w:tcPr>
          <w:p w14:paraId="6F33C093" w14:textId="77777777" w:rsidR="00CD782D" w:rsidRPr="00E5568D" w:rsidRDefault="00CD782D" w:rsidP="007D2650">
            <w:pPr>
              <w:spacing w:after="0"/>
              <w:jc w:val="left"/>
              <w:rPr>
                <w:sz w:val="20"/>
                <w:szCs w:val="20"/>
              </w:rPr>
            </w:pPr>
            <w:r w:rsidRPr="00E5568D">
              <w:rPr>
                <w:sz w:val="20"/>
                <w:szCs w:val="20"/>
              </w:rPr>
              <w:t>9</w:t>
            </w:r>
          </w:p>
        </w:tc>
      </w:tr>
      <w:tr w:rsidR="00CD782D" w:rsidRPr="00E5568D" w14:paraId="75D0C22D" w14:textId="77777777" w:rsidTr="00E5568D">
        <w:tc>
          <w:tcPr>
            <w:tcW w:w="1020" w:type="dxa"/>
            <w:hideMark/>
          </w:tcPr>
          <w:p w14:paraId="6E2118DD" w14:textId="77777777" w:rsidR="00CD782D" w:rsidRPr="00E5568D" w:rsidRDefault="00CD782D" w:rsidP="007D2650">
            <w:pPr>
              <w:spacing w:after="0"/>
              <w:jc w:val="left"/>
              <w:rPr>
                <w:sz w:val="20"/>
                <w:szCs w:val="20"/>
              </w:rPr>
            </w:pPr>
            <w:r w:rsidRPr="00E5568D">
              <w:rPr>
                <w:sz w:val="20"/>
                <w:szCs w:val="20"/>
              </w:rPr>
              <w:t>2021</w:t>
            </w:r>
          </w:p>
        </w:tc>
        <w:tc>
          <w:tcPr>
            <w:tcW w:w="2551" w:type="dxa"/>
            <w:hideMark/>
          </w:tcPr>
          <w:p w14:paraId="06C3C9FA" w14:textId="77777777" w:rsidR="00CD782D" w:rsidRPr="00E5568D" w:rsidRDefault="00CD782D" w:rsidP="007D2650">
            <w:pPr>
              <w:spacing w:after="0"/>
              <w:jc w:val="left"/>
              <w:rPr>
                <w:sz w:val="20"/>
                <w:szCs w:val="20"/>
              </w:rPr>
            </w:pPr>
            <w:r w:rsidRPr="00E5568D">
              <w:rPr>
                <w:sz w:val="20"/>
                <w:szCs w:val="20"/>
              </w:rPr>
              <w:t>30</w:t>
            </w:r>
          </w:p>
        </w:tc>
        <w:tc>
          <w:tcPr>
            <w:tcW w:w="2551" w:type="dxa"/>
            <w:hideMark/>
          </w:tcPr>
          <w:p w14:paraId="202840AF" w14:textId="77777777" w:rsidR="00CD782D" w:rsidRPr="00E5568D" w:rsidRDefault="00CD782D" w:rsidP="007D2650">
            <w:pPr>
              <w:spacing w:after="0"/>
              <w:jc w:val="left"/>
              <w:rPr>
                <w:sz w:val="20"/>
                <w:szCs w:val="20"/>
              </w:rPr>
            </w:pPr>
            <w:r w:rsidRPr="00E5568D">
              <w:rPr>
                <w:sz w:val="20"/>
                <w:szCs w:val="20"/>
              </w:rPr>
              <w:t>19</w:t>
            </w:r>
          </w:p>
        </w:tc>
        <w:tc>
          <w:tcPr>
            <w:tcW w:w="2662" w:type="dxa"/>
            <w:hideMark/>
          </w:tcPr>
          <w:p w14:paraId="43462A47" w14:textId="77777777" w:rsidR="00CD782D" w:rsidRPr="00E5568D" w:rsidRDefault="00CD782D" w:rsidP="007D2650">
            <w:pPr>
              <w:spacing w:after="0"/>
              <w:jc w:val="left"/>
              <w:rPr>
                <w:sz w:val="20"/>
                <w:szCs w:val="20"/>
              </w:rPr>
            </w:pPr>
            <w:r w:rsidRPr="00E5568D">
              <w:rPr>
                <w:sz w:val="20"/>
                <w:szCs w:val="20"/>
              </w:rPr>
              <w:t>18</w:t>
            </w:r>
          </w:p>
        </w:tc>
      </w:tr>
      <w:tr w:rsidR="00CD782D" w:rsidRPr="00E5568D" w14:paraId="3C0938CD" w14:textId="77777777" w:rsidTr="00E5568D">
        <w:tc>
          <w:tcPr>
            <w:tcW w:w="1020" w:type="dxa"/>
            <w:hideMark/>
          </w:tcPr>
          <w:p w14:paraId="64B63720" w14:textId="77777777" w:rsidR="00CD782D" w:rsidRPr="00E5568D" w:rsidRDefault="00CD782D" w:rsidP="007D2650">
            <w:pPr>
              <w:spacing w:after="0"/>
              <w:jc w:val="left"/>
              <w:rPr>
                <w:sz w:val="20"/>
                <w:szCs w:val="20"/>
              </w:rPr>
            </w:pPr>
            <w:r w:rsidRPr="00E5568D">
              <w:rPr>
                <w:sz w:val="20"/>
                <w:szCs w:val="20"/>
              </w:rPr>
              <w:t>2022</w:t>
            </w:r>
          </w:p>
        </w:tc>
        <w:tc>
          <w:tcPr>
            <w:tcW w:w="2551" w:type="dxa"/>
            <w:hideMark/>
          </w:tcPr>
          <w:p w14:paraId="3D6DAD5A" w14:textId="77777777" w:rsidR="00CD782D" w:rsidRPr="00E5568D" w:rsidRDefault="00CD782D" w:rsidP="007D2650">
            <w:pPr>
              <w:spacing w:after="0"/>
              <w:jc w:val="left"/>
              <w:rPr>
                <w:sz w:val="20"/>
                <w:szCs w:val="20"/>
              </w:rPr>
            </w:pPr>
            <w:r w:rsidRPr="00E5568D">
              <w:rPr>
                <w:sz w:val="20"/>
                <w:szCs w:val="20"/>
              </w:rPr>
              <w:t>55</w:t>
            </w:r>
          </w:p>
        </w:tc>
        <w:tc>
          <w:tcPr>
            <w:tcW w:w="2551" w:type="dxa"/>
            <w:hideMark/>
          </w:tcPr>
          <w:p w14:paraId="33A030A9" w14:textId="77777777" w:rsidR="00CD782D" w:rsidRPr="00E5568D" w:rsidRDefault="00CD782D" w:rsidP="007D2650">
            <w:pPr>
              <w:spacing w:after="0"/>
              <w:jc w:val="left"/>
              <w:rPr>
                <w:sz w:val="20"/>
                <w:szCs w:val="20"/>
              </w:rPr>
            </w:pPr>
            <w:r w:rsidRPr="00E5568D">
              <w:rPr>
                <w:sz w:val="20"/>
                <w:szCs w:val="20"/>
              </w:rPr>
              <w:t>43</w:t>
            </w:r>
          </w:p>
        </w:tc>
        <w:tc>
          <w:tcPr>
            <w:tcW w:w="2662" w:type="dxa"/>
            <w:hideMark/>
          </w:tcPr>
          <w:p w14:paraId="23778A81" w14:textId="77777777" w:rsidR="00CD782D" w:rsidRPr="00E5568D" w:rsidRDefault="00CD782D" w:rsidP="007D2650">
            <w:pPr>
              <w:spacing w:after="0"/>
              <w:jc w:val="left"/>
              <w:rPr>
                <w:sz w:val="20"/>
                <w:szCs w:val="20"/>
              </w:rPr>
            </w:pPr>
            <w:r w:rsidRPr="00E5568D">
              <w:rPr>
                <w:sz w:val="20"/>
                <w:szCs w:val="20"/>
              </w:rPr>
              <w:t>42</w:t>
            </w:r>
          </w:p>
        </w:tc>
      </w:tr>
      <w:tr w:rsidR="00CD782D" w:rsidRPr="00E5568D" w14:paraId="202A7C7E" w14:textId="77777777" w:rsidTr="00E5568D">
        <w:tc>
          <w:tcPr>
            <w:tcW w:w="1020" w:type="dxa"/>
            <w:hideMark/>
          </w:tcPr>
          <w:p w14:paraId="48D4E451" w14:textId="77777777" w:rsidR="00CD782D" w:rsidRPr="00E5568D" w:rsidRDefault="00CD782D" w:rsidP="007D2650">
            <w:pPr>
              <w:spacing w:after="0"/>
              <w:jc w:val="left"/>
              <w:rPr>
                <w:sz w:val="20"/>
                <w:szCs w:val="20"/>
              </w:rPr>
            </w:pPr>
            <w:r w:rsidRPr="00E5568D">
              <w:rPr>
                <w:sz w:val="20"/>
                <w:szCs w:val="20"/>
              </w:rPr>
              <w:t>2023</w:t>
            </w:r>
          </w:p>
        </w:tc>
        <w:tc>
          <w:tcPr>
            <w:tcW w:w="2551" w:type="dxa"/>
            <w:hideMark/>
          </w:tcPr>
          <w:p w14:paraId="2A47DB15" w14:textId="77777777" w:rsidR="00CD782D" w:rsidRPr="00E5568D" w:rsidRDefault="00CD782D" w:rsidP="007D2650">
            <w:pPr>
              <w:spacing w:after="0"/>
              <w:jc w:val="left"/>
              <w:rPr>
                <w:sz w:val="20"/>
                <w:szCs w:val="20"/>
              </w:rPr>
            </w:pPr>
            <w:r w:rsidRPr="00E5568D">
              <w:rPr>
                <w:sz w:val="20"/>
                <w:szCs w:val="20"/>
              </w:rPr>
              <w:t>77</w:t>
            </w:r>
          </w:p>
        </w:tc>
        <w:tc>
          <w:tcPr>
            <w:tcW w:w="2551" w:type="dxa"/>
            <w:hideMark/>
          </w:tcPr>
          <w:p w14:paraId="21AC7E6F" w14:textId="77777777" w:rsidR="00CD782D" w:rsidRPr="00E5568D" w:rsidRDefault="00CD782D" w:rsidP="007D2650">
            <w:pPr>
              <w:spacing w:after="0"/>
              <w:jc w:val="left"/>
              <w:rPr>
                <w:sz w:val="20"/>
                <w:szCs w:val="20"/>
              </w:rPr>
            </w:pPr>
            <w:r w:rsidRPr="00E5568D">
              <w:rPr>
                <w:sz w:val="20"/>
                <w:szCs w:val="20"/>
              </w:rPr>
              <w:t>70</w:t>
            </w:r>
          </w:p>
        </w:tc>
        <w:tc>
          <w:tcPr>
            <w:tcW w:w="2662" w:type="dxa"/>
            <w:hideMark/>
          </w:tcPr>
          <w:p w14:paraId="717B3EF0" w14:textId="77777777" w:rsidR="00CD782D" w:rsidRPr="00E5568D" w:rsidRDefault="00CD782D" w:rsidP="007D2650">
            <w:pPr>
              <w:spacing w:after="0"/>
              <w:jc w:val="left"/>
              <w:rPr>
                <w:sz w:val="20"/>
                <w:szCs w:val="20"/>
              </w:rPr>
            </w:pPr>
            <w:r w:rsidRPr="00E5568D">
              <w:rPr>
                <w:sz w:val="20"/>
                <w:szCs w:val="20"/>
              </w:rPr>
              <w:t>64</w:t>
            </w:r>
          </w:p>
        </w:tc>
      </w:tr>
      <w:tr w:rsidR="00CD782D" w:rsidRPr="00E5568D" w14:paraId="18952F14" w14:textId="77777777" w:rsidTr="00E5568D">
        <w:tc>
          <w:tcPr>
            <w:tcW w:w="1020" w:type="dxa"/>
            <w:hideMark/>
          </w:tcPr>
          <w:p w14:paraId="18F6B8A1" w14:textId="77777777" w:rsidR="00CD782D" w:rsidRPr="00E5568D" w:rsidRDefault="00CD782D" w:rsidP="007D2650">
            <w:pPr>
              <w:spacing w:after="0"/>
              <w:jc w:val="left"/>
              <w:rPr>
                <w:sz w:val="20"/>
                <w:szCs w:val="20"/>
              </w:rPr>
            </w:pPr>
            <w:r w:rsidRPr="00E5568D">
              <w:rPr>
                <w:sz w:val="20"/>
                <w:szCs w:val="20"/>
              </w:rPr>
              <w:t>2024</w:t>
            </w:r>
          </w:p>
        </w:tc>
        <w:tc>
          <w:tcPr>
            <w:tcW w:w="2551" w:type="dxa"/>
            <w:hideMark/>
          </w:tcPr>
          <w:p w14:paraId="4C15BD92" w14:textId="77777777" w:rsidR="00CD782D" w:rsidRPr="00E5568D" w:rsidRDefault="00CD782D" w:rsidP="007D2650">
            <w:pPr>
              <w:spacing w:after="0"/>
              <w:jc w:val="left"/>
              <w:rPr>
                <w:sz w:val="20"/>
                <w:szCs w:val="20"/>
              </w:rPr>
            </w:pPr>
            <w:r w:rsidRPr="00E5568D">
              <w:rPr>
                <w:sz w:val="20"/>
                <w:szCs w:val="20"/>
              </w:rPr>
              <w:t>158</w:t>
            </w:r>
          </w:p>
        </w:tc>
        <w:tc>
          <w:tcPr>
            <w:tcW w:w="2551" w:type="dxa"/>
            <w:hideMark/>
          </w:tcPr>
          <w:p w14:paraId="79167602" w14:textId="77777777" w:rsidR="00CD782D" w:rsidRPr="00E5568D" w:rsidRDefault="00CD782D" w:rsidP="007D2650">
            <w:pPr>
              <w:spacing w:after="0"/>
              <w:jc w:val="left"/>
              <w:rPr>
                <w:sz w:val="20"/>
                <w:szCs w:val="20"/>
              </w:rPr>
            </w:pPr>
            <w:r w:rsidRPr="00E5568D">
              <w:rPr>
                <w:sz w:val="20"/>
                <w:szCs w:val="20"/>
              </w:rPr>
              <w:t>138</w:t>
            </w:r>
          </w:p>
        </w:tc>
        <w:tc>
          <w:tcPr>
            <w:tcW w:w="2662" w:type="dxa"/>
            <w:hideMark/>
          </w:tcPr>
          <w:p w14:paraId="6DBA211C" w14:textId="77777777" w:rsidR="00CD782D" w:rsidRPr="00E5568D" w:rsidRDefault="00CD782D" w:rsidP="007D2650">
            <w:pPr>
              <w:spacing w:after="0"/>
              <w:jc w:val="left"/>
              <w:rPr>
                <w:sz w:val="20"/>
                <w:szCs w:val="20"/>
              </w:rPr>
            </w:pPr>
            <w:r w:rsidRPr="00E5568D">
              <w:rPr>
                <w:sz w:val="20"/>
                <w:szCs w:val="20"/>
              </w:rPr>
              <w:t>128</w:t>
            </w:r>
          </w:p>
        </w:tc>
      </w:tr>
      <w:tr w:rsidR="00CD782D" w:rsidRPr="00E5568D" w14:paraId="268B1CA0" w14:textId="77777777" w:rsidTr="00E5568D">
        <w:tc>
          <w:tcPr>
            <w:tcW w:w="1020" w:type="dxa"/>
            <w:hideMark/>
          </w:tcPr>
          <w:p w14:paraId="2E3BC824" w14:textId="77777777" w:rsidR="00CD782D" w:rsidRPr="00E5568D" w:rsidRDefault="00CD782D" w:rsidP="007D2650">
            <w:pPr>
              <w:spacing w:after="0"/>
              <w:jc w:val="left"/>
              <w:rPr>
                <w:sz w:val="20"/>
                <w:szCs w:val="20"/>
              </w:rPr>
            </w:pPr>
            <w:r w:rsidRPr="00E5568D">
              <w:rPr>
                <w:sz w:val="20"/>
                <w:szCs w:val="20"/>
              </w:rPr>
              <w:t>2025</w:t>
            </w:r>
          </w:p>
        </w:tc>
        <w:tc>
          <w:tcPr>
            <w:tcW w:w="2551" w:type="dxa"/>
            <w:hideMark/>
          </w:tcPr>
          <w:p w14:paraId="4679D78F" w14:textId="77777777" w:rsidR="00CD782D" w:rsidRPr="00E5568D" w:rsidRDefault="00CD782D" w:rsidP="007D2650">
            <w:pPr>
              <w:spacing w:after="0"/>
              <w:jc w:val="left"/>
              <w:rPr>
                <w:sz w:val="20"/>
                <w:szCs w:val="20"/>
              </w:rPr>
            </w:pPr>
            <w:r w:rsidRPr="00E5568D">
              <w:rPr>
                <w:sz w:val="20"/>
                <w:szCs w:val="20"/>
              </w:rPr>
              <w:t>192</w:t>
            </w:r>
          </w:p>
        </w:tc>
        <w:tc>
          <w:tcPr>
            <w:tcW w:w="2551" w:type="dxa"/>
            <w:hideMark/>
          </w:tcPr>
          <w:p w14:paraId="4B4F518E" w14:textId="77777777" w:rsidR="00CD782D" w:rsidRPr="00E5568D" w:rsidRDefault="00CD782D" w:rsidP="007D2650">
            <w:pPr>
              <w:spacing w:after="0"/>
              <w:jc w:val="left"/>
              <w:rPr>
                <w:sz w:val="20"/>
                <w:szCs w:val="20"/>
              </w:rPr>
            </w:pPr>
            <w:r w:rsidRPr="00E5568D">
              <w:rPr>
                <w:sz w:val="20"/>
                <w:szCs w:val="20"/>
              </w:rPr>
              <w:t>174</w:t>
            </w:r>
          </w:p>
        </w:tc>
        <w:tc>
          <w:tcPr>
            <w:tcW w:w="2662" w:type="dxa"/>
            <w:hideMark/>
          </w:tcPr>
          <w:p w14:paraId="3CF88ECD" w14:textId="77777777" w:rsidR="00CD782D" w:rsidRPr="00E5568D" w:rsidRDefault="00CD782D" w:rsidP="007D2650">
            <w:pPr>
              <w:spacing w:after="0"/>
              <w:jc w:val="left"/>
              <w:rPr>
                <w:sz w:val="20"/>
                <w:szCs w:val="20"/>
              </w:rPr>
            </w:pPr>
            <w:r w:rsidRPr="00E5568D">
              <w:rPr>
                <w:sz w:val="20"/>
                <w:szCs w:val="20"/>
              </w:rPr>
              <w:t>148</w:t>
            </w:r>
          </w:p>
        </w:tc>
      </w:tr>
      <w:tr w:rsidR="00CD782D" w:rsidRPr="00E5568D" w14:paraId="55DA41A9" w14:textId="77777777" w:rsidTr="00E5568D">
        <w:tc>
          <w:tcPr>
            <w:tcW w:w="1020" w:type="dxa"/>
          </w:tcPr>
          <w:p w14:paraId="41D5EAE9" w14:textId="77777777" w:rsidR="00CD782D" w:rsidRPr="00E5568D" w:rsidRDefault="00CD782D" w:rsidP="007D2650">
            <w:pPr>
              <w:spacing w:after="0"/>
              <w:jc w:val="left"/>
              <w:rPr>
                <w:sz w:val="20"/>
                <w:szCs w:val="20"/>
              </w:rPr>
            </w:pPr>
            <w:r w:rsidRPr="00E5568D">
              <w:rPr>
                <w:sz w:val="20"/>
                <w:szCs w:val="20"/>
              </w:rPr>
              <w:t>Total</w:t>
            </w:r>
          </w:p>
        </w:tc>
        <w:tc>
          <w:tcPr>
            <w:tcW w:w="2551" w:type="dxa"/>
          </w:tcPr>
          <w:p w14:paraId="46A1BCBE" w14:textId="77777777" w:rsidR="00CD782D" w:rsidRPr="00E5568D" w:rsidRDefault="00CD782D" w:rsidP="007D2650">
            <w:pPr>
              <w:spacing w:after="0"/>
              <w:jc w:val="left"/>
              <w:rPr>
                <w:sz w:val="20"/>
                <w:szCs w:val="20"/>
              </w:rPr>
            </w:pPr>
            <w:r w:rsidRPr="00E5568D">
              <w:rPr>
                <w:sz w:val="20"/>
                <w:szCs w:val="20"/>
              </w:rPr>
              <w:t>624</w:t>
            </w:r>
          </w:p>
        </w:tc>
        <w:tc>
          <w:tcPr>
            <w:tcW w:w="2551" w:type="dxa"/>
          </w:tcPr>
          <w:p w14:paraId="45D2A588" w14:textId="77777777" w:rsidR="00CD782D" w:rsidRPr="00E5568D" w:rsidRDefault="00CD782D" w:rsidP="007D2650">
            <w:pPr>
              <w:spacing w:after="0"/>
              <w:jc w:val="left"/>
              <w:rPr>
                <w:sz w:val="20"/>
                <w:szCs w:val="20"/>
              </w:rPr>
            </w:pPr>
            <w:r w:rsidRPr="00E5568D">
              <w:rPr>
                <w:sz w:val="20"/>
                <w:szCs w:val="20"/>
              </w:rPr>
              <w:t>511</w:t>
            </w:r>
          </w:p>
        </w:tc>
        <w:tc>
          <w:tcPr>
            <w:tcW w:w="2662" w:type="dxa"/>
          </w:tcPr>
          <w:p w14:paraId="3D252A73" w14:textId="77777777" w:rsidR="00CD782D" w:rsidRPr="00E5568D" w:rsidRDefault="00CD782D" w:rsidP="007D2650">
            <w:pPr>
              <w:spacing w:after="0"/>
              <w:jc w:val="left"/>
              <w:rPr>
                <w:sz w:val="20"/>
                <w:szCs w:val="20"/>
              </w:rPr>
            </w:pPr>
            <w:r w:rsidRPr="00E5568D">
              <w:rPr>
                <w:sz w:val="20"/>
                <w:szCs w:val="20"/>
              </w:rPr>
              <w:t>466</w:t>
            </w:r>
          </w:p>
        </w:tc>
      </w:tr>
    </w:tbl>
    <w:p w14:paraId="3115DFF7" w14:textId="5B1EB877" w:rsidR="00CD782D" w:rsidRPr="00E5568D" w:rsidRDefault="00CD782D" w:rsidP="007D2650">
      <w:pPr>
        <w:rPr>
          <w:i/>
          <w:sz w:val="18"/>
          <w:szCs w:val="22"/>
        </w:rPr>
      </w:pPr>
      <w:r w:rsidRPr="00E5568D">
        <w:rPr>
          <w:b/>
          <w:i/>
          <w:sz w:val="18"/>
          <w:szCs w:val="22"/>
        </w:rPr>
        <w:t>Source</w:t>
      </w:r>
      <w:r w:rsidRPr="00E5568D">
        <w:rPr>
          <w:i/>
          <w:sz w:val="18"/>
          <w:szCs w:val="22"/>
        </w:rPr>
        <w:t>: EudraGMDP data; compiled by PPMI group</w:t>
      </w:r>
    </w:p>
    <w:p w14:paraId="33990E6A" w14:textId="64DFD213" w:rsidR="007A784A" w:rsidRDefault="483E8B26" w:rsidP="007D2650">
      <w:r>
        <w:t>While such data point at a positive trend for manufacturing in the EU, it is key to consider the evolving global context. Asia is emerging as a major competitor not only in the production of generics and active pharmaceutical ingredients, but also in the manufacturing of complex biologics and innovative biotechnology products. A recent study by McKinsey describes Asia as “the emerging epicentre” of global biopharmaceutical activity, noting that the region has expanded its share of the global innovative medicines pipeline from 28</w:t>
      </w:r>
      <w:r w:rsidR="006856C2">
        <w:t>%</w:t>
      </w:r>
      <w:r>
        <w:t xml:space="preserve"> to 43</w:t>
      </w:r>
      <w:r w:rsidR="006856C2">
        <w:t>%</w:t>
      </w:r>
      <w:r>
        <w:t xml:space="preserve"> within five years, surpassing both Europe and the United States.</w:t>
      </w:r>
      <w:r w:rsidR="00CD782D" w:rsidRPr="00E51FA7">
        <w:rPr>
          <w:rStyle w:val="FootnoteReference"/>
        </w:rPr>
        <w:footnoteReference w:id="70"/>
      </w:r>
      <w:r>
        <w:t xml:space="preserve"> </w:t>
      </w:r>
    </w:p>
    <w:p w14:paraId="2592AF3C" w14:textId="73E4E8EA" w:rsidR="00B73A4F" w:rsidRPr="004F48D9" w:rsidRDefault="00B73A4F" w:rsidP="007D2650">
      <w:pPr>
        <w:rPr>
          <w:rFonts w:eastAsia="Calibri"/>
        </w:rPr>
      </w:pPr>
      <w:r>
        <w:t>Given the current</w:t>
      </w:r>
      <w:r w:rsidRPr="00D26EF6">
        <w:t xml:space="preserve"> competitive international environment in which various </w:t>
      </w:r>
      <w:r>
        <w:t xml:space="preserve">jurisdictions are </w:t>
      </w:r>
      <w:r w:rsidRPr="00D26EF6">
        <w:t>actively enhancing</w:t>
      </w:r>
      <w:r w:rsidRPr="00335966">
        <w:t xml:space="preserve"> </w:t>
      </w:r>
      <w:r>
        <w:t xml:space="preserve">their </w:t>
      </w:r>
      <w:r w:rsidRPr="00D26EF6">
        <w:t>appeal to innovators</w:t>
      </w:r>
      <w:r w:rsidRPr="004B3D86">
        <w:t xml:space="preserve">—it is </w:t>
      </w:r>
      <w:r w:rsidRPr="00335966">
        <w:t>essential</w:t>
      </w:r>
      <w:r w:rsidRPr="004B3D86">
        <w:t xml:space="preserve"> that the EU </w:t>
      </w:r>
      <w:r w:rsidRPr="00335966">
        <w:t>provides</w:t>
      </w:r>
      <w:r w:rsidRPr="004B3D86">
        <w:t xml:space="preserve"> a clear</w:t>
      </w:r>
      <w:r w:rsidRPr="00335966">
        <w:t xml:space="preserve"> </w:t>
      </w:r>
      <w:r w:rsidRPr="004B3D86">
        <w:t xml:space="preserve">signal of its </w:t>
      </w:r>
      <w:r w:rsidRPr="00335966">
        <w:t>commitment to</w:t>
      </w:r>
      <w:r w:rsidRPr="004B3D86">
        <w:t xml:space="preserve"> </w:t>
      </w:r>
      <w:r>
        <w:t>support</w:t>
      </w:r>
      <w:r w:rsidRPr="004B3D86">
        <w:t xml:space="preserve"> innovation and attract </w:t>
      </w:r>
      <w:r>
        <w:t>health biotech investments in research, development and manufacturing</w:t>
      </w:r>
      <w:r w:rsidRPr="004B3D86">
        <w:t>.</w:t>
      </w:r>
      <w:r>
        <w:t xml:space="preserve"> </w:t>
      </w:r>
    </w:p>
    <w:p w14:paraId="22F8EC53" w14:textId="631B1BAB" w:rsidR="00D33434" w:rsidRPr="00DD0CE5" w:rsidRDefault="00D33434" w:rsidP="00E5568D">
      <w:pPr>
        <w:pStyle w:val="Heading3"/>
      </w:pPr>
      <w:bookmarkStart w:id="212" w:name="_Toc225969788"/>
      <w:bookmarkStart w:id="213" w:name="_Toc225979120"/>
      <w:r w:rsidRPr="00DD0CE5">
        <w:t>Food and feed products and other food chain inputs</w:t>
      </w:r>
      <w:bookmarkEnd w:id="212"/>
      <w:bookmarkEnd w:id="213"/>
    </w:p>
    <w:p w14:paraId="428EEB64" w14:textId="20A3B53F" w:rsidR="00D33434" w:rsidRPr="001D515D" w:rsidRDefault="7D9192DA" w:rsidP="007D2650">
      <w:r w:rsidRPr="00DD0CE5">
        <w:t>Union law requires pre-market authorisations/approvals for several categories of food and feed products and related food chain inputs</w:t>
      </w:r>
      <w:r>
        <w:t xml:space="preserve"> </w:t>
      </w:r>
      <w:r w:rsidRPr="00DD0CE5">
        <w:t>– the so-called ‘regulated products’</w:t>
      </w:r>
      <w:r w:rsidR="00D33434" w:rsidRPr="00DD0CE5">
        <w:rPr>
          <w:rStyle w:val="FootnoteReference"/>
          <w:rFonts w:eastAsia="Calibri"/>
        </w:rPr>
        <w:footnoteReference w:id="71"/>
      </w:r>
      <w:r w:rsidRPr="00DD0CE5">
        <w:t xml:space="preserve">. In those cases, the European Food Safety Authority (EFSA) must conduct a scientific risk assessment </w:t>
      </w:r>
      <w:r w:rsidRPr="00DD0CE5">
        <w:rPr>
          <w:lang w:val="en-IE" w:eastAsia="en-IE"/>
        </w:rPr>
        <w:t>under the applicable sectoral legislation</w:t>
      </w:r>
      <w:r w:rsidRPr="00DD0CE5">
        <w:t xml:space="preserve"> before risk managers at EU and/or national level decide upon granting a pre-market authorisation/approval. To this end, applicants </w:t>
      </w:r>
      <w:r>
        <w:t>must</w:t>
      </w:r>
      <w:r w:rsidRPr="00DD0CE5">
        <w:t xml:space="preserve"> comply with the specific procedural requirements set out in the relevant sectoral legislation </w:t>
      </w:r>
      <w:r>
        <w:t xml:space="preserve">and </w:t>
      </w:r>
      <w:r w:rsidRPr="00DD0CE5">
        <w:t>with certain general provisions set out in the General Food Law Regulation</w:t>
      </w:r>
      <w:r w:rsidR="006B47FD">
        <w:rPr>
          <w:rStyle w:val="FootnoteReference"/>
        </w:rPr>
        <w:footnoteReference w:id="72"/>
      </w:r>
      <w:r w:rsidRPr="00DD0CE5">
        <w:t xml:space="preserve"> (GFL) as regards the pre-submission and validation phases. </w:t>
      </w:r>
      <w:r>
        <w:t>D</w:t>
      </w:r>
      <w:r w:rsidRPr="00DD0CE5">
        <w:t>elays</w:t>
      </w:r>
      <w:r>
        <w:t xml:space="preserve"> have been observed</w:t>
      </w:r>
      <w:r w:rsidRPr="00DD0CE5">
        <w:t xml:space="preserve"> in both validation and risk assessment phases.</w:t>
      </w:r>
      <w:r w:rsidR="40C07B54">
        <w:t xml:space="preserve"> </w:t>
      </w:r>
      <w:r w:rsidR="40C07B54" w:rsidRPr="00DD0CE5">
        <w:t>Two main regulatory drivers have been identified for those delays:</w:t>
      </w:r>
    </w:p>
    <w:p w14:paraId="7FE940DA" w14:textId="77777777" w:rsidR="00D33434" w:rsidRPr="00DD0CE5" w:rsidRDefault="00D33434" w:rsidP="007D2650">
      <w:pPr>
        <w:pStyle w:val="Text2"/>
        <w:numPr>
          <w:ilvl w:val="0"/>
          <w:numId w:val="212"/>
        </w:numPr>
        <w:rPr>
          <w:rFonts w:eastAsia="Calibri"/>
          <w:i/>
          <w:szCs w:val="24"/>
        </w:rPr>
      </w:pPr>
      <w:r w:rsidRPr="00DD0CE5">
        <w:rPr>
          <w:rFonts w:eastAsia="Calibri"/>
          <w:i/>
          <w:szCs w:val="24"/>
        </w:rPr>
        <w:t>Dossier deficiencies and limited effectiveness of pre-submission advice</w:t>
      </w:r>
    </w:p>
    <w:p w14:paraId="3269F01F" w14:textId="77777777" w:rsidR="00D33434" w:rsidRPr="00DD0CE5" w:rsidRDefault="00D33434" w:rsidP="007D2650">
      <w:r>
        <w:t>I</w:t>
      </w:r>
      <w:r w:rsidRPr="00DD0CE5">
        <w:t>n the context of the risk assessment of regulated products</w:t>
      </w:r>
      <w:r>
        <w:t>,</w:t>
      </w:r>
      <w:r w:rsidRPr="00DD0CE5">
        <w:t xml:space="preserve"> </w:t>
      </w:r>
      <w:r>
        <w:t xml:space="preserve">and when </w:t>
      </w:r>
      <w:r w:rsidRPr="00DD0CE5">
        <w:t>application dossiers are incomplete or insufficiently substantiated</w:t>
      </w:r>
      <w:r>
        <w:t>)</w:t>
      </w:r>
      <w:r w:rsidRPr="00DD0CE5">
        <w:t xml:space="preserve">, EFSA requests additional information or data from applicants either in the context of the validation process or during the risk </w:t>
      </w:r>
      <w:r w:rsidRPr="00DD0CE5">
        <w:lastRenderedPageBreak/>
        <w:t xml:space="preserve">assessment process. These iterative exchanges interrupt the overall process and contribute to prolonged timelines before an authorisation is decided upon. </w:t>
      </w:r>
    </w:p>
    <w:p w14:paraId="252D91BB" w14:textId="798B1756" w:rsidR="00D33434" w:rsidRDefault="7D9192DA" w:rsidP="007D2650">
      <w:r w:rsidRPr="00DD0CE5">
        <w:t xml:space="preserve">Although </w:t>
      </w:r>
      <w:r w:rsidR="000C6DD7">
        <w:t>the</w:t>
      </w:r>
      <w:r>
        <w:t xml:space="preserve"> </w:t>
      </w:r>
      <w:r w:rsidRPr="00DE7A4E">
        <w:t xml:space="preserve">General Pre-Submission Advice (GPSA) </w:t>
      </w:r>
      <w:r>
        <w:t>and</w:t>
      </w:r>
      <w:r w:rsidRPr="00DE7A4E">
        <w:t xml:space="preserve"> Renewal Pre-Submission Advice (RPSA)</w:t>
      </w:r>
      <w:r w:rsidR="00D33434">
        <w:rPr>
          <w:rStyle w:val="FootnoteReference"/>
          <w:rFonts w:eastAsia="Calibri"/>
        </w:rPr>
        <w:footnoteReference w:id="73"/>
      </w:r>
      <w:r w:rsidRPr="00DD0CE5">
        <w:t xml:space="preserve"> were introduced in 2021 to improve dossier quality, their uptake by applicants </w:t>
      </w:r>
      <w:r>
        <w:t>and</w:t>
      </w:r>
      <w:r w:rsidRPr="00DD0CE5">
        <w:t xml:space="preserve"> their effectiveness have been limited. The scope of GPSA has been perceived as too narrow, as it cannot include advice on technical/scientific issues, </w:t>
      </w:r>
      <w:r w:rsidRPr="5DA36055">
        <w:rPr>
          <w:i/>
          <w:iCs/>
        </w:rPr>
        <w:t>e.g.</w:t>
      </w:r>
      <w:r w:rsidRPr="00DD0CE5">
        <w:t xml:space="preserve"> on study design, to fulfil data requirements and/or testing strategies. GPSA is therefore less attractive for potential applicants, especially for SMEs and start-ups who request new authorisations, reducing the potential for improving the quality of the application dossiers. In a similar vein, the uptake of RPSA has been of limited use and value as applicants of renewals are largely familiar with the application process and do not particularly need support from EFSA at pre-submission </w:t>
      </w:r>
      <w:r>
        <w:t>phase</w:t>
      </w:r>
      <w:r w:rsidRPr="00DD0CE5">
        <w:t>. Moreover, the applicable pre-conditions for RPSA combined with the absence of any procedural penalties for the non-notification of intended studies, exacerbate the low uptake of RPSA.</w:t>
      </w:r>
      <w:r w:rsidR="00BA1435" w:rsidRPr="5FC7D028">
        <w:rPr>
          <w:rStyle w:val="FootnoteReference"/>
          <w:rFonts w:eastAsia="Calibri"/>
        </w:rPr>
        <w:footnoteReference w:id="74"/>
      </w:r>
      <w:r w:rsidR="00BA1435">
        <w:t xml:space="preserve"> </w:t>
      </w:r>
      <w:r w:rsidRPr="00DD0CE5">
        <w:t xml:space="preserve"> </w:t>
      </w:r>
    </w:p>
    <w:p w14:paraId="603C7CD0" w14:textId="77777777" w:rsidR="00D33434" w:rsidRPr="003B0CDF" w:rsidRDefault="7D9192DA" w:rsidP="007D2650">
      <w:pPr>
        <w:rPr>
          <w:iCs/>
        </w:rPr>
      </w:pPr>
      <w:r>
        <w:rPr>
          <w:lang w:val="en-IE" w:eastAsia="en-IE"/>
        </w:rPr>
        <w:t>The uptake of</w:t>
      </w:r>
      <w:r w:rsidRPr="00DD0CE5">
        <w:rPr>
          <w:lang w:val="en-IE" w:eastAsia="en-IE"/>
        </w:rPr>
        <w:t xml:space="preserve"> pre-submission advice mechanisms has been limited and therefore their potential for reducing subsequent delays at validation and risk assessment phases</w:t>
      </w:r>
      <w:r>
        <w:rPr>
          <w:lang w:val="en-IE" w:eastAsia="en-IE"/>
        </w:rPr>
        <w:t xml:space="preserve"> by improving dossier quality</w:t>
      </w:r>
      <w:r w:rsidRPr="00DD0CE5">
        <w:rPr>
          <w:lang w:val="en-IE" w:eastAsia="en-IE"/>
        </w:rPr>
        <w:t xml:space="preserve"> has yet to materialise</w:t>
      </w:r>
      <w:r w:rsidRPr="00DD0CE5">
        <w:t>, contributing to persisting delays linked with subsequent requests for additional data and subsequently to delays to ‘time to market’.</w:t>
      </w:r>
      <w:r w:rsidR="00D33434" w:rsidRPr="5FC7D028">
        <w:rPr>
          <w:rStyle w:val="FootnoteReference"/>
          <w:rFonts w:eastAsia="Calibri"/>
        </w:rPr>
        <w:footnoteReference w:id="75"/>
      </w:r>
      <w:r>
        <w:t xml:space="preserve"> </w:t>
      </w:r>
      <w:r>
        <w:rPr>
          <w:lang w:val="en-IE" w:eastAsia="en-IE"/>
        </w:rPr>
        <w:t>L</w:t>
      </w:r>
      <w:r w:rsidRPr="00DD0CE5">
        <w:rPr>
          <w:lang w:val="en-IE" w:eastAsia="en-IE"/>
        </w:rPr>
        <w:t xml:space="preserve">ong risk assessment periods </w:t>
      </w:r>
      <w:r w:rsidRPr="337FA1CF">
        <w:t>reduce regulatory predictability in a sector characterised by rapid technological development and significant R&amp;D investment. This may discourage investment especially for SMEs, delay scale-up and limit the commercialisation of biotechnology-based food and feed solutions and other related inputs within the Union.</w:t>
      </w:r>
    </w:p>
    <w:p w14:paraId="0B8D1527" w14:textId="77777777" w:rsidR="00D33434" w:rsidRPr="00DD0CE5" w:rsidRDefault="00D33434" w:rsidP="007D2650">
      <w:pPr>
        <w:pStyle w:val="Text2"/>
        <w:numPr>
          <w:ilvl w:val="0"/>
          <w:numId w:val="212"/>
        </w:numPr>
        <w:rPr>
          <w:rFonts w:eastAsia="Calibri"/>
          <w:i/>
          <w:szCs w:val="24"/>
        </w:rPr>
      </w:pPr>
      <w:r w:rsidRPr="00DD0CE5">
        <w:rPr>
          <w:rFonts w:eastAsia="Calibri"/>
          <w:i/>
        </w:rPr>
        <w:t xml:space="preserve">Procedural consequences linked to study notification requirements </w:t>
      </w:r>
    </w:p>
    <w:p w14:paraId="3E7127A0" w14:textId="680B48C8" w:rsidR="00D33434" w:rsidRPr="00DD0CE5" w:rsidRDefault="7D9192DA" w:rsidP="007D2650">
      <w:r w:rsidRPr="00DD0CE5">
        <w:t>Since 2021, additional delays have arisen, following non-compliance with the obligation to notify commissioned studies during the pre-submission phase and the imposition of procedural consequences (Article 32b GFL), in which case applications are declared non-valid and resubmitted applications are subject to a six-month delay before validation.</w:t>
      </w:r>
      <w:r w:rsidR="00D33434" w:rsidRPr="69C88D84">
        <w:rPr>
          <w:rStyle w:val="FootnoteReference"/>
          <w:rFonts w:eastAsia="Calibri"/>
        </w:rPr>
        <w:footnoteReference w:id="76"/>
      </w:r>
      <w:r w:rsidRPr="00DD0CE5">
        <w:t xml:space="preserve"> Between 2021 and 2024, 47 applications were deemed non-valid on this basis, predominantly in the novel food sector.</w:t>
      </w:r>
      <w:r w:rsidR="00704495" w:rsidRPr="69C88D84">
        <w:rPr>
          <w:rStyle w:val="FootnoteReference"/>
          <w:rFonts w:eastAsia="Calibri"/>
        </w:rPr>
        <w:footnoteReference w:id="77"/>
      </w:r>
      <w:r w:rsidRPr="00DD0CE5">
        <w:t xml:space="preserve"> In certain cases, the combination of extended </w:t>
      </w:r>
      <w:r w:rsidRPr="00DD0CE5">
        <w:lastRenderedPageBreak/>
        <w:t>validation exchanges and the imposition of the procedural consequences have resulted in significant postponements in confirming application validity.</w:t>
      </w:r>
    </w:p>
    <w:p w14:paraId="1609F048" w14:textId="77777777" w:rsidR="00D33434" w:rsidRPr="00DD0CE5" w:rsidRDefault="00D33434" w:rsidP="007D2650">
      <w:pPr>
        <w:pStyle w:val="Text2"/>
        <w:numPr>
          <w:ilvl w:val="0"/>
          <w:numId w:val="212"/>
        </w:numPr>
        <w:rPr>
          <w:rFonts w:eastAsia="Calibri"/>
          <w:szCs w:val="24"/>
        </w:rPr>
      </w:pPr>
      <w:r w:rsidRPr="00DD0CE5">
        <w:rPr>
          <w:rFonts w:eastAsia="Calibri"/>
          <w:i/>
          <w:iCs/>
          <w:szCs w:val="24"/>
        </w:rPr>
        <w:t>Governance constraints relating to Scientific Committee/Scientific Panels</w:t>
      </w:r>
    </w:p>
    <w:p w14:paraId="1653B4C1" w14:textId="77777777" w:rsidR="00D33434" w:rsidRPr="00DD0CE5" w:rsidRDefault="7D9192DA" w:rsidP="007D2650">
      <w:r w:rsidRPr="00DD0CE5">
        <w:t>The current configuration of EFSA’s Panel-based governance model, consisting of eleven Panels and one Scientific Committee</w:t>
      </w:r>
      <w:r w:rsidR="00D33434" w:rsidRPr="00DD0CE5">
        <w:rPr>
          <w:rStyle w:val="FootnoteReference"/>
        </w:rPr>
        <w:footnoteReference w:id="78"/>
      </w:r>
      <w:r w:rsidRPr="00DD0CE5">
        <w:t xml:space="preserve"> and operating autonomously without reporting to EFSA’s management, has ensured scientific independence and has leveraged dedicated experts to provide advice of high scientific excellence. Nevertheless, the lack of flexibility in the governance model (</w:t>
      </w:r>
      <w:r w:rsidRPr="5DA36055">
        <w:rPr>
          <w:i/>
          <w:iCs/>
        </w:rPr>
        <w:t>e.g.</w:t>
      </w:r>
      <w:r w:rsidRPr="00DD0CE5">
        <w:t xml:space="preserve"> Panel chairs/vice chairs are reserved only for experts) constrained by provisions in the General Food Law and in other rules and procedures, restricts EFSA’s ability to keep its risk assessment work both swift, coherent, timely and fit for purpose.</w:t>
      </w:r>
      <w:r w:rsidR="00D33434" w:rsidRPr="00DD0CE5">
        <w:rPr>
          <w:rStyle w:val="FootnoteReference"/>
        </w:rPr>
        <w:footnoteReference w:id="79"/>
      </w:r>
    </w:p>
    <w:p w14:paraId="244A053D" w14:textId="77777777" w:rsidR="00D33434" w:rsidRPr="00DD0CE5" w:rsidRDefault="00D33434" w:rsidP="007D2650">
      <w:pPr>
        <w:pStyle w:val="Text2"/>
        <w:numPr>
          <w:ilvl w:val="0"/>
          <w:numId w:val="212"/>
        </w:numPr>
        <w:rPr>
          <w:rFonts w:eastAsia="Calibri"/>
          <w:szCs w:val="24"/>
        </w:rPr>
      </w:pPr>
      <w:r w:rsidRPr="00DD0CE5">
        <w:rPr>
          <w:rFonts w:eastAsia="Calibri"/>
          <w:i/>
          <w:szCs w:val="24"/>
        </w:rPr>
        <w:t xml:space="preserve">Limited regulatory </w:t>
      </w:r>
      <w:r w:rsidRPr="00DD0CE5">
        <w:rPr>
          <w:rFonts w:eastAsia="Calibri"/>
          <w:i/>
          <w:iCs/>
          <w:szCs w:val="24"/>
        </w:rPr>
        <w:t>flexibility</w:t>
      </w:r>
      <w:r w:rsidRPr="00DD0CE5">
        <w:rPr>
          <w:rFonts w:eastAsia="Calibri"/>
          <w:i/>
          <w:szCs w:val="24"/>
        </w:rPr>
        <w:t xml:space="preserve"> in a context of rapid technological advancement</w:t>
      </w:r>
    </w:p>
    <w:p w14:paraId="134DF308" w14:textId="0CBFE4EC" w:rsidR="00D33434" w:rsidRPr="00DD0CE5" w:rsidRDefault="00D33434" w:rsidP="00853B14">
      <w:pPr>
        <w:rPr>
          <w:rFonts w:eastAsia="Calibri"/>
          <w:lang w:val="en-IE"/>
        </w:rPr>
      </w:pPr>
      <w:r w:rsidRPr="00DD0CE5">
        <w:t xml:space="preserve">The food and feed sector is experiencing rapid technological advancements, including in areas such as biotechnology, </w:t>
      </w:r>
      <w:r w:rsidR="000A6BF9">
        <w:t>AI</w:t>
      </w:r>
      <w:r w:rsidRPr="00DD0CE5">
        <w:t xml:space="preserve">, smart farming techniques and circular economy practices promoting resource efficiency and waste reduction. </w:t>
      </w:r>
      <w:r w:rsidR="00853B14">
        <w:t>Public consultation activities carried out in the context of the European Innovation Act</w:t>
      </w:r>
      <w:r w:rsidR="003D267A">
        <w:rPr>
          <w:rStyle w:val="FootnoteReference"/>
        </w:rPr>
        <w:footnoteReference w:id="80"/>
      </w:r>
      <w:r w:rsidR="00853B14">
        <w:t xml:space="preserve"> indicate broad, cross-sectoral support for the use of regulatory sandboxes as a tool to facilitate innovation while maintaining appropriate safeguards. In this context, there is a growing recognition among stakeholders and Member States of the potential added value of a more coordinated approach at Union level.</w:t>
      </w:r>
      <w:r w:rsidRPr="6268FB45">
        <w:rPr>
          <w:lang w:eastAsia="en-IE"/>
        </w:rPr>
        <w:t xml:space="preserve"> In the absence of a coordinated framework, innovative solutions may face regulatory uncertainty and fragmentation when attempting to fit within existing authorisation procedures. This may lead to delays in innovative approaches to product development, particularly in areas characterised by rapid technological advancement</w:t>
      </w:r>
      <w:r w:rsidRPr="00DD0CE5">
        <w:t>.</w:t>
      </w:r>
      <w:r w:rsidRPr="6268FB45">
        <w:rPr>
          <w:lang w:eastAsia="en-IE"/>
        </w:rPr>
        <w:t xml:space="preserve"> </w:t>
      </w:r>
      <w:r w:rsidRPr="00DD0CE5">
        <w:t>Furthermore, t</w:t>
      </w:r>
      <w:r w:rsidRPr="6268FB45">
        <w:rPr>
          <w:lang w:eastAsia="en-IE"/>
        </w:rPr>
        <w:t>he current framework provides limited structured opportunities to test alternative data requirements, such as new methodological approaches instead of animal testing – and/or alternative regulatory requirements such as digital labelling instead of physical labelling affixed on food products</w:t>
      </w:r>
      <w:r w:rsidRPr="6268FB45">
        <w:rPr>
          <w:strike/>
          <w:lang w:eastAsia="en-IE"/>
        </w:rPr>
        <w:t>.</w:t>
      </w:r>
    </w:p>
    <w:p w14:paraId="30712A03" w14:textId="77777777" w:rsidR="00D33434" w:rsidRDefault="00D33434" w:rsidP="007D2650">
      <w:pPr>
        <w:rPr>
          <w:rFonts w:eastAsia="Calibri"/>
        </w:rPr>
      </w:pPr>
      <w:r w:rsidRPr="00DD0CE5">
        <w:rPr>
          <w:rFonts w:eastAsia="Calibri"/>
        </w:rPr>
        <w:t>Taken together, dossier deficiencies, limited effectiveness of existing pre-submission procedures, rigid procedural consequences relating to non-compliances at pre-submission phase, governance constraints and the limited availability of harmonised regulatory sandboxes create procedural complexity that slows the authorisation process and delays market entry of regulated food and feed products and other food chain inputs.</w:t>
      </w:r>
    </w:p>
    <w:p w14:paraId="00658019" w14:textId="78E1AEBA" w:rsidR="00D33434" w:rsidRPr="00F533A5" w:rsidRDefault="00D33434" w:rsidP="007D2650">
      <w:pPr>
        <w:rPr>
          <w:lang w:val="en-IE"/>
        </w:rPr>
      </w:pPr>
      <w:r w:rsidRPr="00DD0CE5">
        <w:rPr>
          <w:lang w:eastAsia="en-IE"/>
        </w:rPr>
        <w:lastRenderedPageBreak/>
        <w:t>Taken together, these patterns show that the EU’s competitiveness gap in biotech is not primarily a science deficit, but a translation and scale-up deficit shaped by long, uncertain and capital-intensive pathways from research to market.</w:t>
      </w:r>
    </w:p>
    <w:p w14:paraId="18F6FC7D" w14:textId="19291F75" w:rsidR="00D33434" w:rsidRPr="00DD0CE5" w:rsidRDefault="7D9192DA" w:rsidP="00E5568D">
      <w:pPr>
        <w:pStyle w:val="Heading3"/>
      </w:pPr>
      <w:bookmarkStart w:id="214" w:name="_Toc225969789"/>
      <w:bookmarkStart w:id="215" w:name="_Toc225979121"/>
      <w:r w:rsidRPr="00DD0CE5">
        <w:t>Organs</w:t>
      </w:r>
      <w:r w:rsidR="00645C30" w:rsidRPr="00BB182A">
        <w:rPr>
          <w:rStyle w:val="FootnoteReference"/>
          <w:rFonts w:eastAsiaTheme="minorEastAsia"/>
        </w:rPr>
        <w:footnoteReference w:id="81"/>
      </w:r>
      <w:bookmarkEnd w:id="214"/>
      <w:bookmarkEnd w:id="215"/>
      <w:r w:rsidRPr="5DA36055">
        <w:rPr>
          <w:rStyle w:val="FootnoteReference"/>
          <w:rFonts w:eastAsiaTheme="minorEastAsia"/>
        </w:rPr>
        <w:t xml:space="preserve"> </w:t>
      </w:r>
    </w:p>
    <w:p w14:paraId="35FD6A95" w14:textId="2C86C036" w:rsidR="00662718" w:rsidRPr="0057383E" w:rsidRDefault="00DA52B5" w:rsidP="0057383E">
      <w:pPr>
        <w:rPr>
          <w:b/>
          <w:bCs/>
          <w:u w:val="single"/>
        </w:rPr>
      </w:pPr>
      <w:bookmarkStart w:id="216" w:name="_Toc224136193"/>
      <w:r w:rsidRPr="0057383E">
        <w:rPr>
          <w:b/>
          <w:bCs/>
          <w:u w:val="single"/>
        </w:rPr>
        <w:t>The existing regulatory framework</w:t>
      </w:r>
      <w:bookmarkEnd w:id="216"/>
    </w:p>
    <w:p w14:paraId="55EEA1CE" w14:textId="041CBAFD" w:rsidR="00DA52B5" w:rsidRDefault="5E39B27A" w:rsidP="002E0FB2">
      <w:r>
        <w:t>Organ transplantation is among the highest-value therapeutic interventions available in modern medicine. For patients with end-stage organ failure, transplantation is frequently the only curative option. In the case of kidney failure, organ transplantation is also substantially more cost-effective in the long term than chronic dialysis. In 2024, over 32,000 organ transplants were performed across the EU, comprising 19,170 kidney transplants, 8,015 liver transplants, 2,416 heart transplants, 2,221 lung transplants, 525 pancreas transplants, and smaller numbers of small bowel and vascularised composite tissue (hand, face) procedures. Despite this activity, a persistent and widening gap between the supply of transplantable organs and clinical demand remains as of 31 December 2024, over 52,000 patients were registered on transplant waiting lists across the EU.</w:t>
      </w:r>
      <w:r w:rsidRPr="007E4A4D">
        <w:rPr>
          <w:rStyle w:val="FootnoteReference"/>
        </w:rPr>
        <w:t xml:space="preserve"> </w:t>
      </w:r>
      <w:r w:rsidR="00DA52B5">
        <w:rPr>
          <w:rStyle w:val="FootnoteReference"/>
        </w:rPr>
        <w:footnoteReference w:id="82"/>
      </w:r>
    </w:p>
    <w:p w14:paraId="3761351F" w14:textId="7E824ABA" w:rsidR="00DA52B5" w:rsidRDefault="00DA52B5" w:rsidP="00483B61">
      <w:r>
        <w:t>Directive 2010/53/EU establish</w:t>
      </w:r>
      <w:r w:rsidR="00390193">
        <w:t>es</w:t>
      </w:r>
      <w:r>
        <w:t xml:space="preserve"> common quality and safety standards for human organs intended for transplantation across the EU, setting minimum requirements applicable throughout the entire chain from donation to transplantation (i.e., donation, testing, characterisation, procurement, preservation, transport, and transplantation of organs). </w:t>
      </w:r>
      <w:r w:rsidR="00423CCF">
        <w:t>This framework is complemented by</w:t>
      </w:r>
      <w:r w:rsidR="5E39B27A" w:rsidRPr="002528DE">
        <w:t xml:space="preserve"> technical guidance </w:t>
      </w:r>
      <w:r w:rsidR="00423CCF">
        <w:t>from</w:t>
      </w:r>
      <w:r w:rsidR="5E39B27A" w:rsidRPr="002528DE">
        <w:t xml:space="preserve"> the European Directorate for the Quality of Medicines and HealthCare (EDQM)</w:t>
      </w:r>
      <w:r w:rsidR="0034088B">
        <w:t xml:space="preserve"> and by </w:t>
      </w:r>
      <w:r w:rsidR="00A563B1">
        <w:t>binding international principles (equitable access, the prohibition of financial gain from organs and tissues of human origin, and consent requirements for donation</w:t>
      </w:r>
      <w:r w:rsidR="5E39B27A" w:rsidDel="5E39B27A">
        <w:t>)</w:t>
      </w:r>
      <w:r w:rsidR="00483B61">
        <w:rPr>
          <w:rStyle w:val="FootnoteReference"/>
        </w:rPr>
        <w:footnoteReference w:id="83"/>
      </w:r>
      <w:r w:rsidR="00483B61">
        <w:t xml:space="preserve">, as well as </w:t>
      </w:r>
      <w:r w:rsidR="5E39B27A">
        <w:t>EU</w:t>
      </w:r>
      <w:r w:rsidR="00483B61">
        <w:t xml:space="preserve"> rules on cross border</w:t>
      </w:r>
      <w:r w:rsidR="5E39B27A">
        <w:t xml:space="preserve"> information exchange</w:t>
      </w:r>
      <w:r w:rsidR="00483B61">
        <w:t xml:space="preserve"> (</w:t>
      </w:r>
      <w:r w:rsidR="5E39B27A" w:rsidDel="5E39B27A">
        <w:t>Directive 2012/25/EU</w:t>
      </w:r>
      <w:r>
        <w:rPr>
          <w:rStyle w:val="FootnoteReference"/>
        </w:rPr>
        <w:footnoteReference w:id="84"/>
      </w:r>
      <w:r w:rsidR="00483B61">
        <w:t>).</w:t>
      </w:r>
    </w:p>
    <w:p w14:paraId="273FBF6E" w14:textId="41556CCE" w:rsidR="00DA52B5" w:rsidRPr="0057383E" w:rsidRDefault="00DA52B5" w:rsidP="0057383E">
      <w:pPr>
        <w:rPr>
          <w:b/>
          <w:bCs/>
          <w:u w:val="single"/>
        </w:rPr>
      </w:pPr>
      <w:bookmarkStart w:id="217" w:name="_Toc224136194"/>
      <w:r w:rsidRPr="0057383E">
        <w:rPr>
          <w:b/>
          <w:bCs/>
          <w:u w:val="single"/>
        </w:rPr>
        <w:t>The technological transformation</w:t>
      </w:r>
      <w:bookmarkEnd w:id="217"/>
    </w:p>
    <w:p w14:paraId="539F9848" w14:textId="75BC3C91" w:rsidR="00DA52B5" w:rsidRDefault="00DA52B5" w:rsidP="002E0FB2">
      <w:r>
        <w:t>Since the adoption of Directive 2010/53/EU, the field of organ transplantation has undergone a profound technological transformation that has altered the nature of what happens to an organ between its procurement from a donor and its transplantation into a recipient.</w:t>
      </w:r>
    </w:p>
    <w:p w14:paraId="2CA1DA46" w14:textId="41503806" w:rsidR="00DA52B5" w:rsidRDefault="00DA52B5" w:rsidP="002E0FB2">
      <w:r>
        <w:t xml:space="preserve">The traditional approach to organ handling, and the one implicitly assumed by the Directive when it was drafted, is static cold storage (SCS). Under this method, a procured organ is flushed with a cold preservation solution, packed in ice, and transported to the recipient hospital as quickly as possible. SCS slows cellular deterioration by cooling the organ to approximately 4°C, but it buys only limited time before ischaemia-reperfusion </w:t>
      </w:r>
      <w:r>
        <w:lastRenderedPageBreak/>
        <w:t>injury renders the organ unsuitable. These narrow time windows constrain the geographical reach of organ exchange, creating intense pressure on surgical teams. This means that organs from so-called “marginal” or “expanded criteria” donors (i.e., organs that are not in ideal condition but could still be clinically useful) are frequently discarded because there is insufficient time to assess or rehabilitate them.</w:t>
      </w:r>
    </w:p>
    <w:p w14:paraId="583F7A48" w14:textId="42DB13D2" w:rsidR="00DA52B5" w:rsidRDefault="00DA52B5" w:rsidP="002E0FB2">
      <w:r w:rsidRPr="004570F2">
        <w:rPr>
          <w:lang w:val="en-IE"/>
        </w:rPr>
        <w:t xml:space="preserve">Ex-vivo machine perfusion represents a different paradigm. </w:t>
      </w:r>
      <w:r>
        <w:t xml:space="preserve">Rather than passively preserving an organ on ice, </w:t>
      </w:r>
      <w:r w:rsidRPr="35E92E47">
        <w:t>ex-vivo</w:t>
      </w:r>
      <w:r w:rsidRPr="001411FE">
        <w:t xml:space="preserve"> machine perfusion </w:t>
      </w:r>
      <w:r>
        <w:t xml:space="preserve">places it on a device that continuously pumps an oxygenated, nutrient-rich perfusate through its vasculature, maintaining the organ in a metabolically active, near-physiological state outside the body. Machine </w:t>
      </w:r>
      <w:r w:rsidRPr="001411FE">
        <w:t xml:space="preserve">perfusion </w:t>
      </w:r>
      <w:r>
        <w:t>can be performed under hypothermic conditions (1–8°C), subnormothermic conditions (typically 20-35°C), or normothermic conditions (34-38°C, essentially body temperature). The clinical consequence is transformative: ischaemia time constraints are dramatically relaxed, the organ’s function can be assessed in real time, and, for regulatory purposes, the extended ex-vivo window opens the possibility for active interventions on the organ.</w:t>
      </w:r>
    </w:p>
    <w:p w14:paraId="1643079B" w14:textId="0F56D987" w:rsidR="00DA52B5" w:rsidRDefault="00DA52B5" w:rsidP="002E0FB2">
      <w:r>
        <w:t>These interventions go well beyond mere preservation. They include reconditioning damaged organs (e.g., reducing fat content in steatotic livers through defatting protocols during normothermic perfusion), administering pharmacological therapies directly to the organ (such as chemotherapy to treat cancer cells, antibiotics to clear infections, or anti-inflammatory agents to reduce ischaemia-reperfusion injury), performing surgical procedures on the organ while it is on the perfusion machine (e.g., ex-vivo tumour resection from a liver), and even delivering gene therapies via viral vectors in the perfusate. Taken together, these activities constitute what the proposed legislation terms “processing”: active operations designed to maintain or improve the functional status of an organ prior to transplantation. They transform the organ from a passively preserved specimen into one that is actively managed, assessed, and improved during the ex-vivo period.</w:t>
      </w:r>
    </w:p>
    <w:p w14:paraId="24878AEB" w14:textId="6EA56E36" w:rsidR="00DA52B5" w:rsidRDefault="00DA52B5" w:rsidP="002E0FB2">
      <w:r>
        <w:t>The most established clinical application of EVMP is ex-vivo lung perfusion (EVLP), first introduced clinically in 2001 and now widely adopted in major transplantation centres across Europe and globally. Machine perfusion for kidneys, livers, and hearts has similarly progressed from experimental to routine or near-routine clinical use in leading centres. As a result, the global organ preservation market is expanding rapidly, driven by increasing adoption of perfusion machines.</w:t>
      </w:r>
    </w:p>
    <w:p w14:paraId="7EE92964" w14:textId="6A5BDB43" w:rsidR="00DA52B5" w:rsidRPr="0057383E" w:rsidRDefault="00DA52B5" w:rsidP="0057383E">
      <w:pPr>
        <w:rPr>
          <w:b/>
          <w:bCs/>
          <w:u w:val="single"/>
        </w:rPr>
      </w:pPr>
      <w:bookmarkStart w:id="218" w:name="_Toc224136195"/>
      <w:r w:rsidRPr="0057383E">
        <w:rPr>
          <w:b/>
          <w:bCs/>
          <w:u w:val="single"/>
        </w:rPr>
        <w:t>Problem definition</w:t>
      </w:r>
      <w:bookmarkEnd w:id="218"/>
      <w:r w:rsidR="00F06764" w:rsidRPr="0057383E">
        <w:rPr>
          <w:b/>
          <w:bCs/>
          <w:u w:val="single"/>
        </w:rPr>
        <w:t xml:space="preserve"> specific to this area of intervention</w:t>
      </w:r>
    </w:p>
    <w:p w14:paraId="51E5E13B" w14:textId="4F4DB3A4" w:rsidR="00DA52B5" w:rsidRDefault="00DA52B5" w:rsidP="00DA52B5">
      <w:r w:rsidRPr="00FB408F">
        <w:t>The central problem that the proposed amendments seek to address is that the regulatory framework established by the Directive has been overtaken by clinical and technological practice. The Directive was designed for an era in which the primary ex-vivo activity was preservation. Thus, it contains no provisions for authorising, overseeing, or ensuring the quality and safety of the active processing operations that are now being performed routinely in transplantation centres across the EU. This regulatory gap gives rise to a series of interconnected problems.</w:t>
      </w:r>
    </w:p>
    <w:p w14:paraId="08058F2E" w14:textId="77777777" w:rsidR="00EB7828" w:rsidRPr="00FB408F" w:rsidRDefault="00EB7828" w:rsidP="00DA52B5"/>
    <w:p w14:paraId="7AFE70AB" w14:textId="20ACF4A9" w:rsidR="00DA52B5" w:rsidRPr="0057383E" w:rsidRDefault="00DA52B5" w:rsidP="0057383E">
      <w:pPr>
        <w:rPr>
          <w:i/>
          <w:iCs/>
          <w:u w:val="single"/>
        </w:rPr>
      </w:pPr>
      <w:bookmarkStart w:id="219" w:name="_Toc224136196"/>
      <w:r w:rsidRPr="0057383E">
        <w:rPr>
          <w:i/>
          <w:iCs/>
          <w:u w:val="single"/>
        </w:rPr>
        <w:lastRenderedPageBreak/>
        <w:t>Legal uncertainty and absence of a dedicated authorisation framework</w:t>
      </w:r>
      <w:bookmarkEnd w:id="219"/>
    </w:p>
    <w:p w14:paraId="0E3540F7" w14:textId="202FF817" w:rsidR="00DA52B5" w:rsidRPr="00FB408F" w:rsidRDefault="00DA52B5" w:rsidP="00DA52B5">
      <w:r w:rsidRPr="00FB408F">
        <w:t xml:space="preserve">Directive 2010/53/EU, as currently in force, refers to “preservation” in its scope provision (Article 2(1)) and in its definitions (Article 3(l)), but it contains no reference to “processing.” It has no framework for authorising processing operations, no mechanism for benefit-risk assessment of these interventions, and no provisions requiring transplantation centres to seek prior approval before applying a specific processing technique. </w:t>
      </w:r>
    </w:p>
    <w:p w14:paraId="2C0A0C7D" w14:textId="31C8E065" w:rsidR="00DA52B5" w:rsidRPr="00FB408F" w:rsidRDefault="00DA52B5" w:rsidP="00DA52B5">
      <w:r w:rsidRPr="00FB408F">
        <w:t xml:space="preserve">This absence of legal clarity generates uncertainty for all actors in the transplantation chain. Transplantation centres lack a clear legal </w:t>
      </w:r>
      <w:r w:rsidR="00BD34DC" w:rsidRPr="00FB408F">
        <w:t>framework</w:t>
      </w:r>
      <w:r w:rsidRPr="00FB408F">
        <w:t xml:space="preserve"> for the processing activities they perform, making it difficult to establish uniform standards, allocate responsibilities, or demonstrate compliance. Competent authorities have no EU-level mandate or guidance for overseeing these operations. Pharmaceutical and medical device companies face regulatory ambiguity regarding the use of their products in the novel context of ex-vivo organ treatment, a context in which the patient (the organ recipient) is not the direct subject of the pharmacological intervention, but the organ is.</w:t>
      </w:r>
      <w:r w:rsidR="403F715C" w:rsidRPr="00FB408F">
        <w:t xml:space="preserve"> The risk of different national regulatory approaches would bring a significant barrier for cross border exchange of organs, which is essential to optimize the donor/organ-recipient matching </w:t>
      </w:r>
      <w:r w:rsidR="008D3DDC" w:rsidRPr="00FB408F">
        <w:t>and the consequent transplant outcome.</w:t>
      </w:r>
    </w:p>
    <w:p w14:paraId="188DD933" w14:textId="4491D4BB" w:rsidR="00DA52B5" w:rsidRPr="00200956" w:rsidRDefault="00DA52B5" w:rsidP="0057383E">
      <w:bookmarkStart w:id="220" w:name="_Toc224136197"/>
      <w:r w:rsidRPr="0057383E">
        <w:rPr>
          <w:i/>
          <w:iCs/>
          <w:u w:val="single"/>
        </w:rPr>
        <w:t>Patient safety risks from unregulated processing</w:t>
      </w:r>
      <w:bookmarkEnd w:id="220"/>
    </w:p>
    <w:p w14:paraId="14D23F70" w14:textId="17C4AFD5" w:rsidR="00DA52B5" w:rsidRPr="00FB408F" w:rsidRDefault="00DA52B5" w:rsidP="00DA52B5">
      <w:r w:rsidRPr="00FB408F">
        <w:t>Organ processing, precisely because it involves active intervention on the organ, introduces new categories of risk</w:t>
      </w:r>
      <w:r w:rsidR="00C550B4" w:rsidRPr="00FB408F">
        <w:t>s</w:t>
      </w:r>
      <w:r w:rsidRPr="00FB408F">
        <w:t xml:space="preserve"> that are not captured by the existing quality and safety framework. The administration of drugs to an organ during perfusion, the performance of surgery on an organ outside the body, or the use of biological agents in perfusates all carry the potential for adverse effects on the organ and, ultimately, on the transplant recipient. Without a systematic authorisation mechanism requiring benefit-risk assessment before processing operations are applied, there is no structured safeguard ensuring that these risks are identified, evaluated, and managed. The Directive’s existing serious adverse event and reaction (SAE/SAR) reporting system (Article 11) was designed for the traditional donation-to-transplantation chain and does not specifically address risks attributable to processing operations.</w:t>
      </w:r>
    </w:p>
    <w:p w14:paraId="60D87138" w14:textId="37FF8FEF" w:rsidR="00DA52B5" w:rsidRPr="00FB408F" w:rsidRDefault="00DA52B5" w:rsidP="00DA52B5">
      <w:r w:rsidRPr="00FB408F">
        <w:t>Organ processing techniques also vary significantly in their maturity and evidentiary base, ranging from well-established hypothermic machine perfusion of kidneys to highly experimental ex-vivo gene therapy. The absence of a tiered regulatory approach, one that distinguishes between well-evidenced and novel processing techniques and calibrates oversight</w:t>
      </w:r>
      <w:r w:rsidR="42658AE1">
        <w:t>,</w:t>
      </w:r>
      <w:r w:rsidRPr="00FB408F">
        <w:t xml:space="preserve"> accordingly, means that in practice both established and experimental interventions are, at the EU level, equally unregulated.</w:t>
      </w:r>
    </w:p>
    <w:p w14:paraId="6A7C60C3" w14:textId="744EC41C" w:rsidR="00DA52B5" w:rsidRPr="0057383E" w:rsidRDefault="00DA52B5" w:rsidP="0057383E">
      <w:pPr>
        <w:rPr>
          <w:i/>
          <w:iCs/>
          <w:u w:val="single"/>
        </w:rPr>
      </w:pPr>
      <w:bookmarkStart w:id="221" w:name="_Toc224136198"/>
      <w:r w:rsidRPr="0057383E">
        <w:rPr>
          <w:i/>
          <w:iCs/>
          <w:u w:val="single"/>
        </w:rPr>
        <w:t>Fragmentation across Member States</w:t>
      </w:r>
      <w:bookmarkEnd w:id="221"/>
    </w:p>
    <w:p w14:paraId="4098F680" w14:textId="6C77C7AA" w:rsidR="00DA52B5" w:rsidRPr="00FB408F" w:rsidRDefault="00DA52B5" w:rsidP="00DA52B5">
      <w:r w:rsidRPr="00FB408F">
        <w:t xml:space="preserve">In the absence of EU-level rules on organ processing, Member States have been left to develop their own approaches, or, in other cases, to not develop any specific framework at all. Some Member States have begun to address organ processing within their national transplant legislation or through administrative guidance from their competent authorities; others left processing activities to occur under the general authority of the transplantation </w:t>
      </w:r>
      <w:r w:rsidRPr="00FB408F">
        <w:lastRenderedPageBreak/>
        <w:t>centres themselves without specific regulatory oversight. This patchwork creates divergent standards across the</w:t>
      </w:r>
      <w:r w:rsidR="00701C25" w:rsidRPr="00FB408F">
        <w:t xml:space="preserve"> EU</w:t>
      </w:r>
      <w:r w:rsidRPr="00FB408F">
        <w:t xml:space="preserve">, with direct implications for the </w:t>
      </w:r>
      <w:r w:rsidR="37C1139B" w:rsidRPr="00FB408F">
        <w:t xml:space="preserve">need for </w:t>
      </w:r>
      <w:r w:rsidRPr="00FB408F">
        <w:t>cross-border exchange of organs that the Directive was originally adopted to facilitate.</w:t>
      </w:r>
    </w:p>
    <w:p w14:paraId="47356849" w14:textId="5D3B8637" w:rsidR="00DA52B5" w:rsidRPr="00FB408F" w:rsidRDefault="00DA52B5" w:rsidP="00DA52B5">
      <w:r w:rsidRPr="00FB408F">
        <w:t xml:space="preserve">When a processed organ crosses a national border, the receiving centre and competent authority currently have no common EU standard against which to assess the safety and quality of the processing that was performed. This could over time create </w:t>
      </w:r>
      <w:r w:rsidRPr="5DA36055">
        <w:rPr>
          <w:i/>
          <w:iCs/>
        </w:rPr>
        <w:t>de facto</w:t>
      </w:r>
      <w:r w:rsidRPr="00FB408F">
        <w:t xml:space="preserve"> barriers to the cross-border </w:t>
      </w:r>
      <w:r w:rsidR="00C00E42" w:rsidRPr="00FB408F">
        <w:t>ex</w:t>
      </w:r>
      <w:r w:rsidR="00D042E2" w:rsidRPr="00FB408F">
        <w:t>change</w:t>
      </w:r>
      <w:r w:rsidR="00C00E42" w:rsidRPr="00FB408F">
        <w:t xml:space="preserve"> </w:t>
      </w:r>
      <w:r w:rsidRPr="00FB408F">
        <w:t>of organs within the EU.</w:t>
      </w:r>
      <w:r w:rsidR="00F426E5">
        <w:t xml:space="preserve"> </w:t>
      </w:r>
      <w:r w:rsidR="00F426E5" w:rsidRPr="5DA36055">
        <w:rPr>
          <w:lang w:val="en-US"/>
        </w:rPr>
        <w:t>Over the last three years, the cross-border exchange rate of allocated organs fluctuated between 20-23%</w:t>
      </w:r>
      <w:r w:rsidR="00F426E5">
        <w:rPr>
          <w:rStyle w:val="FootnoteReference"/>
          <w:lang w:val="en-US"/>
        </w:rPr>
        <w:footnoteReference w:id="85"/>
      </w:r>
      <w:r w:rsidR="00F426E5" w:rsidRPr="5DA36055">
        <w:rPr>
          <w:lang w:val="en-US"/>
        </w:rPr>
        <w:t>.</w:t>
      </w:r>
      <w:r w:rsidRPr="00FB408F">
        <w:t xml:space="preserve"> European organ exchange organisations such as Eurotransplant and Scandiatransplant, which coordinate allocation across multiple Member States, noted particular difficulties in the absence of harmonised processing standards.</w:t>
      </w:r>
    </w:p>
    <w:p w14:paraId="66EEA5EA" w14:textId="4E88DD12" w:rsidR="00DA52B5" w:rsidRPr="0057383E" w:rsidRDefault="00DA52B5" w:rsidP="0057383E">
      <w:pPr>
        <w:rPr>
          <w:i/>
          <w:iCs/>
          <w:u w:val="single"/>
        </w:rPr>
      </w:pPr>
      <w:bookmarkStart w:id="222" w:name="_Toc224136199"/>
      <w:r w:rsidRPr="0057383E">
        <w:rPr>
          <w:i/>
          <w:iCs/>
          <w:u w:val="single"/>
        </w:rPr>
        <w:t>Cross-framework coordination gaps</w:t>
      </w:r>
      <w:bookmarkEnd w:id="222"/>
    </w:p>
    <w:p w14:paraId="6C5FE356" w14:textId="56AD816D" w:rsidR="00DA52B5" w:rsidRPr="00FB408F" w:rsidRDefault="00DA52B5" w:rsidP="00DA52B5">
      <w:r w:rsidRPr="00FB408F">
        <w:t>Organ processing is inherently a multi-regulatory-domain activity. A single processing operation may simultaneously involve a medical device (the perfusion machine, regulated under Regulation (EU) 2017/745), a medicinal product (a drug administered to the organ, regulated under Directive 2001/83/EC or Regulation (EC) No 726/2004), and a substance of human origin (blood products in the perfusate, regulated under Regulation (EU) 2024/1938). The current Directive 2010/53/EU contains no mechanism for coordination between the organ transplant competent authority and the competent authorities operating under these other legislative frameworks. As a result, valuable clinical outcome data generated from the use of medicinal products or devices in the novel context of ex-vivo organ treatment may be lost between regulatory silos. For instance, when a chemotherapy agent is used to treat cancer cells in a liver during perfusion, the outcome data is relevant both to the transplant authority (was the organ safe and effective?) and to the pharmaceutical authority (how did the drug perform in this unprecedented application?). Without a legal obligation to share and coordinate this data, neither authority has a complete picture.</w:t>
      </w:r>
      <w:r w:rsidR="69D9057B" w:rsidRPr="00FB408F">
        <w:t xml:space="preserve"> </w:t>
      </w:r>
      <w:r w:rsidR="69D9057B" w:rsidRPr="00FB408F" w:rsidDel="008B4DCB">
        <w:t>Furthermore</w:t>
      </w:r>
      <w:r w:rsidR="008B4DCB" w:rsidRPr="00FB408F">
        <w:t>,</w:t>
      </w:r>
      <w:r w:rsidR="69D9057B" w:rsidRPr="00FB408F">
        <w:t xml:space="preserve"> it </w:t>
      </w:r>
      <w:r w:rsidR="1EEF637A" w:rsidRPr="00FB408F">
        <w:t>necessarily</w:t>
      </w:r>
      <w:r w:rsidR="69D9057B" w:rsidRPr="00FB408F">
        <w:t xml:space="preserve"> to trial a medicinal product or medical device </w:t>
      </w:r>
      <w:r w:rsidR="10A388A3" w:rsidRPr="00FB408F">
        <w:t>in the transplant setting, to have the engagement of the organ authorities with whom protocols are to be developed on which organs can and will be made subject to the trial, avoiding puttin</w:t>
      </w:r>
      <w:r w:rsidR="566B985E" w:rsidRPr="00FB408F">
        <w:t>g fully functional organs at risk while aiming to improve and recover less functional organs.</w:t>
      </w:r>
    </w:p>
    <w:p w14:paraId="35A15892" w14:textId="699436A7" w:rsidR="00DA52B5" w:rsidRPr="00FB408F" w:rsidRDefault="00DA52B5" w:rsidP="00DA52B5">
      <w:r w:rsidRPr="00FB408F">
        <w:t>Furthermore, the recently adopted SoHO Regulation (EU) 2024/1938</w:t>
      </w:r>
      <w:r w:rsidR="00D105CF">
        <w:rPr>
          <w:rStyle w:val="FootnoteReference"/>
        </w:rPr>
        <w:footnoteReference w:id="86"/>
      </w:r>
      <w:r w:rsidRPr="00FB408F">
        <w:t xml:space="preserve"> has introduced a comprehensive SoHO Preparation Authorisation model based on benefit-risk assessment and clinical outcome monitoring. Solid organs are explicitly excluded from the scope of this Regulation. Yet the processing techniques being applied to organs are often analogous to those applied to tissues and </w:t>
      </w:r>
      <w:r w:rsidR="00AE4DBC" w:rsidRPr="00FB408F">
        <w:t>cells and</w:t>
      </w:r>
      <w:r w:rsidRPr="00FB408F">
        <w:t xml:space="preserve"> may involve the same types of products and substances. The absence of an equivalent authorisation mechanism within the organ Directive creates an asymmetry in the EU’s regulatory architecture for substances of human origin, where tissues and cells are subject to a modern, risk-based authorisation </w:t>
      </w:r>
      <w:r w:rsidRPr="00FB408F">
        <w:lastRenderedPageBreak/>
        <w:t>system while organ processing remains entirely outside any EU-level authorisation framework.</w:t>
      </w:r>
    </w:p>
    <w:p w14:paraId="09CFBC79" w14:textId="3992D1D8" w:rsidR="00DA52B5" w:rsidRPr="0057383E" w:rsidRDefault="00DA52B5" w:rsidP="0057383E">
      <w:pPr>
        <w:rPr>
          <w:i/>
          <w:iCs/>
          <w:u w:val="single"/>
        </w:rPr>
      </w:pPr>
      <w:bookmarkStart w:id="223" w:name="_Toc224136200"/>
      <w:r w:rsidRPr="0057383E">
        <w:rPr>
          <w:i/>
          <w:iCs/>
          <w:u w:val="single"/>
        </w:rPr>
        <w:t>Barriers to innovation uptake and equitable access</w:t>
      </w:r>
      <w:bookmarkEnd w:id="223"/>
    </w:p>
    <w:p w14:paraId="017E22DC" w14:textId="64DCCC58" w:rsidR="00DA52B5" w:rsidRPr="00FB408F" w:rsidRDefault="00DA52B5" w:rsidP="00DA52B5">
      <w:r w:rsidRPr="00FB408F">
        <w:t>The regulatory vacuum does not only affect patients, but it also acts as a brake on innovation and contributes to inequitable access to advanced transplantation technologies. In the absence of a clear, harmonised EU framework for authorising organ processing, transplantation centres in Member States with less developed regulatory capacity, or in countries that have not established any national processing oversight regime, may be reluctant to adopt new processing technologies. This creates the risk of a two-tier system in which patients in some Member States benefit from organs improved through advanced processing while patients in others continue to rely on static cold storage alone.</w:t>
      </w:r>
    </w:p>
    <w:p w14:paraId="5F0C0E8A" w14:textId="76019CED" w:rsidR="00DA52B5" w:rsidRPr="00FB408F" w:rsidRDefault="00DA52B5" w:rsidP="00DA52B5">
      <w:r w:rsidRPr="00FB408F">
        <w:t xml:space="preserve">The broader economic and competitive implications are also relevant. </w:t>
      </w:r>
      <w:r w:rsidR="00BE5BB7">
        <w:t>M</w:t>
      </w:r>
      <w:r w:rsidRPr="00FB408F">
        <w:t xml:space="preserve">any of the most advanced organ processing technologies are fundamentally biotechnological in nature: ex-vivo gene therapy delivered through machine perfusion, the use of bioengineered perfusates, and AI-driven perfusion assessment systems all sit at the intersection of biotechnology and transplantation. </w:t>
      </w:r>
      <w:r w:rsidR="5D090AA2" w:rsidRPr="00FB408F">
        <w:t xml:space="preserve">Many of the new technologies are developed by academia and spin-offs, while several </w:t>
      </w:r>
      <w:r w:rsidR="59B54CD2">
        <w:t>SMEs</w:t>
      </w:r>
      <w:r w:rsidR="5D090AA2" w:rsidRPr="00FB408F">
        <w:t xml:space="preserve"> are offering these processing technologies to transplant systems.</w:t>
      </w:r>
      <w:r w:rsidRPr="00FB408F">
        <w:t xml:space="preserve"> Without regulatory clarity and a transparent authorisation pathway, developers </w:t>
      </w:r>
      <w:r w:rsidR="7929AF39" w:rsidRPr="00FB408F">
        <w:t xml:space="preserve">or providers </w:t>
      </w:r>
      <w:r w:rsidRPr="00FB408F">
        <w:t>of these technologies face uncertain market conditions, which may deter investment and delay the clinical translation of innovations that could expand the pool of transplantable organs.</w:t>
      </w:r>
    </w:p>
    <w:p w14:paraId="6C969BF3" w14:textId="6AE9066B" w:rsidR="00DA52B5" w:rsidRPr="0057383E" w:rsidRDefault="00DA52B5" w:rsidP="0057383E">
      <w:pPr>
        <w:rPr>
          <w:b/>
          <w:bCs/>
          <w:u w:val="single"/>
        </w:rPr>
      </w:pPr>
      <w:bookmarkStart w:id="224" w:name="_Toc224136201"/>
      <w:r w:rsidRPr="0057383E">
        <w:rPr>
          <w:b/>
          <w:bCs/>
          <w:u w:val="single"/>
        </w:rPr>
        <w:t xml:space="preserve">Problem drivers </w:t>
      </w:r>
      <w:bookmarkEnd w:id="224"/>
    </w:p>
    <w:p w14:paraId="68E99A15" w14:textId="55C874A4" w:rsidR="00DA52B5" w:rsidRDefault="00DA52B5" w:rsidP="00DA52B5">
      <w:r>
        <w:t>The problems identified above share a common origin: the Directive was drafted and later adopted in 2010 on the basis of the then-prevailing clinical paradigm, in which the ex-vivo handling of organs was essentially limited to passive cold preservation. At that time, the legislative choice to include “preservation” but not “processing” in the Directive’s scope was reflect</w:t>
      </w:r>
      <w:r w:rsidR="00071050">
        <w:t>ing</w:t>
      </w:r>
      <w:r>
        <w:t xml:space="preserve"> the state of the art. Machine perfusion existed in experimental form, but its clinical deployment was limited and the prospect of routine ex-vivo organ treatment was still largely theoretical.</w:t>
      </w:r>
    </w:p>
    <w:p w14:paraId="64C90B8B" w14:textId="7661C9CA" w:rsidR="00DA52B5" w:rsidRDefault="00DA52B5" w:rsidP="00DA52B5">
      <w:r>
        <w:t xml:space="preserve">Over the subsequent fifteen years, the technology matured faster than the legislative framework evolved. Three principal drivers underpin the current regulatory gap. First, the </w:t>
      </w:r>
      <w:r>
        <w:rPr>
          <w:b/>
          <w:bCs/>
        </w:rPr>
        <w:t>pace of clinical and technological innovation</w:t>
      </w:r>
      <w:r>
        <w:t xml:space="preserve"> in ex-vivo organ management has accelerated dramatically, with machine perfusion transitioning from experimental to routine or near-routine use in major centres across Europe. The technology has also shifted qualitatively, from simple hypothermic perfusion (which is functionally closer to preservation) to normothermic perfusion and active organ treatment (which are clearly beyond the concept of preservation). Second, the </w:t>
      </w:r>
      <w:r>
        <w:rPr>
          <w:b/>
          <w:bCs/>
        </w:rPr>
        <w:t>original legislative design</w:t>
      </w:r>
      <w:r>
        <w:t xml:space="preserve"> chose a Directive as its instrument type, establishing minimum standards that Member States transpose into national law. While this approach provided flexibility, it also meant that </w:t>
      </w:r>
      <w:r w:rsidR="0F7EB50D">
        <w:t>the</w:t>
      </w:r>
      <w:r w:rsidR="6E7EEEC3">
        <w:t xml:space="preserve"> </w:t>
      </w:r>
      <w:r w:rsidR="59238B07">
        <w:t>r</w:t>
      </w:r>
      <w:r w:rsidR="26F126FD">
        <w:t>esulting</w:t>
      </w:r>
      <w:r>
        <w:t xml:space="preserve"> national divergences in approach to </w:t>
      </w:r>
      <w:r w:rsidR="630924E7">
        <w:t xml:space="preserve">transplantation and </w:t>
      </w:r>
      <w:r>
        <w:t xml:space="preserve">processing were not counterbalanced by common EU rules. Third, the </w:t>
      </w:r>
      <w:r>
        <w:rPr>
          <w:b/>
          <w:bCs/>
        </w:rPr>
        <w:t>absence of a legislative review mechanism</w:t>
      </w:r>
      <w:r>
        <w:t xml:space="preserve"> capable of responding to technological change within the Directive itself meant that the framework could not self-correct. Unlike some other EU health legislation, </w:t>
      </w:r>
      <w:r>
        <w:lastRenderedPageBreak/>
        <w:t>Directive 2010/53/EU did not include a built-in mandate for periodic review or adaptation to scientific and technical progress, contributing to the widening gap between law and practice.</w:t>
      </w:r>
    </w:p>
    <w:p w14:paraId="0FCCAD43" w14:textId="062FA760" w:rsidR="00DA52B5" w:rsidRDefault="00E57A24" w:rsidP="00DA52B5">
      <w:r>
        <w:t>F</w:t>
      </w:r>
      <w:r w:rsidR="00404456">
        <w:t>urthermore, the</w:t>
      </w:r>
      <w:r w:rsidR="5E39B27A">
        <w:t xml:space="preserve"> GAPP Joint Action, which brought together competent authorities from 17 European countries to develop a common approach to the authorisation of preparation processes for substances of human origin. The organ processing authorisation model proposed in new Article 6a of the Directive </w:t>
      </w:r>
      <w:r w:rsidR="09CCA9E4" w:rsidRPr="00974E6F">
        <w:t xml:space="preserve">2010/53/EU </w:t>
      </w:r>
      <w:r w:rsidR="5E39B27A">
        <w:t>is modelled on the SoHO Preparation Authorisation framework that emerged from this work and was subsequently codified in Regulation (EU) 2024/1938.</w:t>
      </w:r>
      <w:r w:rsidR="00DA52B5">
        <w:rPr>
          <w:rStyle w:val="FootnoteReference"/>
        </w:rPr>
        <w:footnoteReference w:id="87"/>
      </w:r>
      <w:r w:rsidR="5E39B27A">
        <w:t xml:space="preserve"> This lineage is significant: it means the proposed regulatory model is not an untested construction but rather an adaptation of a framework that has been developed, piloted, and validated through extensive multi-country collaboration in the closely related SoHO sector.</w:t>
      </w:r>
    </w:p>
    <w:p w14:paraId="3A1FAE0B" w14:textId="6417A209" w:rsidR="00DA52B5" w:rsidRPr="0057383E" w:rsidRDefault="00DA52B5" w:rsidP="0057383E">
      <w:pPr>
        <w:rPr>
          <w:b/>
          <w:bCs/>
          <w:u w:val="single"/>
        </w:rPr>
      </w:pPr>
      <w:bookmarkStart w:id="225" w:name="_Toc224136202"/>
      <w:r w:rsidRPr="0057383E">
        <w:rPr>
          <w:b/>
          <w:bCs/>
          <w:u w:val="single"/>
        </w:rPr>
        <w:t>Scope of the problem</w:t>
      </w:r>
      <w:bookmarkEnd w:id="225"/>
    </w:p>
    <w:p w14:paraId="6C64B981" w14:textId="4D7804C2" w:rsidR="00DA52B5" w:rsidRDefault="00DA52B5" w:rsidP="00DA52B5">
      <w:r>
        <w:t xml:space="preserve">The regulatory gap identified above affects multiple categories of stakeholders. </w:t>
      </w:r>
      <w:r>
        <w:rPr>
          <w:b/>
          <w:bCs/>
        </w:rPr>
        <w:t>Transplantation centres</w:t>
      </w:r>
      <w:r>
        <w:t xml:space="preserve"> are the primary operators of organ processing technologies and bear the most immediate consequences of the legal uncertainty, as they perform these activities without a clear EU-level legal or authorisation framework. </w:t>
      </w:r>
      <w:r>
        <w:rPr>
          <w:b/>
          <w:bCs/>
        </w:rPr>
        <w:t>National competent authorities</w:t>
      </w:r>
      <w:r>
        <w:t xml:space="preserve"> designated under the Directive lack the </w:t>
      </w:r>
      <w:r w:rsidR="00704969">
        <w:t xml:space="preserve">EU </w:t>
      </w:r>
      <w:r>
        <w:t xml:space="preserve">mandate, tools, and in many cases the technical capacity to oversee processing activities, even as these activities become increasingly common within their jurisdictions. </w:t>
      </w:r>
      <w:r>
        <w:rPr>
          <w:b/>
          <w:bCs/>
        </w:rPr>
        <w:t>Pharmaceutical and medical device companies</w:t>
      </w:r>
      <w:r>
        <w:t xml:space="preserve"> developing and marketing products </w:t>
      </w:r>
      <w:r w:rsidR="4E254D54">
        <w:t xml:space="preserve">and services </w:t>
      </w:r>
      <w:r>
        <w:t xml:space="preserve">for organ processing face an ambiguous market environment in which the regulatory pathway for their products in this novel application is unclear. </w:t>
      </w:r>
      <w:r>
        <w:rPr>
          <w:b/>
          <w:bCs/>
        </w:rPr>
        <w:t>European organ exchange organisations</w:t>
      </w:r>
      <w:r>
        <w:t xml:space="preserve"> such as Eurotransplant and Scandiatransplant, which coordinate cross-border organ allocation, confront the practical challenge of managing organs that have been processed under divergent national regimes.</w:t>
      </w:r>
    </w:p>
    <w:p w14:paraId="6F2D7E13" w14:textId="6D331CF1" w:rsidR="00DA52B5" w:rsidRDefault="00DA52B5" w:rsidP="00DA52B5">
      <w:r>
        <w:t xml:space="preserve">Ultimately, however, the most significant affected group is </w:t>
      </w:r>
      <w:r>
        <w:rPr>
          <w:b/>
          <w:bCs/>
        </w:rPr>
        <w:t>patients</w:t>
      </w:r>
      <w:r>
        <w:t xml:space="preserve">, both those on transplant waiting lists and those who receive transplants. The 52,488 patients on EU waiting lists at end-2024 stand to benefit from any regulatory intervention that safely expands the pool of transplantable organs by enabling the rehabilitation of marginal organs through processing. Conversely, they are at </w:t>
      </w:r>
      <w:r w:rsidRPr="004F48D9">
        <w:rPr>
          <w:b/>
        </w:rPr>
        <w:t>risk from both the absence of processing oversight</w:t>
      </w:r>
      <w:r>
        <w:t xml:space="preserve"> (unregulated processing may introduce undetected safety risks) and </w:t>
      </w:r>
      <w:r w:rsidRPr="004F48D9">
        <w:rPr>
          <w:b/>
        </w:rPr>
        <w:t>from the uneven uptake of processing technologies across Member States</w:t>
      </w:r>
      <w:r>
        <w:t xml:space="preserve"> (which may result in inequitable access to the benefits of organ processing depending on where a patient live</w:t>
      </w:r>
      <w:r w:rsidR="00017F51">
        <w:t>s</w:t>
      </w:r>
      <w:r>
        <w:t>).</w:t>
      </w:r>
    </w:p>
    <w:p w14:paraId="1E59B90D" w14:textId="77777777" w:rsidR="005A301E" w:rsidRDefault="005A301E" w:rsidP="00DA52B5"/>
    <w:p w14:paraId="6B978D24" w14:textId="243C3B6F" w:rsidR="005C1F49" w:rsidRDefault="005C1F49">
      <w:pPr>
        <w:spacing w:after="200" w:line="276" w:lineRule="auto"/>
        <w:jc w:val="left"/>
      </w:pPr>
      <w:r>
        <w:br w:type="page"/>
      </w:r>
    </w:p>
    <w:p w14:paraId="3506638F" w14:textId="77777777" w:rsidR="00F07B6C" w:rsidRDefault="00F07B6C">
      <w:pPr>
        <w:spacing w:after="200" w:line="276" w:lineRule="auto"/>
        <w:jc w:val="left"/>
        <w:sectPr w:rsidR="00F07B6C" w:rsidSect="00E5568D">
          <w:headerReference w:type="default" r:id="rId58"/>
          <w:footerReference w:type="default" r:id="rId59"/>
          <w:headerReference w:type="first" r:id="rId60"/>
          <w:footerReference w:type="first" r:id="rId61"/>
          <w:type w:val="continuous"/>
          <w:pgSz w:w="11906" w:h="16838"/>
          <w:pgMar w:top="1021" w:right="1701" w:bottom="1021" w:left="1588" w:header="601" w:footer="1077" w:gutter="0"/>
          <w:cols w:space="720"/>
          <w:titlePg/>
        </w:sectPr>
      </w:pPr>
    </w:p>
    <w:p w14:paraId="5F9EFB60" w14:textId="471353EB" w:rsidR="00F07B6C" w:rsidRDefault="001D35B5" w:rsidP="00B35BA0">
      <w:pPr>
        <w:pStyle w:val="AnnexTitle"/>
      </w:pPr>
      <w:bookmarkStart w:id="226" w:name="_Toc224898304"/>
      <w:bookmarkStart w:id="227" w:name="_Toc225979122"/>
      <w:r w:rsidRPr="00DD0CE5">
        <w:lastRenderedPageBreak/>
        <w:t xml:space="preserve">Annex </w:t>
      </w:r>
      <w:r>
        <w:t>6</w:t>
      </w:r>
      <w:r w:rsidRPr="00DD0CE5">
        <w:t xml:space="preserve">: </w:t>
      </w:r>
      <w:r>
        <w:t>Overview of the proposed measures and articles of the proposed regulation and directive</w:t>
      </w:r>
      <w:bookmarkEnd w:id="226"/>
      <w:bookmarkEnd w:id="227"/>
    </w:p>
    <w:tbl>
      <w:tblPr>
        <w:tblW w:w="1475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829"/>
        <w:gridCol w:w="1985"/>
        <w:gridCol w:w="7540"/>
        <w:gridCol w:w="1361"/>
        <w:gridCol w:w="1470"/>
      </w:tblGrid>
      <w:tr w:rsidR="00BF25AE" w:rsidRPr="0015463C" w14:paraId="4A31D544" w14:textId="77777777" w:rsidTr="0057383E">
        <w:trPr>
          <w:trHeight w:val="535"/>
        </w:trPr>
        <w:tc>
          <w:tcPr>
            <w:tcW w:w="572" w:type="dxa"/>
            <w:shd w:val="clear" w:color="auto" w:fill="124F69"/>
            <w:noWrap/>
            <w:vAlign w:val="center"/>
            <w:hideMark/>
          </w:tcPr>
          <w:p w14:paraId="0DCBFBFD" w14:textId="77777777" w:rsidR="00E72B8E" w:rsidRPr="0015463C" w:rsidRDefault="00E72B8E" w:rsidP="00E72B8E">
            <w:pPr>
              <w:spacing w:after="0"/>
              <w:jc w:val="center"/>
              <w:rPr>
                <w:rFonts w:eastAsia="Times New Roman"/>
                <w:b/>
                <w:color w:val="FFFFFF"/>
                <w:lang w:val="en-IE" w:eastAsia="en-IE"/>
              </w:rPr>
            </w:pPr>
            <w:r w:rsidRPr="0015463C">
              <w:rPr>
                <w:rFonts w:eastAsia="Times New Roman"/>
                <w:b/>
                <w:color w:val="FFFFFF"/>
                <w:lang w:val="en-IE" w:eastAsia="en-IE"/>
              </w:rPr>
              <w:t>No.</w:t>
            </w:r>
          </w:p>
        </w:tc>
        <w:tc>
          <w:tcPr>
            <w:tcW w:w="1829" w:type="dxa"/>
            <w:shd w:val="clear" w:color="auto" w:fill="074F69"/>
            <w:vAlign w:val="center"/>
            <w:hideMark/>
          </w:tcPr>
          <w:p w14:paraId="658EC57E" w14:textId="77777777" w:rsidR="00E72B8E" w:rsidRPr="0015463C" w:rsidRDefault="00E72B8E" w:rsidP="00E72B8E">
            <w:pPr>
              <w:spacing w:after="0"/>
              <w:jc w:val="center"/>
              <w:rPr>
                <w:rFonts w:eastAsia="Times New Roman"/>
                <w:b/>
                <w:color w:val="FFFFFF"/>
                <w:lang w:val="en-IE" w:eastAsia="en-IE"/>
              </w:rPr>
            </w:pPr>
            <w:r w:rsidRPr="0015463C">
              <w:rPr>
                <w:rFonts w:eastAsia="Times New Roman"/>
                <w:b/>
                <w:color w:val="FFFFFF"/>
                <w:lang w:val="en-IE" w:eastAsia="en-IE"/>
              </w:rPr>
              <w:t>Policy intervention</w:t>
            </w:r>
          </w:p>
        </w:tc>
        <w:tc>
          <w:tcPr>
            <w:tcW w:w="1985" w:type="dxa"/>
            <w:shd w:val="clear" w:color="auto" w:fill="074F69"/>
            <w:vAlign w:val="center"/>
            <w:hideMark/>
          </w:tcPr>
          <w:p w14:paraId="313B4F89" w14:textId="77777777" w:rsidR="00E72B8E" w:rsidRPr="0015463C" w:rsidRDefault="00E72B8E" w:rsidP="00E72B8E">
            <w:pPr>
              <w:spacing w:after="0"/>
              <w:jc w:val="center"/>
              <w:rPr>
                <w:rFonts w:eastAsia="Times New Roman"/>
                <w:b/>
                <w:color w:val="FFFFFF"/>
                <w:lang w:val="en-IE" w:eastAsia="en-IE"/>
              </w:rPr>
            </w:pPr>
            <w:r w:rsidRPr="0015463C">
              <w:rPr>
                <w:rFonts w:eastAsia="Times New Roman"/>
                <w:b/>
                <w:color w:val="FFFFFF"/>
                <w:lang w:val="en-IE" w:eastAsia="en-IE"/>
              </w:rPr>
              <w:t>Policy measure(s)</w:t>
            </w:r>
          </w:p>
        </w:tc>
        <w:tc>
          <w:tcPr>
            <w:tcW w:w="7540" w:type="dxa"/>
            <w:shd w:val="clear" w:color="auto" w:fill="074F69"/>
            <w:vAlign w:val="center"/>
            <w:hideMark/>
          </w:tcPr>
          <w:p w14:paraId="4B670FAA" w14:textId="77777777" w:rsidR="00E72B8E" w:rsidRPr="0015463C" w:rsidRDefault="00E72B8E" w:rsidP="00E72B8E">
            <w:pPr>
              <w:spacing w:after="0"/>
              <w:jc w:val="center"/>
              <w:rPr>
                <w:rFonts w:eastAsia="Times New Roman"/>
                <w:b/>
                <w:color w:val="FFFFFF"/>
                <w:lang w:val="en-IE" w:eastAsia="en-IE"/>
              </w:rPr>
            </w:pPr>
            <w:r w:rsidRPr="0015463C">
              <w:rPr>
                <w:rFonts w:eastAsia="Times New Roman"/>
                <w:b/>
                <w:color w:val="FFFFFF"/>
                <w:lang w:val="en-IE" w:eastAsia="en-IE"/>
              </w:rPr>
              <w:t>Covered provision(s)</w:t>
            </w:r>
          </w:p>
        </w:tc>
        <w:tc>
          <w:tcPr>
            <w:tcW w:w="1361" w:type="dxa"/>
            <w:shd w:val="clear" w:color="auto" w:fill="074F69"/>
            <w:vAlign w:val="center"/>
            <w:hideMark/>
          </w:tcPr>
          <w:p w14:paraId="4BD0BEE1" w14:textId="76B86947" w:rsidR="00E72B8E" w:rsidRPr="0015463C" w:rsidRDefault="00E72B8E" w:rsidP="00E72B8E">
            <w:pPr>
              <w:spacing w:after="0"/>
              <w:jc w:val="center"/>
              <w:rPr>
                <w:rFonts w:eastAsia="Times New Roman"/>
                <w:b/>
                <w:color w:val="FFFFFF"/>
                <w:lang w:val="en-IE" w:eastAsia="en-IE"/>
              </w:rPr>
            </w:pPr>
            <w:r w:rsidRPr="0015463C">
              <w:rPr>
                <w:rFonts w:eastAsia="Times New Roman"/>
                <w:b/>
                <w:color w:val="FFFFFF"/>
                <w:lang w:val="en-IE" w:eastAsia="en-IE"/>
              </w:rPr>
              <w:t>Simplifi</w:t>
            </w:r>
            <w:r w:rsidR="00BF25AE" w:rsidRPr="0015463C">
              <w:rPr>
                <w:rFonts w:eastAsia="Times New Roman"/>
                <w:b/>
                <w:color w:val="FFFFFF"/>
                <w:lang w:val="en-IE" w:eastAsia="en-IE"/>
              </w:rPr>
              <w:t>-</w:t>
            </w:r>
            <w:r w:rsidRPr="0015463C">
              <w:rPr>
                <w:rFonts w:eastAsia="Times New Roman"/>
                <w:b/>
                <w:color w:val="FFFFFF"/>
                <w:lang w:val="en-IE" w:eastAsia="en-IE"/>
              </w:rPr>
              <w:t>cation measure</w:t>
            </w:r>
          </w:p>
        </w:tc>
        <w:tc>
          <w:tcPr>
            <w:tcW w:w="1470" w:type="dxa"/>
            <w:shd w:val="clear" w:color="auto" w:fill="074F69"/>
            <w:vAlign w:val="center"/>
            <w:hideMark/>
          </w:tcPr>
          <w:p w14:paraId="632EE119" w14:textId="77777777" w:rsidR="00BF25AE" w:rsidRPr="0015463C" w:rsidRDefault="00E72B8E" w:rsidP="00E72B8E">
            <w:pPr>
              <w:spacing w:after="0"/>
              <w:jc w:val="center"/>
              <w:rPr>
                <w:rFonts w:eastAsia="Times New Roman"/>
                <w:b/>
                <w:color w:val="FFFFFF"/>
                <w:lang w:val="en-IE" w:eastAsia="en-IE"/>
              </w:rPr>
            </w:pPr>
            <w:r w:rsidRPr="0015463C">
              <w:rPr>
                <w:rFonts w:eastAsia="Times New Roman"/>
                <w:b/>
                <w:color w:val="FFFFFF"/>
                <w:lang w:val="en-IE" w:eastAsia="en-IE"/>
              </w:rPr>
              <w:t xml:space="preserve">New </w:t>
            </w:r>
          </w:p>
          <w:p w14:paraId="22379A94" w14:textId="59B08017" w:rsidR="00E72B8E" w:rsidRPr="0015463C" w:rsidRDefault="00E72B8E" w:rsidP="00E72B8E">
            <w:pPr>
              <w:spacing w:after="0"/>
              <w:jc w:val="center"/>
              <w:rPr>
                <w:rFonts w:eastAsia="Times New Roman"/>
                <w:b/>
                <w:color w:val="FFFFFF"/>
                <w:lang w:val="en-IE" w:eastAsia="en-IE"/>
              </w:rPr>
            </w:pPr>
            <w:r w:rsidRPr="0015463C">
              <w:rPr>
                <w:rFonts w:eastAsia="Times New Roman"/>
                <w:b/>
                <w:color w:val="FFFFFF"/>
                <w:lang w:val="en-IE" w:eastAsia="en-IE"/>
              </w:rPr>
              <w:t>policy intervention</w:t>
            </w:r>
          </w:p>
        </w:tc>
      </w:tr>
      <w:tr w:rsidR="00BF25AE" w:rsidRPr="0015463C" w14:paraId="5297599A" w14:textId="77777777" w:rsidTr="000606DF">
        <w:trPr>
          <w:trHeight w:val="567"/>
        </w:trPr>
        <w:tc>
          <w:tcPr>
            <w:tcW w:w="14757" w:type="dxa"/>
            <w:gridSpan w:val="6"/>
            <w:shd w:val="clear" w:color="auto" w:fill="7E350E"/>
            <w:vAlign w:val="center"/>
            <w:hideMark/>
          </w:tcPr>
          <w:p w14:paraId="74CF5FB3" w14:textId="77777777" w:rsidR="00E72B8E" w:rsidRPr="0015463C" w:rsidRDefault="00E72B8E" w:rsidP="00E72B8E">
            <w:pPr>
              <w:spacing w:after="0"/>
              <w:jc w:val="left"/>
              <w:rPr>
                <w:rFonts w:eastAsia="Times New Roman"/>
                <w:b/>
                <w:color w:val="FFFFFF"/>
                <w:lang w:val="en-IE" w:eastAsia="en-IE"/>
              </w:rPr>
            </w:pPr>
            <w:r w:rsidRPr="0015463C">
              <w:rPr>
                <w:rFonts w:eastAsia="Times New Roman"/>
                <w:b/>
                <w:color w:val="FFFFFF"/>
                <w:lang w:val="en-IE" w:eastAsia="en-IE"/>
              </w:rPr>
              <w:t>Strategic projects and clusters, incl. biosimilars</w:t>
            </w:r>
          </w:p>
        </w:tc>
      </w:tr>
      <w:tr w:rsidR="00BF25AE" w:rsidRPr="0015463C" w14:paraId="1637DACA" w14:textId="77777777" w:rsidTr="0057383E">
        <w:trPr>
          <w:trHeight w:val="1680"/>
        </w:trPr>
        <w:tc>
          <w:tcPr>
            <w:tcW w:w="572" w:type="dxa"/>
            <w:noWrap/>
            <w:vAlign w:val="center"/>
            <w:hideMark/>
          </w:tcPr>
          <w:p w14:paraId="1355414A" w14:textId="77777777" w:rsidR="00E72B8E" w:rsidRPr="0015463C" w:rsidRDefault="00E72B8E" w:rsidP="00E72B8E">
            <w:pPr>
              <w:spacing w:after="0"/>
              <w:jc w:val="center"/>
              <w:rPr>
                <w:rFonts w:eastAsia="Times New Roman"/>
                <w:b/>
                <w:color w:val="0E2841"/>
                <w:lang w:val="en-IE" w:eastAsia="en-IE"/>
              </w:rPr>
            </w:pPr>
            <w:r w:rsidRPr="0015463C">
              <w:rPr>
                <w:rFonts w:eastAsia="Times New Roman"/>
                <w:b/>
                <w:color w:val="0E2841"/>
                <w:lang w:val="en-IE" w:eastAsia="en-IE"/>
              </w:rPr>
              <w:t>1</w:t>
            </w:r>
          </w:p>
        </w:tc>
        <w:tc>
          <w:tcPr>
            <w:tcW w:w="1829" w:type="dxa"/>
            <w:vAlign w:val="center"/>
            <w:hideMark/>
          </w:tcPr>
          <w:p w14:paraId="48B66D47" w14:textId="77777777" w:rsidR="00E72B8E" w:rsidRPr="0015463C" w:rsidRDefault="00E72B8E" w:rsidP="00E72B8E">
            <w:pPr>
              <w:spacing w:after="0"/>
              <w:jc w:val="left"/>
              <w:rPr>
                <w:rFonts w:eastAsia="Times New Roman"/>
                <w:b/>
                <w:lang w:val="en-IE" w:eastAsia="en-IE"/>
              </w:rPr>
            </w:pPr>
            <w:r w:rsidRPr="0015463C">
              <w:rPr>
                <w:rFonts w:eastAsia="Times New Roman"/>
                <w:b/>
                <w:lang w:val="en-IE" w:eastAsia="en-IE"/>
              </w:rPr>
              <w:t>Recognition and support of strategic health biotechnology projects</w:t>
            </w:r>
          </w:p>
        </w:tc>
        <w:tc>
          <w:tcPr>
            <w:tcW w:w="1985" w:type="dxa"/>
            <w:hideMark/>
          </w:tcPr>
          <w:p w14:paraId="198B1BE1"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Support package for strategic health biotechnology projects</w:t>
            </w:r>
          </w:p>
        </w:tc>
        <w:tc>
          <w:tcPr>
            <w:tcW w:w="7540" w:type="dxa"/>
            <w:hideMark/>
          </w:tcPr>
          <w:p w14:paraId="08B94D79"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 xml:space="preserve">Chapter II, Section 1: </w:t>
            </w:r>
            <w:r w:rsidRPr="0015463C">
              <w:rPr>
                <w:rFonts w:eastAsia="Times New Roman"/>
                <w:color w:val="000000"/>
                <w:lang w:val="en-IE" w:eastAsia="en-IE"/>
              </w:rPr>
              <w:t>Art. 3: Health biotechnology strategic projects ; Art. 7: Designation of competent authority ; Art. 8: Application for recognition ; Art. 9: Recognition by Member States</w:t>
            </w:r>
            <w:r w:rsidRPr="0015463C">
              <w:rPr>
                <w:rFonts w:eastAsia="Times New Roman"/>
                <w:color w:val="000000"/>
                <w:lang w:val="en-IE" w:eastAsia="en-IE"/>
              </w:rPr>
              <w:br/>
            </w:r>
            <w:r w:rsidRPr="0015463C">
              <w:rPr>
                <w:rFonts w:eastAsia="Times New Roman"/>
                <w:b/>
                <w:color w:val="000000"/>
                <w:lang w:val="en-IE" w:eastAsia="en-IE"/>
              </w:rPr>
              <w:t>Chapter II, Section 2:</w:t>
            </w:r>
            <w:r w:rsidRPr="0015463C">
              <w:rPr>
                <w:rFonts w:eastAsia="Times New Roman"/>
                <w:color w:val="000000"/>
                <w:lang w:val="en-IE" w:eastAsia="en-IE"/>
              </w:rPr>
              <w:t xml:space="preserve"> Art. 11: Single points of contact ; Art. 12: Priority status; Art. 13: Administrative support ; Art. 14: Financial and technical support</w:t>
            </w:r>
            <w:r w:rsidRPr="0015463C">
              <w:rPr>
                <w:rFonts w:eastAsia="Times New Roman"/>
                <w:color w:val="000000"/>
                <w:lang w:val="en-IE" w:eastAsia="en-IE"/>
              </w:rPr>
              <w:br/>
            </w:r>
            <w:r w:rsidRPr="0015463C">
              <w:rPr>
                <w:rFonts w:eastAsia="Times New Roman"/>
                <w:b/>
                <w:color w:val="000000"/>
                <w:lang w:val="en-IE" w:eastAsia="en-IE"/>
              </w:rPr>
              <w:t>Chapter IX</w:t>
            </w:r>
            <w:r w:rsidRPr="0015463C">
              <w:rPr>
                <w:rFonts w:eastAsia="Times New Roman"/>
                <w:color w:val="000000"/>
                <w:lang w:val="en-IE" w:eastAsia="en-IE"/>
              </w:rPr>
              <w:t>: Art. 60: Amendments to Regulation (EU) 2024/795 (STEP) - projects deemed to contribute to STEP objectives</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(12)-(14), (27)-(30), (54)-(56)</w:t>
            </w:r>
          </w:p>
        </w:tc>
        <w:tc>
          <w:tcPr>
            <w:tcW w:w="1361" w:type="dxa"/>
            <w:noWrap/>
            <w:vAlign w:val="center"/>
            <w:hideMark/>
          </w:tcPr>
          <w:p w14:paraId="47DDE06A" w14:textId="77777777" w:rsidR="00E72B8E" w:rsidRPr="0015463C" w:rsidRDefault="00E72B8E" w:rsidP="00E72B8E">
            <w:pPr>
              <w:spacing w:after="0"/>
              <w:jc w:val="left"/>
              <w:rPr>
                <w:rFonts w:eastAsia="Times New Roman"/>
                <w:color w:val="0E2841"/>
                <w:lang w:val="en-IE" w:eastAsia="en-IE"/>
              </w:rPr>
            </w:pPr>
            <w:r w:rsidRPr="0015463C">
              <w:rPr>
                <w:rFonts w:eastAsia="Times New Roman"/>
                <w:color w:val="0E2841"/>
                <w:lang w:val="en-IE" w:eastAsia="en-IE"/>
              </w:rPr>
              <w:t> </w:t>
            </w:r>
          </w:p>
        </w:tc>
        <w:tc>
          <w:tcPr>
            <w:tcW w:w="1470" w:type="dxa"/>
            <w:noWrap/>
            <w:vAlign w:val="center"/>
            <w:hideMark/>
          </w:tcPr>
          <w:p w14:paraId="25F72AF6" w14:textId="77777777" w:rsidR="00E72B8E" w:rsidRPr="0015463C" w:rsidRDefault="00E72B8E" w:rsidP="00E72B8E">
            <w:pPr>
              <w:spacing w:after="0"/>
              <w:jc w:val="left"/>
              <w:rPr>
                <w:rFonts w:eastAsia="Times New Roman"/>
                <w:color w:val="0E2841"/>
                <w:lang w:val="en-IE" w:eastAsia="en-IE"/>
              </w:rPr>
            </w:pPr>
            <w:r w:rsidRPr="0015463C">
              <w:rPr>
                <w:rFonts w:eastAsia="Times New Roman"/>
                <w:color w:val="0E2841"/>
                <w:lang w:val="en-IE" w:eastAsia="en-IE"/>
              </w:rPr>
              <w:t>X</w:t>
            </w:r>
          </w:p>
        </w:tc>
      </w:tr>
      <w:tr w:rsidR="00BF25AE" w:rsidRPr="0015463C" w14:paraId="05B6724B" w14:textId="77777777" w:rsidTr="0057383E">
        <w:trPr>
          <w:trHeight w:val="529"/>
        </w:trPr>
        <w:tc>
          <w:tcPr>
            <w:tcW w:w="572" w:type="dxa"/>
            <w:noWrap/>
            <w:vAlign w:val="center"/>
            <w:hideMark/>
          </w:tcPr>
          <w:p w14:paraId="77D12C6E"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t>2</w:t>
            </w:r>
          </w:p>
        </w:tc>
        <w:tc>
          <w:tcPr>
            <w:tcW w:w="1829" w:type="dxa"/>
            <w:vAlign w:val="center"/>
            <w:hideMark/>
          </w:tcPr>
          <w:p w14:paraId="2EA268E1" w14:textId="77777777" w:rsidR="00E72B8E" w:rsidRPr="0015463C" w:rsidRDefault="00E72B8E" w:rsidP="00E72B8E">
            <w:pPr>
              <w:spacing w:after="0"/>
              <w:jc w:val="left"/>
              <w:rPr>
                <w:rFonts w:eastAsia="Times New Roman"/>
                <w:b/>
                <w:lang w:val="en-IE" w:eastAsia="en-IE"/>
              </w:rPr>
            </w:pPr>
            <w:r w:rsidRPr="0015463C">
              <w:rPr>
                <w:rFonts w:eastAsia="Times New Roman"/>
                <w:b/>
                <w:lang w:val="en-IE" w:eastAsia="en-IE"/>
              </w:rPr>
              <w:t>Recognition and support of high impact strategic health biotechnology projects</w:t>
            </w:r>
          </w:p>
        </w:tc>
        <w:tc>
          <w:tcPr>
            <w:tcW w:w="1985" w:type="dxa"/>
            <w:hideMark/>
          </w:tcPr>
          <w:p w14:paraId="279E4F64" w14:textId="77777777" w:rsidR="00E72B8E" w:rsidRPr="0015463C" w:rsidRDefault="00E72B8E" w:rsidP="00E72B8E">
            <w:pPr>
              <w:spacing w:after="0"/>
              <w:jc w:val="left"/>
              <w:rPr>
                <w:rFonts w:eastAsia="Times New Roman"/>
                <w:lang w:val="en-IE" w:eastAsia="en-IE"/>
              </w:rPr>
            </w:pPr>
            <w:r w:rsidRPr="0015463C">
              <w:rPr>
                <w:rFonts w:eastAsia="Times New Roman"/>
                <w:lang w:val="en-IE" w:eastAsia="en-IE"/>
              </w:rPr>
              <w:t xml:space="preserve">Support package for high impact strategic health biotechnology projects, including for 'biotechnology development accelerators' and 'centres of excellence for advanced therapies' </w:t>
            </w:r>
          </w:p>
        </w:tc>
        <w:tc>
          <w:tcPr>
            <w:tcW w:w="7540" w:type="dxa"/>
            <w:hideMark/>
          </w:tcPr>
          <w:p w14:paraId="7F586606"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 xml:space="preserve">Chapter II, Section 1: </w:t>
            </w:r>
            <w:r w:rsidRPr="0015463C">
              <w:rPr>
                <w:rFonts w:eastAsia="Times New Roman"/>
                <w:color w:val="000000"/>
                <w:lang w:val="en-IE" w:eastAsia="en-IE"/>
              </w:rPr>
              <w:t>Art. 4: High impact health biotechnology strategic projects; Art. 5: Biotechnology development accelerators ;Art. 6: Centres of excellence for advanced therapies; Art. 7: Designation of competent authority; Art. 8: Application for recognition ; Art. 10: Recognition by the Commission</w:t>
            </w:r>
            <w:r w:rsidRPr="0015463C">
              <w:rPr>
                <w:rFonts w:eastAsia="Times New Roman"/>
                <w:color w:val="000000"/>
                <w:lang w:val="en-IE" w:eastAsia="en-IE"/>
              </w:rPr>
              <w:br/>
            </w:r>
            <w:r w:rsidRPr="0015463C">
              <w:rPr>
                <w:rFonts w:eastAsia="Times New Roman"/>
                <w:b/>
                <w:color w:val="000000"/>
                <w:lang w:val="en-IE" w:eastAsia="en-IE"/>
              </w:rPr>
              <w:t>Chapter II, Section 2</w:t>
            </w:r>
            <w:r w:rsidRPr="0015463C">
              <w:rPr>
                <w:rFonts w:eastAsia="Times New Roman"/>
                <w:color w:val="000000"/>
                <w:lang w:val="en-IE" w:eastAsia="en-IE"/>
              </w:rPr>
              <w:t xml:space="preserve"> : Art. 11: Single points of contact; Art. 12: Priority status; Art. 13: Administrative support ; Art. 14: Financial and technical support</w:t>
            </w:r>
            <w:r w:rsidRPr="0015463C">
              <w:rPr>
                <w:rFonts w:eastAsia="Times New Roman"/>
                <w:color w:val="000000"/>
                <w:lang w:val="en-IE" w:eastAsia="en-IE"/>
              </w:rPr>
              <w:br/>
            </w:r>
            <w:r w:rsidRPr="0015463C">
              <w:rPr>
                <w:rFonts w:eastAsia="Times New Roman"/>
                <w:b/>
                <w:color w:val="000000"/>
                <w:lang w:val="en-IE" w:eastAsia="en-IE"/>
              </w:rPr>
              <w:t xml:space="preserve">Chapter IX </w:t>
            </w:r>
            <w:r w:rsidRPr="0015463C">
              <w:rPr>
                <w:rFonts w:eastAsia="Times New Roman"/>
                <w:color w:val="000000"/>
                <w:lang w:val="en-IE" w:eastAsia="en-IE"/>
              </w:rPr>
              <w:t>- Amendments: Art. 60: Amendments to Regulation (EU) 2024/795 (STEP) - projects deemed to contribute to STEP objectives</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(14)-(16), (24), (52)-(56)</w:t>
            </w:r>
          </w:p>
        </w:tc>
        <w:tc>
          <w:tcPr>
            <w:tcW w:w="1361" w:type="dxa"/>
            <w:noWrap/>
            <w:vAlign w:val="center"/>
            <w:hideMark/>
          </w:tcPr>
          <w:p w14:paraId="7D4EE4F1"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vAlign w:val="center"/>
            <w:hideMark/>
          </w:tcPr>
          <w:p w14:paraId="56B1FFFD"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6309E150" w14:textId="77777777" w:rsidTr="00BF25AE">
        <w:trPr>
          <w:trHeight w:val="560"/>
        </w:trPr>
        <w:tc>
          <w:tcPr>
            <w:tcW w:w="572" w:type="dxa"/>
            <w:vMerge w:val="restart"/>
            <w:noWrap/>
            <w:vAlign w:val="center"/>
            <w:hideMark/>
          </w:tcPr>
          <w:p w14:paraId="434B5181"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lastRenderedPageBreak/>
              <w:t>3</w:t>
            </w:r>
          </w:p>
        </w:tc>
        <w:tc>
          <w:tcPr>
            <w:tcW w:w="1829" w:type="dxa"/>
            <w:vMerge w:val="restart"/>
            <w:vAlign w:val="center"/>
            <w:hideMark/>
          </w:tcPr>
          <w:p w14:paraId="3B82ACC9" w14:textId="77777777" w:rsidR="00E72B8E" w:rsidRPr="0015463C" w:rsidRDefault="00E72B8E" w:rsidP="00E72B8E">
            <w:pPr>
              <w:spacing w:after="0"/>
              <w:jc w:val="left"/>
              <w:rPr>
                <w:rFonts w:eastAsia="Times New Roman"/>
                <w:b/>
                <w:color w:val="000000"/>
                <w:lang w:val="en-IE" w:eastAsia="en-IE"/>
              </w:rPr>
            </w:pPr>
            <w:r w:rsidRPr="0015463C">
              <w:rPr>
                <w:rFonts w:eastAsia="Times New Roman"/>
                <w:b/>
                <w:color w:val="000000"/>
                <w:lang w:val="en-IE" w:eastAsia="en-IE"/>
              </w:rPr>
              <w:t>Health biotechnology ecosystem support framework</w:t>
            </w:r>
          </w:p>
        </w:tc>
        <w:tc>
          <w:tcPr>
            <w:tcW w:w="1985" w:type="dxa"/>
            <w:hideMark/>
          </w:tcPr>
          <w:p w14:paraId="1F2B7C94"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Networks of health biotechnology clusters</w:t>
            </w:r>
          </w:p>
        </w:tc>
        <w:tc>
          <w:tcPr>
            <w:tcW w:w="7540" w:type="dxa"/>
            <w:hideMark/>
          </w:tcPr>
          <w:p w14:paraId="62570045"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II, Section 2:</w:t>
            </w:r>
            <w:r w:rsidRPr="0015463C">
              <w:rPr>
                <w:rFonts w:eastAsia="Times New Roman"/>
                <w:color w:val="000000"/>
                <w:lang w:val="en-IE" w:eastAsia="en-IE"/>
              </w:rPr>
              <w:t xml:space="preserve"> Art. 15: Networks of health biotechnology clusters  </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(25)-(26)</w:t>
            </w:r>
          </w:p>
        </w:tc>
        <w:tc>
          <w:tcPr>
            <w:tcW w:w="1361" w:type="dxa"/>
            <w:noWrap/>
            <w:hideMark/>
          </w:tcPr>
          <w:p w14:paraId="3EB25459"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5A5AA8C8"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493EC2D3" w14:textId="77777777" w:rsidTr="00BF25AE">
        <w:trPr>
          <w:trHeight w:val="960"/>
        </w:trPr>
        <w:tc>
          <w:tcPr>
            <w:tcW w:w="572" w:type="dxa"/>
            <w:vMerge/>
            <w:vAlign w:val="center"/>
            <w:hideMark/>
          </w:tcPr>
          <w:p w14:paraId="0D15A00B"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11A981A4"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2EDF3A89"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EU Health Biotechnology Support Network</w:t>
            </w:r>
          </w:p>
        </w:tc>
        <w:tc>
          <w:tcPr>
            <w:tcW w:w="7540" w:type="dxa"/>
            <w:hideMark/>
          </w:tcPr>
          <w:p w14:paraId="44D557F6"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II, Section 4:</w:t>
            </w:r>
            <w:r w:rsidRPr="0015463C">
              <w:rPr>
                <w:rFonts w:eastAsia="Times New Roman"/>
                <w:color w:val="000000"/>
                <w:lang w:val="en-IE" w:eastAsia="en-IE"/>
              </w:rPr>
              <w:t xml:space="preserve"> Art. 19: EU Health Biotechnology Support Network; Art. 20: European Health Biotechnology Steering Group</w:t>
            </w:r>
            <w:r w:rsidRPr="0015463C">
              <w:rPr>
                <w:rFonts w:eastAsia="Times New Roman"/>
                <w:color w:val="000000"/>
                <w:lang w:val="en-IE" w:eastAsia="en-IE"/>
              </w:rPr>
              <w:br/>
            </w:r>
            <w:r w:rsidRPr="0015463C">
              <w:rPr>
                <w:rFonts w:eastAsia="Times New Roman"/>
                <w:b/>
                <w:color w:val="000000"/>
                <w:lang w:val="en-IE" w:eastAsia="en-IE"/>
              </w:rPr>
              <w:t>Chapter VII, Section 1</w:t>
            </w:r>
            <w:r w:rsidRPr="0015463C">
              <w:rPr>
                <w:rFonts w:eastAsia="Times New Roman"/>
                <w:color w:val="000000"/>
                <w:lang w:val="en-IE" w:eastAsia="en-IE"/>
              </w:rPr>
              <w:t>: Art. 34: Support to biotechnology developers</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(33)</w:t>
            </w:r>
          </w:p>
        </w:tc>
        <w:tc>
          <w:tcPr>
            <w:tcW w:w="1361" w:type="dxa"/>
            <w:noWrap/>
            <w:hideMark/>
          </w:tcPr>
          <w:p w14:paraId="479C4911"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51ABDCB4"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5C8F3E4B" w14:textId="77777777" w:rsidTr="00BF25AE">
        <w:trPr>
          <w:trHeight w:val="720"/>
        </w:trPr>
        <w:tc>
          <w:tcPr>
            <w:tcW w:w="572" w:type="dxa"/>
            <w:vMerge w:val="restart"/>
            <w:noWrap/>
            <w:vAlign w:val="center"/>
            <w:hideMark/>
          </w:tcPr>
          <w:p w14:paraId="07C505E7"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t>4</w:t>
            </w:r>
          </w:p>
        </w:tc>
        <w:tc>
          <w:tcPr>
            <w:tcW w:w="1829" w:type="dxa"/>
            <w:vMerge w:val="restart"/>
            <w:vAlign w:val="center"/>
            <w:hideMark/>
          </w:tcPr>
          <w:p w14:paraId="2C801BF4" w14:textId="77777777" w:rsidR="00E72B8E" w:rsidRPr="0015463C" w:rsidRDefault="00E72B8E" w:rsidP="00E72B8E">
            <w:pPr>
              <w:spacing w:after="0"/>
              <w:jc w:val="left"/>
              <w:rPr>
                <w:rFonts w:eastAsia="Times New Roman"/>
                <w:b/>
                <w:color w:val="000000"/>
                <w:lang w:val="en-IE" w:eastAsia="en-IE"/>
              </w:rPr>
            </w:pPr>
            <w:r w:rsidRPr="0015463C">
              <w:rPr>
                <w:rFonts w:eastAsia="Times New Roman"/>
                <w:b/>
                <w:color w:val="000000"/>
                <w:lang w:val="en-IE" w:eastAsia="en-IE"/>
              </w:rPr>
              <w:t>Biosimilars competitiveness framework</w:t>
            </w:r>
          </w:p>
        </w:tc>
        <w:tc>
          <w:tcPr>
            <w:tcW w:w="1985" w:type="dxa"/>
            <w:hideMark/>
          </w:tcPr>
          <w:p w14:paraId="49BD197C"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Guidance on a tailored regulatory approach for the development of biosimilars</w:t>
            </w:r>
          </w:p>
        </w:tc>
        <w:tc>
          <w:tcPr>
            <w:tcW w:w="7540" w:type="dxa"/>
            <w:hideMark/>
          </w:tcPr>
          <w:p w14:paraId="76878C93"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V</w:t>
            </w:r>
            <w:r w:rsidRPr="0015463C">
              <w:rPr>
                <w:rFonts w:eastAsia="Times New Roman"/>
                <w:color w:val="000000"/>
                <w:lang w:val="en-IE" w:eastAsia="en-IE"/>
              </w:rPr>
              <w:t xml:space="preserve">: Art. 28: Guidance by the Agency on biosimilars  </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(58)</w:t>
            </w:r>
          </w:p>
        </w:tc>
        <w:tc>
          <w:tcPr>
            <w:tcW w:w="1361" w:type="dxa"/>
            <w:noWrap/>
            <w:hideMark/>
          </w:tcPr>
          <w:p w14:paraId="4928DE22"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3FDEAC92"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242EFC41" w14:textId="77777777" w:rsidTr="00BF25AE">
        <w:trPr>
          <w:trHeight w:val="960"/>
        </w:trPr>
        <w:tc>
          <w:tcPr>
            <w:tcW w:w="572" w:type="dxa"/>
            <w:vMerge/>
            <w:vAlign w:val="center"/>
            <w:hideMark/>
          </w:tcPr>
          <w:p w14:paraId="7E55BA9A"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39E4B3B6"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15CF1A12"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xml:space="preserve">Support package for biotechnology health strategic projects for biosimilars </w:t>
            </w:r>
          </w:p>
        </w:tc>
        <w:tc>
          <w:tcPr>
            <w:tcW w:w="7540" w:type="dxa"/>
            <w:hideMark/>
          </w:tcPr>
          <w:p w14:paraId="4527ECEB"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V:</w:t>
            </w:r>
            <w:r w:rsidRPr="0015463C">
              <w:rPr>
                <w:rFonts w:eastAsia="Times New Roman"/>
                <w:color w:val="000000"/>
                <w:lang w:val="en-IE" w:eastAsia="en-IE"/>
              </w:rPr>
              <w:t xml:space="preserve"> Art. 29: Biotechnology health strategic projects for biosimilars (specific criteria); Art. 30: International partnerships  </w:t>
            </w:r>
            <w:r w:rsidRPr="0015463C">
              <w:rPr>
                <w:rFonts w:eastAsia="Times New Roman"/>
                <w:color w:val="000000"/>
                <w:lang w:val="en-IE" w:eastAsia="en-IE"/>
              </w:rPr>
              <w:br/>
            </w:r>
            <w:r w:rsidRPr="0015463C">
              <w:rPr>
                <w:rFonts w:eastAsia="Times New Roman"/>
                <w:b/>
                <w:color w:val="000000"/>
                <w:lang w:val="en-IE" w:eastAsia="en-IE"/>
              </w:rPr>
              <w:t>Chapter II, Section 2</w:t>
            </w:r>
            <w:r w:rsidRPr="0015463C">
              <w:rPr>
                <w:rFonts w:eastAsia="Times New Roman"/>
                <w:color w:val="000000"/>
                <w:lang w:val="en-IE" w:eastAsia="en-IE"/>
              </w:rPr>
              <w:t xml:space="preserve"> (Articles 11-14): Support measures apply  </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(59)-(60)</w:t>
            </w:r>
          </w:p>
        </w:tc>
        <w:tc>
          <w:tcPr>
            <w:tcW w:w="1361" w:type="dxa"/>
            <w:noWrap/>
            <w:hideMark/>
          </w:tcPr>
          <w:p w14:paraId="27B8DF0B"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7A518382"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E72B8E" w:rsidRPr="0015463C" w14:paraId="640FAB79" w14:textId="77777777" w:rsidTr="0057383E">
        <w:trPr>
          <w:trHeight w:val="567"/>
        </w:trPr>
        <w:tc>
          <w:tcPr>
            <w:tcW w:w="14757" w:type="dxa"/>
            <w:gridSpan w:val="6"/>
            <w:shd w:val="clear" w:color="auto" w:fill="215C98"/>
            <w:vAlign w:val="center"/>
            <w:hideMark/>
          </w:tcPr>
          <w:p w14:paraId="398FFDFD" w14:textId="77777777" w:rsidR="00E72B8E" w:rsidRPr="0015463C" w:rsidRDefault="00E72B8E" w:rsidP="00E72B8E">
            <w:pPr>
              <w:spacing w:after="0"/>
              <w:jc w:val="left"/>
              <w:rPr>
                <w:rFonts w:eastAsia="Times New Roman"/>
                <w:b/>
                <w:color w:val="FFFFFF"/>
                <w:lang w:val="en-IE" w:eastAsia="en-IE"/>
              </w:rPr>
            </w:pPr>
            <w:r w:rsidRPr="0015463C">
              <w:rPr>
                <w:rFonts w:eastAsia="Times New Roman"/>
                <w:b/>
                <w:color w:val="FFFFFF"/>
                <w:lang w:val="en-IE" w:eastAsia="en-IE"/>
              </w:rPr>
              <w:t>Time-to-market</w:t>
            </w:r>
          </w:p>
        </w:tc>
      </w:tr>
      <w:tr w:rsidR="00BF25AE" w:rsidRPr="0015463C" w14:paraId="097E1D77" w14:textId="77777777" w:rsidTr="00BF25AE">
        <w:trPr>
          <w:trHeight w:val="720"/>
        </w:trPr>
        <w:tc>
          <w:tcPr>
            <w:tcW w:w="572" w:type="dxa"/>
            <w:vMerge w:val="restart"/>
            <w:noWrap/>
            <w:vAlign w:val="center"/>
            <w:hideMark/>
          </w:tcPr>
          <w:p w14:paraId="4832359F"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t>5</w:t>
            </w:r>
          </w:p>
        </w:tc>
        <w:tc>
          <w:tcPr>
            <w:tcW w:w="1829" w:type="dxa"/>
            <w:vMerge w:val="restart"/>
            <w:vAlign w:val="center"/>
            <w:hideMark/>
          </w:tcPr>
          <w:p w14:paraId="493FE77B" w14:textId="77777777" w:rsidR="00E72B8E" w:rsidRPr="0015463C" w:rsidRDefault="00E72B8E" w:rsidP="00E72B8E">
            <w:pPr>
              <w:spacing w:after="0"/>
              <w:jc w:val="left"/>
              <w:rPr>
                <w:rFonts w:eastAsia="Times New Roman"/>
                <w:b/>
                <w:color w:val="000000"/>
                <w:lang w:val="en-IE" w:eastAsia="en-IE"/>
              </w:rPr>
            </w:pPr>
            <w:r w:rsidRPr="0015463C">
              <w:rPr>
                <w:rFonts w:eastAsia="Times New Roman"/>
                <w:b/>
                <w:color w:val="000000"/>
                <w:lang w:val="en-IE" w:eastAsia="en-IE"/>
              </w:rPr>
              <w:t>Regulation of novel health biotechnology products</w:t>
            </w:r>
          </w:p>
        </w:tc>
        <w:tc>
          <w:tcPr>
            <w:tcW w:w="1985" w:type="dxa"/>
            <w:hideMark/>
          </w:tcPr>
          <w:p w14:paraId="33A047E7"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xml:space="preserve">Union regulatory status repository and time limits </w:t>
            </w:r>
          </w:p>
        </w:tc>
        <w:tc>
          <w:tcPr>
            <w:tcW w:w="7540" w:type="dxa"/>
            <w:hideMark/>
          </w:tcPr>
          <w:p w14:paraId="26F34A2D"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 xml:space="preserve">Chapter VII, Section 1:  </w:t>
            </w:r>
            <w:r w:rsidRPr="0015463C">
              <w:rPr>
                <w:rFonts w:eastAsia="Times New Roman"/>
                <w:color w:val="000000"/>
                <w:lang w:val="en-IE" w:eastAsia="en-IE"/>
              </w:rPr>
              <w:t xml:space="preserve">Art. 35: Union regulatory status repository; Art. 36: Time limits in the regulatory status process  </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(72)-(74)</w:t>
            </w:r>
          </w:p>
        </w:tc>
        <w:tc>
          <w:tcPr>
            <w:tcW w:w="1361" w:type="dxa"/>
            <w:noWrap/>
            <w:hideMark/>
          </w:tcPr>
          <w:p w14:paraId="5E717158"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4116245F"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2719A7E8" w14:textId="77777777" w:rsidTr="00BF25AE">
        <w:trPr>
          <w:trHeight w:val="350"/>
        </w:trPr>
        <w:tc>
          <w:tcPr>
            <w:tcW w:w="572" w:type="dxa"/>
            <w:vMerge/>
            <w:vAlign w:val="center"/>
            <w:hideMark/>
          </w:tcPr>
          <w:p w14:paraId="463D269C"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32FF1A58"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7FA27C7B"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Foresight Panel for Emerging Health Innovation</w:t>
            </w:r>
          </w:p>
        </w:tc>
        <w:tc>
          <w:tcPr>
            <w:tcW w:w="7540" w:type="dxa"/>
            <w:hideMark/>
          </w:tcPr>
          <w:p w14:paraId="178E64B6"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 xml:space="preserve">Chapter VII, Section 2: </w:t>
            </w:r>
            <w:r w:rsidRPr="0015463C">
              <w:rPr>
                <w:rFonts w:eastAsia="Times New Roman"/>
                <w:color w:val="000000"/>
                <w:lang w:val="en-IE" w:eastAsia="en-IE"/>
              </w:rPr>
              <w:t xml:space="preserve">Art. 37: Foresight Panel for Emerging Health Innovation (establishment, tasks, composition); Art. 38: Support to the Foresight Panel  </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(75)-(78)</w:t>
            </w:r>
          </w:p>
        </w:tc>
        <w:tc>
          <w:tcPr>
            <w:tcW w:w="1361" w:type="dxa"/>
            <w:noWrap/>
            <w:hideMark/>
          </w:tcPr>
          <w:p w14:paraId="4CBA4E7E"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22621057"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3F44777E" w14:textId="77777777" w:rsidTr="00BF25AE">
        <w:trPr>
          <w:trHeight w:val="1000"/>
        </w:trPr>
        <w:tc>
          <w:tcPr>
            <w:tcW w:w="572" w:type="dxa"/>
            <w:vMerge/>
            <w:vAlign w:val="center"/>
            <w:hideMark/>
          </w:tcPr>
          <w:p w14:paraId="1E4B4201"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482FE838"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70EC8D99"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Cross-framework coordination for regulatory sandboxes</w:t>
            </w:r>
          </w:p>
        </w:tc>
        <w:tc>
          <w:tcPr>
            <w:tcW w:w="7540" w:type="dxa"/>
            <w:hideMark/>
          </w:tcPr>
          <w:p w14:paraId="3E011DF1"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VII, Section 3:</w:t>
            </w:r>
            <w:r w:rsidRPr="0015463C">
              <w:rPr>
                <w:rFonts w:eastAsia="Times New Roman"/>
                <w:color w:val="000000"/>
                <w:lang w:val="en-IE" w:eastAsia="en-IE"/>
              </w:rPr>
              <w:t xml:space="preserve"> Art. 39(1): Member State-level sandbox consultations; Art. 39(2): Union-level sandbox consultations; Art. 39(3): Combination products considerations; Art. 39(4): Swift contribution requirements</w:t>
            </w:r>
            <w:r w:rsidRPr="0015463C">
              <w:rPr>
                <w:rFonts w:eastAsia="Times New Roman"/>
                <w:color w:val="000000"/>
                <w:lang w:val="en-IE" w:eastAsia="en-IE"/>
              </w:rPr>
              <w:br/>
              <w:t>Art. 39(5): Cross-framework knowledge sharing and regulatory learning</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(80)-(82)</w:t>
            </w:r>
          </w:p>
        </w:tc>
        <w:tc>
          <w:tcPr>
            <w:tcW w:w="1361" w:type="dxa"/>
            <w:noWrap/>
            <w:hideMark/>
          </w:tcPr>
          <w:p w14:paraId="4BE68E07"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66E37676"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2B75C408" w14:textId="77777777" w:rsidTr="00BF25AE">
        <w:trPr>
          <w:trHeight w:val="1240"/>
        </w:trPr>
        <w:tc>
          <w:tcPr>
            <w:tcW w:w="572" w:type="dxa"/>
            <w:vMerge/>
            <w:vAlign w:val="center"/>
            <w:hideMark/>
          </w:tcPr>
          <w:p w14:paraId="40A8E275"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2A04797F"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08B5D28F"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Regulatory sandboxes for novel health biotechnology products</w:t>
            </w:r>
          </w:p>
        </w:tc>
        <w:tc>
          <w:tcPr>
            <w:tcW w:w="7540" w:type="dxa"/>
            <w:hideMark/>
          </w:tcPr>
          <w:p w14:paraId="425B6E1F" w14:textId="2D3DCDCB"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themeColor="text1"/>
                <w:lang w:val="en-IE" w:eastAsia="en-IE"/>
              </w:rPr>
              <w:t>Chapter VII, Section 3</w:t>
            </w:r>
            <w:r w:rsidRPr="0015463C">
              <w:rPr>
                <w:rFonts w:eastAsia="Times New Roman"/>
                <w:color w:val="000000" w:themeColor="text1"/>
                <w:lang w:val="en-IE" w:eastAsia="en-IE"/>
              </w:rPr>
              <w:t>: Art. 40(1): Scope and eligibility criteria; Art. 40(2): Time-limited framework for evidence generation; Art. 40(3): Application requirements; Art. 40(4): Commission implementing act for establishment; Art. 40(5): Sandbox plan requirements; Art. 40(6): Consultations with Agency, SCB, M</w:t>
            </w:r>
            <w:r w:rsidR="008A1B64" w:rsidRPr="0015463C">
              <w:rPr>
                <w:rFonts w:eastAsia="Times New Roman"/>
                <w:color w:val="000000" w:themeColor="text1"/>
                <w:lang w:val="en-IE" w:eastAsia="en-IE"/>
              </w:rPr>
              <w:t xml:space="preserve">edical </w:t>
            </w:r>
            <w:r w:rsidRPr="0015463C">
              <w:rPr>
                <w:rFonts w:eastAsia="Times New Roman"/>
                <w:color w:val="000000" w:themeColor="text1"/>
                <w:lang w:val="en-IE" w:eastAsia="en-IE"/>
              </w:rPr>
              <w:t>D</w:t>
            </w:r>
            <w:r w:rsidR="008A1B64" w:rsidRPr="0015463C">
              <w:rPr>
                <w:rFonts w:eastAsia="Times New Roman"/>
                <w:color w:val="000000" w:themeColor="text1"/>
                <w:lang w:val="en-IE" w:eastAsia="en-IE"/>
              </w:rPr>
              <w:t xml:space="preserve">evices </w:t>
            </w:r>
            <w:r w:rsidRPr="0015463C">
              <w:rPr>
                <w:rFonts w:eastAsia="Times New Roman"/>
                <w:color w:val="000000" w:themeColor="text1"/>
                <w:lang w:val="en-IE" w:eastAsia="en-IE"/>
              </w:rPr>
              <w:t>C</w:t>
            </w:r>
            <w:r w:rsidR="008A1B64" w:rsidRPr="0015463C">
              <w:rPr>
                <w:rFonts w:eastAsia="Times New Roman"/>
                <w:color w:val="000000" w:themeColor="text1"/>
                <w:lang w:val="en-IE" w:eastAsia="en-IE"/>
              </w:rPr>
              <w:t xml:space="preserve">oordination </w:t>
            </w:r>
            <w:r w:rsidRPr="0015463C">
              <w:rPr>
                <w:rFonts w:eastAsia="Times New Roman"/>
                <w:color w:val="000000" w:themeColor="text1"/>
                <w:lang w:val="en-IE" w:eastAsia="en-IE"/>
              </w:rPr>
              <w:t>G</w:t>
            </w:r>
            <w:r w:rsidR="008A1B64" w:rsidRPr="0015463C">
              <w:rPr>
                <w:rFonts w:eastAsia="Times New Roman"/>
                <w:color w:val="000000" w:themeColor="text1"/>
                <w:lang w:val="en-IE" w:eastAsia="en-IE"/>
              </w:rPr>
              <w:t>roup</w:t>
            </w:r>
            <w:r w:rsidRPr="0015463C">
              <w:rPr>
                <w:rFonts w:eastAsia="Times New Roman"/>
                <w:color w:val="000000" w:themeColor="text1"/>
                <w:lang w:val="en-IE" w:eastAsia="en-IE"/>
              </w:rPr>
              <w:t>, Foresight Panel ; Art. 40(7): Participant liability; Art. 40(8)-(9): Recommendations and lessons learned</w:t>
            </w:r>
            <w:r w:rsidRPr="0015463C">
              <w:br/>
            </w:r>
            <w:r w:rsidRPr="0015463C">
              <w:rPr>
                <w:rFonts w:eastAsia="Times New Roman"/>
                <w:b/>
                <w:color w:val="000000" w:themeColor="text1"/>
                <w:lang w:val="en-IE" w:eastAsia="en-IE"/>
              </w:rPr>
              <w:t>Recitals</w:t>
            </w:r>
            <w:r w:rsidRPr="0015463C">
              <w:rPr>
                <w:rFonts w:eastAsia="Times New Roman"/>
                <w:color w:val="000000" w:themeColor="text1"/>
                <w:lang w:val="en-IE" w:eastAsia="en-IE"/>
              </w:rPr>
              <w:t xml:space="preserve"> (83)-(87)</w:t>
            </w:r>
          </w:p>
        </w:tc>
        <w:tc>
          <w:tcPr>
            <w:tcW w:w="1361" w:type="dxa"/>
            <w:noWrap/>
            <w:hideMark/>
          </w:tcPr>
          <w:p w14:paraId="489C819D"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37254285"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120B55C5" w14:textId="77777777" w:rsidTr="00BF25AE">
        <w:trPr>
          <w:trHeight w:val="1220"/>
        </w:trPr>
        <w:tc>
          <w:tcPr>
            <w:tcW w:w="572" w:type="dxa"/>
            <w:vMerge w:val="restart"/>
            <w:noWrap/>
            <w:vAlign w:val="center"/>
            <w:hideMark/>
          </w:tcPr>
          <w:p w14:paraId="5FEE26F8"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t>6</w:t>
            </w:r>
          </w:p>
        </w:tc>
        <w:tc>
          <w:tcPr>
            <w:tcW w:w="1829" w:type="dxa"/>
            <w:vMerge w:val="restart"/>
            <w:vAlign w:val="center"/>
            <w:hideMark/>
          </w:tcPr>
          <w:p w14:paraId="4E59DD8C" w14:textId="1741C693" w:rsidR="00E72B8E" w:rsidRPr="0015463C" w:rsidRDefault="00E72B8E" w:rsidP="00E72B8E">
            <w:pPr>
              <w:spacing w:after="0"/>
              <w:jc w:val="left"/>
              <w:rPr>
                <w:rFonts w:eastAsia="Times New Roman"/>
                <w:b/>
                <w:color w:val="000000"/>
                <w:lang w:val="en-IE" w:eastAsia="en-IE"/>
              </w:rPr>
            </w:pPr>
            <w:r w:rsidRPr="0015463C">
              <w:rPr>
                <w:rFonts w:eastAsia="Times New Roman"/>
                <w:b/>
                <w:color w:val="000000"/>
                <w:lang w:val="en-IE" w:eastAsia="en-IE"/>
              </w:rPr>
              <w:t>Targeted regulatory reform of the General Food Law - (EC) No 178/2002</w:t>
            </w:r>
          </w:p>
        </w:tc>
        <w:tc>
          <w:tcPr>
            <w:tcW w:w="1985" w:type="dxa"/>
            <w:hideMark/>
          </w:tcPr>
          <w:p w14:paraId="68951B73"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Streamlined EFSA risk assessment processes</w:t>
            </w:r>
          </w:p>
        </w:tc>
        <w:tc>
          <w:tcPr>
            <w:tcW w:w="7540" w:type="dxa"/>
            <w:hideMark/>
          </w:tcPr>
          <w:p w14:paraId="3B4AF194"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IX</w:t>
            </w:r>
            <w:r w:rsidRPr="0015463C">
              <w:rPr>
                <w:rFonts w:eastAsia="Times New Roman"/>
                <w:color w:val="000000"/>
                <w:lang w:val="en-IE" w:eastAsia="en-IE"/>
              </w:rPr>
              <w:t>, Art. 56 (Amendments to Regulation (EC) No 178/2002): Art. 56(1): Art. 3 (new definitions – points 19-21); Art. 56(2): Art. 22(5)(a) (EFSA nutrition mandate); Art. 56(3): Art. 28(3), (6), (9) (Scientific Panel governance); Art. 56(4): Art. 32a(1) (enhanced pre-submission advice); Art. 56(5): Art. 32b(4), (5), (6) (shortened procedural timelines); Art. 56(6): Art. 32c(1) deletion (merger of consultation procedures)</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(107)-(112)</w:t>
            </w:r>
          </w:p>
        </w:tc>
        <w:tc>
          <w:tcPr>
            <w:tcW w:w="1361" w:type="dxa"/>
            <w:noWrap/>
            <w:hideMark/>
          </w:tcPr>
          <w:p w14:paraId="45229CB2"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5BE24203"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72E02FC7" w14:textId="77777777" w:rsidTr="00BF25AE">
        <w:trPr>
          <w:trHeight w:val="990"/>
        </w:trPr>
        <w:tc>
          <w:tcPr>
            <w:tcW w:w="572" w:type="dxa"/>
            <w:vMerge/>
            <w:vAlign w:val="center"/>
            <w:hideMark/>
          </w:tcPr>
          <w:p w14:paraId="57E61086"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3014DA18"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2AFF9666"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Regulatory sandboxes framework for food, feed and GMOs</w:t>
            </w:r>
          </w:p>
        </w:tc>
        <w:tc>
          <w:tcPr>
            <w:tcW w:w="7540" w:type="dxa"/>
            <w:hideMark/>
          </w:tcPr>
          <w:p w14:paraId="2A398C11"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IX,</w:t>
            </w:r>
            <w:r w:rsidRPr="0015463C">
              <w:rPr>
                <w:rFonts w:eastAsia="Times New Roman"/>
                <w:color w:val="000000"/>
                <w:lang w:val="en-IE" w:eastAsia="en-IE"/>
              </w:rPr>
              <w:t xml:space="preserve"> Art. 56(7) (insertion of new Chapter IIIA in Regulation (EC) No 178/2002): Art. 49a: General provisions on regulatory sandboxes; Art. 49b: Establishment of regulatory sandboxes; Art. 49c: Other responsibilities, monitoring and reporting obligations; </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(113)-(116)</w:t>
            </w:r>
          </w:p>
        </w:tc>
        <w:tc>
          <w:tcPr>
            <w:tcW w:w="1361" w:type="dxa"/>
            <w:noWrap/>
            <w:hideMark/>
          </w:tcPr>
          <w:p w14:paraId="7CBF26D0"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4C40F412"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671132CA" w14:textId="77777777" w:rsidTr="0057383E">
        <w:trPr>
          <w:trHeight w:val="1600"/>
        </w:trPr>
        <w:tc>
          <w:tcPr>
            <w:tcW w:w="572" w:type="dxa"/>
            <w:noWrap/>
            <w:vAlign w:val="center"/>
            <w:hideMark/>
          </w:tcPr>
          <w:p w14:paraId="1D95CBF2"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lastRenderedPageBreak/>
              <w:t>7</w:t>
            </w:r>
          </w:p>
        </w:tc>
        <w:tc>
          <w:tcPr>
            <w:tcW w:w="1829" w:type="dxa"/>
            <w:vAlign w:val="center"/>
            <w:hideMark/>
          </w:tcPr>
          <w:p w14:paraId="16BDD710" w14:textId="516BB863" w:rsidR="00E72B8E" w:rsidRPr="0015463C" w:rsidRDefault="00E72B8E" w:rsidP="00E72B8E">
            <w:pPr>
              <w:spacing w:after="0"/>
              <w:jc w:val="left"/>
              <w:rPr>
                <w:rFonts w:eastAsia="Times New Roman"/>
                <w:b/>
                <w:color w:val="000000"/>
                <w:lang w:val="en-IE" w:eastAsia="en-IE"/>
              </w:rPr>
            </w:pPr>
            <w:r w:rsidRPr="0015463C">
              <w:rPr>
                <w:rFonts w:eastAsia="Times New Roman"/>
                <w:b/>
                <w:color w:val="000000"/>
                <w:lang w:val="en-IE" w:eastAsia="en-IE"/>
              </w:rPr>
              <w:t>Targeted regulatory reform of the Advanced Therapy Medicinal Products (ATMPs) framework - (EC) No 1394/2007</w:t>
            </w:r>
          </w:p>
        </w:tc>
        <w:tc>
          <w:tcPr>
            <w:tcW w:w="1985" w:type="dxa"/>
            <w:hideMark/>
          </w:tcPr>
          <w:p w14:paraId="0BF0339E"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Regulatory simplification and future-proofing of ATMPs</w:t>
            </w:r>
          </w:p>
        </w:tc>
        <w:tc>
          <w:tcPr>
            <w:tcW w:w="7540" w:type="dxa"/>
            <w:hideMark/>
          </w:tcPr>
          <w:p w14:paraId="18F8EDB9" w14:textId="019FA215"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themeColor="text1"/>
                <w:lang w:val="en-IE" w:eastAsia="en-IE"/>
              </w:rPr>
              <w:t>Chapter IX,</w:t>
            </w:r>
            <w:r w:rsidRPr="0015463C">
              <w:rPr>
                <w:rFonts w:eastAsia="Times New Roman"/>
                <w:color w:val="000000" w:themeColor="text1"/>
                <w:lang w:val="en-IE" w:eastAsia="en-IE"/>
              </w:rPr>
              <w:t xml:space="preserve"> Article 57: Amendment to Art. 2(1): Addition of point (e</w:t>
            </w:r>
            <w:r w:rsidR="6EC76D39" w:rsidRPr="0015463C">
              <w:rPr>
                <w:rFonts w:eastAsia="Times New Roman"/>
                <w:color w:val="000000" w:themeColor="text1"/>
                <w:lang w:val="en-IE" w:eastAsia="en-IE"/>
              </w:rPr>
              <w:t>);</w:t>
            </w:r>
            <w:r w:rsidRPr="0015463C">
              <w:rPr>
                <w:rFonts w:eastAsia="Times New Roman"/>
                <w:color w:val="000000" w:themeColor="text1"/>
                <w:lang w:val="en-IE" w:eastAsia="en-IE"/>
              </w:rPr>
              <w:t xml:space="preserve"> Amendment to Art. 2: Addition of paragraph 6; New Art. 4a (paragraphs 1-5); Replacement of Art. 25a (paragraphs 1-6)</w:t>
            </w:r>
            <w:r w:rsidRPr="0015463C">
              <w:br/>
            </w:r>
            <w:r w:rsidRPr="0015463C">
              <w:rPr>
                <w:rFonts w:eastAsia="Times New Roman"/>
                <w:b/>
                <w:color w:val="000000" w:themeColor="text1"/>
                <w:lang w:val="en-IE" w:eastAsia="en-IE"/>
              </w:rPr>
              <w:t>Recitals</w:t>
            </w:r>
            <w:r w:rsidRPr="0015463C">
              <w:rPr>
                <w:rFonts w:eastAsia="Times New Roman"/>
                <w:color w:val="000000" w:themeColor="text1"/>
                <w:lang w:val="en-IE" w:eastAsia="en-IE"/>
              </w:rPr>
              <w:t xml:space="preserve"> (118)-(120)</w:t>
            </w:r>
          </w:p>
        </w:tc>
        <w:tc>
          <w:tcPr>
            <w:tcW w:w="1361" w:type="dxa"/>
            <w:noWrap/>
            <w:hideMark/>
          </w:tcPr>
          <w:p w14:paraId="20C483F6"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2E073F39"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1D792431" w14:textId="77777777" w:rsidTr="00BF25AE">
        <w:trPr>
          <w:trHeight w:val="1940"/>
        </w:trPr>
        <w:tc>
          <w:tcPr>
            <w:tcW w:w="572" w:type="dxa"/>
            <w:vMerge w:val="restart"/>
            <w:noWrap/>
            <w:vAlign w:val="center"/>
            <w:hideMark/>
          </w:tcPr>
          <w:p w14:paraId="19D65B5B"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t>8</w:t>
            </w:r>
          </w:p>
        </w:tc>
        <w:tc>
          <w:tcPr>
            <w:tcW w:w="1829" w:type="dxa"/>
            <w:vMerge w:val="restart"/>
            <w:vAlign w:val="center"/>
            <w:hideMark/>
          </w:tcPr>
          <w:p w14:paraId="4F7B8215" w14:textId="2C8D96A4" w:rsidR="00E72B8E" w:rsidRPr="0015463C" w:rsidRDefault="00E72B8E" w:rsidP="00E72B8E">
            <w:pPr>
              <w:spacing w:after="0"/>
              <w:jc w:val="left"/>
              <w:rPr>
                <w:rFonts w:eastAsia="Times New Roman"/>
                <w:b/>
                <w:color w:val="000000"/>
                <w:lang w:val="en-IE" w:eastAsia="en-IE"/>
              </w:rPr>
            </w:pPr>
            <w:r w:rsidRPr="0015463C">
              <w:rPr>
                <w:rFonts w:eastAsia="Times New Roman"/>
                <w:b/>
                <w:color w:val="000000"/>
                <w:lang w:val="en-IE" w:eastAsia="en-IE"/>
              </w:rPr>
              <w:t xml:space="preserve">Targeted regulatory reform of clinical trials - Regulation (EU) No 536/2014 </w:t>
            </w:r>
          </w:p>
        </w:tc>
        <w:tc>
          <w:tcPr>
            <w:tcW w:w="1985" w:type="dxa"/>
            <w:hideMark/>
          </w:tcPr>
          <w:p w14:paraId="503A392B"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Accelerated and streamlined clinical trial authorisation procedures</w:t>
            </w:r>
          </w:p>
        </w:tc>
        <w:tc>
          <w:tcPr>
            <w:tcW w:w="7540" w:type="dxa"/>
            <w:hideMark/>
          </w:tcPr>
          <w:p w14:paraId="64B002C8"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IX,</w:t>
            </w:r>
            <w:r w:rsidRPr="0015463C">
              <w:rPr>
                <w:rFonts w:eastAsia="Times New Roman"/>
                <w:color w:val="000000"/>
                <w:lang w:val="en-IE" w:eastAsia="en-IE"/>
              </w:rPr>
              <w:t xml:space="preserve"> Art. 58: Art. 2: Definitions (points 3, 3a, 12, 13, 13a, 21, 36-43, 47) ; Art. 3: General principles </w:t>
            </w:r>
            <w:r w:rsidRPr="0015463C">
              <w:rPr>
                <w:rFonts w:eastAsia="Times New Roman"/>
                <w:color w:val="000000"/>
                <w:lang w:val="en-IE" w:eastAsia="en-IE"/>
              </w:rPr>
              <w:br/>
              <w:t xml:space="preserve">Art. 4-5: Prior authorisation and submission ; Art. 5a-5b (new): RMS appointment and validation ; Art. 6-8: Assessment reports and decision (including translation adequacy assessment in Part II); Art. 14: Extension to additional Member States ; Art. 14a (new): Appointment of new RMS ; Art. 14b (new): Accelerated procedure for public health emergencies ; Art. 17-21: Substantial modifications ; Art. 25: Mandatory EU-templates for </w:t>
            </w:r>
            <w:r w:rsidRPr="0015463C">
              <w:rPr>
                <w:rFonts w:eastAsia="Times New Roman"/>
                <w:b/>
                <w:color w:val="000000"/>
                <w:lang w:val="en-IE" w:eastAsia="en-IE"/>
              </w:rPr>
              <w:t xml:space="preserve">Part II; </w:t>
            </w:r>
            <w:r w:rsidRPr="0015463C">
              <w:rPr>
                <w:rFonts w:eastAsia="Times New Roman"/>
                <w:color w:val="000000"/>
                <w:lang w:val="en-IE" w:eastAsia="en-IE"/>
              </w:rPr>
              <w:t xml:space="preserve">Art. 63a (new): Harmonised GDP for investigational medicinal products; Art. 28, 30-33, 41: Supporting provisions  </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(123)-(139)</w:t>
            </w:r>
          </w:p>
        </w:tc>
        <w:tc>
          <w:tcPr>
            <w:tcW w:w="1361" w:type="dxa"/>
            <w:noWrap/>
            <w:hideMark/>
          </w:tcPr>
          <w:p w14:paraId="4F679C88"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54ECDA22"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188B446E" w14:textId="77777777" w:rsidTr="00BF25AE">
        <w:trPr>
          <w:trHeight w:val="730"/>
        </w:trPr>
        <w:tc>
          <w:tcPr>
            <w:tcW w:w="572" w:type="dxa"/>
            <w:vMerge/>
            <w:vAlign w:val="center"/>
            <w:hideMark/>
          </w:tcPr>
          <w:p w14:paraId="4B6E3D79"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5F392458"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2E34388F"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Clinical trial regulatory sandboxes</w:t>
            </w:r>
          </w:p>
        </w:tc>
        <w:tc>
          <w:tcPr>
            <w:tcW w:w="7540" w:type="dxa"/>
            <w:hideMark/>
          </w:tcPr>
          <w:p w14:paraId="246A91B4" w14:textId="60D4DE28"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themeColor="text1"/>
                <w:lang w:val="en-IE" w:eastAsia="en-IE"/>
              </w:rPr>
              <w:t>Chapter IX</w:t>
            </w:r>
            <w:r w:rsidRPr="0015463C">
              <w:rPr>
                <w:rFonts w:eastAsia="Times New Roman"/>
                <w:color w:val="000000" w:themeColor="text1"/>
                <w:lang w:val="en-IE" w:eastAsia="en-IE"/>
              </w:rPr>
              <w:t xml:space="preserve">, Art. 58: Art. 2(45) (new): Definition of regulatory sandbox; Art. 27d (new): Clinical trial regulatory sandboxes; Art. 85(5)(i): CTAG task to provide sandbox recommendations  </w:t>
            </w:r>
            <w:r w:rsidRPr="0015463C">
              <w:br/>
            </w:r>
            <w:r w:rsidRPr="0015463C">
              <w:rPr>
                <w:rFonts w:eastAsia="Times New Roman"/>
                <w:b/>
                <w:color w:val="000000" w:themeColor="text1"/>
                <w:lang w:val="en-IE" w:eastAsia="en-IE"/>
              </w:rPr>
              <w:t>Recital</w:t>
            </w:r>
            <w:r w:rsidRPr="0015463C">
              <w:rPr>
                <w:rFonts w:eastAsia="Times New Roman"/>
                <w:color w:val="000000" w:themeColor="text1"/>
                <w:lang w:val="en-IE" w:eastAsia="en-IE"/>
              </w:rPr>
              <w:t xml:space="preserve"> (149)</w:t>
            </w:r>
          </w:p>
        </w:tc>
        <w:tc>
          <w:tcPr>
            <w:tcW w:w="1361" w:type="dxa"/>
            <w:noWrap/>
            <w:hideMark/>
          </w:tcPr>
          <w:p w14:paraId="2764725F"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53846108"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7E4635AE" w14:textId="77777777" w:rsidTr="00BF25AE">
        <w:trPr>
          <w:trHeight w:val="1490"/>
        </w:trPr>
        <w:tc>
          <w:tcPr>
            <w:tcW w:w="572" w:type="dxa"/>
            <w:vMerge/>
            <w:vAlign w:val="center"/>
            <w:hideMark/>
          </w:tcPr>
          <w:p w14:paraId="31CCDF3E"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1B9D189B"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74C5A5EE"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Digital innovation and harmonised data governance for clinical trials</w:t>
            </w:r>
          </w:p>
        </w:tc>
        <w:tc>
          <w:tcPr>
            <w:tcW w:w="7540" w:type="dxa"/>
            <w:hideMark/>
          </w:tcPr>
          <w:p w14:paraId="5D7BA16E"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IX,</w:t>
            </w:r>
            <w:r w:rsidRPr="0015463C">
              <w:rPr>
                <w:rFonts w:eastAsia="Times New Roman"/>
                <w:color w:val="000000"/>
                <w:lang w:val="en-IE" w:eastAsia="en-IE"/>
              </w:rPr>
              <w:t xml:space="preserve"> Art. 58: Art. 2(44) (new): Definition of combined study ; Art. 2(46) (new): Definition of AI system </w:t>
            </w:r>
            <w:r w:rsidRPr="0015463C">
              <w:rPr>
                <w:rFonts w:eastAsia="Times New Roman"/>
                <w:color w:val="000000"/>
                <w:lang w:val="en-IE" w:eastAsia="en-IE"/>
              </w:rPr>
              <w:br/>
              <w:t xml:space="preserve">Art. 14c (new): Combined studies (coordinated assessment) ; Art. 27e (new): Use of AI in clinical trials </w:t>
            </w:r>
            <w:r w:rsidRPr="0015463C">
              <w:rPr>
                <w:rFonts w:eastAsia="Times New Roman"/>
                <w:color w:val="000000"/>
                <w:lang w:val="en-IE" w:eastAsia="en-IE"/>
              </w:rPr>
              <w:br/>
              <w:t xml:space="preserve">Art. 29: Informed consent (electronic provisions) ; Art. 81: EU database updates ; Art. 83a (new): Authority coordination ; Art. 85: CTAG (expanded mandate) ; Art. 93 (new): Data protection (harmonised GDPR basis) </w:t>
            </w:r>
            <w:r w:rsidRPr="0015463C">
              <w:rPr>
                <w:rFonts w:eastAsia="Times New Roman"/>
                <w:color w:val="000000"/>
                <w:lang w:val="en-IE" w:eastAsia="en-IE"/>
              </w:rPr>
              <w:br/>
              <w:t xml:space="preserve">Art. 98a (new): EU Portal development plan ; Annex I amendments  </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(140)-(148), (150)-(156)</w:t>
            </w:r>
          </w:p>
        </w:tc>
        <w:tc>
          <w:tcPr>
            <w:tcW w:w="1361" w:type="dxa"/>
            <w:noWrap/>
            <w:hideMark/>
          </w:tcPr>
          <w:p w14:paraId="6AECF078"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1ED220EF"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6D6626B1" w14:textId="77777777" w:rsidTr="00BF25AE">
        <w:trPr>
          <w:trHeight w:val="1680"/>
        </w:trPr>
        <w:tc>
          <w:tcPr>
            <w:tcW w:w="572" w:type="dxa"/>
            <w:vMerge/>
            <w:vAlign w:val="center"/>
            <w:hideMark/>
          </w:tcPr>
          <w:p w14:paraId="668651A4"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49F6DD1D"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1E8D87E4"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Coordinated assessment for combined studies</w:t>
            </w:r>
          </w:p>
        </w:tc>
        <w:tc>
          <w:tcPr>
            <w:tcW w:w="7540" w:type="dxa"/>
            <w:hideMark/>
          </w:tcPr>
          <w:p w14:paraId="36A2EDF3"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IX,</w:t>
            </w:r>
            <w:r w:rsidRPr="0015463C">
              <w:rPr>
                <w:rFonts w:eastAsia="Times New Roman"/>
                <w:color w:val="000000"/>
                <w:lang w:val="en-IE" w:eastAsia="en-IE"/>
              </w:rPr>
              <w:t xml:space="preserve"> Art. 58: Art. 14c(1): Scope (clinical trials combined with IVD performance studies or medical device clinical investigations) ; Art. 14c(2): Single application submission; Art. 14c(3): EU Portal submission and coordinating sponsor designation; Art. 14c(4): Coordinated assessment under reporting Member State direction; Art. 14c(5): Assessment scope and permitted considerations; Art. 14c(6)-(7): Mutual recognition and grounds for disagreement; Art. 14c(8): Single decision by each Member State; Art. 14c(9)-(10): Commission delegated acts for streamlined procedures.</w:t>
            </w:r>
            <w:r w:rsidRPr="0015463C">
              <w:rPr>
                <w:rFonts w:eastAsia="Times New Roman"/>
                <w:color w:val="000000"/>
                <w:lang w:val="en-IE" w:eastAsia="en-IE"/>
              </w:rPr>
              <w:br/>
            </w:r>
            <w:r w:rsidRPr="0015463C">
              <w:rPr>
                <w:rFonts w:eastAsia="Times New Roman"/>
                <w:b/>
                <w:color w:val="000000"/>
                <w:lang w:val="en-IE" w:eastAsia="en-IE"/>
              </w:rPr>
              <w:t>Recital</w:t>
            </w:r>
            <w:r w:rsidRPr="0015463C">
              <w:rPr>
                <w:rFonts w:eastAsia="Times New Roman"/>
                <w:color w:val="000000"/>
                <w:lang w:val="en-IE" w:eastAsia="en-IE"/>
              </w:rPr>
              <w:t xml:space="preserve"> (135)</w:t>
            </w:r>
          </w:p>
        </w:tc>
        <w:tc>
          <w:tcPr>
            <w:tcW w:w="1361" w:type="dxa"/>
            <w:noWrap/>
            <w:hideMark/>
          </w:tcPr>
          <w:p w14:paraId="238F5EFE"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4E3BF656"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6FE05591" w14:textId="77777777" w:rsidTr="00BF25AE">
        <w:trPr>
          <w:trHeight w:val="342"/>
        </w:trPr>
        <w:tc>
          <w:tcPr>
            <w:tcW w:w="572" w:type="dxa"/>
            <w:vMerge/>
            <w:vAlign w:val="center"/>
            <w:hideMark/>
          </w:tcPr>
          <w:p w14:paraId="02E75242"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7F4B6E7C"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0BDA9A51"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Governance and enforcement framework</w:t>
            </w:r>
          </w:p>
        </w:tc>
        <w:tc>
          <w:tcPr>
            <w:tcW w:w="7540" w:type="dxa"/>
            <w:hideMark/>
          </w:tcPr>
          <w:p w14:paraId="5C5EC501"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IX,</w:t>
            </w:r>
            <w:r w:rsidRPr="0015463C">
              <w:rPr>
                <w:rFonts w:eastAsia="Times New Roman"/>
                <w:color w:val="000000"/>
                <w:lang w:val="en-IE" w:eastAsia="en-IE"/>
              </w:rPr>
              <w:t xml:space="preserve"> Art. 58: Art. 78(1): National competent authority inspections and supervision system; Art. 78(6): Inspection reports via EU Portal; Art. 78(8)-(9): Joint inspections and delegation of inspections; Art. 79: Commission Union controls; Art. 79a: Member State obligations regarding Union controls; Art. 83(1): National contact points for implementation; Art. 83(2): Powers, personnel, resources and expertise requirements; Art. 83a(1)-(2): Coordination between competent authorities and ethics committees within Member States.</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(147)-(148)</w:t>
            </w:r>
          </w:p>
        </w:tc>
        <w:tc>
          <w:tcPr>
            <w:tcW w:w="1361" w:type="dxa"/>
            <w:noWrap/>
            <w:hideMark/>
          </w:tcPr>
          <w:p w14:paraId="3AB89E51"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579E52EE"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7AEFC592" w14:textId="77777777" w:rsidTr="00BF25AE">
        <w:trPr>
          <w:trHeight w:val="960"/>
        </w:trPr>
        <w:tc>
          <w:tcPr>
            <w:tcW w:w="572" w:type="dxa"/>
            <w:vMerge w:val="restart"/>
            <w:noWrap/>
            <w:vAlign w:val="center"/>
            <w:hideMark/>
          </w:tcPr>
          <w:p w14:paraId="0C3F851A"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lastRenderedPageBreak/>
              <w:t>9</w:t>
            </w:r>
          </w:p>
        </w:tc>
        <w:tc>
          <w:tcPr>
            <w:tcW w:w="1829" w:type="dxa"/>
            <w:vMerge w:val="restart"/>
            <w:vAlign w:val="center"/>
            <w:hideMark/>
          </w:tcPr>
          <w:p w14:paraId="7BE1FFCC" w14:textId="4ED8E1E7" w:rsidR="00E72B8E" w:rsidRPr="0015463C" w:rsidRDefault="00E72B8E" w:rsidP="00E72B8E">
            <w:pPr>
              <w:spacing w:after="0"/>
              <w:jc w:val="left"/>
              <w:rPr>
                <w:rFonts w:eastAsia="Times New Roman"/>
                <w:b/>
                <w:color w:val="000000"/>
                <w:lang w:val="en-IE" w:eastAsia="en-IE"/>
              </w:rPr>
            </w:pPr>
            <w:r w:rsidRPr="0015463C">
              <w:rPr>
                <w:rFonts w:eastAsia="Times New Roman"/>
                <w:b/>
                <w:color w:val="000000"/>
                <w:lang w:val="en-IE" w:eastAsia="en-IE"/>
              </w:rPr>
              <w:t xml:space="preserve">Targeted regulatory reform of Veterinary Medicinal Products - Regulation (EU) 2019/6 </w:t>
            </w:r>
          </w:p>
        </w:tc>
        <w:tc>
          <w:tcPr>
            <w:tcW w:w="1985" w:type="dxa"/>
            <w:hideMark/>
          </w:tcPr>
          <w:p w14:paraId="281F2EA5" w14:textId="5E8A098C"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GMO exemption and single regulatory pathway for veterinary medicinal products</w:t>
            </w:r>
          </w:p>
        </w:tc>
        <w:tc>
          <w:tcPr>
            <w:tcW w:w="7540" w:type="dxa"/>
            <w:hideMark/>
          </w:tcPr>
          <w:p w14:paraId="4F4D3B65"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IX</w:t>
            </w:r>
            <w:r w:rsidRPr="0015463C">
              <w:rPr>
                <w:rFonts w:eastAsia="Times New Roman"/>
                <w:color w:val="000000"/>
                <w:lang w:val="en-IE" w:eastAsia="en-IE"/>
              </w:rPr>
              <w:t>, Art. 59: Recitals (161)-(164)</w:t>
            </w:r>
            <w:r w:rsidRPr="0015463C">
              <w:rPr>
                <w:rFonts w:eastAsia="Times New Roman"/>
                <w:color w:val="000000"/>
                <w:lang w:val="en-IE" w:eastAsia="en-IE"/>
              </w:rPr>
              <w:br/>
            </w:r>
            <w:r w:rsidRPr="0015463C">
              <w:rPr>
                <w:rFonts w:eastAsia="Times New Roman"/>
                <w:b/>
                <w:color w:val="000000"/>
                <w:lang w:val="en-IE" w:eastAsia="en-IE"/>
              </w:rPr>
              <w:t xml:space="preserve">Amendments to Regulation 2019/6: </w:t>
            </w:r>
            <w:r w:rsidRPr="0015463C">
              <w:rPr>
                <w:rFonts w:eastAsia="Times New Roman"/>
                <w:color w:val="000000"/>
                <w:lang w:val="en-IE" w:eastAsia="en-IE"/>
              </w:rPr>
              <w:t>Art. 3(3) (new): GMO exemption ('One-Stop-Shop'); Art. 4(46): Definitions (GMO VMPs); Art. 8(5): Deletion; Art. 9(2a) (new), (3), (4): Clinical trials ERA; Art. 28(2): MA examination consultations; Annex II: Technical amendments (as set out in Annex III of BTA)</w:t>
            </w:r>
          </w:p>
        </w:tc>
        <w:tc>
          <w:tcPr>
            <w:tcW w:w="1361" w:type="dxa"/>
            <w:noWrap/>
            <w:hideMark/>
          </w:tcPr>
          <w:p w14:paraId="60EC6828"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6864B7E5"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6902E798" w14:textId="77777777" w:rsidTr="00BF25AE">
        <w:trPr>
          <w:trHeight w:val="720"/>
        </w:trPr>
        <w:tc>
          <w:tcPr>
            <w:tcW w:w="572" w:type="dxa"/>
            <w:vMerge/>
            <w:vAlign w:val="center"/>
            <w:hideMark/>
          </w:tcPr>
          <w:p w14:paraId="5B7B7C21"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2B55F533"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1BAC7EFF"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Reduction of burden for the handling of variations not requiring assessment (VNRAs)</w:t>
            </w:r>
          </w:p>
        </w:tc>
        <w:tc>
          <w:tcPr>
            <w:tcW w:w="7540" w:type="dxa"/>
            <w:hideMark/>
          </w:tcPr>
          <w:p w14:paraId="4390AB78"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IX,</w:t>
            </w:r>
            <w:r w:rsidRPr="0015463C">
              <w:rPr>
                <w:rFonts w:eastAsia="Times New Roman"/>
                <w:color w:val="000000"/>
                <w:lang w:val="en-IE" w:eastAsia="en-IE"/>
              </w:rPr>
              <w:t xml:space="preserve"> Art. 59</w:t>
            </w:r>
            <w:r w:rsidRPr="0015463C">
              <w:rPr>
                <w:rFonts w:eastAsia="Times New Roman"/>
                <w:color w:val="000000"/>
                <w:lang w:val="en-IE" w:eastAsia="en-IE"/>
              </w:rPr>
              <w:br/>
            </w:r>
            <w:r w:rsidRPr="0015463C">
              <w:rPr>
                <w:rFonts w:eastAsia="Times New Roman"/>
                <w:b/>
                <w:color w:val="000000"/>
                <w:lang w:val="en-IE" w:eastAsia="en-IE"/>
              </w:rPr>
              <w:t>Recital</w:t>
            </w:r>
            <w:r w:rsidRPr="0015463C">
              <w:rPr>
                <w:rFonts w:eastAsia="Times New Roman"/>
                <w:color w:val="000000"/>
                <w:lang w:val="en-IE" w:eastAsia="en-IE"/>
              </w:rPr>
              <w:t xml:space="preserve"> (160)</w:t>
            </w:r>
            <w:r w:rsidRPr="0015463C">
              <w:rPr>
                <w:rFonts w:eastAsia="Times New Roman"/>
                <w:color w:val="000000"/>
                <w:lang w:val="en-IE" w:eastAsia="en-IE"/>
              </w:rPr>
              <w:br/>
            </w:r>
            <w:r w:rsidRPr="0015463C">
              <w:rPr>
                <w:rFonts w:eastAsia="Times New Roman"/>
                <w:b/>
                <w:color w:val="000000"/>
                <w:lang w:val="en-IE" w:eastAsia="en-IE"/>
              </w:rPr>
              <w:t>Amendments to Regulation 2019/6</w:t>
            </w:r>
            <w:r w:rsidRPr="0015463C">
              <w:rPr>
                <w:rFonts w:eastAsia="Times New Roman"/>
                <w:color w:val="000000"/>
                <w:lang w:val="en-IE" w:eastAsia="en-IE"/>
              </w:rPr>
              <w:t>: Art. 61: Variations procedure (replacement with new paras 1-4)</w:t>
            </w:r>
          </w:p>
        </w:tc>
        <w:tc>
          <w:tcPr>
            <w:tcW w:w="1361" w:type="dxa"/>
            <w:noWrap/>
            <w:hideMark/>
          </w:tcPr>
          <w:p w14:paraId="200EE23A"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7609976B"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2E18FFA9" w14:textId="77777777" w:rsidTr="00BF25AE">
        <w:trPr>
          <w:trHeight w:val="1000"/>
        </w:trPr>
        <w:tc>
          <w:tcPr>
            <w:tcW w:w="572" w:type="dxa"/>
            <w:vMerge/>
            <w:vAlign w:val="center"/>
            <w:hideMark/>
          </w:tcPr>
          <w:p w14:paraId="2F7B98A6"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339BD765"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7CA31547"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Targeted SPC extension for zoonotic biotechnology veterinary medicinal products</w:t>
            </w:r>
          </w:p>
        </w:tc>
        <w:tc>
          <w:tcPr>
            <w:tcW w:w="7540" w:type="dxa"/>
            <w:hideMark/>
          </w:tcPr>
          <w:p w14:paraId="177451F6"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IX</w:t>
            </w:r>
            <w:r w:rsidRPr="0015463C">
              <w:rPr>
                <w:rFonts w:eastAsia="Times New Roman"/>
                <w:color w:val="000000"/>
                <w:lang w:val="en-IE" w:eastAsia="en-IE"/>
              </w:rPr>
              <w:t>, Art. 59</w:t>
            </w:r>
            <w:r w:rsidRPr="0015463C">
              <w:rPr>
                <w:rFonts w:eastAsia="Times New Roman"/>
                <w:color w:val="000000"/>
                <w:lang w:val="en-IE" w:eastAsia="en-IE"/>
              </w:rPr>
              <w:br/>
            </w:r>
            <w:r w:rsidRPr="0015463C">
              <w:rPr>
                <w:rFonts w:eastAsia="Times New Roman"/>
                <w:b/>
                <w:color w:val="000000"/>
                <w:lang w:val="en-IE" w:eastAsia="en-IE"/>
              </w:rPr>
              <w:t>Recital</w:t>
            </w:r>
            <w:r w:rsidRPr="0015463C">
              <w:rPr>
                <w:rFonts w:eastAsia="Times New Roman"/>
                <w:color w:val="000000"/>
                <w:lang w:val="en-IE" w:eastAsia="en-IE"/>
              </w:rPr>
              <w:t xml:space="preserve"> (166)</w:t>
            </w:r>
            <w:r w:rsidRPr="0015463C">
              <w:rPr>
                <w:rFonts w:eastAsia="Times New Roman"/>
                <w:color w:val="000000"/>
                <w:lang w:val="en-IE" w:eastAsia="en-IE"/>
              </w:rPr>
              <w:br/>
            </w:r>
            <w:r w:rsidRPr="0015463C">
              <w:rPr>
                <w:rFonts w:eastAsia="Times New Roman"/>
                <w:b/>
                <w:color w:val="000000"/>
                <w:lang w:val="en-IE" w:eastAsia="en-IE"/>
              </w:rPr>
              <w:t xml:space="preserve">Amendments to Regulation 2019/6: </w:t>
            </w:r>
            <w:r w:rsidRPr="0015463C">
              <w:rPr>
                <w:rFonts w:eastAsia="Times New Roman"/>
                <w:color w:val="000000"/>
                <w:lang w:val="en-IE" w:eastAsia="en-IE"/>
              </w:rPr>
              <w:t>Art. 4(45): Definition; Art. 40a (new): SPC extension for zoonotic biotech VMPs</w:t>
            </w:r>
          </w:p>
        </w:tc>
        <w:tc>
          <w:tcPr>
            <w:tcW w:w="1361" w:type="dxa"/>
            <w:noWrap/>
            <w:hideMark/>
          </w:tcPr>
          <w:p w14:paraId="647905EF"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11E58B2D"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16ECCA7E" w14:textId="77777777" w:rsidTr="00BF25AE">
        <w:trPr>
          <w:trHeight w:val="342"/>
        </w:trPr>
        <w:tc>
          <w:tcPr>
            <w:tcW w:w="572" w:type="dxa"/>
            <w:vMerge/>
            <w:vAlign w:val="center"/>
            <w:hideMark/>
          </w:tcPr>
          <w:p w14:paraId="1014C6B9"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08184FE6"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27BDCFDF"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Regulatory sandbox for innovative technologies, methods or products related to animal health</w:t>
            </w:r>
          </w:p>
        </w:tc>
        <w:tc>
          <w:tcPr>
            <w:tcW w:w="7540" w:type="dxa"/>
            <w:hideMark/>
          </w:tcPr>
          <w:p w14:paraId="37DC6306" w14:textId="77777777" w:rsidR="00E72B8E" w:rsidRPr="0015463C" w:rsidRDefault="00E72B8E" w:rsidP="00E72B8E">
            <w:pPr>
              <w:jc w:val="left"/>
              <w:rPr>
                <w:rFonts w:eastAsia="Times New Roman"/>
                <w:color w:val="000000"/>
                <w:lang w:val="en-IE" w:eastAsia="en-IE"/>
              </w:rPr>
            </w:pPr>
            <w:r w:rsidRPr="0015463C">
              <w:rPr>
                <w:rFonts w:eastAsia="Times New Roman"/>
                <w:b/>
                <w:color w:val="000000"/>
                <w:lang w:val="en-IE" w:eastAsia="en-IE"/>
              </w:rPr>
              <w:t>Chapter IX,</w:t>
            </w:r>
            <w:r w:rsidRPr="0015463C">
              <w:rPr>
                <w:rFonts w:eastAsia="Times New Roman"/>
                <w:color w:val="000000"/>
                <w:lang w:val="en-IE" w:eastAsia="en-IE"/>
              </w:rPr>
              <w:t xml:space="preserve"> Art. 59</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(167)-(170):</w:t>
            </w:r>
            <w:r w:rsidRPr="0015463C">
              <w:rPr>
                <w:rFonts w:eastAsia="Times New Roman"/>
                <w:color w:val="000000"/>
                <w:lang w:val="en-IE" w:eastAsia="en-IE"/>
              </w:rPr>
              <w:br/>
            </w:r>
            <w:r w:rsidRPr="0015463C">
              <w:rPr>
                <w:rFonts w:eastAsia="Times New Roman"/>
                <w:b/>
                <w:color w:val="000000"/>
                <w:lang w:val="en-IE" w:eastAsia="en-IE"/>
              </w:rPr>
              <w:t>Amendments to Regulation 2019/6</w:t>
            </w:r>
            <w:r w:rsidRPr="0015463C">
              <w:rPr>
                <w:rFonts w:eastAsia="Times New Roman"/>
                <w:color w:val="000000"/>
                <w:lang w:val="en-IE" w:eastAsia="en-IE"/>
              </w:rPr>
              <w:t xml:space="preserve">: Art. 4(47): Definition (regulatory sandbox); Art. 136a (new Chapter IX): Regulatory sandbox </w:t>
            </w:r>
          </w:p>
        </w:tc>
        <w:tc>
          <w:tcPr>
            <w:tcW w:w="1361" w:type="dxa"/>
            <w:noWrap/>
            <w:hideMark/>
          </w:tcPr>
          <w:p w14:paraId="1CCF9BD2"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63999B6F"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7981B98A" w14:textId="77777777" w:rsidTr="00BF25AE">
        <w:trPr>
          <w:trHeight w:val="760"/>
        </w:trPr>
        <w:tc>
          <w:tcPr>
            <w:tcW w:w="572" w:type="dxa"/>
            <w:vMerge w:val="restart"/>
            <w:noWrap/>
            <w:vAlign w:val="center"/>
            <w:hideMark/>
          </w:tcPr>
          <w:p w14:paraId="1520FD19"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lastRenderedPageBreak/>
              <w:t>10</w:t>
            </w:r>
          </w:p>
        </w:tc>
        <w:tc>
          <w:tcPr>
            <w:tcW w:w="1829" w:type="dxa"/>
            <w:vMerge w:val="restart"/>
            <w:vAlign w:val="center"/>
            <w:hideMark/>
          </w:tcPr>
          <w:p w14:paraId="2D9A59D6" w14:textId="715F29F7" w:rsidR="00E72B8E" w:rsidRPr="0015463C" w:rsidRDefault="00E72B8E" w:rsidP="00E72B8E">
            <w:pPr>
              <w:spacing w:after="0"/>
              <w:jc w:val="left"/>
              <w:rPr>
                <w:rFonts w:eastAsia="Times New Roman"/>
                <w:b/>
                <w:color w:val="000000"/>
                <w:lang w:val="en-IE" w:eastAsia="en-IE"/>
              </w:rPr>
            </w:pPr>
            <w:r w:rsidRPr="0015463C">
              <w:rPr>
                <w:rFonts w:eastAsia="Times New Roman"/>
                <w:b/>
                <w:color w:val="000000"/>
                <w:lang w:val="en-IE" w:eastAsia="en-IE"/>
              </w:rPr>
              <w:t>Targeted regulatory reform of the substances of human origin (SoHO) framework - Regulation (EU) 2024/1938</w:t>
            </w:r>
          </w:p>
        </w:tc>
        <w:tc>
          <w:tcPr>
            <w:tcW w:w="1985" w:type="dxa"/>
            <w:hideMark/>
          </w:tcPr>
          <w:p w14:paraId="15753199"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SoHO regulatory sandbox framework</w:t>
            </w:r>
          </w:p>
        </w:tc>
        <w:tc>
          <w:tcPr>
            <w:tcW w:w="7540" w:type="dxa"/>
            <w:hideMark/>
          </w:tcPr>
          <w:p w14:paraId="4BFC7FAA"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IX</w:t>
            </w:r>
            <w:r w:rsidRPr="0015463C">
              <w:rPr>
                <w:rFonts w:eastAsia="Times New Roman"/>
                <w:color w:val="000000"/>
                <w:lang w:val="en-IE" w:eastAsia="en-IE"/>
              </w:rPr>
              <w:t>, Article 61: Art. 61(1): Amendment to Art. 3 – Addition of definition (60) 'regulatory sandbox'</w:t>
            </w:r>
            <w:r w:rsidRPr="0015463C">
              <w:rPr>
                <w:rFonts w:eastAsia="Times New Roman"/>
                <w:color w:val="000000"/>
                <w:lang w:val="en-IE" w:eastAsia="en-IE"/>
              </w:rPr>
              <w:br/>
              <w:t>Art. 61(4): New Art. 39a – SoHO regulatory sandboxes (paras 1-13)</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(171)-(173)</w:t>
            </w:r>
          </w:p>
        </w:tc>
        <w:tc>
          <w:tcPr>
            <w:tcW w:w="1361" w:type="dxa"/>
            <w:noWrap/>
            <w:hideMark/>
          </w:tcPr>
          <w:p w14:paraId="30BA88BB"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7F1C3DF4"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668FAF90" w14:textId="77777777" w:rsidTr="00BF25AE">
        <w:trPr>
          <w:trHeight w:val="940"/>
        </w:trPr>
        <w:tc>
          <w:tcPr>
            <w:tcW w:w="572" w:type="dxa"/>
            <w:vMerge/>
            <w:vAlign w:val="center"/>
            <w:hideMark/>
          </w:tcPr>
          <w:p w14:paraId="00B7E5BD"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29F527DA"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3D06A5C5"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Streamlined SoHO regulatory status consultation procedures</w:t>
            </w:r>
          </w:p>
        </w:tc>
        <w:tc>
          <w:tcPr>
            <w:tcW w:w="7540" w:type="dxa"/>
            <w:hideMark/>
          </w:tcPr>
          <w:p w14:paraId="43125829" w14:textId="5E0649D8"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themeColor="text1"/>
                <w:lang w:val="en-IE" w:eastAsia="en-IE"/>
              </w:rPr>
              <w:t xml:space="preserve">Chapter IX, </w:t>
            </w:r>
            <w:r w:rsidRPr="0015463C">
              <w:rPr>
                <w:rFonts w:eastAsia="Times New Roman"/>
                <w:color w:val="000000" w:themeColor="text1"/>
                <w:lang w:val="en-IE" w:eastAsia="en-IE"/>
              </w:rPr>
              <w:t>Article 61: Art. 61(2): New Art. 13(3a</w:t>
            </w:r>
            <w:r w:rsidR="142622D5" w:rsidRPr="0015463C">
              <w:rPr>
                <w:rFonts w:eastAsia="Times New Roman"/>
                <w:color w:val="000000" w:themeColor="text1"/>
                <w:lang w:val="en-IE" w:eastAsia="en-IE"/>
              </w:rPr>
              <w:t>);</w:t>
            </w:r>
            <w:r w:rsidRPr="0015463C">
              <w:rPr>
                <w:rFonts w:eastAsia="Times New Roman"/>
                <w:color w:val="000000" w:themeColor="text1"/>
                <w:lang w:val="en-IE" w:eastAsia="en-IE"/>
              </w:rPr>
              <w:t xml:space="preserve"> Art. 61(3): Amendment to Art. 69(2), first subparagraph </w:t>
            </w:r>
            <w:r w:rsidRPr="0015463C">
              <w:br/>
            </w:r>
            <w:r w:rsidRPr="0015463C">
              <w:rPr>
                <w:rFonts w:eastAsia="Times New Roman"/>
                <w:b/>
                <w:color w:val="000000" w:themeColor="text1"/>
                <w:lang w:val="en-IE" w:eastAsia="en-IE"/>
              </w:rPr>
              <w:t>Recital</w:t>
            </w:r>
            <w:r w:rsidRPr="0015463C">
              <w:rPr>
                <w:rFonts w:eastAsia="Times New Roman"/>
                <w:color w:val="000000" w:themeColor="text1"/>
                <w:lang w:val="en-IE" w:eastAsia="en-IE"/>
              </w:rPr>
              <w:t xml:space="preserve"> (171)</w:t>
            </w:r>
          </w:p>
        </w:tc>
        <w:tc>
          <w:tcPr>
            <w:tcW w:w="1361" w:type="dxa"/>
            <w:noWrap/>
            <w:hideMark/>
          </w:tcPr>
          <w:p w14:paraId="31CCFA1B"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1FA3B627"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02695FDF" w14:textId="77777777" w:rsidTr="00BF25AE">
        <w:trPr>
          <w:trHeight w:val="560"/>
        </w:trPr>
        <w:tc>
          <w:tcPr>
            <w:tcW w:w="572" w:type="dxa"/>
            <w:vMerge w:val="restart"/>
            <w:noWrap/>
            <w:vAlign w:val="center"/>
            <w:hideMark/>
          </w:tcPr>
          <w:p w14:paraId="314F0666"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t>11</w:t>
            </w:r>
          </w:p>
        </w:tc>
        <w:tc>
          <w:tcPr>
            <w:tcW w:w="1829" w:type="dxa"/>
            <w:vMerge w:val="restart"/>
            <w:vAlign w:val="center"/>
            <w:hideMark/>
          </w:tcPr>
          <w:p w14:paraId="3FB53DCA" w14:textId="6AD9DAC5" w:rsidR="00E72B8E" w:rsidRPr="0015463C" w:rsidRDefault="00E72B8E" w:rsidP="00E72B8E">
            <w:pPr>
              <w:spacing w:after="0"/>
              <w:jc w:val="left"/>
              <w:rPr>
                <w:rFonts w:eastAsia="Times New Roman"/>
                <w:b/>
                <w:color w:val="000000"/>
                <w:lang w:val="en-IE" w:eastAsia="en-IE"/>
              </w:rPr>
            </w:pPr>
            <w:r w:rsidRPr="0015463C">
              <w:rPr>
                <w:rFonts w:eastAsia="Times New Roman"/>
                <w:b/>
                <w:color w:val="000000"/>
                <w:lang w:val="en-IE" w:eastAsia="en-IE"/>
              </w:rPr>
              <w:t>Targeted regulatory reform of Directive 2010/53/EU on standards of quality and safety of human organs intended for transplantation</w:t>
            </w:r>
          </w:p>
        </w:tc>
        <w:tc>
          <w:tcPr>
            <w:tcW w:w="1985" w:type="dxa"/>
            <w:hideMark/>
          </w:tcPr>
          <w:p w14:paraId="271033D8"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Scope expansion to include organ processing</w:t>
            </w:r>
          </w:p>
        </w:tc>
        <w:tc>
          <w:tcPr>
            <w:tcW w:w="7540" w:type="dxa"/>
            <w:hideMark/>
          </w:tcPr>
          <w:p w14:paraId="33A1A78E"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Amendment to Art. 2(1): Scope expansion; New Art. 3(ka): Definition of 'processing'; Amendment to Art. 3(q): Definition of 'transplantation'</w:t>
            </w:r>
          </w:p>
        </w:tc>
        <w:tc>
          <w:tcPr>
            <w:tcW w:w="1361" w:type="dxa"/>
            <w:noWrap/>
            <w:hideMark/>
          </w:tcPr>
          <w:p w14:paraId="5BA5D45E"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03D0F591"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0AC7CE94" w14:textId="77777777" w:rsidTr="00BF25AE">
        <w:trPr>
          <w:trHeight w:val="560"/>
        </w:trPr>
        <w:tc>
          <w:tcPr>
            <w:tcW w:w="572" w:type="dxa"/>
            <w:vMerge/>
            <w:vAlign w:val="center"/>
            <w:hideMark/>
          </w:tcPr>
          <w:p w14:paraId="1F8F9739"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62A93BCD"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11680D01"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Organ processing authorisation regime</w:t>
            </w:r>
          </w:p>
        </w:tc>
        <w:tc>
          <w:tcPr>
            <w:tcW w:w="7540" w:type="dxa"/>
            <w:hideMark/>
          </w:tcPr>
          <w:p w14:paraId="5FC7978F"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New Art. 6a</w:t>
            </w:r>
            <w:r w:rsidRPr="0015463C">
              <w:rPr>
                <w:rFonts w:eastAsia="Times New Roman"/>
                <w:color w:val="000000"/>
                <w:lang w:val="en-IE" w:eastAsia="en-IE"/>
              </w:rPr>
              <w:t>: Organ processing authorisation (paras 1-12)</w:t>
            </w:r>
            <w:r w:rsidRPr="0015463C">
              <w:rPr>
                <w:rFonts w:eastAsia="Times New Roman"/>
                <w:color w:val="000000"/>
                <w:lang w:val="en-IE" w:eastAsia="en-IE"/>
              </w:rPr>
              <w:br/>
            </w:r>
            <w:r w:rsidRPr="0015463C">
              <w:rPr>
                <w:rFonts w:eastAsia="Times New Roman"/>
                <w:b/>
                <w:color w:val="000000"/>
                <w:lang w:val="en-IE" w:eastAsia="en-IE"/>
              </w:rPr>
              <w:t>Amendment to Annex Part B:</w:t>
            </w:r>
            <w:r w:rsidRPr="0015463C">
              <w:rPr>
                <w:rFonts w:eastAsia="Times New Roman"/>
                <w:color w:val="000000"/>
                <w:lang w:val="en-IE" w:eastAsia="en-IE"/>
              </w:rPr>
              <w:t xml:space="preserve"> 'Processing' data field</w:t>
            </w:r>
          </w:p>
        </w:tc>
        <w:tc>
          <w:tcPr>
            <w:tcW w:w="1361" w:type="dxa"/>
            <w:noWrap/>
            <w:hideMark/>
          </w:tcPr>
          <w:p w14:paraId="070E2BA2"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45ACA1CB"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1C2B8169" w14:textId="77777777" w:rsidTr="00BF25AE">
        <w:trPr>
          <w:trHeight w:val="560"/>
        </w:trPr>
        <w:tc>
          <w:tcPr>
            <w:tcW w:w="572" w:type="dxa"/>
            <w:vMerge/>
            <w:vAlign w:val="center"/>
            <w:hideMark/>
          </w:tcPr>
          <w:p w14:paraId="2E4CB179"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4F414127"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156D58FA"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Cross-border and cross-framework regulatory coherence</w:t>
            </w:r>
          </w:p>
        </w:tc>
        <w:tc>
          <w:tcPr>
            <w:tcW w:w="7540" w:type="dxa"/>
            <w:hideMark/>
          </w:tcPr>
          <w:p w14:paraId="1EFB2033" w14:textId="22C4E6F6" w:rsidR="00E72B8E" w:rsidRPr="0015463C" w:rsidRDefault="00E72B8E" w:rsidP="00E72B8E">
            <w:pPr>
              <w:jc w:val="left"/>
              <w:rPr>
                <w:rFonts w:eastAsia="Times New Roman"/>
                <w:color w:val="000000"/>
                <w:lang w:val="en-IE" w:eastAsia="en-IE"/>
              </w:rPr>
            </w:pPr>
            <w:r w:rsidRPr="0015463C">
              <w:rPr>
                <w:rFonts w:eastAsia="Times New Roman"/>
                <w:b/>
                <w:color w:val="000000" w:themeColor="text1"/>
                <w:lang w:val="en-IE" w:eastAsia="en-IE"/>
              </w:rPr>
              <w:t>Art. 6a</w:t>
            </w:r>
            <w:r w:rsidR="62194BF9" w:rsidRPr="0015463C">
              <w:rPr>
                <w:rFonts w:eastAsia="Times New Roman"/>
                <w:b/>
                <w:bCs/>
                <w:color w:val="000000" w:themeColor="text1"/>
                <w:lang w:val="en-IE" w:eastAsia="en-IE"/>
              </w:rPr>
              <w:t xml:space="preserve"> </w:t>
            </w:r>
            <w:r w:rsidRPr="0015463C">
              <w:rPr>
                <w:rFonts w:eastAsia="Times New Roman"/>
                <w:b/>
                <w:color w:val="000000" w:themeColor="text1"/>
                <w:lang w:val="en-IE" w:eastAsia="en-IE"/>
              </w:rPr>
              <w:t>(4)-(8)</w:t>
            </w:r>
            <w:r w:rsidRPr="0015463C">
              <w:rPr>
                <w:rFonts w:eastAsia="Times New Roman"/>
                <w:color w:val="000000" w:themeColor="text1"/>
                <w:lang w:val="en-IE" w:eastAsia="en-IE"/>
              </w:rPr>
              <w:t>: Cross-framework coordination</w:t>
            </w:r>
          </w:p>
        </w:tc>
        <w:tc>
          <w:tcPr>
            <w:tcW w:w="1361" w:type="dxa"/>
            <w:noWrap/>
            <w:hideMark/>
          </w:tcPr>
          <w:p w14:paraId="230F12E8"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1455019C"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5AB4D239" w14:textId="77777777" w:rsidTr="00BF25AE">
        <w:trPr>
          <w:trHeight w:val="730"/>
        </w:trPr>
        <w:tc>
          <w:tcPr>
            <w:tcW w:w="572" w:type="dxa"/>
            <w:vMerge w:val="restart"/>
            <w:noWrap/>
            <w:vAlign w:val="center"/>
            <w:hideMark/>
          </w:tcPr>
          <w:p w14:paraId="4C10546A"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t>12</w:t>
            </w:r>
          </w:p>
        </w:tc>
        <w:tc>
          <w:tcPr>
            <w:tcW w:w="1829" w:type="dxa"/>
            <w:vMerge w:val="restart"/>
            <w:vAlign w:val="center"/>
            <w:hideMark/>
          </w:tcPr>
          <w:p w14:paraId="298333FC" w14:textId="77777777" w:rsidR="00E72B8E" w:rsidRPr="0015463C" w:rsidRDefault="00E72B8E" w:rsidP="00E72B8E">
            <w:pPr>
              <w:spacing w:after="0"/>
              <w:jc w:val="left"/>
              <w:rPr>
                <w:rFonts w:eastAsia="Times New Roman"/>
                <w:b/>
                <w:color w:val="000000"/>
                <w:lang w:val="en-IE" w:eastAsia="en-IE"/>
              </w:rPr>
            </w:pPr>
            <w:r w:rsidRPr="0015463C">
              <w:rPr>
                <w:rFonts w:eastAsia="Times New Roman"/>
                <w:b/>
                <w:color w:val="000000"/>
                <w:lang w:val="en-IE" w:eastAsia="en-IE"/>
              </w:rPr>
              <w:t>Regulatory framework for genetically modified micro-</w:t>
            </w:r>
            <w:r w:rsidRPr="0015463C">
              <w:rPr>
                <w:rFonts w:eastAsia="Times New Roman"/>
                <w:b/>
                <w:color w:val="000000"/>
                <w:lang w:val="en-IE" w:eastAsia="en-IE"/>
              </w:rPr>
              <w:br/>
              <w:t>organisms (GMMs) in non-food and non-feed</w:t>
            </w:r>
          </w:p>
        </w:tc>
        <w:tc>
          <w:tcPr>
            <w:tcW w:w="1985" w:type="dxa"/>
            <w:hideMark/>
          </w:tcPr>
          <w:p w14:paraId="296E1D58"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Specific risk assessment criteria and targeted regulatory requirements for all GMMs</w:t>
            </w:r>
          </w:p>
        </w:tc>
        <w:tc>
          <w:tcPr>
            <w:tcW w:w="7540" w:type="dxa"/>
            <w:hideMark/>
          </w:tcPr>
          <w:p w14:paraId="006887CC" w14:textId="77777777" w:rsidR="00E72B8E" w:rsidRPr="0015463C" w:rsidRDefault="00E72B8E" w:rsidP="00E72B8E">
            <w:pPr>
              <w:jc w:val="left"/>
              <w:rPr>
                <w:rFonts w:eastAsia="Times New Roman"/>
                <w:color w:val="000000"/>
                <w:lang w:val="en-IE" w:eastAsia="en-IE"/>
              </w:rPr>
            </w:pPr>
            <w:r w:rsidRPr="0015463C">
              <w:rPr>
                <w:rFonts w:eastAsia="Times New Roman"/>
                <w:b/>
                <w:color w:val="000000"/>
                <w:lang w:val="en-IE" w:eastAsia="en-IE"/>
              </w:rPr>
              <w:t>Amendments to Directive 2001/18/EC:</w:t>
            </w:r>
            <w:r w:rsidRPr="0015463C">
              <w:rPr>
                <w:rFonts w:eastAsia="Times New Roman"/>
                <w:color w:val="000000"/>
                <w:lang w:val="en-IE" w:eastAsia="en-IE"/>
              </w:rPr>
              <w:t xml:space="preserve"> Tailored GMM risk assessment requirements; Detection method modalities; Unlimited validity of market consents</w:t>
            </w:r>
          </w:p>
        </w:tc>
        <w:tc>
          <w:tcPr>
            <w:tcW w:w="1361" w:type="dxa"/>
            <w:noWrap/>
            <w:hideMark/>
          </w:tcPr>
          <w:p w14:paraId="452E53E2"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1D54D67A"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BF25AE" w:rsidRPr="0015463C" w14:paraId="380F9413" w14:textId="77777777" w:rsidTr="00BF25AE">
        <w:trPr>
          <w:trHeight w:val="660"/>
        </w:trPr>
        <w:tc>
          <w:tcPr>
            <w:tcW w:w="572" w:type="dxa"/>
            <w:vMerge/>
            <w:vAlign w:val="center"/>
            <w:hideMark/>
          </w:tcPr>
          <w:p w14:paraId="65F1AE9E"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03C4E268"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332E5EB0"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xml:space="preserve">Accelerated market authorisation </w:t>
            </w:r>
            <w:r w:rsidRPr="0015463C">
              <w:rPr>
                <w:rFonts w:eastAsia="Times New Roman"/>
                <w:color w:val="000000"/>
                <w:lang w:val="en-IE" w:eastAsia="en-IE"/>
              </w:rPr>
              <w:lastRenderedPageBreak/>
              <w:t>pathway for low-risk GMMs</w:t>
            </w:r>
          </w:p>
        </w:tc>
        <w:tc>
          <w:tcPr>
            <w:tcW w:w="7540" w:type="dxa"/>
            <w:hideMark/>
          </w:tcPr>
          <w:p w14:paraId="14F3548A"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lastRenderedPageBreak/>
              <w:t>Amendments to Directive 2001/18/EC</w:t>
            </w:r>
            <w:r w:rsidRPr="0015463C">
              <w:rPr>
                <w:rFonts w:eastAsia="Times New Roman"/>
                <w:color w:val="000000"/>
                <w:lang w:val="en-IE" w:eastAsia="en-IE"/>
              </w:rPr>
              <w:t>: Streamlined procedures for low-risk GMMs (delegated act); Low-risk status demonstration requirements (implementing act); PMEM exemption provisions</w:t>
            </w:r>
          </w:p>
        </w:tc>
        <w:tc>
          <w:tcPr>
            <w:tcW w:w="1361" w:type="dxa"/>
            <w:noWrap/>
            <w:hideMark/>
          </w:tcPr>
          <w:p w14:paraId="55FEFA5D"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31D79F86"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E72B8E" w:rsidRPr="0015463C" w14:paraId="31589045" w14:textId="77777777" w:rsidTr="0057383E">
        <w:trPr>
          <w:trHeight w:val="567"/>
        </w:trPr>
        <w:tc>
          <w:tcPr>
            <w:tcW w:w="14757" w:type="dxa"/>
            <w:gridSpan w:val="6"/>
            <w:shd w:val="clear" w:color="auto" w:fill="275317"/>
            <w:vAlign w:val="center"/>
            <w:hideMark/>
          </w:tcPr>
          <w:p w14:paraId="48B05FD0" w14:textId="77777777" w:rsidR="00E72B8E" w:rsidRPr="0015463C" w:rsidRDefault="00E72B8E" w:rsidP="00E72B8E">
            <w:pPr>
              <w:spacing w:after="0"/>
              <w:jc w:val="left"/>
              <w:rPr>
                <w:rFonts w:eastAsia="Times New Roman"/>
                <w:b/>
                <w:color w:val="FFFFFF"/>
                <w:lang w:val="en-IE" w:eastAsia="en-IE"/>
              </w:rPr>
            </w:pPr>
            <w:r w:rsidRPr="0015463C">
              <w:rPr>
                <w:rFonts w:eastAsia="Times New Roman"/>
                <w:b/>
                <w:color w:val="FFFFFF"/>
                <w:lang w:val="en-IE" w:eastAsia="en-IE"/>
              </w:rPr>
              <w:t>Access to capital</w:t>
            </w:r>
          </w:p>
        </w:tc>
      </w:tr>
      <w:tr w:rsidR="00BF25AE" w:rsidRPr="0015463C" w14:paraId="378563FC" w14:textId="77777777" w:rsidTr="00BF25AE">
        <w:trPr>
          <w:trHeight w:val="560"/>
        </w:trPr>
        <w:tc>
          <w:tcPr>
            <w:tcW w:w="572" w:type="dxa"/>
            <w:vMerge w:val="restart"/>
            <w:noWrap/>
            <w:vAlign w:val="center"/>
            <w:hideMark/>
          </w:tcPr>
          <w:p w14:paraId="2DA37B83"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t>13</w:t>
            </w:r>
          </w:p>
        </w:tc>
        <w:tc>
          <w:tcPr>
            <w:tcW w:w="1829" w:type="dxa"/>
            <w:vMerge w:val="restart"/>
            <w:vAlign w:val="center"/>
            <w:hideMark/>
          </w:tcPr>
          <w:p w14:paraId="73C61F43" w14:textId="77777777" w:rsidR="00E72B8E" w:rsidRPr="0015463C" w:rsidRDefault="00E72B8E" w:rsidP="00E72B8E">
            <w:pPr>
              <w:spacing w:after="0"/>
              <w:jc w:val="left"/>
              <w:rPr>
                <w:rFonts w:eastAsia="Times New Roman"/>
                <w:b/>
                <w:color w:val="000000"/>
                <w:lang w:val="en-IE" w:eastAsia="en-IE"/>
              </w:rPr>
            </w:pPr>
            <w:r w:rsidRPr="0015463C">
              <w:rPr>
                <w:rFonts w:eastAsia="Times New Roman"/>
                <w:b/>
                <w:color w:val="000000"/>
                <w:lang w:val="en-IE" w:eastAsia="en-IE"/>
              </w:rPr>
              <w:t>Financing instruments for biotech companies and projects</w:t>
            </w:r>
          </w:p>
        </w:tc>
        <w:tc>
          <w:tcPr>
            <w:tcW w:w="1985" w:type="dxa"/>
            <w:hideMark/>
          </w:tcPr>
          <w:p w14:paraId="12AA42E8"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EU health biotechnology investment pilot</w:t>
            </w:r>
          </w:p>
        </w:tc>
        <w:tc>
          <w:tcPr>
            <w:tcW w:w="7540" w:type="dxa"/>
            <w:hideMark/>
          </w:tcPr>
          <w:p w14:paraId="28D5719C"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III:</w:t>
            </w:r>
            <w:r w:rsidRPr="0015463C">
              <w:rPr>
                <w:rFonts w:eastAsia="Times New Roman"/>
                <w:color w:val="000000"/>
                <w:lang w:val="en-IE" w:eastAsia="en-IE"/>
              </w:rPr>
              <w:t xml:space="preserve"> Art. 22: EU health biotechnology investment pilot  </w:t>
            </w:r>
            <w:r w:rsidRPr="0015463C">
              <w:rPr>
                <w:rFonts w:eastAsia="Times New Roman"/>
                <w:color w:val="000000"/>
                <w:lang w:val="en-IE" w:eastAsia="en-IE"/>
              </w:rPr>
              <w:br/>
            </w:r>
            <w:r w:rsidRPr="0015463C">
              <w:rPr>
                <w:rFonts w:eastAsia="Times New Roman"/>
                <w:b/>
                <w:color w:val="000000"/>
                <w:lang w:val="en-IE" w:eastAsia="en-IE"/>
              </w:rPr>
              <w:t>Recitals (44)-(49)</w:t>
            </w:r>
          </w:p>
        </w:tc>
        <w:tc>
          <w:tcPr>
            <w:tcW w:w="1361" w:type="dxa"/>
            <w:noWrap/>
            <w:hideMark/>
          </w:tcPr>
          <w:p w14:paraId="1F743169"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4798446A"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25457757" w14:textId="77777777" w:rsidTr="00BF25AE">
        <w:trPr>
          <w:trHeight w:val="1200"/>
        </w:trPr>
        <w:tc>
          <w:tcPr>
            <w:tcW w:w="572" w:type="dxa"/>
            <w:vMerge/>
            <w:vAlign w:val="center"/>
            <w:hideMark/>
          </w:tcPr>
          <w:p w14:paraId="13598D58"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6D9037CA"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50B943E2"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Support package for an EU biotechnology late-stage capital booster pilot projects</w:t>
            </w:r>
          </w:p>
        </w:tc>
        <w:tc>
          <w:tcPr>
            <w:tcW w:w="7540" w:type="dxa"/>
            <w:hideMark/>
          </w:tcPr>
          <w:p w14:paraId="6E6E068C"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 xml:space="preserve">Chapter III: </w:t>
            </w:r>
            <w:r w:rsidRPr="0015463C">
              <w:rPr>
                <w:rFonts w:eastAsia="Times New Roman"/>
                <w:color w:val="000000"/>
                <w:lang w:val="en-IE" w:eastAsia="en-IE"/>
              </w:rPr>
              <w:t>Art. 23: EU biotechnology late-stage capital booster pilot; Art. 24: Biotechnology as a strategic technology eligible for Union and national financial support; Art. 25: Funding for high impact health biotechnology strategic projects; Art. 26: Coordination of financing</w:t>
            </w:r>
            <w:r w:rsidRPr="0015463C">
              <w:rPr>
                <w:rFonts w:eastAsia="Times New Roman"/>
                <w:color w:val="000000"/>
                <w:lang w:val="en-IE" w:eastAsia="en-IE"/>
              </w:rPr>
              <w:br/>
            </w:r>
            <w:r w:rsidRPr="0015463C">
              <w:rPr>
                <w:rFonts w:eastAsia="Times New Roman"/>
                <w:b/>
                <w:color w:val="000000"/>
                <w:lang w:val="en-IE" w:eastAsia="en-IE"/>
              </w:rPr>
              <w:t>Chapter II, Section 2 (Articles 11-14)</w:t>
            </w:r>
            <w:r w:rsidRPr="0015463C">
              <w:rPr>
                <w:rFonts w:eastAsia="Times New Roman"/>
                <w:color w:val="000000"/>
                <w:lang w:val="en-IE" w:eastAsia="en-IE"/>
              </w:rPr>
              <w:t xml:space="preserve">: Support measures apply via Article 4(1)(c)  </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(50)-(56)</w:t>
            </w:r>
          </w:p>
        </w:tc>
        <w:tc>
          <w:tcPr>
            <w:tcW w:w="1361" w:type="dxa"/>
            <w:noWrap/>
            <w:hideMark/>
          </w:tcPr>
          <w:p w14:paraId="0DFE13B6"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6746E17D"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E72B8E" w:rsidRPr="0015463C" w14:paraId="1EE22101" w14:textId="77777777" w:rsidTr="0057383E">
        <w:trPr>
          <w:trHeight w:val="567"/>
        </w:trPr>
        <w:tc>
          <w:tcPr>
            <w:tcW w:w="14757" w:type="dxa"/>
            <w:gridSpan w:val="6"/>
            <w:shd w:val="clear" w:color="auto" w:fill="51154A"/>
            <w:vAlign w:val="center"/>
            <w:hideMark/>
          </w:tcPr>
          <w:p w14:paraId="750012E7" w14:textId="77777777" w:rsidR="00E72B8E" w:rsidRPr="0015463C" w:rsidRDefault="00E72B8E" w:rsidP="00E72B8E">
            <w:pPr>
              <w:spacing w:after="0"/>
              <w:jc w:val="left"/>
              <w:rPr>
                <w:rFonts w:eastAsia="Times New Roman"/>
                <w:b/>
                <w:color w:val="FFFFFF"/>
                <w:lang w:val="en-IE" w:eastAsia="en-IE"/>
              </w:rPr>
            </w:pPr>
            <w:r w:rsidRPr="0015463C">
              <w:rPr>
                <w:rFonts w:eastAsia="Times New Roman"/>
                <w:b/>
                <w:color w:val="FFFFFF"/>
                <w:lang w:val="en-IE" w:eastAsia="en-IE"/>
              </w:rPr>
              <w:t>Intellectual property</w:t>
            </w:r>
          </w:p>
        </w:tc>
      </w:tr>
      <w:tr w:rsidR="00BF25AE" w:rsidRPr="0015463C" w14:paraId="588DDD41" w14:textId="77777777" w:rsidTr="0057383E">
        <w:trPr>
          <w:trHeight w:val="1010"/>
        </w:trPr>
        <w:tc>
          <w:tcPr>
            <w:tcW w:w="572" w:type="dxa"/>
            <w:noWrap/>
            <w:vAlign w:val="center"/>
            <w:hideMark/>
          </w:tcPr>
          <w:p w14:paraId="6418EB38"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t>14</w:t>
            </w:r>
          </w:p>
        </w:tc>
        <w:tc>
          <w:tcPr>
            <w:tcW w:w="1829" w:type="dxa"/>
            <w:vAlign w:val="center"/>
            <w:hideMark/>
          </w:tcPr>
          <w:p w14:paraId="2B04A49A" w14:textId="77777777" w:rsidR="00E72B8E" w:rsidRPr="0015463C" w:rsidRDefault="00E72B8E" w:rsidP="00E72B8E">
            <w:pPr>
              <w:spacing w:after="0"/>
              <w:jc w:val="left"/>
              <w:rPr>
                <w:rFonts w:eastAsia="Times New Roman"/>
                <w:b/>
                <w:color w:val="000000"/>
                <w:lang w:val="en-IE" w:eastAsia="en-IE"/>
              </w:rPr>
            </w:pPr>
            <w:r w:rsidRPr="0015463C">
              <w:rPr>
                <w:rFonts w:eastAsia="Times New Roman"/>
                <w:b/>
                <w:color w:val="000000"/>
                <w:lang w:val="en-IE" w:eastAsia="en-IE"/>
              </w:rPr>
              <w:t>SPC extension for biotechnology medicines</w:t>
            </w:r>
          </w:p>
        </w:tc>
        <w:tc>
          <w:tcPr>
            <w:tcW w:w="1985" w:type="dxa"/>
            <w:hideMark/>
          </w:tcPr>
          <w:p w14:paraId="6C2B78F1"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Extension of the supplementary protection certificate concerning best-in-class biotechnology medicines</w:t>
            </w:r>
          </w:p>
        </w:tc>
        <w:tc>
          <w:tcPr>
            <w:tcW w:w="7540" w:type="dxa"/>
            <w:hideMark/>
          </w:tcPr>
          <w:p w14:paraId="5ACB9CF3"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IV:</w:t>
            </w:r>
            <w:r w:rsidRPr="0015463C">
              <w:rPr>
                <w:rFonts w:eastAsia="Times New Roman"/>
                <w:color w:val="000000"/>
                <w:lang w:val="en-IE" w:eastAsia="en-IE"/>
              </w:rPr>
              <w:t xml:space="preserve"> Art. 27: Extension of the supplementary protection certificate concerning best-in-class biotechnology medicines developed in the Union  </w:t>
            </w:r>
            <w:r w:rsidRPr="0015463C">
              <w:rPr>
                <w:rFonts w:eastAsia="Times New Roman"/>
                <w:color w:val="000000"/>
                <w:lang w:val="en-IE" w:eastAsia="en-IE"/>
              </w:rPr>
              <w:br/>
            </w:r>
            <w:r w:rsidRPr="0015463C">
              <w:rPr>
                <w:rFonts w:eastAsia="Times New Roman"/>
                <w:b/>
                <w:color w:val="000000"/>
                <w:lang w:val="en-IE" w:eastAsia="en-IE"/>
              </w:rPr>
              <w:t>Recital</w:t>
            </w:r>
            <w:r w:rsidRPr="0015463C">
              <w:rPr>
                <w:rFonts w:eastAsia="Times New Roman"/>
                <w:color w:val="000000"/>
                <w:lang w:val="en-IE" w:eastAsia="en-IE"/>
              </w:rPr>
              <w:t xml:space="preserve"> (57)</w:t>
            </w:r>
          </w:p>
        </w:tc>
        <w:tc>
          <w:tcPr>
            <w:tcW w:w="1361" w:type="dxa"/>
            <w:noWrap/>
            <w:hideMark/>
          </w:tcPr>
          <w:p w14:paraId="50510997"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c>
          <w:tcPr>
            <w:tcW w:w="1470" w:type="dxa"/>
            <w:noWrap/>
            <w:hideMark/>
          </w:tcPr>
          <w:p w14:paraId="4FE9D499"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r>
      <w:tr w:rsidR="00E72B8E" w:rsidRPr="0015463C" w14:paraId="736272A5" w14:textId="77777777" w:rsidTr="0057383E">
        <w:trPr>
          <w:trHeight w:val="567"/>
        </w:trPr>
        <w:tc>
          <w:tcPr>
            <w:tcW w:w="14757" w:type="dxa"/>
            <w:gridSpan w:val="6"/>
            <w:shd w:val="clear" w:color="auto" w:fill="393939"/>
            <w:vAlign w:val="center"/>
            <w:hideMark/>
          </w:tcPr>
          <w:p w14:paraId="556DE120" w14:textId="77777777" w:rsidR="00E72B8E" w:rsidRPr="0015463C" w:rsidRDefault="00E72B8E" w:rsidP="00E72B8E">
            <w:pPr>
              <w:spacing w:after="0"/>
              <w:jc w:val="left"/>
              <w:rPr>
                <w:rFonts w:eastAsia="Times New Roman"/>
                <w:b/>
                <w:color w:val="FFFFFF"/>
                <w:lang w:val="en-IE" w:eastAsia="en-IE"/>
              </w:rPr>
            </w:pPr>
            <w:r w:rsidRPr="0015463C">
              <w:rPr>
                <w:rFonts w:eastAsia="Times New Roman"/>
                <w:b/>
                <w:color w:val="FFFFFF"/>
                <w:lang w:val="en-IE" w:eastAsia="en-IE"/>
              </w:rPr>
              <w:t>AI and data</w:t>
            </w:r>
          </w:p>
        </w:tc>
      </w:tr>
      <w:tr w:rsidR="00BF25AE" w:rsidRPr="0015463C" w14:paraId="4C31D143" w14:textId="77777777" w:rsidTr="00BF25AE">
        <w:trPr>
          <w:trHeight w:val="960"/>
        </w:trPr>
        <w:tc>
          <w:tcPr>
            <w:tcW w:w="572" w:type="dxa"/>
            <w:vMerge w:val="restart"/>
            <w:noWrap/>
            <w:vAlign w:val="center"/>
            <w:hideMark/>
          </w:tcPr>
          <w:p w14:paraId="22D524F8" w14:textId="77777777" w:rsidR="00E72B8E" w:rsidRPr="0015463C" w:rsidRDefault="00E72B8E" w:rsidP="00E72B8E">
            <w:pPr>
              <w:spacing w:after="0"/>
              <w:jc w:val="center"/>
              <w:rPr>
                <w:rFonts w:eastAsia="Times New Roman"/>
                <w:b/>
                <w:color w:val="000000"/>
                <w:lang w:val="en-IE" w:eastAsia="en-IE"/>
              </w:rPr>
            </w:pPr>
            <w:r w:rsidRPr="0015463C">
              <w:rPr>
                <w:rFonts w:eastAsia="Times New Roman"/>
                <w:b/>
                <w:color w:val="000000"/>
                <w:lang w:val="en-IE" w:eastAsia="en-IE"/>
              </w:rPr>
              <w:t>15</w:t>
            </w:r>
          </w:p>
        </w:tc>
        <w:tc>
          <w:tcPr>
            <w:tcW w:w="1829" w:type="dxa"/>
            <w:vMerge w:val="restart"/>
            <w:vAlign w:val="center"/>
            <w:hideMark/>
          </w:tcPr>
          <w:p w14:paraId="65F80FD7" w14:textId="77777777" w:rsidR="00E72B8E" w:rsidRPr="0015463C" w:rsidRDefault="00E72B8E" w:rsidP="00E72B8E">
            <w:pPr>
              <w:spacing w:after="0"/>
              <w:jc w:val="left"/>
              <w:rPr>
                <w:rFonts w:eastAsia="Times New Roman"/>
                <w:b/>
                <w:color w:val="000000"/>
                <w:lang w:val="en-IE" w:eastAsia="en-IE"/>
              </w:rPr>
            </w:pPr>
            <w:r w:rsidRPr="0015463C">
              <w:rPr>
                <w:rFonts w:eastAsia="Times New Roman"/>
                <w:b/>
                <w:color w:val="000000"/>
                <w:lang w:val="en-IE" w:eastAsia="en-IE"/>
              </w:rPr>
              <w:t xml:space="preserve">AI and data guidance framework for </w:t>
            </w:r>
            <w:r w:rsidRPr="0015463C">
              <w:rPr>
                <w:rFonts w:eastAsia="Times New Roman"/>
                <w:b/>
                <w:color w:val="000000"/>
                <w:lang w:val="en-IE" w:eastAsia="en-IE"/>
              </w:rPr>
              <w:lastRenderedPageBreak/>
              <w:t>health biotechnology</w:t>
            </w:r>
          </w:p>
        </w:tc>
        <w:tc>
          <w:tcPr>
            <w:tcW w:w="1985" w:type="dxa"/>
            <w:hideMark/>
          </w:tcPr>
          <w:p w14:paraId="78848B76" w14:textId="709D1CEB" w:rsidR="00E72B8E" w:rsidRPr="0015463C" w:rsidRDefault="00E72B8E" w:rsidP="00E72B8E">
            <w:pPr>
              <w:spacing w:after="0"/>
              <w:jc w:val="left"/>
              <w:rPr>
                <w:rFonts w:eastAsia="Times New Roman"/>
                <w:color w:val="000000"/>
                <w:lang w:val="en-IE" w:eastAsia="en-IE"/>
              </w:rPr>
            </w:pPr>
            <w:r w:rsidRPr="0015463C">
              <w:rPr>
                <w:rFonts w:eastAsia="Times New Roman"/>
                <w:color w:val="000000" w:themeColor="text1"/>
                <w:lang w:val="en-IE" w:eastAsia="en-IE"/>
              </w:rPr>
              <w:lastRenderedPageBreak/>
              <w:t xml:space="preserve">EMA guidance on AI and advanced technologies in the medicinal </w:t>
            </w:r>
            <w:r w:rsidRPr="0015463C">
              <w:rPr>
                <w:rFonts w:eastAsia="Times New Roman"/>
                <w:color w:val="000000" w:themeColor="text1"/>
                <w:lang w:val="en-IE" w:eastAsia="en-IE"/>
              </w:rPr>
              <w:lastRenderedPageBreak/>
              <w:t>product lifecycle (Article 31)</w:t>
            </w:r>
          </w:p>
        </w:tc>
        <w:tc>
          <w:tcPr>
            <w:tcW w:w="7540" w:type="dxa"/>
            <w:hideMark/>
          </w:tcPr>
          <w:p w14:paraId="0FE71E56"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lastRenderedPageBreak/>
              <w:t>Chapter VI</w:t>
            </w:r>
            <w:r w:rsidRPr="0015463C">
              <w:rPr>
                <w:rFonts w:eastAsia="Times New Roman"/>
                <w:color w:val="000000"/>
                <w:lang w:val="en-IE" w:eastAsia="en-IE"/>
              </w:rPr>
              <w:t xml:space="preserve">: Art. 31: Guidance on the deployment and use of systems based on advanced technologies, including AI, in the lifecycle of medicinal products  </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(64)-(68)</w:t>
            </w:r>
          </w:p>
        </w:tc>
        <w:tc>
          <w:tcPr>
            <w:tcW w:w="1361" w:type="dxa"/>
            <w:noWrap/>
            <w:hideMark/>
          </w:tcPr>
          <w:p w14:paraId="30839572"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430905D7"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079D0F7C" w14:textId="77777777" w:rsidTr="00BF25AE">
        <w:trPr>
          <w:trHeight w:val="990"/>
        </w:trPr>
        <w:tc>
          <w:tcPr>
            <w:tcW w:w="572" w:type="dxa"/>
            <w:vMerge/>
            <w:vAlign w:val="center"/>
            <w:hideMark/>
          </w:tcPr>
          <w:p w14:paraId="2E35CE1C"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6130C8AF"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278FCA7A"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Biotechnology testing environments for advanced biotechnology innovations (Article 32)</w:t>
            </w:r>
          </w:p>
        </w:tc>
        <w:tc>
          <w:tcPr>
            <w:tcW w:w="7540" w:type="dxa"/>
            <w:hideMark/>
          </w:tcPr>
          <w:p w14:paraId="5257692F"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VI:</w:t>
            </w:r>
            <w:r w:rsidRPr="0015463C">
              <w:rPr>
                <w:rFonts w:eastAsia="Times New Roman"/>
                <w:color w:val="000000"/>
                <w:lang w:val="en-IE" w:eastAsia="en-IE"/>
              </w:rPr>
              <w:t xml:space="preserve"> Art. 32: Biotechnology testing environments for advanced biotechnology innovations  </w:t>
            </w:r>
            <w:r w:rsidRPr="0015463C">
              <w:rPr>
                <w:rFonts w:eastAsia="Times New Roman"/>
                <w:color w:val="000000"/>
                <w:lang w:val="en-IE" w:eastAsia="en-IE"/>
              </w:rPr>
              <w:br/>
            </w:r>
            <w:r w:rsidRPr="0015463C">
              <w:rPr>
                <w:rFonts w:eastAsia="Times New Roman"/>
                <w:b/>
                <w:color w:val="000000"/>
                <w:lang w:val="en-IE" w:eastAsia="en-IE"/>
              </w:rPr>
              <w:t>Chapter II:</w:t>
            </w:r>
            <w:r w:rsidRPr="0015463C">
              <w:rPr>
                <w:rFonts w:eastAsia="Times New Roman"/>
                <w:color w:val="000000"/>
                <w:lang w:val="en-IE" w:eastAsia="en-IE"/>
              </w:rPr>
              <w:t xml:space="preserve"> Art. 4(1)(d): High impact recognition criteria  </w:t>
            </w:r>
            <w:r w:rsidRPr="0015463C">
              <w:rPr>
                <w:rFonts w:eastAsia="Times New Roman"/>
                <w:color w:val="000000"/>
                <w:lang w:val="en-IE" w:eastAsia="en-IE"/>
              </w:rPr>
              <w:br/>
            </w:r>
            <w:r w:rsidRPr="0015463C">
              <w:rPr>
                <w:rFonts w:eastAsia="Times New Roman"/>
                <w:b/>
                <w:color w:val="000000"/>
                <w:lang w:val="en-IE" w:eastAsia="en-IE"/>
              </w:rPr>
              <w:t>Chapter II, Section 2 (Articles 11-14):</w:t>
            </w:r>
            <w:r w:rsidRPr="0015463C">
              <w:rPr>
                <w:rFonts w:eastAsia="Times New Roman"/>
                <w:color w:val="000000"/>
                <w:lang w:val="en-IE" w:eastAsia="en-IE"/>
              </w:rPr>
              <w:t xml:space="preserve"> Support measures apply  </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(69)-(70)</w:t>
            </w:r>
          </w:p>
        </w:tc>
        <w:tc>
          <w:tcPr>
            <w:tcW w:w="1361" w:type="dxa"/>
            <w:noWrap/>
            <w:hideMark/>
          </w:tcPr>
          <w:p w14:paraId="7E6B191F"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6DAFAD6D"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BF25AE" w:rsidRPr="0015463C" w14:paraId="2242AD86" w14:textId="77777777" w:rsidTr="00BF25AE">
        <w:trPr>
          <w:trHeight w:val="960"/>
        </w:trPr>
        <w:tc>
          <w:tcPr>
            <w:tcW w:w="572" w:type="dxa"/>
            <w:vMerge/>
            <w:vAlign w:val="center"/>
            <w:hideMark/>
          </w:tcPr>
          <w:p w14:paraId="2F67B647" w14:textId="77777777" w:rsidR="00E72B8E" w:rsidRPr="0015463C" w:rsidRDefault="00E72B8E" w:rsidP="00E72B8E">
            <w:pPr>
              <w:spacing w:after="0"/>
              <w:jc w:val="left"/>
              <w:rPr>
                <w:rFonts w:eastAsia="Times New Roman"/>
                <w:b/>
                <w:color w:val="000000"/>
                <w:lang w:val="en-IE" w:eastAsia="en-IE"/>
              </w:rPr>
            </w:pPr>
          </w:p>
        </w:tc>
        <w:tc>
          <w:tcPr>
            <w:tcW w:w="1829" w:type="dxa"/>
            <w:vMerge/>
            <w:vAlign w:val="center"/>
            <w:hideMark/>
          </w:tcPr>
          <w:p w14:paraId="38C89E68" w14:textId="77777777" w:rsidR="00E72B8E" w:rsidRPr="0015463C" w:rsidRDefault="00E72B8E" w:rsidP="00E72B8E">
            <w:pPr>
              <w:spacing w:after="0"/>
              <w:jc w:val="left"/>
              <w:rPr>
                <w:rFonts w:eastAsia="Times New Roman"/>
                <w:b/>
                <w:color w:val="000000"/>
                <w:lang w:val="en-IE" w:eastAsia="en-IE"/>
              </w:rPr>
            </w:pPr>
          </w:p>
        </w:tc>
        <w:tc>
          <w:tcPr>
            <w:tcW w:w="1985" w:type="dxa"/>
            <w:hideMark/>
          </w:tcPr>
          <w:p w14:paraId="0371C2BE"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Biotechnology data quality accelerator (Article 33)</w:t>
            </w:r>
          </w:p>
        </w:tc>
        <w:tc>
          <w:tcPr>
            <w:tcW w:w="7540" w:type="dxa"/>
            <w:hideMark/>
          </w:tcPr>
          <w:p w14:paraId="3E48A706" w14:textId="77777777" w:rsidR="00E72B8E" w:rsidRPr="0015463C" w:rsidRDefault="00E72B8E" w:rsidP="00E72B8E">
            <w:pPr>
              <w:spacing w:after="0"/>
              <w:jc w:val="left"/>
              <w:rPr>
                <w:rFonts w:eastAsia="Times New Roman"/>
                <w:color w:val="000000"/>
                <w:lang w:val="en-IE" w:eastAsia="en-IE"/>
              </w:rPr>
            </w:pPr>
            <w:r w:rsidRPr="0015463C">
              <w:rPr>
                <w:rFonts w:eastAsia="Times New Roman"/>
                <w:b/>
                <w:color w:val="000000"/>
                <w:lang w:val="en-IE" w:eastAsia="en-IE"/>
              </w:rPr>
              <w:t>Chapter VI:</w:t>
            </w:r>
            <w:r w:rsidRPr="0015463C">
              <w:rPr>
                <w:rFonts w:eastAsia="Times New Roman"/>
                <w:color w:val="000000"/>
                <w:lang w:val="en-IE" w:eastAsia="en-IE"/>
              </w:rPr>
              <w:t xml:space="preserve"> Art. 33: Biotechnology data quality accelerator  </w:t>
            </w:r>
            <w:r w:rsidRPr="0015463C">
              <w:rPr>
                <w:rFonts w:eastAsia="Times New Roman"/>
                <w:color w:val="000000"/>
                <w:lang w:val="en-IE" w:eastAsia="en-IE"/>
              </w:rPr>
              <w:br/>
            </w:r>
            <w:r w:rsidRPr="0015463C">
              <w:rPr>
                <w:rFonts w:eastAsia="Times New Roman"/>
                <w:b/>
                <w:color w:val="000000"/>
                <w:lang w:val="en-IE" w:eastAsia="en-IE"/>
              </w:rPr>
              <w:t xml:space="preserve">Chapter II: </w:t>
            </w:r>
            <w:r w:rsidRPr="0015463C">
              <w:rPr>
                <w:rFonts w:eastAsia="Times New Roman"/>
                <w:color w:val="000000"/>
                <w:lang w:val="en-IE" w:eastAsia="en-IE"/>
              </w:rPr>
              <w:t xml:space="preserve">Art. 4(1)(d): High impact recognition criteria  </w:t>
            </w:r>
            <w:r w:rsidRPr="0015463C">
              <w:rPr>
                <w:rFonts w:eastAsia="Times New Roman"/>
                <w:color w:val="000000"/>
                <w:lang w:val="en-IE" w:eastAsia="en-IE"/>
              </w:rPr>
              <w:br/>
            </w:r>
            <w:r w:rsidRPr="0015463C">
              <w:rPr>
                <w:rFonts w:eastAsia="Times New Roman"/>
                <w:b/>
                <w:color w:val="000000"/>
                <w:lang w:val="en-IE" w:eastAsia="en-IE"/>
              </w:rPr>
              <w:t>Chapter II, Section 2</w:t>
            </w:r>
            <w:r w:rsidRPr="0015463C">
              <w:rPr>
                <w:rFonts w:eastAsia="Times New Roman"/>
                <w:color w:val="000000"/>
                <w:lang w:val="en-IE" w:eastAsia="en-IE"/>
              </w:rPr>
              <w:t xml:space="preserve"> (Articles 11-14): Support measures apply  </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(69)-(71)</w:t>
            </w:r>
          </w:p>
        </w:tc>
        <w:tc>
          <w:tcPr>
            <w:tcW w:w="1361" w:type="dxa"/>
            <w:noWrap/>
            <w:hideMark/>
          </w:tcPr>
          <w:p w14:paraId="043C6D45"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1D38AC9C" w14:textId="77777777" w:rsidR="00E72B8E" w:rsidRPr="0015463C" w:rsidRDefault="00E72B8E" w:rsidP="00E72B8E">
            <w:pPr>
              <w:spacing w:after="0"/>
              <w:jc w:val="left"/>
              <w:rPr>
                <w:rFonts w:eastAsia="Times New Roman"/>
                <w:color w:val="000000"/>
                <w:lang w:val="en-IE" w:eastAsia="en-IE"/>
              </w:rPr>
            </w:pPr>
            <w:r w:rsidRPr="0015463C">
              <w:rPr>
                <w:rFonts w:eastAsia="Times New Roman"/>
                <w:color w:val="000000"/>
                <w:lang w:val="en-IE" w:eastAsia="en-IE"/>
              </w:rPr>
              <w:t>X</w:t>
            </w:r>
          </w:p>
        </w:tc>
      </w:tr>
      <w:tr w:rsidR="00E72B8E" w:rsidRPr="0015463C" w14:paraId="06AFEDDB" w14:textId="77777777" w:rsidTr="0057383E">
        <w:trPr>
          <w:trHeight w:val="567"/>
        </w:trPr>
        <w:tc>
          <w:tcPr>
            <w:tcW w:w="14757" w:type="dxa"/>
            <w:gridSpan w:val="6"/>
            <w:shd w:val="clear" w:color="auto" w:fill="A20001"/>
            <w:vAlign w:val="center"/>
            <w:hideMark/>
          </w:tcPr>
          <w:p w14:paraId="7307A0C7" w14:textId="3314317C" w:rsidR="00E72B8E" w:rsidRPr="0015463C" w:rsidRDefault="00E72B8E" w:rsidP="00E72B8E">
            <w:pPr>
              <w:spacing w:after="0"/>
              <w:jc w:val="left"/>
              <w:rPr>
                <w:rFonts w:eastAsia="Times New Roman"/>
                <w:b/>
                <w:color w:val="FFFFFF"/>
                <w:lang w:val="en-IE" w:eastAsia="en-IE"/>
              </w:rPr>
            </w:pPr>
            <w:r w:rsidRPr="0015463C">
              <w:rPr>
                <w:rFonts w:eastAsia="Times New Roman"/>
                <w:b/>
                <w:color w:val="FFFFFF"/>
                <w:lang w:val="en-IE" w:eastAsia="en-IE"/>
              </w:rPr>
              <w:t>Biodefence and biosecurity</w:t>
            </w:r>
          </w:p>
        </w:tc>
      </w:tr>
      <w:tr w:rsidR="007246D5" w:rsidRPr="0015463C" w14:paraId="7273E2AC" w14:textId="77777777" w:rsidTr="00EA2C95">
        <w:trPr>
          <w:trHeight w:val="1010"/>
        </w:trPr>
        <w:tc>
          <w:tcPr>
            <w:tcW w:w="572" w:type="dxa"/>
            <w:vMerge w:val="restart"/>
            <w:noWrap/>
            <w:vAlign w:val="center"/>
          </w:tcPr>
          <w:p w14:paraId="75E58C8C" w14:textId="5752AE22" w:rsidR="007246D5" w:rsidRPr="0015463C" w:rsidRDefault="007246D5" w:rsidP="007246D5">
            <w:pPr>
              <w:spacing w:after="0"/>
              <w:jc w:val="center"/>
              <w:rPr>
                <w:rFonts w:eastAsia="Times New Roman"/>
                <w:b/>
                <w:color w:val="000000"/>
                <w:lang w:val="en-IE" w:eastAsia="en-IE"/>
              </w:rPr>
            </w:pPr>
            <w:r w:rsidRPr="0015463C">
              <w:rPr>
                <w:rFonts w:eastAsia="Times New Roman"/>
                <w:b/>
                <w:color w:val="000000"/>
                <w:lang w:val="en-IE" w:eastAsia="en-IE"/>
              </w:rPr>
              <w:t>16</w:t>
            </w:r>
          </w:p>
        </w:tc>
        <w:tc>
          <w:tcPr>
            <w:tcW w:w="1829" w:type="dxa"/>
            <w:vMerge w:val="restart"/>
            <w:vAlign w:val="center"/>
          </w:tcPr>
          <w:p w14:paraId="024DE048" w14:textId="19EF3D9F" w:rsidR="007246D5" w:rsidRPr="0015463C" w:rsidRDefault="007246D5" w:rsidP="007246D5">
            <w:pPr>
              <w:spacing w:after="0"/>
              <w:jc w:val="left"/>
              <w:rPr>
                <w:rFonts w:eastAsia="Times New Roman"/>
                <w:b/>
                <w:color w:val="000000"/>
                <w:lang w:val="en-IE" w:eastAsia="en-IE"/>
              </w:rPr>
            </w:pPr>
            <w:r w:rsidRPr="0015463C">
              <w:rPr>
                <w:rFonts w:eastAsia="Times New Roman"/>
                <w:b/>
                <w:color w:val="000000"/>
                <w:lang w:val="en-IE" w:eastAsia="en-IE"/>
              </w:rPr>
              <w:t>Control and monitoring framework for biotechnology products of concern</w:t>
            </w:r>
          </w:p>
        </w:tc>
        <w:tc>
          <w:tcPr>
            <w:tcW w:w="1985" w:type="dxa"/>
          </w:tcPr>
          <w:p w14:paraId="00A1E2BB" w14:textId="0A1BCC7D" w:rsidR="007246D5" w:rsidRPr="0015463C" w:rsidRDefault="007246D5" w:rsidP="007246D5">
            <w:pPr>
              <w:spacing w:after="0"/>
              <w:jc w:val="left"/>
              <w:rPr>
                <w:rFonts w:eastAsia="Times New Roman"/>
                <w:color w:val="000000"/>
                <w:lang w:val="en-IE" w:eastAsia="en-IE"/>
              </w:rPr>
            </w:pPr>
            <w:r w:rsidRPr="0015463C">
              <w:rPr>
                <w:rFonts w:eastAsia="Times New Roman"/>
                <w:color w:val="000000"/>
                <w:lang w:val="en-IE" w:eastAsia="en-IE"/>
              </w:rPr>
              <w:t>Regulation of biotechnology products of concern</w:t>
            </w:r>
          </w:p>
        </w:tc>
        <w:tc>
          <w:tcPr>
            <w:tcW w:w="7540" w:type="dxa"/>
          </w:tcPr>
          <w:p w14:paraId="5D83D8BB" w14:textId="67809513" w:rsidR="007246D5" w:rsidRPr="0015463C" w:rsidRDefault="007246D5" w:rsidP="007246D5">
            <w:pPr>
              <w:spacing w:after="0"/>
              <w:jc w:val="left"/>
              <w:rPr>
                <w:rFonts w:eastAsia="Times New Roman"/>
                <w:b/>
                <w:color w:val="000000"/>
                <w:lang w:val="en-IE" w:eastAsia="en-IE"/>
              </w:rPr>
            </w:pPr>
            <w:r w:rsidRPr="0015463C">
              <w:rPr>
                <w:rFonts w:eastAsia="Times New Roman"/>
                <w:b/>
                <w:color w:val="000000"/>
                <w:lang w:val="en-IE" w:eastAsia="en-IE"/>
              </w:rPr>
              <w:t>Chapter VIII, Section 2</w:t>
            </w:r>
            <w:r w:rsidRPr="0015463C">
              <w:rPr>
                <w:rFonts w:eastAsia="Times New Roman"/>
                <w:color w:val="000000"/>
                <w:lang w:val="en-IE" w:eastAsia="en-IE"/>
              </w:rPr>
              <w:t xml:space="preserve">: Art. 43: Biotechnology products of concern; Art. 44: Verification of legitimate need </w:t>
            </w:r>
            <w:r w:rsidRPr="0015463C">
              <w:rPr>
                <w:rFonts w:eastAsia="Times New Roman"/>
                <w:color w:val="000000"/>
                <w:lang w:val="en-IE" w:eastAsia="en-IE"/>
              </w:rPr>
              <w:br/>
              <w:t>Art. 45: Benchtop equipment; Art. 46: Prevention and reporting of biotechnology misuse</w:t>
            </w:r>
            <w:r w:rsidRPr="0015463C">
              <w:rPr>
                <w:rFonts w:eastAsia="Times New Roman"/>
                <w:color w:val="000000"/>
                <w:lang w:val="en-IE" w:eastAsia="en-IE"/>
              </w:rPr>
              <w:br/>
            </w:r>
            <w:r w:rsidRPr="0015463C">
              <w:rPr>
                <w:rFonts w:eastAsia="Times New Roman"/>
                <w:b/>
                <w:color w:val="000000"/>
                <w:lang w:val="en-IE" w:eastAsia="en-IE"/>
              </w:rPr>
              <w:t>Annex I:</w:t>
            </w:r>
            <w:r w:rsidRPr="0015463C">
              <w:rPr>
                <w:rFonts w:eastAsia="Times New Roman"/>
                <w:color w:val="000000"/>
                <w:lang w:val="en-IE" w:eastAsia="en-IE"/>
              </w:rPr>
              <w:t xml:space="preserve"> Biotechnology products of concern</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(88)-(100)</w:t>
            </w:r>
          </w:p>
        </w:tc>
        <w:tc>
          <w:tcPr>
            <w:tcW w:w="1361" w:type="dxa"/>
            <w:noWrap/>
          </w:tcPr>
          <w:p w14:paraId="261E62A2" w14:textId="4AE3E68C" w:rsidR="007246D5" w:rsidRPr="0015463C" w:rsidRDefault="007246D5" w:rsidP="007246D5">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tcPr>
          <w:p w14:paraId="76BAAC60" w14:textId="2410713D" w:rsidR="007246D5" w:rsidRPr="0015463C" w:rsidRDefault="007246D5" w:rsidP="007246D5">
            <w:pPr>
              <w:spacing w:after="0"/>
              <w:jc w:val="left"/>
              <w:rPr>
                <w:rFonts w:eastAsia="Times New Roman"/>
                <w:color w:val="000000"/>
                <w:lang w:val="en-IE" w:eastAsia="en-IE"/>
              </w:rPr>
            </w:pPr>
            <w:r w:rsidRPr="0015463C">
              <w:rPr>
                <w:rFonts w:eastAsia="Times New Roman"/>
                <w:color w:val="000000"/>
                <w:lang w:val="en-IE" w:eastAsia="en-IE"/>
              </w:rPr>
              <w:t>X</w:t>
            </w:r>
          </w:p>
        </w:tc>
      </w:tr>
      <w:tr w:rsidR="007246D5" w:rsidRPr="0015463C" w14:paraId="2E5818BC" w14:textId="77777777" w:rsidTr="00EA2C95">
        <w:trPr>
          <w:trHeight w:val="1010"/>
        </w:trPr>
        <w:tc>
          <w:tcPr>
            <w:tcW w:w="572" w:type="dxa"/>
            <w:vMerge/>
            <w:noWrap/>
            <w:vAlign w:val="center"/>
          </w:tcPr>
          <w:p w14:paraId="077EB541" w14:textId="77777777" w:rsidR="007246D5" w:rsidRPr="0015463C" w:rsidRDefault="007246D5" w:rsidP="007246D5">
            <w:pPr>
              <w:spacing w:after="0"/>
              <w:jc w:val="center"/>
              <w:rPr>
                <w:rFonts w:eastAsia="Times New Roman"/>
                <w:b/>
                <w:color w:val="000000"/>
                <w:lang w:val="en-IE" w:eastAsia="en-IE"/>
              </w:rPr>
            </w:pPr>
          </w:p>
        </w:tc>
        <w:tc>
          <w:tcPr>
            <w:tcW w:w="1829" w:type="dxa"/>
            <w:vMerge/>
            <w:vAlign w:val="center"/>
          </w:tcPr>
          <w:p w14:paraId="22FC25BA" w14:textId="77777777" w:rsidR="007246D5" w:rsidRPr="0015463C" w:rsidRDefault="007246D5" w:rsidP="007246D5">
            <w:pPr>
              <w:spacing w:after="0"/>
              <w:jc w:val="left"/>
              <w:rPr>
                <w:rFonts w:eastAsia="Times New Roman"/>
                <w:b/>
                <w:color w:val="000000"/>
                <w:lang w:val="en-IE" w:eastAsia="en-IE"/>
              </w:rPr>
            </w:pPr>
          </w:p>
        </w:tc>
        <w:tc>
          <w:tcPr>
            <w:tcW w:w="1985" w:type="dxa"/>
          </w:tcPr>
          <w:p w14:paraId="3E40235E" w14:textId="25D4E59D" w:rsidR="007246D5" w:rsidRPr="0015463C" w:rsidRDefault="007246D5" w:rsidP="007246D5">
            <w:pPr>
              <w:spacing w:after="0"/>
              <w:jc w:val="left"/>
              <w:rPr>
                <w:rFonts w:eastAsia="Times New Roman"/>
                <w:color w:val="000000"/>
                <w:lang w:val="en-IE" w:eastAsia="en-IE"/>
              </w:rPr>
            </w:pPr>
            <w:r w:rsidRPr="0015463C">
              <w:rPr>
                <w:rFonts w:eastAsia="Times New Roman"/>
                <w:color w:val="000000"/>
                <w:lang w:val="en-IE" w:eastAsia="en-IE"/>
              </w:rPr>
              <w:t>Enforcement and monitoring mechanisms</w:t>
            </w:r>
          </w:p>
        </w:tc>
        <w:tc>
          <w:tcPr>
            <w:tcW w:w="7540" w:type="dxa"/>
          </w:tcPr>
          <w:p w14:paraId="3D999BF9" w14:textId="73797134" w:rsidR="007246D5" w:rsidRPr="0015463C" w:rsidRDefault="007246D5" w:rsidP="007246D5">
            <w:pPr>
              <w:spacing w:after="0"/>
              <w:jc w:val="left"/>
              <w:rPr>
                <w:rFonts w:eastAsia="Times New Roman"/>
                <w:b/>
                <w:color w:val="000000"/>
                <w:lang w:val="en-IE" w:eastAsia="en-IE"/>
              </w:rPr>
            </w:pPr>
            <w:r w:rsidRPr="0015463C">
              <w:rPr>
                <w:rFonts w:eastAsia="Times New Roman"/>
                <w:b/>
                <w:color w:val="000000"/>
                <w:lang w:val="en-IE" w:eastAsia="en-IE"/>
              </w:rPr>
              <w:t>Chapter VIII, Section 2</w:t>
            </w:r>
            <w:r w:rsidRPr="0015463C">
              <w:rPr>
                <w:rFonts w:eastAsia="Times New Roman"/>
                <w:color w:val="000000"/>
                <w:lang w:val="en-IE" w:eastAsia="en-IE"/>
              </w:rPr>
              <w:t xml:space="preserve">: Art. 47: Training and awareness-raising ; Art. 48: National inspection authorities </w:t>
            </w:r>
            <w:r w:rsidRPr="0015463C">
              <w:rPr>
                <w:rFonts w:eastAsia="Times New Roman"/>
                <w:color w:val="000000"/>
                <w:lang w:val="en-IE" w:eastAsia="en-IE"/>
              </w:rPr>
              <w:br/>
              <w:t>Art. 49: Commission enforcement support and monitoring; Art. 50: Audits; Art. 51: Penalties ; Art. 52: Advisory group on biosecurity ; Art. 53: Biological systemic risk ; Art. 54: Monitoring and guidance ; Art. 55: Coordination on biosecurity and biosafety</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(99)-(105)</w:t>
            </w:r>
          </w:p>
        </w:tc>
        <w:tc>
          <w:tcPr>
            <w:tcW w:w="1361" w:type="dxa"/>
            <w:noWrap/>
          </w:tcPr>
          <w:p w14:paraId="49017C98" w14:textId="14F8C870" w:rsidR="007246D5" w:rsidRPr="0015463C" w:rsidRDefault="007246D5" w:rsidP="007246D5">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tcPr>
          <w:p w14:paraId="5915A497" w14:textId="272E1D92" w:rsidR="007246D5" w:rsidRPr="0015463C" w:rsidRDefault="007246D5" w:rsidP="007246D5">
            <w:pPr>
              <w:spacing w:after="0"/>
              <w:jc w:val="left"/>
              <w:rPr>
                <w:rFonts w:eastAsia="Times New Roman"/>
                <w:color w:val="000000"/>
                <w:lang w:val="en-IE" w:eastAsia="en-IE"/>
              </w:rPr>
            </w:pPr>
            <w:r w:rsidRPr="0015463C">
              <w:rPr>
                <w:rFonts w:eastAsia="Times New Roman"/>
                <w:color w:val="000000"/>
                <w:lang w:val="en-IE" w:eastAsia="en-IE"/>
              </w:rPr>
              <w:t>X</w:t>
            </w:r>
          </w:p>
        </w:tc>
      </w:tr>
      <w:tr w:rsidR="007246D5" w:rsidRPr="0015463C" w14:paraId="15FD21C0" w14:textId="77777777" w:rsidTr="00EA2C95">
        <w:trPr>
          <w:trHeight w:val="1010"/>
        </w:trPr>
        <w:tc>
          <w:tcPr>
            <w:tcW w:w="572" w:type="dxa"/>
            <w:noWrap/>
            <w:vAlign w:val="center"/>
            <w:hideMark/>
          </w:tcPr>
          <w:p w14:paraId="26448BE7" w14:textId="2917E598" w:rsidR="007246D5" w:rsidRPr="0015463C" w:rsidRDefault="007246D5" w:rsidP="007246D5">
            <w:pPr>
              <w:spacing w:after="0"/>
              <w:jc w:val="center"/>
              <w:rPr>
                <w:rFonts w:eastAsia="Times New Roman"/>
                <w:b/>
                <w:color w:val="000000"/>
                <w:lang w:val="en-IE" w:eastAsia="en-IE"/>
              </w:rPr>
            </w:pPr>
            <w:r w:rsidRPr="0015463C">
              <w:rPr>
                <w:rFonts w:eastAsia="Times New Roman"/>
                <w:b/>
                <w:color w:val="000000"/>
                <w:lang w:val="en-IE" w:eastAsia="en-IE"/>
              </w:rPr>
              <w:lastRenderedPageBreak/>
              <w:t>17</w:t>
            </w:r>
          </w:p>
        </w:tc>
        <w:tc>
          <w:tcPr>
            <w:tcW w:w="1829" w:type="dxa"/>
            <w:vAlign w:val="center"/>
            <w:hideMark/>
          </w:tcPr>
          <w:p w14:paraId="2EB7F03D" w14:textId="77777777" w:rsidR="007246D5" w:rsidRPr="0015463C" w:rsidRDefault="007246D5" w:rsidP="007246D5">
            <w:pPr>
              <w:spacing w:after="0"/>
              <w:jc w:val="left"/>
              <w:rPr>
                <w:rFonts w:eastAsia="Times New Roman"/>
                <w:b/>
                <w:color w:val="000000"/>
                <w:lang w:val="en-IE" w:eastAsia="en-IE"/>
              </w:rPr>
            </w:pPr>
            <w:r w:rsidRPr="0015463C">
              <w:rPr>
                <w:rFonts w:eastAsia="Times New Roman"/>
                <w:b/>
                <w:color w:val="000000"/>
                <w:lang w:val="en-IE" w:eastAsia="en-IE"/>
              </w:rPr>
              <w:t>Recognition and support of high impact biodefence projects</w:t>
            </w:r>
          </w:p>
        </w:tc>
        <w:tc>
          <w:tcPr>
            <w:tcW w:w="1985" w:type="dxa"/>
            <w:hideMark/>
          </w:tcPr>
          <w:p w14:paraId="61882D66" w14:textId="77777777" w:rsidR="007246D5" w:rsidRPr="0015463C" w:rsidRDefault="007246D5" w:rsidP="007246D5">
            <w:pPr>
              <w:spacing w:after="0"/>
              <w:jc w:val="left"/>
              <w:rPr>
                <w:rFonts w:eastAsia="Times New Roman"/>
                <w:color w:val="000000"/>
                <w:lang w:val="en-IE" w:eastAsia="en-IE"/>
              </w:rPr>
            </w:pPr>
            <w:r w:rsidRPr="0015463C">
              <w:rPr>
                <w:rFonts w:eastAsia="Times New Roman"/>
                <w:color w:val="000000"/>
                <w:lang w:val="en-IE" w:eastAsia="en-IE"/>
              </w:rPr>
              <w:t>Support package for EU biothreat radar high impact health biotechnology strategic projects</w:t>
            </w:r>
          </w:p>
        </w:tc>
        <w:tc>
          <w:tcPr>
            <w:tcW w:w="7540" w:type="dxa"/>
            <w:hideMark/>
          </w:tcPr>
          <w:p w14:paraId="404288B5" w14:textId="77777777" w:rsidR="007246D5" w:rsidRPr="0015463C" w:rsidRDefault="007246D5" w:rsidP="007246D5">
            <w:pPr>
              <w:spacing w:after="0"/>
              <w:jc w:val="left"/>
              <w:rPr>
                <w:rFonts w:eastAsia="Times New Roman"/>
                <w:color w:val="000000"/>
                <w:lang w:val="en-IE" w:eastAsia="en-IE"/>
              </w:rPr>
            </w:pPr>
            <w:r w:rsidRPr="0015463C">
              <w:rPr>
                <w:rFonts w:eastAsia="Times New Roman"/>
                <w:b/>
                <w:color w:val="000000"/>
                <w:lang w:val="en-IE" w:eastAsia="en-IE"/>
              </w:rPr>
              <w:t>Chapter VIII, Section 1</w:t>
            </w:r>
            <w:r w:rsidRPr="0015463C">
              <w:rPr>
                <w:rFonts w:eastAsia="Times New Roman"/>
                <w:color w:val="000000"/>
                <w:lang w:val="en-IE" w:eastAsia="en-IE"/>
              </w:rPr>
              <w:t xml:space="preserve">: Art. 41: EU Biothreat Radar  </w:t>
            </w:r>
            <w:r w:rsidRPr="0015463C">
              <w:rPr>
                <w:rFonts w:eastAsia="Times New Roman"/>
                <w:color w:val="000000"/>
                <w:lang w:val="en-IE" w:eastAsia="en-IE"/>
              </w:rPr>
              <w:br/>
            </w:r>
            <w:r w:rsidRPr="0015463C">
              <w:rPr>
                <w:rFonts w:eastAsia="Times New Roman"/>
                <w:b/>
                <w:color w:val="000000"/>
                <w:lang w:val="en-IE" w:eastAsia="en-IE"/>
              </w:rPr>
              <w:t>Chapter II</w:t>
            </w:r>
            <w:r w:rsidRPr="0015463C">
              <w:rPr>
                <w:rFonts w:eastAsia="Times New Roman"/>
                <w:color w:val="000000"/>
                <w:lang w:val="en-IE" w:eastAsia="en-IE"/>
              </w:rPr>
              <w:t xml:space="preserve">: Art. 4(1)(e): High impact recognition criteria  </w:t>
            </w:r>
            <w:r w:rsidRPr="0015463C">
              <w:rPr>
                <w:rFonts w:eastAsia="Times New Roman"/>
                <w:color w:val="000000"/>
                <w:lang w:val="en-IE" w:eastAsia="en-IE"/>
              </w:rPr>
              <w:br/>
            </w:r>
            <w:r w:rsidRPr="0015463C">
              <w:rPr>
                <w:rFonts w:eastAsia="Times New Roman"/>
                <w:b/>
                <w:color w:val="000000"/>
                <w:lang w:val="en-IE" w:eastAsia="en-IE"/>
              </w:rPr>
              <w:t>Chapter II, Section 2</w:t>
            </w:r>
            <w:r w:rsidRPr="0015463C">
              <w:rPr>
                <w:rFonts w:eastAsia="Times New Roman"/>
                <w:color w:val="000000"/>
                <w:lang w:val="en-IE" w:eastAsia="en-IE"/>
              </w:rPr>
              <w:t xml:space="preserve"> (Articles 11-14): Support measures apply  </w:t>
            </w:r>
            <w:r w:rsidRPr="0015463C">
              <w:rPr>
                <w:rFonts w:eastAsia="Times New Roman"/>
                <w:color w:val="000000"/>
                <w:lang w:val="en-IE" w:eastAsia="en-IE"/>
              </w:rPr>
              <w:br/>
            </w:r>
            <w:r w:rsidRPr="0015463C">
              <w:rPr>
                <w:rFonts w:eastAsia="Times New Roman"/>
                <w:b/>
                <w:color w:val="000000"/>
                <w:lang w:val="en-IE" w:eastAsia="en-IE"/>
              </w:rPr>
              <w:t>Recitals</w:t>
            </w:r>
            <w:r w:rsidRPr="0015463C">
              <w:rPr>
                <w:rFonts w:eastAsia="Times New Roman"/>
                <w:color w:val="000000"/>
                <w:lang w:val="en-IE" w:eastAsia="en-IE"/>
              </w:rPr>
              <w:t xml:space="preserve"> (86)-(87)</w:t>
            </w:r>
          </w:p>
        </w:tc>
        <w:tc>
          <w:tcPr>
            <w:tcW w:w="1361" w:type="dxa"/>
            <w:noWrap/>
            <w:hideMark/>
          </w:tcPr>
          <w:p w14:paraId="53835BBF" w14:textId="77777777" w:rsidR="007246D5" w:rsidRPr="0015463C" w:rsidRDefault="007246D5" w:rsidP="007246D5">
            <w:pPr>
              <w:spacing w:after="0"/>
              <w:jc w:val="left"/>
              <w:rPr>
                <w:rFonts w:eastAsia="Times New Roman"/>
                <w:color w:val="000000"/>
                <w:lang w:val="en-IE" w:eastAsia="en-IE"/>
              </w:rPr>
            </w:pPr>
            <w:r w:rsidRPr="0015463C">
              <w:rPr>
                <w:rFonts w:eastAsia="Times New Roman"/>
                <w:color w:val="000000"/>
                <w:lang w:val="en-IE" w:eastAsia="en-IE"/>
              </w:rPr>
              <w:t> </w:t>
            </w:r>
          </w:p>
        </w:tc>
        <w:tc>
          <w:tcPr>
            <w:tcW w:w="1470" w:type="dxa"/>
            <w:noWrap/>
            <w:hideMark/>
          </w:tcPr>
          <w:p w14:paraId="71639FFA" w14:textId="77777777" w:rsidR="007246D5" w:rsidRPr="0015463C" w:rsidRDefault="007246D5" w:rsidP="007246D5">
            <w:pPr>
              <w:spacing w:after="0"/>
              <w:jc w:val="left"/>
              <w:rPr>
                <w:rFonts w:eastAsia="Times New Roman"/>
                <w:color w:val="000000"/>
                <w:lang w:val="en-IE" w:eastAsia="en-IE"/>
              </w:rPr>
            </w:pPr>
            <w:r w:rsidRPr="0015463C">
              <w:rPr>
                <w:rFonts w:eastAsia="Times New Roman"/>
                <w:color w:val="000000"/>
                <w:lang w:val="en-IE" w:eastAsia="en-IE"/>
              </w:rPr>
              <w:t>X</w:t>
            </w:r>
          </w:p>
        </w:tc>
      </w:tr>
    </w:tbl>
    <w:p w14:paraId="46B2E962" w14:textId="77777777" w:rsidR="00E72B8E" w:rsidRDefault="00E72B8E">
      <w:pPr>
        <w:spacing w:after="200" w:line="276" w:lineRule="auto"/>
        <w:jc w:val="left"/>
      </w:pPr>
    </w:p>
    <w:p w14:paraId="3F4010E3" w14:textId="782286EC" w:rsidR="00F07B6C" w:rsidRDefault="00F07B6C">
      <w:pPr>
        <w:spacing w:after="200" w:line="276" w:lineRule="auto"/>
        <w:jc w:val="left"/>
        <w:rPr>
          <w:rFonts w:eastAsia="Times New Roman"/>
          <w:b/>
          <w:smallCaps/>
          <w:sz w:val="32"/>
          <w:szCs w:val="20"/>
        </w:rPr>
      </w:pPr>
      <w:r>
        <w:br w:type="page"/>
      </w:r>
    </w:p>
    <w:p w14:paraId="3CB03657" w14:textId="77777777" w:rsidR="008E116A" w:rsidRDefault="008E116A" w:rsidP="00B35BA0">
      <w:pPr>
        <w:pStyle w:val="AnnexTitle"/>
        <w:sectPr w:rsidR="008E116A" w:rsidSect="00E5568D">
          <w:headerReference w:type="default" r:id="rId62"/>
          <w:footerReference w:type="default" r:id="rId63"/>
          <w:headerReference w:type="first" r:id="rId64"/>
          <w:footerReference w:type="first" r:id="rId65"/>
          <w:pgSz w:w="16838" w:h="11906" w:orient="landscape"/>
          <w:pgMar w:top="1021" w:right="1701" w:bottom="1021" w:left="1588" w:header="601" w:footer="1077" w:gutter="0"/>
          <w:cols w:space="720"/>
          <w:titlePg/>
        </w:sectPr>
      </w:pPr>
    </w:p>
    <w:p w14:paraId="3742630A" w14:textId="44755B89" w:rsidR="005C1F49" w:rsidRPr="00441D11" w:rsidRDefault="005C1F49" w:rsidP="00B35BA0">
      <w:pPr>
        <w:pStyle w:val="AnnexTitle"/>
      </w:pPr>
      <w:bookmarkStart w:id="228" w:name="_Toc224898305"/>
      <w:bookmarkStart w:id="229" w:name="_Toc225979123"/>
      <w:r w:rsidRPr="00441D11">
        <w:lastRenderedPageBreak/>
        <w:t xml:space="preserve">Annex </w:t>
      </w:r>
      <w:r w:rsidR="00F07B6C" w:rsidRPr="00441D11">
        <w:t>7</w:t>
      </w:r>
      <w:r w:rsidRPr="00441D11">
        <w:t>: Additional information on measures and expected impacts</w:t>
      </w:r>
      <w:bookmarkEnd w:id="228"/>
      <w:bookmarkEnd w:id="229"/>
    </w:p>
    <w:p w14:paraId="4F09524B" w14:textId="578BC63C" w:rsidR="00F13F80" w:rsidRPr="00F13F80" w:rsidRDefault="323F4CF2">
      <w:r>
        <w:t xml:space="preserve">This annex provides additional analytical detail supporting the assessment of </w:t>
      </w:r>
      <w:r w:rsidR="731AAC49">
        <w:t>expected impacts of the interventions</w:t>
      </w:r>
      <w:r>
        <w:t xml:space="preserve">, drawing in particular on the </w:t>
      </w:r>
      <w:r w:rsidRPr="5DA36055">
        <w:rPr>
          <w:i/>
          <w:iCs/>
        </w:rPr>
        <w:t>Study to support the rapid assessment of policy scenarios to strengthen innovation and competitiveness in the field of biotechnology in the EU</w:t>
      </w:r>
      <w:r w:rsidR="008E2C0F" w:rsidRPr="5DA36055">
        <w:rPr>
          <w:rStyle w:val="FootnoteReference"/>
          <w:i/>
          <w:iCs/>
        </w:rPr>
        <w:footnoteReference w:id="88"/>
      </w:r>
      <w:r>
        <w:t xml:space="preserve">. It complements the summary assessment in </w:t>
      </w:r>
      <w:r w:rsidR="731AAC49">
        <w:t>Section 5 of this staff working document</w:t>
      </w:r>
      <w:r>
        <w:t xml:space="preserve"> by further </w:t>
      </w:r>
      <w:r w:rsidR="731AAC49">
        <w:t>elaborating on</w:t>
      </w:r>
      <w:r>
        <w:t xml:space="preserve"> the design of the measure</w:t>
      </w:r>
      <w:r w:rsidR="731AAC49">
        <w:t>s</w:t>
      </w:r>
      <w:r>
        <w:t xml:space="preserve">, the baseline, the impact transmission channels, the assumptions underpinning the </w:t>
      </w:r>
      <w:r w:rsidR="731AAC49">
        <w:t>assessment</w:t>
      </w:r>
      <w:r w:rsidR="47DAB26E">
        <w:t>, potential caveats and limitations – as appropriate for each intervention area</w:t>
      </w:r>
      <w:r>
        <w:t>.</w:t>
      </w:r>
      <w:r w:rsidR="279D99EB">
        <w:t xml:space="preserve"> It further provides the scientific and technical basis for the proposed measures in some areas.</w:t>
      </w:r>
    </w:p>
    <w:p w14:paraId="3B41D659" w14:textId="6D9D9FD8" w:rsidR="0087764A" w:rsidRPr="00F13F80" w:rsidRDefault="0087764A" w:rsidP="008E5623">
      <w:r>
        <w:t>More information is available in the support study</w:t>
      </w:r>
      <w:r w:rsidR="00441D11">
        <w:t xml:space="preserve"> (forthcoming)</w:t>
      </w:r>
      <w:r>
        <w:t>, including the assumptions made.</w:t>
      </w:r>
    </w:p>
    <w:p w14:paraId="265A7B62" w14:textId="6E47B980" w:rsidR="000E6048" w:rsidRPr="0057383E" w:rsidRDefault="005A301E" w:rsidP="0057383E">
      <w:pPr>
        <w:pStyle w:val="Heading1"/>
        <w:numPr>
          <w:ilvl w:val="0"/>
          <w:numId w:val="495"/>
        </w:numPr>
        <w:rPr>
          <w:i/>
        </w:rPr>
      </w:pPr>
      <w:bookmarkStart w:id="230" w:name="_Toc225783202"/>
      <w:bookmarkStart w:id="231" w:name="_Toc225969792"/>
      <w:bookmarkStart w:id="232" w:name="_Toc225979124"/>
      <w:bookmarkStart w:id="233" w:name="_Toc224747263"/>
      <w:bookmarkStart w:id="234" w:name="_Toc224749733"/>
      <w:r w:rsidRPr="008E5623">
        <w:t>Intervention n°2: Targeted regulatory reform of the General Food Law</w:t>
      </w:r>
      <w:bookmarkEnd w:id="230"/>
      <w:bookmarkEnd w:id="231"/>
      <w:bookmarkEnd w:id="232"/>
    </w:p>
    <w:p w14:paraId="54BB85C8" w14:textId="30F86F7A" w:rsidR="00B26880" w:rsidRDefault="00B26880" w:rsidP="004570F2">
      <w:pPr>
        <w:pStyle w:val="Heading2"/>
        <w:numPr>
          <w:ilvl w:val="1"/>
          <w:numId w:val="513"/>
        </w:numPr>
      </w:pPr>
      <w:bookmarkStart w:id="235" w:name="_Toc225969793"/>
      <w:bookmarkStart w:id="236" w:name="_Toc225979125"/>
      <w:r>
        <w:t>Baseline and counterfactual scenario</w:t>
      </w:r>
      <w:bookmarkEnd w:id="235"/>
      <w:bookmarkEnd w:id="236"/>
    </w:p>
    <w:p w14:paraId="32F57DA2" w14:textId="5C67147B" w:rsidR="00CD3A79" w:rsidRPr="00303F3B" w:rsidRDefault="00B26880" w:rsidP="00CD3A79">
      <w:pPr>
        <w:spacing w:after="160" w:line="259" w:lineRule="auto"/>
        <w:jc w:val="left"/>
      </w:pPr>
      <w:r>
        <w:rPr>
          <w:b/>
          <w:bCs/>
        </w:rPr>
        <w:t>C</w:t>
      </w:r>
      <w:r w:rsidR="00CD3A79" w:rsidRPr="00303F3B">
        <w:rPr>
          <w:b/>
          <w:bCs/>
        </w:rPr>
        <w:t>onduct of business</w:t>
      </w:r>
    </w:p>
    <w:p w14:paraId="0EE17B89" w14:textId="41D1C3C4" w:rsidR="00CD3A79" w:rsidRPr="00303F3B" w:rsidRDefault="00CD3A79" w:rsidP="00407D38">
      <w:pPr>
        <w:spacing w:after="160" w:line="259" w:lineRule="auto"/>
        <w:rPr>
          <w:lang w:val="en-IE"/>
        </w:rPr>
      </w:pPr>
      <w:r w:rsidRPr="00303F3B">
        <w:rPr>
          <w:lang w:val="en-IE"/>
        </w:rPr>
        <w:t xml:space="preserve">Under the baseline, and in order to ensure a high level of protection of public health, animal health, plant health and – where relevant – the environment, </w:t>
      </w:r>
      <w:r w:rsidRPr="00303F3B">
        <w:rPr>
          <w:b/>
          <w:bCs/>
          <w:lang w:val="en-IE"/>
        </w:rPr>
        <w:t>pre-market authorisations for certain categories of food, feed and inputs to the food chain will continue to apply</w:t>
      </w:r>
      <w:r w:rsidRPr="00303F3B">
        <w:rPr>
          <w:lang w:val="en-IE"/>
        </w:rPr>
        <w:t xml:space="preserve"> with the specific procedural requirements set out in the sectoral legislations and read together</w:t>
      </w:r>
      <w:r w:rsidR="00DE2B81">
        <w:rPr>
          <w:lang w:val="en-IE"/>
        </w:rPr>
        <w:t>, where relevant,</w:t>
      </w:r>
      <w:r w:rsidRPr="00303F3B">
        <w:rPr>
          <w:lang w:val="en-IE"/>
        </w:rPr>
        <w:t xml:space="preserve"> with the General Food Law. Authorisation procedures will continue to be based on the principle that it is for the applicants to prove that the subject matter of an application complies with EU requirements.</w:t>
      </w:r>
      <w:r w:rsidRPr="00303F3B">
        <w:rPr>
          <w:vertAlign w:val="superscript"/>
          <w:lang w:val="en-IE"/>
        </w:rPr>
        <w:footnoteReference w:id="89"/>
      </w:r>
      <w:r w:rsidRPr="00303F3B">
        <w:rPr>
          <w:lang w:val="en-IE"/>
        </w:rPr>
        <w:t xml:space="preserve"> </w:t>
      </w:r>
    </w:p>
    <w:p w14:paraId="7B4CE3CC" w14:textId="7636901F" w:rsidR="00CD3A79" w:rsidRPr="00303F3B" w:rsidRDefault="00EF1C5C" w:rsidP="00407D38">
      <w:pPr>
        <w:spacing w:after="160" w:line="259" w:lineRule="auto"/>
        <w:rPr>
          <w:lang w:val="en-IE"/>
        </w:rPr>
      </w:pPr>
      <w:r w:rsidRPr="5DA36055">
        <w:rPr>
          <w:lang w:val="en-IE"/>
        </w:rPr>
        <w:t>In addition,</w:t>
      </w:r>
      <w:r w:rsidR="00CD3A79" w:rsidRPr="00303F3B">
        <w:rPr>
          <w:lang w:val="en-IE"/>
        </w:rPr>
        <w:t xml:space="preserve"> EU </w:t>
      </w:r>
      <w:r w:rsidR="00CD3A79" w:rsidRPr="00303F3B">
        <w:rPr>
          <w:b/>
          <w:bCs/>
          <w:lang w:val="en-IE"/>
        </w:rPr>
        <w:t>authorisations will continue to</w:t>
      </w:r>
      <w:r w:rsidR="00CD3A79" w:rsidRPr="00303F3B">
        <w:rPr>
          <w:b/>
          <w:bCs/>
        </w:rPr>
        <w:t xml:space="preserve"> </w:t>
      </w:r>
      <w:r w:rsidR="00CD3A79" w:rsidRPr="00303F3B">
        <w:rPr>
          <w:b/>
          <w:bCs/>
          <w:lang w:val="en-IE"/>
        </w:rPr>
        <w:t>act as a ‘regulatory passport’</w:t>
      </w:r>
      <w:r w:rsidR="00CD3A79" w:rsidRPr="00303F3B">
        <w:rPr>
          <w:lang w:val="en-IE"/>
        </w:rPr>
        <w:t xml:space="preserve"> to </w:t>
      </w:r>
      <w:r w:rsidRPr="5DA36055">
        <w:rPr>
          <w:lang w:val="en-IE"/>
        </w:rPr>
        <w:t xml:space="preserve">the </w:t>
      </w:r>
      <w:r w:rsidR="00CD3A79" w:rsidRPr="00303F3B">
        <w:rPr>
          <w:lang w:val="en-IE"/>
        </w:rPr>
        <w:t>market</w:t>
      </w:r>
      <w:r w:rsidRPr="5DA36055">
        <w:rPr>
          <w:lang w:val="en-IE"/>
        </w:rPr>
        <w:t xml:space="preserve"> of third countries</w:t>
      </w:r>
      <w:r w:rsidR="00CD3A79" w:rsidRPr="00303F3B">
        <w:rPr>
          <w:lang w:val="en-IE"/>
        </w:rPr>
        <w:t>, facilitating market access in many non-EU regions (e.g., Latin America, Southeast Asia, Middle East).</w:t>
      </w:r>
      <w:r w:rsidR="00CD3A79" w:rsidRPr="00303F3B">
        <w:t xml:space="preserve"> </w:t>
      </w:r>
      <w:r w:rsidR="00CD3A79" w:rsidRPr="00303F3B">
        <w:rPr>
          <w:lang w:val="en-IE"/>
        </w:rPr>
        <w:t>Third-country authorities often use the EU dossier as a reference or starting point; as such, the studies performed for EU risk assessment purposes and their stringent requirements are still considered by industry stakeholders as an advantage for other markets.</w:t>
      </w:r>
      <w:r w:rsidR="00CD3A79" w:rsidRPr="00303F3B">
        <w:rPr>
          <w:vertAlign w:val="superscript"/>
          <w:lang w:val="en-IE"/>
        </w:rPr>
        <w:footnoteReference w:id="90"/>
      </w:r>
      <w:r w:rsidR="00CD3A79" w:rsidRPr="00303F3B">
        <w:rPr>
          <w:lang w:val="en-IE"/>
        </w:rPr>
        <w:t xml:space="preserve"> </w:t>
      </w:r>
    </w:p>
    <w:p w14:paraId="142E8CEA" w14:textId="1F25E4EA" w:rsidR="00F35A8F" w:rsidRPr="004570F2" w:rsidRDefault="00CD3A79" w:rsidP="00407D38">
      <w:pPr>
        <w:spacing w:after="160" w:line="259" w:lineRule="auto"/>
        <w:rPr>
          <w:lang w:val="en-IE"/>
        </w:rPr>
      </w:pPr>
      <w:r w:rsidRPr="00303F3B">
        <w:rPr>
          <w:lang w:val="en-IE"/>
        </w:rPr>
        <w:t>Nevertheless,</w:t>
      </w:r>
      <w:r>
        <w:rPr>
          <w:lang w:val="en-IE"/>
        </w:rPr>
        <w:t xml:space="preserve"> </w:t>
      </w:r>
      <w:r w:rsidR="00F35A8F">
        <w:rPr>
          <w:lang w:val="en-IE"/>
        </w:rPr>
        <w:t xml:space="preserve">under the baseline, it is expected that the </w:t>
      </w:r>
      <w:r w:rsidR="00F35A8F">
        <w:rPr>
          <w:lang w:val="en-IE" w:eastAsia="en-IE"/>
        </w:rPr>
        <w:t>uptake of</w:t>
      </w:r>
      <w:r w:rsidR="00F35A8F" w:rsidRPr="00DD0CE5">
        <w:rPr>
          <w:lang w:val="en-IE" w:eastAsia="en-IE"/>
        </w:rPr>
        <w:t xml:space="preserve"> </w:t>
      </w:r>
      <w:r w:rsidR="00F35A8F" w:rsidRPr="004570F2">
        <w:rPr>
          <w:lang w:val="en-IE"/>
        </w:rPr>
        <w:t xml:space="preserve">pre-submission advice mechanisms </w:t>
      </w:r>
      <w:r w:rsidR="00F35A8F">
        <w:rPr>
          <w:lang w:val="en-IE" w:eastAsia="en-IE"/>
        </w:rPr>
        <w:t>will remain</w:t>
      </w:r>
      <w:r w:rsidR="00F35A8F" w:rsidRPr="00DD0CE5">
        <w:rPr>
          <w:lang w:val="en-IE" w:eastAsia="en-IE"/>
        </w:rPr>
        <w:t xml:space="preserve"> limited and </w:t>
      </w:r>
      <w:r w:rsidR="00F35A8F">
        <w:rPr>
          <w:lang w:val="en-IE" w:eastAsia="en-IE"/>
        </w:rPr>
        <w:t>will thus not contribute to improve dossier</w:t>
      </w:r>
      <w:r w:rsidR="00F35A8F" w:rsidRPr="004570F2">
        <w:rPr>
          <w:lang w:val="en-IE"/>
        </w:rPr>
        <w:t xml:space="preserve"> quality</w:t>
      </w:r>
      <w:r w:rsidR="00F35A8F">
        <w:rPr>
          <w:lang w:val="en-IE" w:eastAsia="en-IE"/>
        </w:rPr>
        <w:t xml:space="preserve">. </w:t>
      </w:r>
      <w:r w:rsidR="00F35A8F">
        <w:rPr>
          <w:lang w:val="en-IE" w:eastAsia="en-IE"/>
        </w:rPr>
        <w:lastRenderedPageBreak/>
        <w:t xml:space="preserve">As a result, it is expected that </w:t>
      </w:r>
      <w:r w:rsidR="00F35A8F" w:rsidRPr="00DD0CE5">
        <w:t>delays linked with subsequent requests for additional data and delays to ‘time to market’</w:t>
      </w:r>
      <w:r w:rsidR="00F35A8F">
        <w:t xml:space="preserve"> will persist.</w:t>
      </w:r>
    </w:p>
    <w:p w14:paraId="628268BD" w14:textId="36AA46A1" w:rsidR="00CD3A79" w:rsidRPr="00303F3B" w:rsidRDefault="00B26880" w:rsidP="00407D38">
      <w:pPr>
        <w:spacing w:after="160" w:line="259" w:lineRule="auto"/>
        <w:rPr>
          <w:lang w:val="en-US"/>
        </w:rPr>
      </w:pPr>
      <w:r>
        <w:rPr>
          <w:b/>
          <w:bCs/>
        </w:rPr>
        <w:t>A</w:t>
      </w:r>
      <w:r w:rsidR="00CD3A79" w:rsidRPr="00303F3B">
        <w:rPr>
          <w:b/>
          <w:bCs/>
        </w:rPr>
        <w:t>dministrative costs on businesses, including SMEs</w:t>
      </w:r>
    </w:p>
    <w:p w14:paraId="3FF91565" w14:textId="0829EA7A" w:rsidR="00CD3A79" w:rsidRPr="00303F3B" w:rsidRDefault="00CD3A79" w:rsidP="00407D38">
      <w:pPr>
        <w:spacing w:after="160" w:line="259" w:lineRule="auto"/>
        <w:rPr>
          <w:lang w:val="en-US"/>
        </w:rPr>
      </w:pPr>
      <w:r w:rsidRPr="00303F3B">
        <w:rPr>
          <w:lang w:val="en-US"/>
        </w:rPr>
        <w:t xml:space="preserve">Based on these characteristics of the existing regulation, the baseline assumes that in the </w:t>
      </w:r>
      <w:r w:rsidRPr="00303F3B">
        <w:rPr>
          <w:b/>
          <w:bCs/>
          <w:lang w:val="en-US"/>
        </w:rPr>
        <w:t xml:space="preserve">future businesses will still </w:t>
      </w:r>
      <w:r w:rsidR="00016168">
        <w:rPr>
          <w:b/>
          <w:bCs/>
          <w:lang w:val="en-US"/>
        </w:rPr>
        <w:t xml:space="preserve">have to incur certain </w:t>
      </w:r>
      <w:r w:rsidRPr="00303F3B">
        <w:rPr>
          <w:b/>
          <w:bCs/>
          <w:lang w:val="en-US"/>
        </w:rPr>
        <w:t xml:space="preserve">administrative burdens </w:t>
      </w:r>
      <w:r w:rsidR="00016168">
        <w:rPr>
          <w:b/>
          <w:bCs/>
          <w:lang w:val="en-US"/>
        </w:rPr>
        <w:t xml:space="preserve">in </w:t>
      </w:r>
      <w:r w:rsidR="009324F0">
        <w:rPr>
          <w:b/>
          <w:bCs/>
          <w:lang w:val="en-US"/>
        </w:rPr>
        <w:t xml:space="preserve">order </w:t>
      </w:r>
      <w:r w:rsidR="00016168">
        <w:rPr>
          <w:b/>
          <w:bCs/>
          <w:lang w:val="en-US"/>
        </w:rPr>
        <w:t xml:space="preserve">to meet the regulatory requirements in the context of </w:t>
      </w:r>
      <w:r w:rsidR="00BF4930">
        <w:rPr>
          <w:b/>
          <w:bCs/>
          <w:lang w:val="en-US"/>
        </w:rPr>
        <w:t xml:space="preserve">pre-market authorisations </w:t>
      </w:r>
      <w:r w:rsidRPr="00303F3B">
        <w:rPr>
          <w:b/>
          <w:bCs/>
          <w:lang w:val="en-US"/>
        </w:rPr>
        <w:t xml:space="preserve">for </w:t>
      </w:r>
      <w:r w:rsidR="00BF4930">
        <w:rPr>
          <w:b/>
          <w:bCs/>
          <w:lang w:val="en-US"/>
        </w:rPr>
        <w:t>certain categories of food, feed and other inputs to the food chain</w:t>
      </w:r>
      <w:r w:rsidR="009B454A">
        <w:rPr>
          <w:b/>
          <w:bCs/>
          <w:lang w:val="en-US"/>
        </w:rPr>
        <w:t>.</w:t>
      </w:r>
      <w:r w:rsidRPr="00303F3B">
        <w:rPr>
          <w:lang w:val="en-US"/>
        </w:rPr>
        <w:t xml:space="preserve"> However, these administrative costs could be reduced to some extent if businesses would take advantage of the pre-submission advice </w:t>
      </w:r>
      <w:r w:rsidR="008F264E">
        <w:rPr>
          <w:lang w:val="en-US"/>
        </w:rPr>
        <w:t>mechanisms</w:t>
      </w:r>
      <w:r w:rsidRPr="00303F3B">
        <w:rPr>
          <w:lang w:val="en-US"/>
        </w:rPr>
        <w:t xml:space="preserve"> offered by EFSA</w:t>
      </w:r>
      <w:r w:rsidR="008F264E">
        <w:rPr>
          <w:lang w:val="en-US"/>
        </w:rPr>
        <w:t xml:space="preserve"> under the existing legal framework</w:t>
      </w:r>
      <w:r w:rsidR="00E94EB9">
        <w:rPr>
          <w:lang w:val="en-US"/>
        </w:rPr>
        <w:t xml:space="preserve"> and the prescribed limitations in terms of</w:t>
      </w:r>
      <w:r w:rsidRPr="00303F3B">
        <w:rPr>
          <w:lang w:val="en-US"/>
        </w:rPr>
        <w:t xml:space="preserve"> scope. Especially, SMEs would benefit from pre-submission advice as they would get a better understanding of the concrete requirements of the authorisation</w:t>
      </w:r>
      <w:r w:rsidR="00E94EB9">
        <w:rPr>
          <w:lang w:val="en-US"/>
        </w:rPr>
        <w:t xml:space="preserve"> process under the general pre-submission advice</w:t>
      </w:r>
      <w:r w:rsidRPr="00303F3B">
        <w:rPr>
          <w:lang w:val="en-US"/>
        </w:rPr>
        <w:t>.</w:t>
      </w:r>
      <w:r>
        <w:rPr>
          <w:lang w:val="en-US"/>
        </w:rPr>
        <w:t xml:space="preserve"> T</w:t>
      </w:r>
      <w:r w:rsidRPr="00303F3B">
        <w:rPr>
          <w:lang w:val="en-US"/>
        </w:rPr>
        <w:t xml:space="preserve">he exclusion of scientific matters from the scope of general pre-submission advice is a structural gap that is expected to continue to result in the low uptake of such advice and thus unnecessary administrative costs </w:t>
      </w:r>
      <w:r w:rsidR="009E0A39">
        <w:rPr>
          <w:lang w:val="en-US"/>
        </w:rPr>
        <w:t>arising from</w:t>
      </w:r>
      <w:r w:rsidRPr="00303F3B">
        <w:rPr>
          <w:lang w:val="en-US"/>
        </w:rPr>
        <w:t xml:space="preserve"> poor quality application dossiers on scientific aspects</w:t>
      </w:r>
      <w:r w:rsidR="00EE1F77">
        <w:rPr>
          <w:lang w:val="en-US"/>
        </w:rPr>
        <w:t xml:space="preserve"> cannot be avoided/minimised</w:t>
      </w:r>
      <w:r w:rsidRPr="00303F3B">
        <w:rPr>
          <w:lang w:val="en-US"/>
        </w:rPr>
        <w:t xml:space="preserve">. Although </w:t>
      </w:r>
      <w:r w:rsidR="00B16D97">
        <w:rPr>
          <w:lang w:val="en-US"/>
        </w:rPr>
        <w:t>both</w:t>
      </w:r>
      <w:r w:rsidR="004726FC">
        <w:rPr>
          <w:lang w:val="en-US"/>
        </w:rPr>
        <w:t xml:space="preserve"> EFSA</w:t>
      </w:r>
      <w:r w:rsidR="006B2B8C">
        <w:rPr>
          <w:lang w:val="en-US"/>
        </w:rPr>
        <w:t>s</w:t>
      </w:r>
      <w:r w:rsidR="006B2B8C">
        <w:rPr>
          <w:rStyle w:val="FootnoteReference"/>
          <w:lang w:val="en-US"/>
        </w:rPr>
        <w:footnoteReference w:id="91"/>
      </w:r>
      <w:r w:rsidR="006B2B8C">
        <w:rPr>
          <w:lang w:val="en-US"/>
        </w:rPr>
        <w:t xml:space="preserve"> </w:t>
      </w:r>
      <w:r w:rsidR="00993B4C">
        <w:rPr>
          <w:lang w:val="en-US"/>
        </w:rPr>
        <w:t>and the European Commission</w:t>
      </w:r>
      <w:r w:rsidR="00BC51E6">
        <w:rPr>
          <w:rStyle w:val="FootnoteReference"/>
          <w:lang w:val="en-US"/>
        </w:rPr>
        <w:footnoteReference w:id="92"/>
      </w:r>
      <w:r w:rsidR="00993B4C">
        <w:rPr>
          <w:lang w:val="en-US"/>
        </w:rPr>
        <w:t xml:space="preserve"> </w:t>
      </w:r>
      <w:r w:rsidR="00993B4C" w:rsidRPr="00303F3B">
        <w:rPr>
          <w:lang w:val="en-US"/>
        </w:rPr>
        <w:t>has launched measures in recent years to support SMEs</w:t>
      </w:r>
      <w:r w:rsidRPr="00303F3B">
        <w:rPr>
          <w:lang w:val="en-US"/>
        </w:rPr>
        <w:t xml:space="preserve">, SMEs would continue to be constrained </w:t>
      </w:r>
      <w:r w:rsidR="009A3908">
        <w:rPr>
          <w:lang w:val="en-US"/>
        </w:rPr>
        <w:t>in</w:t>
      </w:r>
      <w:r w:rsidR="00812982">
        <w:rPr>
          <w:lang w:val="en-US"/>
        </w:rPr>
        <w:t xml:space="preserve"> </w:t>
      </w:r>
      <w:r w:rsidR="00152DD0">
        <w:rPr>
          <w:lang w:val="en-US"/>
        </w:rPr>
        <w:t xml:space="preserve">their efforts to </w:t>
      </w:r>
      <w:r w:rsidR="00812982">
        <w:rPr>
          <w:lang w:val="en-US"/>
        </w:rPr>
        <w:t>be</w:t>
      </w:r>
      <w:r w:rsidR="00152DD0">
        <w:rPr>
          <w:lang w:val="en-US"/>
        </w:rPr>
        <w:t xml:space="preserve"> fully</w:t>
      </w:r>
      <w:r w:rsidR="00812982">
        <w:rPr>
          <w:lang w:val="en-US"/>
        </w:rPr>
        <w:t xml:space="preserve"> in compliance with</w:t>
      </w:r>
      <w:r w:rsidR="00152DD0">
        <w:rPr>
          <w:lang w:val="en-US"/>
        </w:rPr>
        <w:t xml:space="preserve">out incurring unnecessary administrative costs during the authorisation </w:t>
      </w:r>
      <w:r w:rsidRPr="00303F3B">
        <w:rPr>
          <w:lang w:val="en-US"/>
        </w:rPr>
        <w:t>process. This might pose substantial market entry hurdles and result in unexploited innovation potential</w:t>
      </w:r>
      <w:r w:rsidRPr="00303F3B">
        <w:rPr>
          <w:vertAlign w:val="superscript"/>
          <w:lang w:val="en-US"/>
        </w:rPr>
        <w:footnoteReference w:id="93"/>
      </w:r>
      <w:r w:rsidRPr="00303F3B">
        <w:rPr>
          <w:lang w:val="en-US"/>
        </w:rPr>
        <w:t>.</w:t>
      </w:r>
    </w:p>
    <w:p w14:paraId="51B68B66" w14:textId="4FEBAD66" w:rsidR="00CD3A79" w:rsidRPr="00303F3B" w:rsidRDefault="00B26880" w:rsidP="00CD3A79">
      <w:r>
        <w:rPr>
          <w:b/>
          <w:bCs/>
        </w:rPr>
        <w:t>C</w:t>
      </w:r>
      <w:r w:rsidR="00CD3A79" w:rsidRPr="00303F3B">
        <w:rPr>
          <w:b/>
          <w:bCs/>
        </w:rPr>
        <w:t>ompetitiveness, trade and investment flows</w:t>
      </w:r>
    </w:p>
    <w:p w14:paraId="630E9B60" w14:textId="201DD6C2" w:rsidR="00CD3A79" w:rsidRDefault="00052846" w:rsidP="00CD3A79">
      <w:pPr>
        <w:spacing w:after="0"/>
      </w:pPr>
      <w:r>
        <w:t>V</w:t>
      </w:r>
      <w:r w:rsidR="00CD3A79" w:rsidRPr="00303F3B">
        <w:t>arious studies that have been conducted in the past</w:t>
      </w:r>
      <w:r w:rsidR="00CD3A79" w:rsidRPr="00303F3B">
        <w:rPr>
          <w:vertAlign w:val="superscript"/>
        </w:rPr>
        <w:footnoteReference w:id="94"/>
      </w:r>
      <w:r>
        <w:t xml:space="preserve"> have confirmed that:</w:t>
      </w:r>
    </w:p>
    <w:p w14:paraId="426B8B1D" w14:textId="7E22DABF" w:rsidR="00CD3A79" w:rsidRDefault="00CD3A79" w:rsidP="00AB5640">
      <w:pPr>
        <w:pStyle w:val="ListParagraph"/>
        <w:numPr>
          <w:ilvl w:val="0"/>
          <w:numId w:val="328"/>
        </w:numPr>
        <w:spacing w:after="0"/>
      </w:pPr>
      <w:r w:rsidRPr="00303F3B">
        <w:lastRenderedPageBreak/>
        <w:t>the high safety standards set at EU level have also provided incentives to develop more innovative products that better protect public health and have equivalent or better efficacy</w:t>
      </w:r>
      <w:r w:rsidRPr="00303F3B">
        <w:rPr>
          <w:vertAlign w:val="superscript"/>
        </w:rPr>
        <w:footnoteReference w:id="95"/>
      </w:r>
      <w:r>
        <w:t>;</w:t>
      </w:r>
      <w:r w:rsidRPr="00303F3B">
        <w:t xml:space="preserve"> </w:t>
      </w:r>
    </w:p>
    <w:p w14:paraId="32C4BE30" w14:textId="5089F1E4" w:rsidR="00CD3A79" w:rsidRDefault="00CD3A79" w:rsidP="00AB5640">
      <w:pPr>
        <w:pStyle w:val="ListParagraph"/>
        <w:numPr>
          <w:ilvl w:val="0"/>
          <w:numId w:val="328"/>
        </w:numPr>
        <w:spacing w:after="0"/>
      </w:pPr>
      <w:r>
        <w:t>t</w:t>
      </w:r>
      <w:r w:rsidRPr="00303F3B">
        <w:t xml:space="preserve">he ‘EU seal of approval’ (EU pre-market authorisations granted) renders business operators competitive in the international field, as the relevant products are perceived of ‘high quality’ allowing them to penetrate </w:t>
      </w:r>
      <w:r w:rsidR="001C3C29">
        <w:t>the</w:t>
      </w:r>
      <w:r w:rsidRPr="00303F3B">
        <w:t xml:space="preserve"> market</w:t>
      </w:r>
      <w:r w:rsidR="001C3C29">
        <w:t xml:space="preserve"> of third countrie</w:t>
      </w:r>
      <w:r w:rsidRPr="00303F3B">
        <w:t>s</w:t>
      </w:r>
      <w:r>
        <w:t>,</w:t>
      </w:r>
      <w:r w:rsidRPr="00303F3B">
        <w:t xml:space="preserve"> </w:t>
      </w:r>
      <w:r>
        <w:t>where</w:t>
      </w:r>
      <w:r w:rsidRPr="00303F3B">
        <w:t xml:space="preserve"> third-country authorities increasingly use the EU dossier as a reference point</w:t>
      </w:r>
      <w:r w:rsidRPr="00303F3B">
        <w:rPr>
          <w:vertAlign w:val="superscript"/>
        </w:rPr>
        <w:footnoteReference w:id="96"/>
      </w:r>
      <w:r w:rsidR="00052846">
        <w:t>.</w:t>
      </w:r>
    </w:p>
    <w:p w14:paraId="40C10B6F" w14:textId="599DACD1" w:rsidR="00CD3A79" w:rsidRPr="00303F3B" w:rsidRDefault="00052846" w:rsidP="00407D38">
      <w:pPr>
        <w:spacing w:line="259" w:lineRule="auto"/>
        <w:rPr>
          <w:vertAlign w:val="superscript"/>
        </w:rPr>
      </w:pPr>
      <w:r>
        <w:t>I</w:t>
      </w:r>
      <w:r w:rsidR="00CD3A79" w:rsidRPr="00303F3B">
        <w:t xml:space="preserve">t can therefore be assumed that in the upcoming future, </w:t>
      </w:r>
      <w:r w:rsidR="00CD3A79" w:rsidRPr="00303F3B">
        <w:rPr>
          <w:b/>
          <w:bCs/>
        </w:rPr>
        <w:t>the EU food law will continue to support the European market position of the food chain industry</w:t>
      </w:r>
      <w:r w:rsidR="00CD3A79" w:rsidRPr="00303F3B">
        <w:t>, and especially the food industry which is the largest manufacturing and employment sector in the EU.</w:t>
      </w:r>
    </w:p>
    <w:p w14:paraId="48E06C8D" w14:textId="77777777" w:rsidR="00CD3A79" w:rsidRDefault="00CD3A79" w:rsidP="00CD3A79">
      <w:r w:rsidRPr="00303F3B">
        <w:t xml:space="preserve">Nevertheless, this </w:t>
      </w:r>
      <w:r w:rsidRPr="00303F3B">
        <w:rPr>
          <w:b/>
          <w:bCs/>
        </w:rPr>
        <w:t>competitive advantage is curtailed by the length of the risk analysis process in certain sectors relating to innovative products</w:t>
      </w:r>
      <w:r w:rsidRPr="00303F3B">
        <w:t xml:space="preserve"> due to delays that are often observed during the risk assessment. These delays are caused by long stop-the-clock procedures, which are mainly attributed to low quality dossiers (see dimension above: administrative costs), and can increase administrative costs, resulting in lost revenues or uncertainty of potential investors</w:t>
      </w:r>
      <w:r w:rsidRPr="00303F3B">
        <w:rPr>
          <w:vertAlign w:val="superscript"/>
        </w:rPr>
        <w:footnoteReference w:id="97"/>
      </w:r>
      <w:r w:rsidRPr="00303F3B">
        <w:t>.</w:t>
      </w:r>
    </w:p>
    <w:p w14:paraId="64B14525" w14:textId="4DDD819F" w:rsidR="00CD3A79" w:rsidRPr="00303F3B" w:rsidRDefault="00B26880" w:rsidP="00407D38">
      <w:pPr>
        <w:spacing w:after="160" w:line="259" w:lineRule="auto"/>
        <w:rPr>
          <w:b/>
          <w:bCs/>
        </w:rPr>
      </w:pPr>
      <w:r>
        <w:rPr>
          <w:b/>
          <w:bCs/>
        </w:rPr>
        <w:t>F</w:t>
      </w:r>
      <w:r w:rsidR="00CD3A79" w:rsidRPr="00303F3B">
        <w:rPr>
          <w:b/>
          <w:bCs/>
        </w:rPr>
        <w:t>unctioning of the internal market and competition</w:t>
      </w:r>
    </w:p>
    <w:p w14:paraId="303AD5E8" w14:textId="754281CD" w:rsidR="00E13B89" w:rsidRDefault="00E83EEC" w:rsidP="00407D38">
      <w:pPr>
        <w:spacing w:after="160" w:line="259" w:lineRule="auto"/>
      </w:pPr>
      <w:r>
        <w:t>Under t</w:t>
      </w:r>
      <w:r w:rsidR="00CD3A79" w:rsidRPr="00303F3B">
        <w:t>he baseline</w:t>
      </w:r>
      <w:r>
        <w:t>, it is</w:t>
      </w:r>
      <w:r w:rsidR="00CD3A79" w:rsidRPr="00303F3B">
        <w:t xml:space="preserve"> assume</w:t>
      </w:r>
      <w:r>
        <w:t>d</w:t>
      </w:r>
      <w:r w:rsidR="00CD3A79" w:rsidRPr="00303F3B">
        <w:t xml:space="preserve"> that the current EU food law legislation will continue to contribute to the functioning of the internal market and competition. Compared with EU legislation before 2002, when the </w:t>
      </w:r>
      <w:r w:rsidR="009613B7">
        <w:t>EU</w:t>
      </w:r>
      <w:r w:rsidR="003804CE">
        <w:t xml:space="preserve"> food law was a patchwork of vertical</w:t>
      </w:r>
      <w:r w:rsidR="009613B7">
        <w:t xml:space="preserve"> </w:t>
      </w:r>
      <w:r w:rsidR="00CD3A79" w:rsidRPr="00303F3B">
        <w:t>legislation</w:t>
      </w:r>
      <w:r w:rsidR="003804CE">
        <w:rPr>
          <w:rStyle w:val="FootnoteReference"/>
        </w:rPr>
        <w:footnoteReference w:id="98"/>
      </w:r>
      <w:r w:rsidR="00CD3A79" w:rsidRPr="00303F3B">
        <w:t xml:space="preserve">, the introduction of General Food Law and subsequent EU sectoral legislation provides </w:t>
      </w:r>
      <w:r w:rsidR="00CD3A79" w:rsidRPr="00303F3B">
        <w:rPr>
          <w:b/>
          <w:bCs/>
        </w:rPr>
        <w:t>a common framework</w:t>
      </w:r>
      <w:r w:rsidR="00CD3A79" w:rsidRPr="00303F3B">
        <w:t xml:space="preserve"> for the intended integrated approach and ensures that across all Member States uniform food law </w:t>
      </w:r>
      <w:r w:rsidR="00A0455E">
        <w:t>definitions and</w:t>
      </w:r>
      <w:r w:rsidR="00CD3A79" w:rsidRPr="00303F3B">
        <w:t xml:space="preserve"> principles are applied. This has been confirmed by the 2018 Fitness Check on General Food Law Regulation.</w:t>
      </w:r>
      <w:r w:rsidR="00CD3A79" w:rsidRPr="00303F3B">
        <w:rPr>
          <w:vertAlign w:val="superscript"/>
        </w:rPr>
        <w:footnoteReference w:id="99"/>
      </w:r>
      <w:r w:rsidR="00CD3A79" w:rsidRPr="00303F3B">
        <w:t xml:space="preserve"> </w:t>
      </w:r>
      <w:r w:rsidR="00B20BFF">
        <w:t>One main finding</w:t>
      </w:r>
      <w:r w:rsidR="00CD3A79" w:rsidRPr="00303F3B">
        <w:t xml:space="preserve"> was that the current legislative framework not only achieved its goals for </w:t>
      </w:r>
      <w:r w:rsidR="00F44AAC">
        <w:t xml:space="preserve">a high level of protection of public health and </w:t>
      </w:r>
      <w:r w:rsidR="00CD3A79" w:rsidRPr="00303F3B">
        <w:t>consumer</w:t>
      </w:r>
      <w:r w:rsidR="00F44AAC">
        <w:t>s’ interests in relation to food</w:t>
      </w:r>
      <w:r w:rsidR="00CD3A79" w:rsidRPr="00303F3B">
        <w:t>, but also enhanced the functioning of the internal market in the EU by providing a level playing field throughout the E</w:t>
      </w:r>
      <w:r w:rsidR="00B20BFF">
        <w:t>U single</w:t>
      </w:r>
      <w:r w:rsidR="00CD3A79" w:rsidRPr="00303F3B">
        <w:t xml:space="preserve"> market. Furthermore, the current regulation had led to </w:t>
      </w:r>
      <w:r w:rsidR="00CD3A79" w:rsidRPr="00303F3B">
        <w:lastRenderedPageBreak/>
        <w:t>greater harmonization across the EU compared to EU legislation before that was characterized by complexity, duplication, overlaps and inconsistencies</w:t>
      </w:r>
      <w:r w:rsidR="00CD3A79" w:rsidRPr="00303F3B">
        <w:rPr>
          <w:vertAlign w:val="superscript"/>
        </w:rPr>
        <w:footnoteReference w:id="100"/>
      </w:r>
      <w:r w:rsidR="00CD3A79" w:rsidRPr="00303F3B">
        <w:t xml:space="preserve">. </w:t>
      </w:r>
    </w:p>
    <w:p w14:paraId="7FB69A2B" w14:textId="7BB89DE6" w:rsidR="00CD3A79" w:rsidRPr="00303F3B" w:rsidRDefault="00CD3A79" w:rsidP="00407D38">
      <w:pPr>
        <w:spacing w:after="160" w:line="259" w:lineRule="auto"/>
      </w:pPr>
      <w:r w:rsidRPr="00303F3B">
        <w:t xml:space="preserve">For instance, the coherence of </w:t>
      </w:r>
      <w:r w:rsidR="009D023E" w:rsidRPr="009D023E">
        <w:t>food law is particularly demonstrated by</w:t>
      </w:r>
      <w:r w:rsidRPr="00303F3B">
        <w:t xml:space="preserve"> the systematic application of the risk analysis principle </w:t>
      </w:r>
      <w:r w:rsidR="009D023E">
        <w:t>– set out in</w:t>
      </w:r>
      <w:r w:rsidRPr="00303F3B">
        <w:t xml:space="preserve"> the General Food Law</w:t>
      </w:r>
      <w:r w:rsidR="009D023E">
        <w:t xml:space="preserve"> –</w:t>
      </w:r>
      <w:r w:rsidR="009D023E" w:rsidRPr="009D023E">
        <w:t xml:space="preserve"> in all EU food secondary food legislation (and not limited to food safety), where relevant. Moreover, EFSA's input is not only required for legislation governing feed and food per se, but a more holistic approach has been put in place covering all scientific issues pertinent for the food chain, </w:t>
      </w:r>
      <w:r w:rsidR="003635C0">
        <w:t>e.g.</w:t>
      </w:r>
      <w:r w:rsidR="009D023E" w:rsidRPr="009D023E">
        <w:t xml:space="preserve"> plant protection products</w:t>
      </w:r>
      <w:r w:rsidR="003635C0">
        <w:t xml:space="preserve"> and</w:t>
      </w:r>
      <w:r w:rsidR="009D023E" w:rsidRPr="009D023E">
        <w:t xml:space="preserve"> food contact materials</w:t>
      </w:r>
      <w:r w:rsidR="00E36559">
        <w:t>,</w:t>
      </w:r>
      <w:r w:rsidR="00FC163C">
        <w:t xml:space="preserve"> </w:t>
      </w:r>
      <w:r w:rsidR="009D023E" w:rsidRPr="009D023E">
        <w:t xml:space="preserve">promoting coherence of food law in general. </w:t>
      </w:r>
      <w:r w:rsidR="001F61AB">
        <w:t xml:space="preserve">At the same time, </w:t>
      </w:r>
      <w:r w:rsidR="001F61AB" w:rsidRPr="001F61AB">
        <w:t>setting an acceptable level of risk at EU level through a centralised science-based approach (EFSA) results in a higher level of scientific expertise, while preventing the duplication of efforts in M</w:t>
      </w:r>
      <w:r w:rsidR="00A7629C">
        <w:t xml:space="preserve">ember </w:t>
      </w:r>
      <w:r w:rsidR="001F61AB" w:rsidRPr="001F61AB">
        <w:t>S</w:t>
      </w:r>
      <w:r w:rsidR="00A7629C">
        <w:t>tates</w:t>
      </w:r>
      <w:r w:rsidR="001F61AB" w:rsidRPr="001F61AB">
        <w:t xml:space="preserve"> in terms of risk assessments and risk management decisions. Moreover, centralised </w:t>
      </w:r>
      <w:r w:rsidR="00E24D8C">
        <w:t xml:space="preserve">authorisation procedures </w:t>
      </w:r>
      <w:r w:rsidR="001F61AB" w:rsidRPr="001F61AB">
        <w:t>ha</w:t>
      </w:r>
      <w:r w:rsidR="00E24D8C">
        <w:t>ve</w:t>
      </w:r>
      <w:r w:rsidR="001F61AB" w:rsidRPr="001F61AB">
        <w:t xml:space="preserve"> resulted </w:t>
      </w:r>
      <w:r w:rsidR="001F61AB" w:rsidRPr="5DA36055">
        <w:rPr>
          <w:b/>
          <w:bCs/>
        </w:rPr>
        <w:t xml:space="preserve">in </w:t>
      </w:r>
      <w:r w:rsidR="00B25DD1" w:rsidRPr="00AB5640">
        <w:rPr>
          <w:b/>
          <w:bCs/>
        </w:rPr>
        <w:t xml:space="preserve">significant </w:t>
      </w:r>
      <w:r w:rsidR="001F61AB" w:rsidRPr="5DA36055">
        <w:rPr>
          <w:b/>
          <w:bCs/>
        </w:rPr>
        <w:t>cost savings for M</w:t>
      </w:r>
      <w:r w:rsidR="00A7629C" w:rsidRPr="5DA36055">
        <w:rPr>
          <w:b/>
          <w:bCs/>
        </w:rPr>
        <w:t xml:space="preserve">ember </w:t>
      </w:r>
      <w:r w:rsidR="001F61AB" w:rsidRPr="5DA36055">
        <w:rPr>
          <w:b/>
          <w:bCs/>
        </w:rPr>
        <w:t>S</w:t>
      </w:r>
      <w:r w:rsidR="00A7629C" w:rsidRPr="5DA36055">
        <w:rPr>
          <w:b/>
          <w:bCs/>
        </w:rPr>
        <w:t>tates</w:t>
      </w:r>
      <w:r w:rsidR="001F61AB" w:rsidRPr="001F61AB">
        <w:t xml:space="preserve">, especially for the smaller </w:t>
      </w:r>
      <w:r w:rsidR="00A7629C">
        <w:t>Member States</w:t>
      </w:r>
      <w:r w:rsidR="001F61AB" w:rsidRPr="001F61AB">
        <w:t xml:space="preserve"> that cannot afford to invest in the required scientific capacity</w:t>
      </w:r>
      <w:r w:rsidR="00A7629C">
        <w:t>. They have also resulted in cost savings</w:t>
      </w:r>
      <w:r w:rsidR="00E24D8C">
        <w:rPr>
          <w:b/>
          <w:bCs/>
        </w:rPr>
        <w:t xml:space="preserve"> for applicants as they </w:t>
      </w:r>
      <w:r w:rsidR="00E2279D">
        <w:rPr>
          <w:b/>
          <w:bCs/>
        </w:rPr>
        <w:t>only have to submit a single application dossier instead</w:t>
      </w:r>
      <w:r w:rsidR="00E2279D" w:rsidRPr="5DA36055">
        <w:rPr>
          <w:b/>
          <w:bCs/>
        </w:rPr>
        <w:t xml:space="preserve"> </w:t>
      </w:r>
      <w:r w:rsidR="00695D24" w:rsidRPr="5DA36055">
        <w:rPr>
          <w:b/>
          <w:bCs/>
        </w:rPr>
        <w:t>of</w:t>
      </w:r>
      <w:r w:rsidR="00E2279D">
        <w:rPr>
          <w:b/>
          <w:bCs/>
        </w:rPr>
        <w:t xml:space="preserve"> multiple national applications.</w:t>
      </w:r>
      <w:r w:rsidRPr="00303F3B">
        <w:rPr>
          <w:vertAlign w:val="superscript"/>
        </w:rPr>
        <w:footnoteReference w:id="101"/>
      </w:r>
      <w:r w:rsidRPr="00303F3B">
        <w:t xml:space="preserve"> </w:t>
      </w:r>
    </w:p>
    <w:p w14:paraId="6BC818CF" w14:textId="6D8C23CE" w:rsidR="009F7B46" w:rsidRPr="00303F3B" w:rsidRDefault="00AD5950" w:rsidP="009F7B46">
      <w:pPr>
        <w:spacing w:after="160" w:line="259" w:lineRule="auto"/>
      </w:pPr>
      <w:r w:rsidRPr="00AD5950">
        <w:t xml:space="preserve">Nevertheless, while the current framework ensures a high degree of harmonisation and a level playing field in legal terms, its effectiveness in practice may be constrained by delays in </w:t>
      </w:r>
      <w:r w:rsidR="00624B1C" w:rsidRPr="00624B1C">
        <w:t xml:space="preserve">the </w:t>
      </w:r>
      <w:r w:rsidRPr="00AD5950">
        <w:t xml:space="preserve">risk </w:t>
      </w:r>
      <w:r w:rsidR="00624B1C" w:rsidRPr="00624B1C">
        <w:t>analysis process in certain sectors relating to innovative products. These delays, which are mainly attributed to low quality dossiers</w:t>
      </w:r>
      <w:r w:rsidRPr="00AD5950">
        <w:t xml:space="preserve"> and </w:t>
      </w:r>
      <w:r w:rsidR="00624B1C" w:rsidRPr="00624B1C">
        <w:t>the resulting stop-the-clock procedures</w:t>
      </w:r>
      <w:r w:rsidRPr="00AD5950">
        <w:t xml:space="preserve"> and </w:t>
      </w:r>
      <w:r w:rsidR="00624B1C" w:rsidRPr="00624B1C">
        <w:t xml:space="preserve">additional requests for information, may </w:t>
      </w:r>
      <w:r w:rsidRPr="00AD5950">
        <w:t xml:space="preserve">slow down the </w:t>
      </w:r>
      <w:r w:rsidR="00624B1C" w:rsidRPr="00624B1C">
        <w:t>placing</w:t>
      </w:r>
      <w:r w:rsidRPr="00AD5950">
        <w:t xml:space="preserve"> of products </w:t>
      </w:r>
      <w:r w:rsidR="00624B1C" w:rsidRPr="00624B1C">
        <w:t xml:space="preserve">on the EU market </w:t>
      </w:r>
      <w:r w:rsidRPr="00AD5950">
        <w:t xml:space="preserve">and the speed at which operators can </w:t>
      </w:r>
      <w:r w:rsidR="00624B1C" w:rsidRPr="00624B1C">
        <w:t xml:space="preserve">effectively </w:t>
      </w:r>
      <w:r w:rsidRPr="00AD5950">
        <w:t xml:space="preserve">access the internal market. As a result, while the internal market framework is structurally well-functioning, </w:t>
      </w:r>
      <w:r w:rsidR="009F7B46">
        <w:t>when authorised innovative products are placed on the market</w:t>
      </w:r>
      <w:r w:rsidR="009F7B46" w:rsidRPr="00AD5950">
        <w:t xml:space="preserve">, </w:t>
      </w:r>
      <w:r w:rsidR="009F7B46">
        <w:t xml:space="preserve">the </w:t>
      </w:r>
      <w:r w:rsidR="009F7B46" w:rsidRPr="00AD5950">
        <w:t>full</w:t>
      </w:r>
      <w:r w:rsidR="009F7B46">
        <w:t xml:space="preserve"> </w:t>
      </w:r>
      <w:r w:rsidR="009F7B46" w:rsidRPr="00AD5950">
        <w:t xml:space="preserve">benefits </w:t>
      </w:r>
      <w:r w:rsidR="009F7B46">
        <w:t>of the internal market materialise in practice with certain delays impacting the return on investment for innovative business operators</w:t>
      </w:r>
      <w:r w:rsidR="009F7B46" w:rsidRPr="00AD5950">
        <w:t>.</w:t>
      </w:r>
    </w:p>
    <w:p w14:paraId="1B455BE2" w14:textId="587C3F47" w:rsidR="00CD3A79" w:rsidRPr="00303F3B" w:rsidRDefault="00B26880" w:rsidP="00CD3A79">
      <w:r>
        <w:rPr>
          <w:b/>
          <w:bCs/>
        </w:rPr>
        <w:t>I</w:t>
      </w:r>
      <w:r w:rsidR="00CD3A79" w:rsidRPr="00303F3B">
        <w:rPr>
          <w:b/>
          <w:bCs/>
        </w:rPr>
        <w:t>nnovation and research</w:t>
      </w:r>
    </w:p>
    <w:p w14:paraId="4EE2B51B" w14:textId="0093862E" w:rsidR="00CD3A79" w:rsidRPr="00303F3B" w:rsidRDefault="00CD3A79" w:rsidP="00407D38">
      <w:pPr>
        <w:spacing w:after="160" w:line="259" w:lineRule="auto"/>
      </w:pPr>
      <w:r w:rsidRPr="00303F3B">
        <w:t xml:space="preserve">Under the baseline, </w:t>
      </w:r>
      <w:r>
        <w:t xml:space="preserve">the </w:t>
      </w:r>
      <w:r w:rsidRPr="5DA36055">
        <w:rPr>
          <w:b/>
          <w:bCs/>
        </w:rPr>
        <w:t xml:space="preserve">full potential of innovation and research in the food and feed sector, especially regarding start-ups and SMEs, is generally hindered </w:t>
      </w:r>
      <w:r w:rsidRPr="5DA36055">
        <w:t>by</w:t>
      </w:r>
      <w:r w:rsidRPr="5DA36055">
        <w:rPr>
          <w:b/>
          <w:bCs/>
        </w:rPr>
        <w:t xml:space="preserve"> </w:t>
      </w:r>
      <w:r w:rsidRPr="00303F3B">
        <w:t xml:space="preserve">the often-observed delays in risk assessment </w:t>
      </w:r>
      <w:r w:rsidR="009928F8">
        <w:t>attributed</w:t>
      </w:r>
      <w:r w:rsidRPr="00303F3B">
        <w:t xml:space="preserve"> to low quality of application dossiers</w:t>
      </w:r>
      <w:r w:rsidR="009928F8">
        <w:t>; these</w:t>
      </w:r>
      <w:r w:rsidRPr="00303F3B">
        <w:t xml:space="preserve"> </w:t>
      </w:r>
      <w:r w:rsidR="002E01FD">
        <w:t>delays</w:t>
      </w:r>
      <w:r w:rsidRPr="00303F3B">
        <w:t xml:space="preserve"> have been found to have a negative impact on innovation, in terms of expected return on investment.</w:t>
      </w:r>
      <w:r w:rsidRPr="00303F3B">
        <w:rPr>
          <w:vertAlign w:val="superscript"/>
        </w:rPr>
        <w:footnoteReference w:id="102"/>
      </w:r>
      <w:r w:rsidRPr="00303F3B">
        <w:t xml:space="preserve"> </w:t>
      </w:r>
    </w:p>
    <w:p w14:paraId="6A4ABC00" w14:textId="17E33BC3" w:rsidR="00CD3A79" w:rsidRPr="00303F3B" w:rsidRDefault="00CD3A79" w:rsidP="00407D38">
      <w:pPr>
        <w:spacing w:after="160" w:line="259" w:lineRule="auto"/>
      </w:pPr>
      <w:r w:rsidRPr="00303F3B">
        <w:t xml:space="preserve">This is further exacerbated by the current situation regarding regulatory sandboxes in the EU food and feed area, which is marked by fragmentation and an underuse of their potential in contributing to the development of innovative products and/or a faster </w:t>
      </w:r>
      <w:r w:rsidRPr="00303F3B">
        <w:lastRenderedPageBreak/>
        <w:t>adaptation of the regulatory framework to emerging needs. A few Member States have put in place sandbox-type mechanisms, but these tend to be horizontal</w:t>
      </w:r>
      <w:r w:rsidR="003F583B">
        <w:t xml:space="preserve"> when</w:t>
      </w:r>
      <w:r w:rsidRPr="00303F3B">
        <w:t xml:space="preserve"> connected to food and feed law, and not anchored in a clear, harmonised EU framework under the General Food Law.</w:t>
      </w:r>
      <w:r w:rsidR="003F583B">
        <w:rPr>
          <w:rStyle w:val="FootnoteReference"/>
        </w:rPr>
        <w:footnoteReference w:id="103"/>
      </w:r>
      <w:r w:rsidRPr="00303F3B">
        <w:t xml:space="preserve"> In the public consultation of the </w:t>
      </w:r>
      <w:r w:rsidR="00A25C33">
        <w:t xml:space="preserve">proposed </w:t>
      </w:r>
      <w:r w:rsidRPr="00303F3B">
        <w:t>E</w:t>
      </w:r>
      <w:r w:rsidR="00A25C33">
        <w:t>uropean</w:t>
      </w:r>
      <w:r w:rsidRPr="00303F3B">
        <w:t xml:space="preserve"> Biotech Act, it was also claimed that the absence of regulatory sandboxes</w:t>
      </w:r>
      <w:r w:rsidRPr="00303F3B">
        <w:rPr>
          <w:vertAlign w:val="superscript"/>
        </w:rPr>
        <w:footnoteReference w:id="104"/>
      </w:r>
      <w:r w:rsidRPr="00303F3B">
        <w:t xml:space="preserve"> and limited opportunities for real-world testing prevent innovators from gathering essential data and feedback, further slowing the development and scaling of new solutions.</w:t>
      </w:r>
      <w:r w:rsidRPr="00303F3B">
        <w:rPr>
          <w:vertAlign w:val="superscript"/>
        </w:rPr>
        <w:footnoteReference w:id="105"/>
      </w:r>
      <w:r w:rsidRPr="00303F3B">
        <w:t xml:space="preserve"> Any existing regulatory sandboxes are also not systematically linked to EFSA’s scientific work or meant to contribute to an evidence-based proposal for a possible adaptation of regulatory requirements. As a result, </w:t>
      </w:r>
      <w:r w:rsidRPr="00303F3B">
        <w:rPr>
          <w:b/>
          <w:bCs/>
        </w:rPr>
        <w:t>opportunities for structured, supervised experimentation in real conditions</w:t>
      </w:r>
      <w:r w:rsidRPr="00303F3B">
        <w:t xml:space="preserve"> that could facilitate innovation and inform future adaptations of EFSA’s guidance (e.g., in relation to data requirements) and/or of regulatory requirements </w:t>
      </w:r>
      <w:r w:rsidRPr="00303F3B">
        <w:rPr>
          <w:b/>
          <w:bCs/>
        </w:rPr>
        <w:t>remain largely missed or underused</w:t>
      </w:r>
      <w:r w:rsidRPr="00303F3B">
        <w:t>.</w:t>
      </w:r>
    </w:p>
    <w:p w14:paraId="3FB7D60D" w14:textId="5DFECAE1" w:rsidR="00CD3A79" w:rsidRPr="00303F3B" w:rsidRDefault="00B26880" w:rsidP="00407D38">
      <w:pPr>
        <w:spacing w:after="160" w:line="259" w:lineRule="auto"/>
        <w:rPr>
          <w:b/>
          <w:bCs/>
        </w:rPr>
      </w:pPr>
      <w:r>
        <w:rPr>
          <w:b/>
          <w:bCs/>
        </w:rPr>
        <w:t>P</w:t>
      </w:r>
      <w:r w:rsidR="00CD3A79" w:rsidRPr="00303F3B">
        <w:rPr>
          <w:b/>
          <w:bCs/>
        </w:rPr>
        <w:t>ublic authorities</w:t>
      </w:r>
    </w:p>
    <w:p w14:paraId="0A9B76A2" w14:textId="216BB95C" w:rsidR="00CD3A79" w:rsidRPr="00303F3B" w:rsidRDefault="00040F8D" w:rsidP="00407D38">
      <w:pPr>
        <w:spacing w:after="160" w:line="259" w:lineRule="auto"/>
        <w:rPr>
          <w:bCs/>
        </w:rPr>
      </w:pPr>
      <w:r>
        <w:rPr>
          <w:bCs/>
        </w:rPr>
        <w:t>Under t</w:t>
      </w:r>
      <w:r w:rsidR="00CD3A79" w:rsidRPr="00303F3B">
        <w:rPr>
          <w:bCs/>
        </w:rPr>
        <w:t>he baseline</w:t>
      </w:r>
      <w:r>
        <w:rPr>
          <w:bCs/>
        </w:rPr>
        <w:t>, it is</w:t>
      </w:r>
      <w:r w:rsidR="00CD3A79" w:rsidRPr="00303F3B">
        <w:rPr>
          <w:bCs/>
        </w:rPr>
        <w:t xml:space="preserve"> assume</w:t>
      </w:r>
      <w:r>
        <w:rPr>
          <w:bCs/>
        </w:rPr>
        <w:t>d</w:t>
      </w:r>
      <w:r w:rsidR="00CD3A79" w:rsidRPr="00303F3B">
        <w:rPr>
          <w:bCs/>
        </w:rPr>
        <w:t xml:space="preserve"> that EFSA’s general pre-submission advice continues to exclude scientific matters such as study design and testing strategies and that there is a separation between the EFSA staff that provide such advice and the EFSA staff that support the Panels during the risk assessment.</w:t>
      </w:r>
    </w:p>
    <w:p w14:paraId="1B86A106" w14:textId="3CB2C561" w:rsidR="00CD3A79" w:rsidRPr="00CC2E83" w:rsidRDefault="00CD3A79" w:rsidP="00AB5640">
      <w:pPr>
        <w:spacing w:after="160" w:line="259" w:lineRule="auto"/>
        <w:rPr>
          <w:bCs/>
        </w:rPr>
      </w:pPr>
      <w:r w:rsidRPr="00303F3B">
        <w:rPr>
          <w:bCs/>
        </w:rPr>
        <w:t>EFSA’s Panels/Scientific Committees will continue to be chaired by experts while EFSA staff will only be providing support to the Panels/Scientific Committees, by organising their work, including preparatory work.</w:t>
      </w:r>
      <w:r w:rsidR="00201204">
        <w:rPr>
          <w:bCs/>
        </w:rPr>
        <w:t xml:space="preserve"> </w:t>
      </w:r>
      <w:r w:rsidRPr="00303F3B">
        <w:rPr>
          <w:bCs/>
        </w:rPr>
        <w:t>Under the current regulatory framework, national competent authorities do not have the opportunity to test data requirements or alternative regulatory requirements in controlled environments under a clearly defined framework.</w:t>
      </w:r>
    </w:p>
    <w:p w14:paraId="098F8968" w14:textId="44A95EC2" w:rsidR="00963C61" w:rsidRPr="004570F2" w:rsidRDefault="00963C61" w:rsidP="00963C61">
      <w:pPr>
        <w:spacing w:after="160" w:line="259" w:lineRule="auto"/>
        <w:rPr>
          <w:u w:val="single"/>
          <w:lang w:val="en-IE"/>
        </w:rPr>
      </w:pPr>
      <w:r w:rsidRPr="00853539">
        <w:rPr>
          <w:u w:val="single"/>
          <w:lang w:val="en-IE"/>
        </w:rPr>
        <w:t xml:space="preserve">Under the baseline, the </w:t>
      </w:r>
      <w:r w:rsidRPr="004570F2">
        <w:rPr>
          <w:u w:val="single"/>
          <w:lang w:val="en-IE"/>
        </w:rPr>
        <w:t xml:space="preserve">current structure of </w:t>
      </w:r>
      <w:r w:rsidRPr="00853539">
        <w:rPr>
          <w:u w:val="single"/>
          <w:lang w:val="en-IE"/>
        </w:rPr>
        <w:t>European Food Safety Authority’s</w:t>
      </w:r>
      <w:r w:rsidRPr="004570F2">
        <w:rPr>
          <w:u w:val="single"/>
          <w:lang w:val="en-IE"/>
        </w:rPr>
        <w:t xml:space="preserve"> pre-submission advice regime is </w:t>
      </w:r>
      <w:r w:rsidRPr="00853539">
        <w:rPr>
          <w:u w:val="single"/>
          <w:lang w:val="en-IE"/>
        </w:rPr>
        <w:t>expected</w:t>
      </w:r>
      <w:r w:rsidRPr="004570F2">
        <w:rPr>
          <w:u w:val="single"/>
          <w:lang w:val="en-IE"/>
        </w:rPr>
        <w:t xml:space="preserve"> to </w:t>
      </w:r>
      <w:r w:rsidRPr="00853539">
        <w:rPr>
          <w:u w:val="single"/>
          <w:lang w:val="en-IE"/>
        </w:rPr>
        <w:t>persist, continuing</w:t>
      </w:r>
      <w:r w:rsidRPr="004570F2">
        <w:rPr>
          <w:u w:val="single"/>
          <w:lang w:val="en-IE"/>
        </w:rPr>
        <w:t xml:space="preserve"> to </w:t>
      </w:r>
      <w:r w:rsidRPr="00853539">
        <w:rPr>
          <w:u w:val="single"/>
          <w:lang w:val="en-IE"/>
        </w:rPr>
        <w:t>affect the quality and efficiency</w:t>
      </w:r>
      <w:r w:rsidRPr="004570F2">
        <w:rPr>
          <w:u w:val="single"/>
          <w:lang w:val="en-IE"/>
        </w:rPr>
        <w:t xml:space="preserve"> of dossier preparation</w:t>
      </w:r>
      <w:r w:rsidRPr="00853539">
        <w:rPr>
          <w:u w:val="single"/>
          <w:lang w:val="en-IE"/>
        </w:rPr>
        <w:t xml:space="preserve"> and assessment, by </w:t>
      </w:r>
      <w:r w:rsidRPr="004570F2">
        <w:rPr>
          <w:u w:val="single"/>
          <w:lang w:val="en-IE"/>
        </w:rPr>
        <w:t>limiting applicants’ ability</w:t>
      </w:r>
      <w:r w:rsidRPr="00853539">
        <w:rPr>
          <w:u w:val="single"/>
          <w:lang w:val="en-IE"/>
        </w:rPr>
        <w:t xml:space="preserve">—particularly </w:t>
      </w:r>
      <w:r w:rsidRPr="004570F2">
        <w:rPr>
          <w:u w:val="single"/>
          <w:lang w:val="en-IE"/>
        </w:rPr>
        <w:t xml:space="preserve">SMEs </w:t>
      </w:r>
      <w:r w:rsidRPr="00853539">
        <w:rPr>
          <w:u w:val="single"/>
          <w:lang w:val="en-IE"/>
        </w:rPr>
        <w:t>and</w:t>
      </w:r>
      <w:r w:rsidRPr="004570F2">
        <w:rPr>
          <w:u w:val="single"/>
          <w:lang w:val="en-IE"/>
        </w:rPr>
        <w:t xml:space="preserve"> start-ups</w:t>
      </w:r>
      <w:r w:rsidRPr="00853539">
        <w:rPr>
          <w:u w:val="single"/>
          <w:lang w:val="en-IE"/>
        </w:rPr>
        <w:t>—</w:t>
      </w:r>
      <w:r w:rsidRPr="004570F2">
        <w:rPr>
          <w:u w:val="single"/>
          <w:lang w:val="en-IE"/>
        </w:rPr>
        <w:t>to refine study designs and data-generation strategies in line with EFSA’s latest scientific expectations</w:t>
      </w:r>
      <w:r w:rsidRPr="00853539">
        <w:rPr>
          <w:u w:val="single"/>
          <w:lang w:val="en-IE"/>
        </w:rPr>
        <w:t xml:space="preserve"> and by increasing</w:t>
      </w:r>
      <w:r w:rsidRPr="004570F2">
        <w:rPr>
          <w:u w:val="single"/>
          <w:lang w:val="en-IE"/>
        </w:rPr>
        <w:t xml:space="preserve"> administrative effort </w:t>
      </w:r>
      <w:r w:rsidRPr="00853539">
        <w:rPr>
          <w:u w:val="single"/>
          <w:lang w:val="en-IE"/>
        </w:rPr>
        <w:t>for</w:t>
      </w:r>
      <w:r w:rsidRPr="004570F2">
        <w:rPr>
          <w:u w:val="single"/>
          <w:lang w:val="en-IE"/>
        </w:rPr>
        <w:t xml:space="preserve"> EFSA staff at validation </w:t>
      </w:r>
      <w:r w:rsidRPr="00853539">
        <w:rPr>
          <w:u w:val="single"/>
          <w:lang w:val="en-IE"/>
        </w:rPr>
        <w:t xml:space="preserve">and </w:t>
      </w:r>
      <w:r w:rsidRPr="004570F2">
        <w:rPr>
          <w:u w:val="single"/>
          <w:lang w:val="en-IE"/>
        </w:rPr>
        <w:t xml:space="preserve">during risk assessment </w:t>
      </w:r>
      <w:r w:rsidRPr="00853539">
        <w:rPr>
          <w:u w:val="single"/>
          <w:lang w:val="en-IE"/>
        </w:rPr>
        <w:t>through follow-</w:t>
      </w:r>
      <w:r w:rsidRPr="004570F2">
        <w:rPr>
          <w:u w:val="single"/>
          <w:lang w:val="en-IE"/>
        </w:rPr>
        <w:t xml:space="preserve">up </w:t>
      </w:r>
      <w:r w:rsidRPr="00853539">
        <w:rPr>
          <w:u w:val="single"/>
          <w:lang w:val="en-IE"/>
        </w:rPr>
        <w:t xml:space="preserve">requests </w:t>
      </w:r>
      <w:r w:rsidRPr="004570F2">
        <w:rPr>
          <w:u w:val="single"/>
          <w:lang w:val="en-IE"/>
        </w:rPr>
        <w:t xml:space="preserve">to </w:t>
      </w:r>
      <w:r w:rsidRPr="00853539">
        <w:rPr>
          <w:u w:val="single"/>
          <w:lang w:val="en-IE"/>
        </w:rPr>
        <w:t>address</w:t>
      </w:r>
      <w:r w:rsidRPr="004570F2">
        <w:rPr>
          <w:u w:val="single"/>
          <w:lang w:val="en-IE"/>
        </w:rPr>
        <w:t xml:space="preserve"> gaps in dossiers</w:t>
      </w:r>
      <w:r w:rsidRPr="00853539">
        <w:rPr>
          <w:u w:val="single"/>
          <w:lang w:val="en-IE"/>
        </w:rPr>
        <w:t>, thereby contributing</w:t>
      </w:r>
      <w:r w:rsidRPr="004570F2">
        <w:rPr>
          <w:u w:val="single"/>
          <w:lang w:val="en-IE"/>
        </w:rPr>
        <w:t xml:space="preserve"> to </w:t>
      </w:r>
      <w:r w:rsidRPr="00853539">
        <w:rPr>
          <w:u w:val="single"/>
          <w:lang w:val="en-IE"/>
        </w:rPr>
        <w:t>lengthy</w:t>
      </w:r>
      <w:r w:rsidRPr="004570F2">
        <w:rPr>
          <w:u w:val="single"/>
          <w:lang w:val="en-IE"/>
        </w:rPr>
        <w:t xml:space="preserve"> risk assessment periods</w:t>
      </w:r>
      <w:r w:rsidRPr="00853539">
        <w:rPr>
          <w:u w:val="single"/>
          <w:lang w:val="en-IE"/>
        </w:rPr>
        <w:t>.</w:t>
      </w:r>
      <w:r w:rsidR="005222A3">
        <w:rPr>
          <w:u w:val="single"/>
          <w:lang w:val="en-IE"/>
        </w:rPr>
        <w:t xml:space="preserve"> </w:t>
      </w:r>
      <w:r w:rsidR="00CD3A79" w:rsidRPr="00303F3B">
        <w:t>With regard to the governance of EFSA’s Panels, the current model – under which scientific experts chair the Panels</w:t>
      </w:r>
      <w:r w:rsidR="00DB4B90">
        <w:t>/Scientific Committee</w:t>
      </w:r>
      <w:r w:rsidR="00CD3A79" w:rsidRPr="00303F3B">
        <w:t xml:space="preserve"> – has implications for steering, internal coherence across assessments and the overall efficiency of the system. While expert chairs bring strong scientific credibility and ownership of the assessments, their dual role may reduce the scope for more centralised EFSA-level steering of priorities, methods and timelines. This limited institutional steering may, at least indirectly, contribute to heterogeneity in practices and, potentially, to longer or less predictable risk assessment processes. Another </w:t>
      </w:r>
      <w:r w:rsidR="00CD3A79" w:rsidRPr="00303F3B">
        <w:lastRenderedPageBreak/>
        <w:t>issue is that under the current regulatory framework national competent authorities have very limited scope to test data requirements or alternative regulatory approaches in controlled environments under a clearly defined and commonly agreed framework. While some Member States have started to experiment with regulatory sandboxes, these initiatives tend to be ad hoc, unevenly structured and insufficiently embedded in a broader EU-level governance architecture. As a result, their potential to generate robust evidence, inform adjustments to data requirements, and support innovative risk assessment and risk management approaches is not fully realised, and lessons learned remain fragmented rather than systematically feeding back into the evolution of the EU food safety system.</w:t>
      </w:r>
    </w:p>
    <w:p w14:paraId="122B4DC0" w14:textId="6C4E5304" w:rsidR="00CD3A79" w:rsidRPr="00303F3B" w:rsidRDefault="00B26880" w:rsidP="00407D38">
      <w:pPr>
        <w:spacing w:after="160" w:line="259" w:lineRule="auto"/>
        <w:rPr>
          <w:b/>
          <w:bCs/>
        </w:rPr>
      </w:pPr>
      <w:r>
        <w:rPr>
          <w:b/>
          <w:bCs/>
        </w:rPr>
        <w:t>P</w:t>
      </w:r>
      <w:r w:rsidR="00CD3A79" w:rsidRPr="00303F3B">
        <w:rPr>
          <w:b/>
          <w:bCs/>
        </w:rPr>
        <w:t>ublic health and safety</w:t>
      </w:r>
    </w:p>
    <w:p w14:paraId="7D4944F1" w14:textId="1E0772DE" w:rsidR="00F8717F" w:rsidRDefault="00255F24" w:rsidP="00407D38">
      <w:pPr>
        <w:spacing w:after="160" w:line="259" w:lineRule="auto"/>
      </w:pPr>
      <w:r>
        <w:t>Under t</w:t>
      </w:r>
      <w:r w:rsidR="00CD3A79" w:rsidRPr="00303F3B">
        <w:t>he baseline</w:t>
      </w:r>
      <w:r>
        <w:t xml:space="preserve">, </w:t>
      </w:r>
      <w:r w:rsidR="00CD3A79" w:rsidRPr="00303F3B">
        <w:t>the EU will continue to set high standards on food</w:t>
      </w:r>
      <w:r w:rsidR="006F4B96">
        <w:t xml:space="preserve">, </w:t>
      </w:r>
      <w:r w:rsidR="00CD3A79" w:rsidRPr="00303F3B">
        <w:t>feed</w:t>
      </w:r>
      <w:r w:rsidR="006F4B96">
        <w:t xml:space="preserve"> and other food chain inputs</w:t>
      </w:r>
      <w:r w:rsidR="00CD3A79" w:rsidRPr="00303F3B">
        <w:t xml:space="preserve">, especially for those subject to pre-market authorisations, and contribute to sustainable development and food safety within and outside the EU, providing incentives for the development of more innovative products that better protect public health and have equivalent or better efficacy </w:t>
      </w:r>
      <w:r w:rsidR="00CD3A79">
        <w:t>(as</w:t>
      </w:r>
      <w:r w:rsidR="00CD3A79" w:rsidRPr="00303F3B">
        <w:t xml:space="preserve"> has been shown, for example, for plant protection products</w:t>
      </w:r>
      <w:r w:rsidR="00CD3A79" w:rsidRPr="00303F3B">
        <w:rPr>
          <w:vertAlign w:val="superscript"/>
        </w:rPr>
        <w:footnoteReference w:id="106"/>
      </w:r>
      <w:r w:rsidR="00CD3A79">
        <w:t>)</w:t>
      </w:r>
      <w:r w:rsidR="00CD3A79" w:rsidRPr="00303F3B">
        <w:t>. However, these innovation opportunities cannot be fully exploited due to lengthy risk assessment processes mainly attributed to low quality application dossiers</w:t>
      </w:r>
      <w:r w:rsidR="00B26880">
        <w:t xml:space="preserve">. </w:t>
      </w:r>
    </w:p>
    <w:p w14:paraId="526D504A" w14:textId="79E3B086" w:rsidR="00CD3A79" w:rsidRPr="00303F3B" w:rsidRDefault="00CD3A79" w:rsidP="00407D38">
      <w:pPr>
        <w:spacing w:after="160" w:line="259" w:lineRule="auto"/>
      </w:pPr>
      <w:r>
        <w:t>T</w:t>
      </w:r>
      <w:r w:rsidRPr="00303F3B">
        <w:t>he current legislation</w:t>
      </w:r>
      <w:r w:rsidR="00F8717F">
        <w:t xml:space="preserve"> also</w:t>
      </w:r>
      <w:r w:rsidRPr="00303F3B">
        <w:t xml:space="preserve"> faces limitations in addressing the scientific aspects that may arise from the expected increase in the prevalence of diet related health issues in the coming years due to the limited mandate of EFSA to deliver scientific advice in relation to nutrition matters such as the nutritional properties of food products and practices derived from advanced biotechnological processes. </w:t>
      </w:r>
    </w:p>
    <w:p w14:paraId="2DC2087C" w14:textId="1AF93298" w:rsidR="00B26880" w:rsidRPr="005A3401" w:rsidRDefault="00B26880" w:rsidP="00AB5640">
      <w:pPr>
        <w:pStyle w:val="Heading2"/>
      </w:pPr>
      <w:bookmarkStart w:id="238" w:name="_Toc225969794"/>
      <w:bookmarkStart w:id="239" w:name="_Toc225979126"/>
      <w:r w:rsidRPr="005A3401">
        <w:t>Expected impacts</w:t>
      </w:r>
      <w:bookmarkEnd w:id="238"/>
      <w:bookmarkEnd w:id="239"/>
    </w:p>
    <w:p w14:paraId="6EF0388F" w14:textId="77777777" w:rsidR="00E41983" w:rsidRPr="00303F3B" w:rsidRDefault="00E41983" w:rsidP="00407D38">
      <w:pPr>
        <w:spacing w:after="160" w:line="259" w:lineRule="auto"/>
        <w:rPr>
          <w:b/>
          <w:bCs/>
        </w:rPr>
      </w:pPr>
      <w:r w:rsidRPr="00303F3B">
        <w:rPr>
          <w:b/>
          <w:bCs/>
        </w:rPr>
        <w:t>Conduct of business</w:t>
      </w:r>
    </w:p>
    <w:p w14:paraId="4ABAC782" w14:textId="3C6263C9" w:rsidR="00E41983" w:rsidRPr="00303F3B" w:rsidRDefault="00E41983" w:rsidP="00407D38">
      <w:pPr>
        <w:spacing w:after="160" w:line="259" w:lineRule="auto"/>
        <w:rPr>
          <w:lang w:val="en-US"/>
        </w:rPr>
      </w:pPr>
      <w:r>
        <w:t>T</w:t>
      </w:r>
      <w:r w:rsidRPr="00303F3B">
        <w:t xml:space="preserve">he proposed scope </w:t>
      </w:r>
      <w:r>
        <w:t xml:space="preserve">extension </w:t>
      </w:r>
      <w:r w:rsidRPr="00303F3B">
        <w:t xml:space="preserve">of EFSA’s general pre-submission advice might help businesses towards </w:t>
      </w:r>
      <w:r w:rsidRPr="5DA36055">
        <w:rPr>
          <w:b/>
          <w:bCs/>
        </w:rPr>
        <w:t>faster market authorisation</w:t>
      </w:r>
      <w:r w:rsidRPr="00303F3B">
        <w:t xml:space="preserve"> by reducing delays during risk assessment but also at </w:t>
      </w:r>
      <w:r w:rsidR="001465DA">
        <w:t>the stage of validation of dossiers because of their low quality</w:t>
      </w:r>
      <w:r w:rsidRPr="00303F3B">
        <w:t xml:space="preserve">. </w:t>
      </w:r>
      <w:r>
        <w:t>The inclusion of</w:t>
      </w:r>
      <w:r w:rsidRPr="00303F3B">
        <w:t xml:space="preserve"> scientific aspects, such as study design and testing strategies</w:t>
      </w:r>
      <w:r>
        <w:t>, in the scope of</w:t>
      </w:r>
      <w:r w:rsidRPr="008B6FCF">
        <w:t xml:space="preserve"> </w:t>
      </w:r>
      <w:r w:rsidRPr="00303F3B">
        <w:t>pre-submission advice may be particularly valuable for SMEs and start-ups, often first and only time applicants, who often lack the understanding what type of requirements they must provide within their dossiers</w:t>
      </w:r>
      <w:r w:rsidRPr="00303F3B">
        <w:rPr>
          <w:vertAlign w:val="superscript"/>
        </w:rPr>
        <w:footnoteReference w:id="107"/>
      </w:r>
      <w:r w:rsidRPr="00303F3B">
        <w:t>.</w:t>
      </w:r>
      <w:r>
        <w:rPr>
          <w:lang w:val="en-US"/>
        </w:rPr>
        <w:t xml:space="preserve"> This should also improve </w:t>
      </w:r>
      <w:r w:rsidRPr="00303F3B">
        <w:rPr>
          <w:lang w:val="en-US"/>
        </w:rPr>
        <w:t>timelines</w:t>
      </w:r>
      <w:r w:rsidR="00A86B37">
        <w:rPr>
          <w:lang w:val="en-US"/>
        </w:rPr>
        <w:t>s</w:t>
      </w:r>
      <w:r>
        <w:rPr>
          <w:lang w:val="en-US"/>
        </w:rPr>
        <w:t xml:space="preserve"> by facilitating the </w:t>
      </w:r>
      <w:r w:rsidRPr="00303F3B">
        <w:rPr>
          <w:lang w:val="en-US"/>
        </w:rPr>
        <w:t>reduc</w:t>
      </w:r>
      <w:r>
        <w:rPr>
          <w:lang w:val="en-US"/>
        </w:rPr>
        <w:t>tion of</w:t>
      </w:r>
      <w:r w:rsidRPr="00303F3B">
        <w:rPr>
          <w:lang w:val="en-US"/>
        </w:rPr>
        <w:t xml:space="preserve"> deficiencies and data gaps </w:t>
      </w:r>
      <w:r>
        <w:rPr>
          <w:lang w:val="en-US"/>
        </w:rPr>
        <w:t>in dossiers that</w:t>
      </w:r>
      <w:r w:rsidRPr="00303F3B">
        <w:rPr>
          <w:lang w:val="en-US"/>
        </w:rPr>
        <w:t xml:space="preserve"> currently trigger delays during the validation process and/or “stop-the-clock” processes during risk assessment. The proposed enhanced general pre</w:t>
      </w:r>
      <w:r w:rsidRPr="00303F3B">
        <w:rPr>
          <w:lang w:val="en-US"/>
        </w:rPr>
        <w:noBreakHyphen/>
        <w:t>submission advice provided by EFSA, upon request, would remain non-committal (as it is currently the case). It would also not undermine EFSA’s independence and accountability since summaries of EFSA’s pre</w:t>
      </w:r>
      <w:r w:rsidRPr="00303F3B">
        <w:rPr>
          <w:lang w:val="en-US"/>
        </w:rPr>
        <w:noBreakHyphen/>
        <w:t xml:space="preserve">submission advice would </w:t>
      </w:r>
      <w:r w:rsidRPr="00303F3B">
        <w:rPr>
          <w:lang w:val="en-US"/>
        </w:rPr>
        <w:lastRenderedPageBreak/>
        <w:t>continue to be published once a valid application is submitted, ensuring the transparency of the process.</w:t>
      </w:r>
    </w:p>
    <w:p w14:paraId="7A849499" w14:textId="77777777" w:rsidR="00E41983" w:rsidRPr="00303F3B" w:rsidRDefault="00E41983" w:rsidP="00407D38">
      <w:pPr>
        <w:spacing w:after="160" w:line="259" w:lineRule="auto"/>
      </w:pPr>
      <w:r w:rsidRPr="00303F3B">
        <w:t xml:space="preserve">By shortening the procedural delays (penalty) for non-compliance with study notification obligations </w:t>
      </w:r>
      <w:r w:rsidRPr="004570F2">
        <w:rPr>
          <w:b/>
        </w:rPr>
        <w:t>from six to three months</w:t>
      </w:r>
      <w:r w:rsidRPr="00303F3B">
        <w:t xml:space="preserve">, the proposed measures could further contribute to faster time-to-market as delays at pre-submission phase will be further reduced. While keeping highest safety standards through elaborated risk assessments, the proposed instruments may thus make the EU </w:t>
      </w:r>
      <w:r w:rsidRPr="5DA36055">
        <w:rPr>
          <w:b/>
          <w:bCs/>
        </w:rPr>
        <w:t>regulatory framework more innovation-friendly</w:t>
      </w:r>
      <w:r w:rsidRPr="00303F3B">
        <w:t xml:space="preserve"> by supporting businesses in preparing and submitting higher-quality dossiers</w:t>
      </w:r>
      <w:r w:rsidRPr="00303F3B">
        <w:rPr>
          <w:vertAlign w:val="superscript"/>
        </w:rPr>
        <w:footnoteReference w:id="108"/>
      </w:r>
      <w:r w:rsidRPr="00303F3B">
        <w:t xml:space="preserve">. </w:t>
      </w:r>
    </w:p>
    <w:p w14:paraId="36E66202" w14:textId="77777777" w:rsidR="000147D9" w:rsidRDefault="00E41983" w:rsidP="00407D38">
      <w:pPr>
        <w:spacing w:after="160" w:line="259" w:lineRule="auto"/>
      </w:pPr>
      <w:r>
        <w:t>The</w:t>
      </w:r>
      <w:r w:rsidRPr="00303F3B">
        <w:t xml:space="preserve"> proposed introduction of </w:t>
      </w:r>
      <w:r w:rsidRPr="004570F2">
        <w:rPr>
          <w:b/>
        </w:rPr>
        <w:t>regulatory sandboxes</w:t>
      </w:r>
      <w:r w:rsidRPr="00303F3B">
        <w:t xml:space="preserve"> may also have positive impacts for businesses</w:t>
      </w:r>
      <w:r>
        <w:t xml:space="preserve">, by </w:t>
      </w:r>
      <w:r w:rsidRPr="00303F3B">
        <w:t>enabl</w:t>
      </w:r>
      <w:r>
        <w:t xml:space="preserve">ing them </w:t>
      </w:r>
      <w:r w:rsidRPr="00303F3B">
        <w:t>to test new products and processes in a safe, controlled environment before market entry.</w:t>
      </w:r>
    </w:p>
    <w:p w14:paraId="4BBC7E06" w14:textId="77777777" w:rsidR="00E41983" w:rsidRPr="00303F3B" w:rsidRDefault="00E41983" w:rsidP="00407D38">
      <w:pPr>
        <w:spacing w:after="160" w:line="259" w:lineRule="auto"/>
        <w:rPr>
          <w:b/>
          <w:bCs/>
        </w:rPr>
      </w:pPr>
      <w:r w:rsidRPr="00303F3B">
        <w:rPr>
          <w:b/>
          <w:bCs/>
        </w:rPr>
        <w:t>Innovation and research</w:t>
      </w:r>
    </w:p>
    <w:p w14:paraId="193B94C8" w14:textId="1ECE7C47" w:rsidR="00E41983" w:rsidRPr="00303F3B" w:rsidRDefault="00E41983" w:rsidP="00407D38">
      <w:pPr>
        <w:spacing w:after="160" w:line="259" w:lineRule="auto"/>
      </w:pPr>
      <w:r w:rsidRPr="00303F3B">
        <w:t xml:space="preserve">The proposed measure of extending the scope of EFSA’s general pre-submission advice might help businesses towards faster market authorisation by reducing delays during risk assessment but also at </w:t>
      </w:r>
      <w:r w:rsidR="08D7508E">
        <w:t xml:space="preserve">the stage of </w:t>
      </w:r>
      <w:r w:rsidRPr="00303F3B">
        <w:t xml:space="preserve">validation </w:t>
      </w:r>
      <w:r w:rsidR="3910AD74">
        <w:t xml:space="preserve">of </w:t>
      </w:r>
      <w:r>
        <w:t>dossier</w:t>
      </w:r>
      <w:r w:rsidR="3E633B89">
        <w:t>s</w:t>
      </w:r>
      <w:r w:rsidRPr="00303F3B">
        <w:t xml:space="preserve"> </w:t>
      </w:r>
      <w:r w:rsidR="1B2B5948">
        <w:t>because of their</w:t>
      </w:r>
      <w:r w:rsidRPr="00303F3B">
        <w:t xml:space="preserve"> low </w:t>
      </w:r>
      <w:r w:rsidR="00A3253E">
        <w:t>quality (</w:t>
      </w:r>
      <w:r w:rsidRPr="00303F3B">
        <w:t>see dimension: conduct of business). This in turn could foster innovation due to an improved expected return on investment.</w:t>
      </w:r>
      <w:r w:rsidRPr="00303F3B">
        <w:rPr>
          <w:vertAlign w:val="superscript"/>
        </w:rPr>
        <w:footnoteReference w:id="109"/>
      </w:r>
    </w:p>
    <w:p w14:paraId="0A6CF444" w14:textId="7735675C" w:rsidR="00E41983" w:rsidRPr="00DE6B0B" w:rsidRDefault="00E41983" w:rsidP="00407D38">
      <w:pPr>
        <w:spacing w:after="160" w:line="259" w:lineRule="auto"/>
        <w:rPr>
          <w:lang w:val="en-US"/>
        </w:rPr>
      </w:pPr>
      <w:r w:rsidRPr="00303F3B">
        <w:rPr>
          <w:lang w:val="en-US"/>
        </w:rPr>
        <w:t>Moreover, introducing a regulatory framework for sandboxes would likely change how companies, especially start-ups and SMEs, approach innovation. By allowing them to test technologies, products and substances under controlled conditions at pre-market and pre-authorisation stage, sandboxes would substantially reduce both research and development (R&amp;D) and regulatory risk. Within such sandboxes, real-world testing would also enable much faster learning cycles. Firms could observe how their innovations perform in practice – on safety, quality, usability and acceptance – and adapt their products and processes accordingly. This would shorten development cycles and help viable innovations reach the market more quickly.</w:t>
      </w:r>
      <w:r w:rsidRPr="00303F3B">
        <w:rPr>
          <w:vertAlign w:val="superscript"/>
          <w:lang w:val="en-US"/>
        </w:rPr>
        <w:footnoteReference w:id="110"/>
      </w:r>
      <w:r w:rsidR="00AB4D30" w:rsidRPr="5DA36055">
        <w:rPr>
          <w:lang w:val="en-US"/>
        </w:rPr>
        <w:t xml:space="preserve"> </w:t>
      </w:r>
      <w:r w:rsidRPr="00303F3B">
        <w:rPr>
          <w:lang w:val="en-US"/>
        </w:rPr>
        <w:t xml:space="preserve">At the same time, formal sandbox participation, with visible regulatory </w:t>
      </w:r>
      <w:r w:rsidRPr="00DE6B0B">
        <w:rPr>
          <w:lang w:val="en-US"/>
        </w:rPr>
        <w:t xml:space="preserve">engagement, </w:t>
      </w:r>
      <w:r w:rsidR="00FE4590" w:rsidRPr="00DE6B0B">
        <w:rPr>
          <w:lang w:val="en-US"/>
        </w:rPr>
        <w:t>c</w:t>
      </w:r>
      <w:r w:rsidRPr="00DE6B0B">
        <w:rPr>
          <w:lang w:val="en-US"/>
        </w:rPr>
        <w:t>ould serve as a strong positive signal to investors and industrial partners making it easier for start-ups and SMEs to attract funding and strategic collaborations to support their research and innovation activities.</w:t>
      </w:r>
    </w:p>
    <w:p w14:paraId="10E379A5" w14:textId="72826A29" w:rsidR="00E41983" w:rsidRPr="00DE6B0B" w:rsidRDefault="00E41983" w:rsidP="00407D38">
      <w:pPr>
        <w:spacing w:after="160" w:line="259" w:lineRule="auto"/>
        <w:rPr>
          <w:lang w:val="en-US"/>
        </w:rPr>
      </w:pPr>
      <w:r w:rsidRPr="00DE6B0B">
        <w:rPr>
          <w:lang w:val="en-US"/>
        </w:rPr>
        <w:t>Nevertheless, the E</w:t>
      </w:r>
      <w:r w:rsidR="00B01989" w:rsidRPr="5DA36055">
        <w:rPr>
          <w:lang w:val="en-US"/>
        </w:rPr>
        <w:t>uropean</w:t>
      </w:r>
      <w:r w:rsidRPr="00DE6B0B">
        <w:rPr>
          <w:lang w:val="en-US"/>
        </w:rPr>
        <w:t xml:space="preserve"> Biotech Act proposes the exclusion of novel foods from the scope of regulatory sandboxes as such products involve </w:t>
      </w:r>
      <w:r w:rsidRPr="00DE6B0B">
        <w:rPr>
          <w:lang w:val="en-IE"/>
        </w:rPr>
        <w:t>complex scientific considerations, which require thorough oversight. Moreover, experience has shown that</w:t>
      </w:r>
      <w:r w:rsidRPr="00DE6B0B">
        <w:t xml:space="preserve"> certain types of novel foods trigger ethical or cultural concerns among various consumer groups. A</w:t>
      </w:r>
      <w:r w:rsidRPr="00DE6B0B">
        <w:rPr>
          <w:lang w:val="en-IE"/>
        </w:rPr>
        <w:t xml:space="preserve">s such, novel foods were considered less suited to the flexible, experimental nature of sandboxes. </w:t>
      </w:r>
      <w:r w:rsidRPr="00DE6B0B">
        <w:lastRenderedPageBreak/>
        <w:t>Industry stakeholders consider this decision as a missed opportunity to form an open dialogue that could enhance consumer confidence.</w:t>
      </w:r>
      <w:r w:rsidRPr="00DE6B0B">
        <w:rPr>
          <w:vertAlign w:val="superscript"/>
        </w:rPr>
        <w:footnoteReference w:id="111"/>
      </w:r>
      <w:r w:rsidRPr="00DE6B0B">
        <w:t xml:space="preserve"> </w:t>
      </w:r>
    </w:p>
    <w:p w14:paraId="01BE777A" w14:textId="77777777" w:rsidR="00E41983" w:rsidRPr="00303F3B" w:rsidRDefault="00E41983" w:rsidP="00407D38">
      <w:pPr>
        <w:spacing w:after="160" w:line="259" w:lineRule="auto"/>
        <w:rPr>
          <w:b/>
          <w:bCs/>
        </w:rPr>
      </w:pPr>
      <w:r w:rsidRPr="00DE6B0B">
        <w:rPr>
          <w:b/>
          <w:bCs/>
        </w:rPr>
        <w:t>Public authorities</w:t>
      </w:r>
    </w:p>
    <w:p w14:paraId="02FA3035" w14:textId="102F93D8" w:rsidR="00E41983" w:rsidRPr="00303F3B" w:rsidRDefault="00E41983" w:rsidP="00407D38">
      <w:pPr>
        <w:spacing w:after="160" w:line="259" w:lineRule="auto"/>
      </w:pPr>
      <w:r w:rsidRPr="00303F3B">
        <w:t xml:space="preserve">The proposed amendment enlarging the scope of, and streamlining the pre-submission advice mechanism could in this regard simplify administrative work at EFSA as applicants are expected to increase the uptake of such advice and accordingly prepare better quality dossiers and be better informed of the procedural requirements at pre-submission phase, avoiding </w:t>
      </w:r>
      <w:r w:rsidR="00C53FAB">
        <w:t xml:space="preserve">additional requests for information by EFSA to applicants that may </w:t>
      </w:r>
      <w:r w:rsidRPr="00303F3B">
        <w:t>have also a resource cost of EFSA as public authority. This could result in a decrease of time between the submission of an application dossier and its validity assessment as well as the time between validated application dossiers and the delivery of EFSA’s scientific output. Furthermore, such simplification could also lead to more compliance during the whole process from application to authorisation and lead to a reduction of stop-the-clock procedures. Hence, a possible impact</w:t>
      </w:r>
      <w:r w:rsidRPr="00303F3B" w:rsidDel="000D3845">
        <w:t xml:space="preserve"> </w:t>
      </w:r>
      <w:r w:rsidRPr="00303F3B">
        <w:t xml:space="preserve">could be the decrease in number of stop-the-clock incidents, freeing </w:t>
      </w:r>
      <w:r w:rsidR="00C94EA1">
        <w:t xml:space="preserve">EFSA’s </w:t>
      </w:r>
      <w:r w:rsidRPr="00303F3B">
        <w:t xml:space="preserve">resources that can be effectively </w:t>
      </w:r>
      <w:r w:rsidR="00B54D5E">
        <w:t>focusing on supporting the work of the Panels/</w:t>
      </w:r>
      <w:r w:rsidR="00140670">
        <w:t xml:space="preserve">Scientific Committee and their </w:t>
      </w:r>
      <w:r w:rsidR="00B54D5E">
        <w:t>Working Groups, including the preparation of scientific opinions and/or</w:t>
      </w:r>
      <w:r w:rsidRPr="00303F3B">
        <w:t xml:space="preserve"> redeployed at pre-submission phase. </w:t>
      </w:r>
    </w:p>
    <w:p w14:paraId="53180D2A" w14:textId="0C477D25" w:rsidR="00E41983" w:rsidRPr="00303F3B" w:rsidRDefault="00E41983" w:rsidP="00407D38">
      <w:pPr>
        <w:spacing w:after="160" w:line="259" w:lineRule="auto"/>
      </w:pPr>
      <w:r w:rsidRPr="00303F3B">
        <w:t xml:space="preserve">In addition, allowing </w:t>
      </w:r>
      <w:r w:rsidR="00232A29">
        <w:t>experts but also</w:t>
      </w:r>
      <w:r w:rsidRPr="00303F3B">
        <w:t xml:space="preserve"> EFSA staff supporting the Panels</w:t>
      </w:r>
      <w:r w:rsidR="003E42D0">
        <w:t>/</w:t>
      </w:r>
      <w:r w:rsidR="00140670">
        <w:t>Scientific Committee</w:t>
      </w:r>
      <w:r w:rsidRPr="00303F3B">
        <w:t xml:space="preserve"> and the</w:t>
      </w:r>
      <w:r w:rsidR="00140670">
        <w:t>ir</w:t>
      </w:r>
      <w:r w:rsidRPr="00303F3B">
        <w:t xml:space="preserve"> Working Groups in the risk assessment phase to also be involved in the provision of pre-submission advice will help to ensure alignment of </w:t>
      </w:r>
      <w:r w:rsidR="00140670">
        <w:t xml:space="preserve">that </w:t>
      </w:r>
      <w:r w:rsidRPr="00303F3B">
        <w:t xml:space="preserve">advice with evolving scientific practice and thereby contribute to higher-quality, more targeted application dossiers. The same effect is expected through the extension of the pre-submission advice to scientific matters. It is also expected that through the expanded scope of the pre-submission advice additional EFSA staff would be needed; in that respect, additional resources are foreseen for supporting EFSA in this task. Finally, adjusting the scientific panel governance has the potential to strengthen the coherence as EFSA staff would chair these panels to ensure synergies related to the use of methodologies and risk assessment approaches in a consistent and efficient manner. </w:t>
      </w:r>
    </w:p>
    <w:p w14:paraId="5CBDDFAA" w14:textId="77777777" w:rsidR="00E41983" w:rsidRPr="00303F3B" w:rsidRDefault="00E41983" w:rsidP="00407D38">
      <w:pPr>
        <w:spacing w:after="160" w:line="259" w:lineRule="auto"/>
      </w:pPr>
      <w:r w:rsidRPr="00303F3B">
        <w:t xml:space="preserve">Considering the introduction of </w:t>
      </w:r>
      <w:r w:rsidRPr="004570F2">
        <w:rPr>
          <w:b/>
        </w:rPr>
        <w:t>regulatory sandboxes</w:t>
      </w:r>
      <w:r w:rsidRPr="00303F3B">
        <w:t xml:space="preserve">, it can be assumed that these experimental environments could lead to the collection of evidence that could support a faster adaptation of data requirements, especially when those are set out in EFSA guidances without jeopardising a high level of protection of public health and while ensuring the excellence of EFSA’s scientific outputs. That is all the more the case since EFSA can participate in those regulatory sandboxes together with other agencies promoting also further coherence and more on-spot outcomes. In addition to positive impacts for businesses that have been described above, EFSA staff and public authorities in Member States could benefit from structured regulatory learning through sandboxes (see next impact dimension: public health and safety). </w:t>
      </w:r>
    </w:p>
    <w:p w14:paraId="0A69229E" w14:textId="77777777" w:rsidR="00E41983" w:rsidRPr="00303F3B" w:rsidRDefault="00E41983" w:rsidP="00407D38">
      <w:pPr>
        <w:spacing w:after="160" w:line="259" w:lineRule="auto"/>
        <w:rPr>
          <w:b/>
          <w:bCs/>
        </w:rPr>
      </w:pPr>
      <w:r w:rsidRPr="00303F3B">
        <w:rPr>
          <w:b/>
          <w:bCs/>
        </w:rPr>
        <w:lastRenderedPageBreak/>
        <w:t>Public health and safety</w:t>
      </w:r>
    </w:p>
    <w:p w14:paraId="7E61B57A" w14:textId="08C39EE8" w:rsidR="00E41983" w:rsidRPr="00303F3B" w:rsidRDefault="00E41983" w:rsidP="00407D38">
      <w:pPr>
        <w:spacing w:after="160" w:line="259" w:lineRule="auto"/>
      </w:pPr>
      <w:r w:rsidRPr="00303F3B">
        <w:rPr>
          <w:lang w:val="en-US"/>
        </w:rPr>
        <w:t xml:space="preserve">The targeted amendments to improve timeliness and coherence of EFSA risk assessment </w:t>
      </w:r>
      <w:r w:rsidRPr="00303F3B">
        <w:t xml:space="preserve">may foster the development and the placing on the EU market of innovative products that not only meet the high food safety standards set out in EU food law, but </w:t>
      </w:r>
      <w:r w:rsidR="00455C12">
        <w:t xml:space="preserve">it </w:t>
      </w:r>
      <w:r w:rsidRPr="00303F3B">
        <w:t xml:space="preserve">may </w:t>
      </w:r>
      <w:r w:rsidR="00455C12">
        <w:t>also</w:t>
      </w:r>
      <w:r w:rsidRPr="00303F3B">
        <w:t xml:space="preserve"> provide additional positive health effects.  </w:t>
      </w:r>
    </w:p>
    <w:p w14:paraId="057BFE5D" w14:textId="2D98A658" w:rsidR="00E41983" w:rsidRPr="00303F3B" w:rsidRDefault="008D2897" w:rsidP="00407D38">
      <w:pPr>
        <w:spacing w:after="160" w:line="259" w:lineRule="auto"/>
      </w:pPr>
      <w:r>
        <w:t xml:space="preserve">In the area of nutrition, biotechnology can </w:t>
      </w:r>
      <w:r w:rsidRPr="00B64067">
        <w:t>enhanc</w:t>
      </w:r>
      <w:r>
        <w:t>e</w:t>
      </w:r>
      <w:r w:rsidRPr="00B64067">
        <w:t xml:space="preserve"> nutritional properties</w:t>
      </w:r>
      <w:r>
        <w:t xml:space="preserve">. </w:t>
      </w:r>
      <w:r w:rsidR="00E41983" w:rsidRPr="00303F3B">
        <w:t xml:space="preserve">The expanded mandate of EFSA on nutrition matters, enabling EFSA to provide advice concerning </w:t>
      </w:r>
      <w:r w:rsidR="005B6DDF">
        <w:t xml:space="preserve">enhanced </w:t>
      </w:r>
      <w:r w:rsidR="00E41983" w:rsidRPr="00303F3B">
        <w:t>nutritional properties of food products and</w:t>
      </w:r>
      <w:r w:rsidR="005B6DDF">
        <w:t>/or beneficial</w:t>
      </w:r>
      <w:r w:rsidR="00E41983" w:rsidRPr="00303F3B">
        <w:t xml:space="preserve"> practices</w:t>
      </w:r>
      <w:r w:rsidR="005B6DDF">
        <w:t xml:space="preserve"> to nutrition matters</w:t>
      </w:r>
      <w:r w:rsidR="00E41983" w:rsidRPr="00303F3B">
        <w:t xml:space="preserve"> derived from advanced biotechnological processes, will further equip EU regulators with the necessary scientific knowledge to address challenges relating with the increasing prevalence of diet-related health issues. </w:t>
      </w:r>
    </w:p>
    <w:p w14:paraId="00D9DEC6" w14:textId="77777777" w:rsidR="00E41983" w:rsidRPr="00303F3B" w:rsidRDefault="00E41983" w:rsidP="00407D38">
      <w:pPr>
        <w:spacing w:after="160" w:line="259" w:lineRule="auto"/>
      </w:pPr>
      <w:r w:rsidRPr="00303F3B">
        <w:t xml:space="preserve">Furthermore, </w:t>
      </w:r>
      <w:r w:rsidRPr="00303F3B">
        <w:rPr>
          <w:lang w:val="en-US"/>
        </w:rPr>
        <w:t>the introduction of a harmonised regulatory framework for sandboxes relating to the food chain in the EU could, in the long run, inform future adaptations of the applicable framework in terms of alternative regulatory requirements to address technological developments by harvesting evidence in controlled environments and under the supervision of competent authorities and the possible participation of EU decentralised agencies entrusted with risk assessment tasks, without jeopardising a high level of protection of public health. Accordingly, regulatory sandboxes are considered to be a “learning tool”</w:t>
      </w:r>
      <w:r w:rsidRPr="00303F3B">
        <w:rPr>
          <w:vertAlign w:val="superscript"/>
          <w:lang w:val="en-US"/>
        </w:rPr>
        <w:footnoteReference w:id="112"/>
      </w:r>
      <w:r w:rsidRPr="00303F3B">
        <w:rPr>
          <w:lang w:val="en-US"/>
        </w:rPr>
        <w:t>.</w:t>
      </w:r>
    </w:p>
    <w:p w14:paraId="4144131E" w14:textId="2A3733AF" w:rsidR="00E41983" w:rsidRPr="00303F3B" w:rsidRDefault="00E41983" w:rsidP="00407D38">
      <w:pPr>
        <w:spacing w:after="160" w:line="259" w:lineRule="auto"/>
        <w:rPr>
          <w:lang w:val="en-US"/>
        </w:rPr>
      </w:pPr>
      <w:r w:rsidRPr="00303F3B">
        <w:rPr>
          <w:lang w:val="en-US"/>
        </w:rPr>
        <w:t>By allowing controlled, pre</w:t>
      </w:r>
      <w:r w:rsidRPr="00303F3B">
        <w:rPr>
          <w:lang w:val="en-US"/>
        </w:rPr>
        <w:noBreakHyphen/>
        <w:t>market testing of innovative technologies, products and substances, sandboxes could generate earlier and richer real</w:t>
      </w:r>
      <w:r w:rsidRPr="00303F3B">
        <w:rPr>
          <w:lang w:val="en-US"/>
        </w:rPr>
        <w:noBreakHyphen/>
        <w:t>world data on hazards, exposure and patterns of use. Authorities could see how products behave outside the laboratory, detect risk factors, and identify vulnerable groups more accurately. If sandboxes are also used to test and compare data requirements</w:t>
      </w:r>
      <w:r w:rsidR="003E3AFA">
        <w:rPr>
          <w:lang w:val="en-US"/>
        </w:rPr>
        <w:t xml:space="preserve"> vis-à-vis the objectives pursued</w:t>
      </w:r>
      <w:r w:rsidRPr="00303F3B">
        <w:rPr>
          <w:lang w:val="en-US"/>
        </w:rPr>
        <w:t xml:space="preserve">, regulators can empirically determine </w:t>
      </w:r>
      <w:r w:rsidR="003B02E5">
        <w:rPr>
          <w:lang w:val="en-US"/>
        </w:rPr>
        <w:t>t</w:t>
      </w:r>
      <w:r w:rsidR="0054135A">
        <w:rPr>
          <w:lang w:val="en-US"/>
        </w:rPr>
        <w:t>he</w:t>
      </w:r>
      <w:r w:rsidR="00C26D02">
        <w:rPr>
          <w:lang w:val="en-US"/>
        </w:rPr>
        <w:t xml:space="preserve"> effectiveness and efficiency of alternative data requirements and </w:t>
      </w:r>
      <w:r w:rsidR="002B5BFC">
        <w:rPr>
          <w:lang w:val="en-US"/>
        </w:rPr>
        <w:t>compare them with the existing ones in order to determine the appropriate course of action in light of the objectives pursued by the sectoral legislation (for instance the effectiveness of ‘new approach methodologies’ as opposed to animal testing that is currently required by certain sectoral legislation in the context of pre-market authorisations)</w:t>
      </w:r>
      <w:r w:rsidRPr="00303F3B">
        <w:rPr>
          <w:lang w:val="en-US"/>
        </w:rPr>
        <w:t xml:space="preserve">. This enables them to refine guidance and </w:t>
      </w:r>
      <w:r w:rsidR="002B5BFC">
        <w:rPr>
          <w:lang w:val="en-US"/>
        </w:rPr>
        <w:t xml:space="preserve">potentially even </w:t>
      </w:r>
      <w:r w:rsidRPr="00303F3B">
        <w:rPr>
          <w:lang w:val="en-US"/>
        </w:rPr>
        <w:t xml:space="preserve">legal requirements so that future applications contain </w:t>
      </w:r>
      <w:r w:rsidR="00D03087">
        <w:rPr>
          <w:lang w:val="en-US"/>
        </w:rPr>
        <w:t xml:space="preserve">the necessary data </w:t>
      </w:r>
      <w:r w:rsidR="00195210">
        <w:rPr>
          <w:lang w:val="en-US"/>
        </w:rPr>
        <w:t>requirements.</w:t>
      </w:r>
      <w:r w:rsidRPr="00303F3B">
        <w:rPr>
          <w:lang w:val="en-US"/>
        </w:rPr>
        <w:t xml:space="preserve"> Similarly, experimenting with alternative regulatory requirements (such as </w:t>
      </w:r>
      <w:r w:rsidR="004514C1">
        <w:rPr>
          <w:lang w:val="en-US"/>
        </w:rPr>
        <w:t xml:space="preserve">alternative means of communicating food information to consumers such as digital </w:t>
      </w:r>
      <w:r w:rsidR="00195210">
        <w:rPr>
          <w:lang w:val="en-US"/>
        </w:rPr>
        <w:t>labelling,</w:t>
      </w:r>
      <w:r w:rsidRPr="00303F3B">
        <w:rPr>
          <w:lang w:val="en-US"/>
        </w:rPr>
        <w:t xml:space="preserve"> conditions of use or monitoring schemes) creates evidence on which risk</w:t>
      </w:r>
      <w:r w:rsidRPr="00303F3B">
        <w:rPr>
          <w:lang w:val="en-US"/>
        </w:rPr>
        <w:noBreakHyphen/>
        <w:t>management options actually work in practice, including how they influence consumer understanding and behavior.</w:t>
      </w:r>
    </w:p>
    <w:p w14:paraId="6B9E40C9" w14:textId="353347CE" w:rsidR="00E41983" w:rsidRPr="00303F3B" w:rsidRDefault="00E41983" w:rsidP="00407D38">
      <w:pPr>
        <w:spacing w:after="160" w:line="259" w:lineRule="auto"/>
        <w:rPr>
          <w:lang w:val="en-US"/>
        </w:rPr>
      </w:pPr>
      <w:r w:rsidRPr="00303F3B">
        <w:rPr>
          <w:lang w:val="en-US"/>
        </w:rPr>
        <w:t xml:space="preserve">For public authorities, these mechanisms could amount to </w:t>
      </w:r>
      <w:r w:rsidRPr="004570F2">
        <w:rPr>
          <w:b/>
          <w:lang w:val="en-US"/>
        </w:rPr>
        <w:t>structured regulatory learning</w:t>
      </w:r>
      <w:r w:rsidRPr="00303F3B">
        <w:rPr>
          <w:lang w:val="en-US"/>
        </w:rPr>
        <w:t>. They could help EFSA and national bodies to adapt metho</w:t>
      </w:r>
      <w:r w:rsidR="00036C9A">
        <w:rPr>
          <w:lang w:val="en-US"/>
        </w:rPr>
        <w:t>dologies</w:t>
      </w:r>
      <w:r w:rsidRPr="00303F3B">
        <w:rPr>
          <w:lang w:val="en-US"/>
        </w:rPr>
        <w:t xml:space="preserve"> and frameworks to emerging technologies and to </w:t>
      </w:r>
      <w:r w:rsidR="00A3195D">
        <w:rPr>
          <w:lang w:val="en-US"/>
        </w:rPr>
        <w:t>identify</w:t>
      </w:r>
      <w:r w:rsidR="00A3195D" w:rsidRPr="00303F3B">
        <w:rPr>
          <w:lang w:val="en-US"/>
        </w:rPr>
        <w:t xml:space="preserve"> </w:t>
      </w:r>
      <w:r w:rsidRPr="00303F3B">
        <w:rPr>
          <w:lang w:val="en-US"/>
        </w:rPr>
        <w:t xml:space="preserve">methodological and resource gaps early on. A better, more targeted </w:t>
      </w:r>
      <w:r w:rsidR="008A73CC" w:rsidRPr="00303F3B">
        <w:rPr>
          <w:lang w:val="en-US"/>
        </w:rPr>
        <w:t>database</w:t>
      </w:r>
      <w:r w:rsidRPr="00303F3B">
        <w:rPr>
          <w:lang w:val="en-US"/>
        </w:rPr>
        <w:t xml:space="preserve"> gained through sandboxes would thus support </w:t>
      </w:r>
      <w:r w:rsidRPr="00303F3B">
        <w:rPr>
          <w:lang w:val="en-US"/>
        </w:rPr>
        <w:lastRenderedPageBreak/>
        <w:t>more accurate risk assessment and more effective, proportionate risk</w:t>
      </w:r>
      <w:r w:rsidRPr="00303F3B">
        <w:rPr>
          <w:lang w:val="en-US"/>
        </w:rPr>
        <w:noBreakHyphen/>
        <w:t xml:space="preserve">management measures. In the long run, this could translate into higher public health and safety: safety issues are more likely to be detected at small scale in a controlled environment; authorisation decisions can be better calibrated to real risks; and regulatory responses to new technologies can be faster and more preventive. </w:t>
      </w:r>
    </w:p>
    <w:p w14:paraId="3D5B6EE3" w14:textId="54C26573" w:rsidR="0037380C" w:rsidRPr="004570F2" w:rsidRDefault="00E41983" w:rsidP="00F20625">
      <w:pPr>
        <w:spacing w:after="160" w:line="259" w:lineRule="auto"/>
        <w:rPr>
          <w:i/>
        </w:rPr>
      </w:pPr>
      <w:r w:rsidRPr="00303F3B">
        <w:rPr>
          <w:lang w:val="en-US"/>
        </w:rPr>
        <w:t>However, these benefits depend on key design conditions: sandboxes must operate under strict safeguards (limited scale, clear eligibility and stop</w:t>
      </w:r>
      <w:r w:rsidRPr="00303F3B">
        <w:rPr>
          <w:lang w:val="en-US"/>
        </w:rPr>
        <w:noBreakHyphen/>
        <w:t>rules), data must be systematically collected, standardized and fed into EU</w:t>
      </w:r>
      <w:r w:rsidRPr="00303F3B">
        <w:rPr>
          <w:lang w:val="en-US"/>
        </w:rPr>
        <w:noBreakHyphen/>
        <w:t>level processes, and authorities must have enough capacity to analyse and use the additional information. If these conditions are met, sandbox</w:t>
      </w:r>
      <w:r w:rsidRPr="00303F3B">
        <w:rPr>
          <w:lang w:val="en-US"/>
        </w:rPr>
        <w:noBreakHyphen/>
        <w:t>generated evidence is likely to strengthen the EU’s high level of health and consumer protection.</w:t>
      </w:r>
    </w:p>
    <w:p w14:paraId="013BFD33" w14:textId="1CBF17E7" w:rsidR="0037380C" w:rsidRDefault="005A301E" w:rsidP="00AB5640">
      <w:pPr>
        <w:pStyle w:val="Heading1"/>
      </w:pPr>
      <w:bookmarkStart w:id="240" w:name="_Toc225783203"/>
      <w:bookmarkStart w:id="241" w:name="_Toc225969795"/>
      <w:bookmarkStart w:id="242" w:name="_Toc225979127"/>
      <w:r w:rsidRPr="00A10794">
        <w:t>Intervention n°3</w:t>
      </w:r>
      <w:r w:rsidR="000E6048" w:rsidRPr="00A10794">
        <w:t xml:space="preserve">: </w:t>
      </w:r>
      <w:r w:rsidR="00226260">
        <w:t>T</w:t>
      </w:r>
      <w:r w:rsidR="000E6048" w:rsidRPr="00A10794">
        <w:t>argeted regulatory reform of the Advanced Therapy Medicinal Products (ATMPs) framework</w:t>
      </w:r>
      <w:bookmarkEnd w:id="240"/>
      <w:bookmarkEnd w:id="241"/>
      <w:bookmarkEnd w:id="242"/>
    </w:p>
    <w:p w14:paraId="14625A2D" w14:textId="311B2758" w:rsidR="41E5517F" w:rsidRDefault="41E5517F" w:rsidP="00AB5640">
      <w:pPr>
        <w:pStyle w:val="Heading2"/>
      </w:pPr>
      <w:bookmarkStart w:id="243" w:name="_Toc225969796"/>
      <w:bookmarkStart w:id="244" w:name="_Toc225979128"/>
      <w:r w:rsidRPr="326BBDD1">
        <w:t>Proposed measures</w:t>
      </w:r>
      <w:bookmarkEnd w:id="243"/>
      <w:bookmarkEnd w:id="244"/>
    </w:p>
    <w:p w14:paraId="5642D229" w14:textId="635FEB30" w:rsidR="75193140" w:rsidRPr="00AB5640" w:rsidRDefault="006473F6" w:rsidP="00A10794">
      <w:r>
        <w:t>T</w:t>
      </w:r>
      <w:r w:rsidR="75193140" w:rsidRPr="00AB5640">
        <w:t>he measure</w:t>
      </w:r>
      <w:r>
        <w:t>s are differentiated</w:t>
      </w:r>
      <w:r w:rsidR="75193140" w:rsidRPr="00AB5640">
        <w:t xml:space="preserve"> into </w:t>
      </w:r>
      <w:r w:rsidR="4758B6C6">
        <w:t>two components: (1) ERA derogations for GMO-containing investigational ATMPs</w:t>
      </w:r>
      <w:r w:rsidR="75193140" w:rsidRPr="00AB5640">
        <w:t xml:space="preserve"> and </w:t>
      </w:r>
      <w:r w:rsidR="64136E55">
        <w:t>(2) update of tissue engineered products (</w:t>
      </w:r>
      <w:r w:rsidR="75193140">
        <w:t>TEP</w:t>
      </w:r>
      <w:r w:rsidR="388BD96A">
        <w:t>)</w:t>
      </w:r>
      <w:r w:rsidR="75193140">
        <w:t xml:space="preserve">definition.  </w:t>
      </w:r>
    </w:p>
    <w:p w14:paraId="7B40ADA9" w14:textId="4B03D9AE" w:rsidR="75193140" w:rsidRPr="00AB5640" w:rsidRDefault="75193140" w:rsidP="00A10794">
      <w:pPr>
        <w:rPr>
          <w:b/>
          <w:bCs/>
        </w:rPr>
      </w:pPr>
      <w:r w:rsidRPr="00AB5640">
        <w:rPr>
          <w:b/>
          <w:bCs/>
        </w:rPr>
        <w:t>Regulatory simplification of environmental risk assessment (ERA) exemptions for certain ATMPs containing or consisting of GMOs</w:t>
      </w:r>
    </w:p>
    <w:p w14:paraId="0D284774" w14:textId="1EAD1471" w:rsidR="75193140" w:rsidRPr="00AB5640" w:rsidRDefault="75193140" w:rsidP="000008C1">
      <w:pPr>
        <w:rPr>
          <w:lang w:val="en-US"/>
        </w:rPr>
      </w:pPr>
      <w:r w:rsidRPr="00AB5640">
        <w:rPr>
          <w:lang w:val="en-US"/>
        </w:rPr>
        <w:t xml:space="preserve">The proposal amends Regulation (EC) No 1394/2007 to exempt clinical trial sponsors from </w:t>
      </w:r>
      <w:r w:rsidR="003C091B">
        <w:rPr>
          <w:lang w:val="en-US"/>
        </w:rPr>
        <w:t xml:space="preserve">the obligation to </w:t>
      </w:r>
      <w:r w:rsidRPr="00AB5640">
        <w:rPr>
          <w:lang w:val="en-US"/>
        </w:rPr>
        <w:t xml:space="preserve">submit an ERA </w:t>
      </w:r>
      <w:r w:rsidRPr="00AB5640">
        <w:t>for clearly delineated categories of investigational ATMPs that consist of or contain GMOs presenting no or negligible risks to human health and the environment (e.g., replication‑defective viral vectors).The aim is</w:t>
      </w:r>
      <w:r w:rsidRPr="004570F2">
        <w:rPr>
          <w:lang w:val="en-US"/>
        </w:rPr>
        <w:t xml:space="preserve"> </w:t>
      </w:r>
      <w:r w:rsidRPr="00AB5640">
        <w:rPr>
          <w:lang w:val="en-US"/>
        </w:rPr>
        <w:t>to reduce administrative burden</w:t>
      </w:r>
      <w:r w:rsidR="3E0B3700" w:rsidRPr="00AB5640">
        <w:rPr>
          <w:lang w:val="en-US"/>
        </w:rPr>
        <w:t xml:space="preserve"> </w:t>
      </w:r>
      <w:r w:rsidRPr="00AB5640">
        <w:rPr>
          <w:lang w:val="en-US"/>
        </w:rPr>
        <w:t xml:space="preserve">within the framework of  Regulation (EU) No 536/2014, </w:t>
      </w:r>
    </w:p>
    <w:p w14:paraId="324A5C36" w14:textId="3598FEE7" w:rsidR="75193140" w:rsidRPr="00AB5640" w:rsidRDefault="75193140" w:rsidP="000008C1">
      <w:pPr>
        <w:rPr>
          <w:lang w:val="en-US"/>
        </w:rPr>
      </w:pPr>
      <w:r w:rsidRPr="00AB5640">
        <w:rPr>
          <w:lang w:val="en-US"/>
        </w:rPr>
        <w:t>Instead of a</w:t>
      </w:r>
      <w:r w:rsidR="00FA17A3">
        <w:rPr>
          <w:lang w:val="en-US"/>
        </w:rPr>
        <w:t>n</w:t>
      </w:r>
      <w:r w:rsidRPr="00AB5640">
        <w:rPr>
          <w:lang w:val="en-US"/>
        </w:rPr>
        <w:t xml:space="preserve"> ERA, sponsors must submit, as part of the clinical trial application, a declaration explaining why the investigational AT</w:t>
      </w:r>
      <w:r w:rsidR="00EA70F4">
        <w:rPr>
          <w:lang w:val="en-US"/>
        </w:rPr>
        <w:t>I</w:t>
      </w:r>
      <w:r w:rsidRPr="00AB5640">
        <w:rPr>
          <w:lang w:val="en-US"/>
        </w:rPr>
        <w:t xml:space="preserve">MP falls into one or more of the specified no or </w:t>
      </w:r>
      <w:r w:rsidRPr="1CF2A81F">
        <w:rPr>
          <w:lang w:val="en-US"/>
        </w:rPr>
        <w:t>negli</w:t>
      </w:r>
      <w:r w:rsidR="30B1C414" w:rsidRPr="1CF2A81F">
        <w:rPr>
          <w:lang w:val="en-US"/>
        </w:rPr>
        <w:t>gi</w:t>
      </w:r>
      <w:r w:rsidRPr="1CF2A81F">
        <w:rPr>
          <w:lang w:val="en-US"/>
        </w:rPr>
        <w:t>ble</w:t>
      </w:r>
      <w:r w:rsidRPr="00AB5640">
        <w:rPr>
          <w:lang w:val="en-US"/>
        </w:rPr>
        <w:t xml:space="preserve">‑risk categories. The CHMP will verify </w:t>
      </w:r>
      <w:r w:rsidR="005C5EB1">
        <w:rPr>
          <w:lang w:val="en-US"/>
        </w:rPr>
        <w:t>such</w:t>
      </w:r>
      <w:r w:rsidR="005C5EB1" w:rsidRPr="00AB5640">
        <w:rPr>
          <w:lang w:val="en-US"/>
        </w:rPr>
        <w:t xml:space="preserve"> </w:t>
      </w:r>
      <w:r w:rsidRPr="00AB5640">
        <w:rPr>
          <w:lang w:val="en-US"/>
        </w:rPr>
        <w:t>declaration.</w:t>
      </w:r>
    </w:p>
    <w:p w14:paraId="692C88F9" w14:textId="4977B896" w:rsidR="75193140" w:rsidRPr="00AB5640" w:rsidRDefault="75193140" w:rsidP="000008C1">
      <w:pPr>
        <w:rPr>
          <w:lang w:val="en-US"/>
        </w:rPr>
      </w:pPr>
      <w:r w:rsidRPr="00AB5640">
        <w:rPr>
          <w:lang w:val="en-US"/>
        </w:rPr>
        <w:t>The same categories are proposed to be exempted from the GMO‑related manufacturing and import requirements of Regulation (EU) No 536/2014. Annex I to Regulation (EU) No 536/2014</w:t>
      </w:r>
      <w:r w:rsidR="00F4646C">
        <w:rPr>
          <w:lang w:val="en-US"/>
        </w:rPr>
        <w:t>, corresponding amendments are proposed</w:t>
      </w:r>
      <w:r w:rsidRPr="00AB5640">
        <w:rPr>
          <w:lang w:val="en-US"/>
        </w:rPr>
        <w:t>.</w:t>
      </w:r>
    </w:p>
    <w:p w14:paraId="71905BEB" w14:textId="10B439BE" w:rsidR="75193140" w:rsidRPr="00AB5640" w:rsidRDefault="00805BE1" w:rsidP="000008C1">
      <w:pPr>
        <w:rPr>
          <w:lang w:val="en-US"/>
        </w:rPr>
      </w:pPr>
      <w:r>
        <w:rPr>
          <w:lang w:val="en-US"/>
        </w:rPr>
        <w:t xml:space="preserve">The rational of this measure, as provided in the recital of the </w:t>
      </w:r>
      <w:r w:rsidR="008C5872">
        <w:rPr>
          <w:lang w:val="en-US"/>
        </w:rPr>
        <w:t>Commission proposal is that c</w:t>
      </w:r>
      <w:r w:rsidR="75193140" w:rsidRPr="00AB5640">
        <w:rPr>
          <w:lang w:val="en-US"/>
        </w:rPr>
        <w:t>ertain AT</w:t>
      </w:r>
      <w:r w:rsidR="00921E7E">
        <w:rPr>
          <w:lang w:val="en-US"/>
        </w:rPr>
        <w:t>I</w:t>
      </w:r>
      <w:r w:rsidR="75193140" w:rsidRPr="00AB5640">
        <w:rPr>
          <w:lang w:val="en-US"/>
        </w:rPr>
        <w:t>MPs (for example, viral vectors rendered replication‑defective by removal of wild‑type genome sequences) are described as presenting at most negligible risk to human health and the environment, supporting a risk‑proportionate exemption approach.</w:t>
      </w:r>
    </w:p>
    <w:p w14:paraId="446B370B" w14:textId="6D17E265" w:rsidR="75193140" w:rsidRPr="00AB5640" w:rsidRDefault="75193140" w:rsidP="00A10794">
      <w:pPr>
        <w:rPr>
          <w:b/>
          <w:bCs/>
        </w:rPr>
      </w:pPr>
      <w:r w:rsidRPr="00AB5640">
        <w:rPr>
          <w:b/>
          <w:bCs/>
        </w:rPr>
        <w:t xml:space="preserve">Future‑proofing ATMP definitions via </w:t>
      </w:r>
      <w:r w:rsidR="25238123" w:rsidRPr="0FB4BAD2">
        <w:rPr>
          <w:b/>
          <w:bCs/>
        </w:rPr>
        <w:t>D</w:t>
      </w:r>
      <w:r w:rsidRPr="00AB5640">
        <w:rPr>
          <w:b/>
          <w:bCs/>
        </w:rPr>
        <w:t>elegated acts</w:t>
      </w:r>
    </w:p>
    <w:p w14:paraId="0BEE00D4" w14:textId="08DD1137" w:rsidR="75193140" w:rsidRPr="00AB5640" w:rsidRDefault="75193140" w:rsidP="000008C1">
      <w:pPr>
        <w:rPr>
          <w:lang w:val="en-US"/>
        </w:rPr>
      </w:pPr>
      <w:r w:rsidRPr="00AB5640">
        <w:rPr>
          <w:lang w:val="en-US"/>
        </w:rPr>
        <w:t>To future</w:t>
      </w:r>
      <w:r w:rsidR="1B7025E6" w:rsidRPr="412A3B7E">
        <w:rPr>
          <w:lang w:val="en-US"/>
        </w:rPr>
        <w:t>-</w:t>
      </w:r>
      <w:r w:rsidRPr="00AB5640">
        <w:rPr>
          <w:lang w:val="en-US"/>
        </w:rPr>
        <w:t xml:space="preserve"> proof the ATMP-framework, the proposal empowers the Commission to adopt delegated acts to amend the definition </w:t>
      </w:r>
      <w:r w:rsidRPr="00AB5640">
        <w:t xml:space="preserve">of a tissue engineered product (TEP) </w:t>
      </w:r>
      <w:r w:rsidRPr="00AB5640">
        <w:rPr>
          <w:lang w:val="en-US"/>
        </w:rPr>
        <w:t>in Regulation (EC) No 1394/2007</w:t>
      </w:r>
      <w:r w:rsidR="45CA026D" w:rsidRPr="1E0EE785">
        <w:rPr>
          <w:lang w:val="en-US"/>
        </w:rPr>
        <w:t>,</w:t>
      </w:r>
      <w:r w:rsidRPr="00AB5640">
        <w:rPr>
          <w:lang w:val="en-US"/>
        </w:rPr>
        <w:t xml:space="preserve"> </w:t>
      </w:r>
      <w:r w:rsidRPr="00AB5640">
        <w:t xml:space="preserve">in light of technical and scientific advancements in the field of </w:t>
      </w:r>
      <w:r w:rsidRPr="00AB5640">
        <w:lastRenderedPageBreak/>
        <w:t>ATMPs</w:t>
      </w:r>
      <w:r w:rsidRPr="00AB5640">
        <w:rPr>
          <w:lang w:val="en-US"/>
        </w:rPr>
        <w:t xml:space="preserve">, provided such amendments do not extend the scope of those definitions. The Commission will </w:t>
      </w:r>
      <w:r w:rsidR="00505FDD">
        <w:rPr>
          <w:lang w:val="en-US"/>
        </w:rPr>
        <w:t>have to</w:t>
      </w:r>
      <w:r w:rsidRPr="00AB5640">
        <w:rPr>
          <w:lang w:val="en-US"/>
        </w:rPr>
        <w:t xml:space="preserve"> carry out appropriate consultations </w:t>
      </w:r>
      <w:r w:rsidR="3BEDDACB" w:rsidRPr="46FAE848">
        <w:rPr>
          <w:lang w:val="en-US"/>
        </w:rPr>
        <w:t>with</w:t>
      </w:r>
      <w:r w:rsidRPr="00AB5640">
        <w:rPr>
          <w:lang w:val="en-US"/>
        </w:rPr>
        <w:t xml:space="preserve"> the Agency (EMA) and the Substances of Human Origin Coordination Board (SCB) </w:t>
      </w:r>
      <w:r w:rsidR="00DA08A7">
        <w:rPr>
          <w:lang w:val="en-US"/>
        </w:rPr>
        <w:t>when</w:t>
      </w:r>
      <w:r w:rsidRPr="00AB5640">
        <w:rPr>
          <w:lang w:val="en-US"/>
        </w:rPr>
        <w:t xml:space="preserve"> preparing such delegated acts.</w:t>
      </w:r>
    </w:p>
    <w:p w14:paraId="53D5ABE7" w14:textId="08A2F8F5" w:rsidR="75193140" w:rsidRPr="00AB5640" w:rsidRDefault="75193140" w:rsidP="00A10794">
      <w:pPr>
        <w:rPr>
          <w:b/>
          <w:bCs/>
        </w:rPr>
      </w:pPr>
      <w:r w:rsidRPr="00AB5640">
        <w:rPr>
          <w:b/>
          <w:bCs/>
        </w:rPr>
        <w:t>Summary of objectives</w:t>
      </w:r>
    </w:p>
    <w:p w14:paraId="4DC755B6" w14:textId="55BAE01F" w:rsidR="75193140" w:rsidRPr="00AB5640" w:rsidRDefault="75193140" w:rsidP="00A10794">
      <w:r w:rsidRPr="00AB5640">
        <w:t>Together, these changes aim to:</w:t>
      </w:r>
    </w:p>
    <w:p w14:paraId="22631109" w14:textId="23EA2547" w:rsidR="75193140" w:rsidRDefault="75193140" w:rsidP="00AB5640">
      <w:pPr>
        <w:pStyle w:val="ListParagraph"/>
        <w:numPr>
          <w:ilvl w:val="0"/>
          <w:numId w:val="461"/>
        </w:numPr>
      </w:pPr>
      <w:r w:rsidRPr="00AB5640">
        <w:t xml:space="preserve">Simplify regulatory procedures by eliminating full ERA submissions for </w:t>
      </w:r>
      <w:r w:rsidR="00DA08A7">
        <w:t>n</w:t>
      </w:r>
      <w:r w:rsidRPr="00AB5640">
        <w:t>egligible‑risk ATMPs</w:t>
      </w:r>
      <w:r w:rsidR="008C6ABA" w:rsidRPr="00AB5640">
        <w:t>.</w:t>
      </w:r>
    </w:p>
    <w:p w14:paraId="59BECC11" w14:textId="77777777" w:rsidR="00184770" w:rsidRPr="00184770" w:rsidRDefault="00184770" w:rsidP="00184770">
      <w:pPr>
        <w:pStyle w:val="ListParagraph"/>
        <w:numPr>
          <w:ilvl w:val="0"/>
          <w:numId w:val="461"/>
        </w:numPr>
      </w:pPr>
      <w:r w:rsidRPr="00184770">
        <w:t>Future‑proof the ATMP framework through clarified and adaptable definitions that account for scientific and technical advancements.</w:t>
      </w:r>
    </w:p>
    <w:p w14:paraId="1987AAC1" w14:textId="3B7F6D91" w:rsidR="00FC76BD" w:rsidRDefault="00FC76BD" w:rsidP="00184770">
      <w:pPr>
        <w:pStyle w:val="Heading2"/>
      </w:pPr>
      <w:bookmarkStart w:id="245" w:name="_Toc225969797"/>
      <w:bookmarkStart w:id="246" w:name="_Toc225979129"/>
      <w:r>
        <w:t>Baseline and counterfactual scenario</w:t>
      </w:r>
      <w:bookmarkEnd w:id="245"/>
      <w:bookmarkEnd w:id="246"/>
    </w:p>
    <w:p w14:paraId="1B86AB6D" w14:textId="5714904D" w:rsidR="0099394A" w:rsidRPr="0056363C" w:rsidRDefault="0099394A" w:rsidP="004570F2">
      <w:pPr>
        <w:rPr>
          <w:b/>
        </w:rPr>
      </w:pPr>
      <w:r w:rsidRPr="0056363C">
        <w:rPr>
          <w:b/>
        </w:rPr>
        <w:t xml:space="preserve">2025: Base year </w:t>
      </w:r>
    </w:p>
    <w:p w14:paraId="4B3305CA" w14:textId="741469F2" w:rsidR="2E9A2EBA" w:rsidRPr="00837773" w:rsidRDefault="2E9A2EBA" w:rsidP="00F20625">
      <w:pPr>
        <w:rPr>
          <w:lang w:val="en-US"/>
        </w:rPr>
      </w:pPr>
      <w:r w:rsidRPr="00837773">
        <w:rPr>
          <w:lang w:val="en-US"/>
        </w:rPr>
        <w:t>Three structural problems characterise the baseline:</w:t>
      </w:r>
    </w:p>
    <w:p w14:paraId="186B3AE2" w14:textId="68A4D468" w:rsidR="0099394A" w:rsidRPr="0056363C" w:rsidRDefault="0099394A" w:rsidP="004570F2">
      <w:pPr>
        <w:pStyle w:val="ListParagraph"/>
        <w:numPr>
          <w:ilvl w:val="0"/>
          <w:numId w:val="461"/>
        </w:numPr>
        <w:rPr>
          <w:lang w:val="en-US"/>
        </w:rPr>
      </w:pPr>
      <w:r w:rsidRPr="0056363C">
        <w:rPr>
          <w:lang w:val="en-US"/>
        </w:rPr>
        <w:t xml:space="preserve">GMO-related dual burden: </w:t>
      </w:r>
      <w:r w:rsidR="0BAAC0E3" w:rsidRPr="5DA36055">
        <w:rPr>
          <w:lang w:val="en-US"/>
        </w:rPr>
        <w:t xml:space="preserve">All </w:t>
      </w:r>
      <w:r w:rsidRPr="0056363C">
        <w:rPr>
          <w:lang w:val="en-US"/>
        </w:rPr>
        <w:t>ATMP clinical trials</w:t>
      </w:r>
      <w:r w:rsidRPr="5DA36055">
        <w:rPr>
          <w:lang w:val="en-US"/>
        </w:rPr>
        <w:t xml:space="preserve"> </w:t>
      </w:r>
      <w:r w:rsidR="0EAA24BB" w:rsidRPr="5DA36055">
        <w:rPr>
          <w:lang w:val="en-US"/>
        </w:rPr>
        <w:t>involving ATMPs with a GMO component</w:t>
      </w:r>
      <w:r w:rsidRPr="0056363C">
        <w:rPr>
          <w:lang w:val="en-US"/>
        </w:rPr>
        <w:t xml:space="preserve"> </w:t>
      </w:r>
      <w:r w:rsidR="2F256FCF" w:rsidRPr="0056363C">
        <w:rPr>
          <w:lang w:val="en-US"/>
        </w:rPr>
        <w:t xml:space="preserve">require </w:t>
      </w:r>
      <w:r w:rsidRPr="0056363C">
        <w:rPr>
          <w:lang w:val="en-US"/>
        </w:rPr>
        <w:t>parallel GMO environmental risk assessments under national legislation, resulting in duplicated procedures, variable timelines and additional administrative burden.</w:t>
      </w:r>
      <w:r w:rsidRPr="0056363C">
        <w:rPr>
          <w:rStyle w:val="FootnoteReference"/>
          <w:lang w:val="en-US"/>
        </w:rPr>
        <w:footnoteReference w:id="113"/>
      </w:r>
    </w:p>
    <w:p w14:paraId="73D751E6" w14:textId="319D4B82" w:rsidR="00A10794" w:rsidRPr="0056363C" w:rsidRDefault="0099394A" w:rsidP="004570F2">
      <w:pPr>
        <w:pStyle w:val="ListParagraph"/>
        <w:numPr>
          <w:ilvl w:val="0"/>
          <w:numId w:val="561"/>
        </w:numPr>
      </w:pPr>
      <w:r w:rsidRPr="0056363C">
        <w:t>TEP definition ambiguity: The</w:t>
      </w:r>
      <w:r w:rsidR="01F3C847" w:rsidRPr="0056363C">
        <w:t xml:space="preserve"> </w:t>
      </w:r>
      <w:r w:rsidRPr="0056363C">
        <w:t xml:space="preserve">definition </w:t>
      </w:r>
      <w:r w:rsidR="008A6B19">
        <w:t xml:space="preserve">present in the ATMP regulation </w:t>
      </w:r>
      <w:r w:rsidRPr="0056363C">
        <w:t>of tissue engineered products (TEPs)</w:t>
      </w:r>
      <w:r w:rsidR="5074EE01" w:rsidRPr="0056363C">
        <w:t xml:space="preserve"> does not </w:t>
      </w:r>
      <w:r w:rsidR="24039C80" w:rsidRPr="0056363C">
        <w:t>cover</w:t>
      </w:r>
      <w:r w:rsidR="5074EE01" w:rsidRPr="0056363C">
        <w:t xml:space="preserve"> </w:t>
      </w:r>
      <w:r w:rsidR="0D575C91" w:rsidRPr="5DA36055">
        <w:rPr>
          <w:i/>
          <w:iCs/>
        </w:rPr>
        <w:t xml:space="preserve">in </w:t>
      </w:r>
      <w:r w:rsidR="5074EE01" w:rsidRPr="5DA36055">
        <w:rPr>
          <w:i/>
          <w:iCs/>
        </w:rPr>
        <w:t>viv</w:t>
      </w:r>
      <w:r w:rsidR="5074EE01" w:rsidRPr="0056363C">
        <w:t>o tissue generation, acellular therapies, and bio-synthetic hybrids.</w:t>
      </w:r>
      <w:r w:rsidRPr="0056363C">
        <w:t xml:space="preserve"> </w:t>
      </w:r>
      <w:r w:rsidR="391F33AE" w:rsidRPr="0056363C">
        <w:t>This leads</w:t>
      </w:r>
      <w:r w:rsidRPr="0056363C">
        <w:t xml:space="preserve"> to case-by-case classification</w:t>
      </w:r>
      <w:r w:rsidR="56F70549" w:rsidRPr="0056363C">
        <w:t xml:space="preserve"> disputes, forcing some developers to launch outside EU first.</w:t>
      </w:r>
      <w:r w:rsidR="2336A517" w:rsidRPr="0056363C">
        <w:t xml:space="preserve"> </w:t>
      </w:r>
      <w:r w:rsidR="003243E9">
        <w:t xml:space="preserve">Other </w:t>
      </w:r>
      <w:r w:rsidR="2336A517" w:rsidRPr="0056363C">
        <w:t>regulators</w:t>
      </w:r>
      <w:r w:rsidR="003243E9">
        <w:t xml:space="preserve">, </w:t>
      </w:r>
      <w:r w:rsidR="76E70AEC">
        <w:t>notably</w:t>
      </w:r>
      <w:r w:rsidR="2336A517" w:rsidRPr="0056363C">
        <w:t xml:space="preserve"> FDA</w:t>
      </w:r>
      <w:r w:rsidR="3B2A31BB">
        <w:t>-</w:t>
      </w:r>
      <w:r w:rsidR="2336A517" w:rsidRPr="0056363C">
        <w:t xml:space="preserve"> approve products tha</w:t>
      </w:r>
      <w:r w:rsidR="00A10794" w:rsidRPr="0056363C">
        <w:t>t</w:t>
      </w:r>
      <w:r w:rsidR="2336A517" w:rsidRPr="0056363C">
        <w:t xml:space="preserve"> fall outside EU categories, undermining EU competitiveness</w:t>
      </w:r>
      <w:r w:rsidRPr="0056363C">
        <w:t>.</w:t>
      </w:r>
      <w:r w:rsidRPr="0056363C">
        <w:rPr>
          <w:rStyle w:val="FootnoteReference"/>
        </w:rPr>
        <w:footnoteReference w:id="114"/>
      </w:r>
      <w:r w:rsidR="0025782F">
        <w:noBreakHyphen/>
      </w:r>
      <w:r w:rsidR="003243E9">
        <w:t xml:space="preserve">Other </w:t>
      </w:r>
      <w:r w:rsidR="2336A517" w:rsidRPr="0056363C">
        <w:t>regulators</w:t>
      </w:r>
      <w:r w:rsidR="003243E9">
        <w:t xml:space="preserve">, </w:t>
      </w:r>
      <w:r w:rsidR="76E70AEC">
        <w:t>notably</w:t>
      </w:r>
      <w:r w:rsidR="2336A517" w:rsidRPr="0056363C">
        <w:t xml:space="preserve"> FDA</w:t>
      </w:r>
      <w:r w:rsidR="3B2A31BB">
        <w:t>-</w:t>
      </w:r>
      <w:r w:rsidR="2336A517" w:rsidRPr="0056363C">
        <w:t xml:space="preserve"> approve products tha</w:t>
      </w:r>
      <w:r w:rsidR="00A10794" w:rsidRPr="0056363C">
        <w:t>t</w:t>
      </w:r>
      <w:r w:rsidR="2336A517" w:rsidRPr="0056363C">
        <w:t xml:space="preserve"> fall outside EU categories, undermining EU competitiveness</w:t>
      </w:r>
      <w:r w:rsidRPr="0056363C">
        <w:t>.</w:t>
      </w:r>
      <w:r w:rsidRPr="0056363C">
        <w:rPr>
          <w:rStyle w:val="FootnoteReference"/>
        </w:rPr>
        <w:footnoteReference w:id="115"/>
      </w:r>
    </w:p>
    <w:p w14:paraId="2657E4E6" w14:textId="7A668FCB" w:rsidR="5EB28E1B" w:rsidRPr="00F20625" w:rsidRDefault="5EB28E1B" w:rsidP="00F20625">
      <w:pPr>
        <w:rPr>
          <w:b/>
        </w:rPr>
      </w:pPr>
      <w:r w:rsidRPr="00F20625">
        <w:rPr>
          <w:b/>
        </w:rPr>
        <w:t>Legislative Architecture: Three Relevant Instruments</w:t>
      </w:r>
    </w:p>
    <w:p w14:paraId="60758119" w14:textId="4BA74938" w:rsidR="5EB28E1B" w:rsidRDefault="5EB28E1B" w:rsidP="00837773">
      <w:r w:rsidRPr="00F20625">
        <w:t xml:space="preserve">The baseline must be understood </w:t>
      </w:r>
      <w:r w:rsidRPr="00A64993">
        <w:t>against the legislative architecture governing GMO-containing investigational medicinal products. Three instruments are relevant, with different scopes and timelines.</w:t>
      </w:r>
    </w:p>
    <w:p w14:paraId="6008AD3B" w14:textId="77777777" w:rsidR="002B2E30" w:rsidRPr="00A64993" w:rsidRDefault="002B2E30" w:rsidP="00837773">
      <w:pPr>
        <w:rPr>
          <w:rFonts w:ascii="Arial" w:eastAsia="Arial" w:hAnsi="Arial" w:cs="Arial"/>
          <w:sz w:val="22"/>
          <w:szCs w:val="22"/>
          <w:lang w:val="en-US"/>
        </w:rPr>
      </w:pPr>
    </w:p>
    <w:p w14:paraId="1EFB395E" w14:textId="6ABC7D6F" w:rsidR="5EB28E1B" w:rsidRPr="004570F2" w:rsidRDefault="5EB28E1B" w:rsidP="004570F2">
      <w:pPr>
        <w:pStyle w:val="ListParagraph"/>
        <w:numPr>
          <w:ilvl w:val="0"/>
          <w:numId w:val="561"/>
        </w:numPr>
        <w:rPr>
          <w:rFonts w:ascii="Arial" w:hAnsi="Arial"/>
          <w:sz w:val="22"/>
          <w:lang w:val="en-US"/>
        </w:rPr>
      </w:pPr>
      <w:r w:rsidRPr="00A64993">
        <w:rPr>
          <w:b/>
          <w:lang w:val="en-US"/>
        </w:rPr>
        <w:lastRenderedPageBreak/>
        <w:t xml:space="preserve">Article 177 of the new Pharmaceutical Regulation (NPL), inserting Article 5a into the </w:t>
      </w:r>
      <w:r w:rsidRPr="004570F2">
        <w:rPr>
          <w:b/>
          <w:lang w:val="en-US"/>
        </w:rPr>
        <w:t>Clinical Trials Regulation</w:t>
      </w:r>
      <w:r w:rsidRPr="00A64993">
        <w:rPr>
          <w:lang w:val="en-US"/>
        </w:rPr>
        <w:t xml:space="preserve">: applies to all GMO-containing investigational medicinal products, regardless of product type. It introduces a centralised, CHMP-led ERA assessment submitted through CTIS, replacing the current fragmented system of parallel national ERA submissions. </w:t>
      </w:r>
      <w:r w:rsidRPr="00901517">
        <w:rPr>
          <w:lang w:val="en-US"/>
        </w:rPr>
        <w:t xml:space="preserve">The </w:t>
      </w:r>
      <w:r w:rsidR="000D5B11" w:rsidRPr="00A64993">
        <w:rPr>
          <w:lang w:val="en-US"/>
        </w:rPr>
        <w:t>political agreement on the</w:t>
      </w:r>
      <w:r w:rsidRPr="00A64993">
        <w:rPr>
          <w:lang w:val="en-US"/>
        </w:rPr>
        <w:t xml:space="preserve"> NPL has </w:t>
      </w:r>
      <w:r w:rsidR="004A6AAE">
        <w:rPr>
          <w:lang w:val="en-US"/>
        </w:rPr>
        <w:t>been</w:t>
      </w:r>
      <w:r w:rsidRPr="00A64993">
        <w:rPr>
          <w:lang w:val="en-US"/>
        </w:rPr>
        <w:t xml:space="preserve"> </w:t>
      </w:r>
      <w:r w:rsidR="000D5B11" w:rsidRPr="00A64993">
        <w:rPr>
          <w:lang w:val="en-US"/>
        </w:rPr>
        <w:t xml:space="preserve">reached in </w:t>
      </w:r>
      <w:r w:rsidR="005D3544">
        <w:rPr>
          <w:lang w:val="en-US"/>
        </w:rPr>
        <w:t>D</w:t>
      </w:r>
      <w:r w:rsidR="000D5B11" w:rsidRPr="00A64993">
        <w:rPr>
          <w:lang w:val="en-US"/>
        </w:rPr>
        <w:t xml:space="preserve">ecember 2025 </w:t>
      </w:r>
      <w:r w:rsidRPr="00A64993">
        <w:rPr>
          <w:lang w:val="en-US"/>
        </w:rPr>
        <w:t xml:space="preserve">and is expected to apply from </w:t>
      </w:r>
      <w:r w:rsidR="000D5B11" w:rsidRPr="00A64993">
        <w:rPr>
          <w:lang w:val="en-US"/>
        </w:rPr>
        <w:t>end of</w:t>
      </w:r>
      <w:r w:rsidRPr="00A64993">
        <w:rPr>
          <w:lang w:val="en-US"/>
        </w:rPr>
        <w:t>-2028</w:t>
      </w:r>
      <w:r w:rsidRPr="004570F2">
        <w:rPr>
          <w:lang w:val="en-US"/>
        </w:rPr>
        <w:t>.</w:t>
      </w:r>
    </w:p>
    <w:p w14:paraId="5F0E7D6D" w14:textId="6C29C5EF" w:rsidR="5EB28E1B" w:rsidRDefault="5EB28E1B" w:rsidP="00F20625">
      <w:pPr>
        <w:pStyle w:val="ListParagraph"/>
        <w:numPr>
          <w:ilvl w:val="0"/>
          <w:numId w:val="561"/>
        </w:numPr>
        <w:rPr>
          <w:rFonts w:ascii="Arial" w:eastAsia="Arial" w:hAnsi="Arial" w:cs="Arial"/>
          <w:sz w:val="22"/>
          <w:szCs w:val="22"/>
          <w:lang w:val="en-US"/>
        </w:rPr>
      </w:pPr>
      <w:r w:rsidRPr="00837773">
        <w:rPr>
          <w:b/>
          <w:lang w:val="en-US"/>
        </w:rPr>
        <w:t>The delegated act under Article 5a(8) of the CTR</w:t>
      </w:r>
      <w:r w:rsidRPr="00837773">
        <w:rPr>
          <w:lang w:val="en-US"/>
        </w:rPr>
        <w:t>: anchored in the NPL, not the Biotech Act. It will specify the harmonised ERA procedure and content and must take into account existing EMA Good Practice Documents. Critically, this delegated act must be developed during the NPL implementation period and be ready and in force before the NPL applies in mid-2028 — it is a prerequisite for the Article 5a provisions to function operationally.</w:t>
      </w:r>
    </w:p>
    <w:p w14:paraId="1EE5D114" w14:textId="66F483D0" w:rsidR="7D457D26" w:rsidRDefault="5EB28E1B" w:rsidP="00F20625">
      <w:pPr>
        <w:pStyle w:val="ListParagraph"/>
        <w:numPr>
          <w:ilvl w:val="0"/>
          <w:numId w:val="561"/>
        </w:numPr>
        <w:rPr>
          <w:rFonts w:ascii="Arial" w:eastAsia="Arial" w:hAnsi="Arial" w:cs="Arial"/>
          <w:sz w:val="22"/>
          <w:szCs w:val="22"/>
          <w:lang w:val="en-US"/>
        </w:rPr>
      </w:pPr>
      <w:r w:rsidRPr="00837773">
        <w:rPr>
          <w:b/>
          <w:lang w:val="en-US"/>
        </w:rPr>
        <w:t>Article 57 of the Biotech Act, amending Regulation (EC) No 1394/2007 and inserting Article 4a</w:t>
      </w:r>
      <w:r w:rsidRPr="00837773">
        <w:rPr>
          <w:lang w:val="en-US"/>
        </w:rPr>
        <w:t>: applies exclusively to ATMPs. Article 4a creates a derogation from the Article 5a ERA requirement for the subset of ATMPs belonging to one of the four defined categories presenting no or negligible risk. The two instruments are complementary</w:t>
      </w:r>
      <w:r w:rsidR="003D0C62">
        <w:rPr>
          <w:lang w:val="en-US"/>
        </w:rPr>
        <w:t xml:space="preserve">. </w:t>
      </w:r>
      <w:r w:rsidRPr="00837773">
        <w:rPr>
          <w:lang w:val="en-US"/>
        </w:rPr>
        <w:t xml:space="preserve">Article 177 of the NPL delivers centralisation for all GMO-containing IMPs; Article 4a of the </w:t>
      </w:r>
      <w:r w:rsidR="003D0C62">
        <w:rPr>
          <w:lang w:val="en-US"/>
        </w:rPr>
        <w:t xml:space="preserve">proposed European </w:t>
      </w:r>
      <w:r w:rsidRPr="00837773">
        <w:rPr>
          <w:lang w:val="en-US"/>
        </w:rPr>
        <w:t>Biotech Act delivers a full ERA derogation for a defined subset of ATMPs.</w:t>
      </w:r>
    </w:p>
    <w:p w14:paraId="20A515C7" w14:textId="4F06EA4B" w:rsidR="5EB28E1B" w:rsidRPr="00A64993" w:rsidRDefault="5EB28E1B" w:rsidP="00A64993">
      <w:pPr>
        <w:rPr>
          <w:b/>
          <w:lang w:val="en-US"/>
        </w:rPr>
      </w:pPr>
      <w:r w:rsidRPr="00A64993">
        <w:rPr>
          <w:b/>
          <w:lang w:val="en-US"/>
        </w:rPr>
        <w:t>2025–2028: Near-Term Projections (Pre-NPL Application)</w:t>
      </w:r>
    </w:p>
    <w:p w14:paraId="7D9B2EEE" w14:textId="77777777" w:rsidR="001923DB" w:rsidRDefault="5EB28E1B" w:rsidP="00837773">
      <w:pPr>
        <w:pStyle w:val="ListParagraph"/>
        <w:numPr>
          <w:ilvl w:val="0"/>
          <w:numId w:val="563"/>
        </w:numPr>
        <w:rPr>
          <w:lang w:val="en-US"/>
        </w:rPr>
      </w:pPr>
      <w:r w:rsidRPr="00837773">
        <w:rPr>
          <w:lang w:val="en-US"/>
        </w:rPr>
        <w:t xml:space="preserve">Until the NPL applies in mid-2028, the current fragmented system of parallel national ERA submissions persists in full. Neither Regulation 1394/2007 nor Regulation (EU) 536/2014 currently provides risk-based derogations for low-risk ATMPs. All ATMP clinical trials involving a GMO component remain subject to parallel ERA obligations under national legislation, with the procedural complexity, timeline variability, and administrative burden this entails. </w:t>
      </w:r>
    </w:p>
    <w:p w14:paraId="10FB95EE" w14:textId="77777777" w:rsidR="00FE0505" w:rsidRDefault="00FE0505" w:rsidP="00FE0505">
      <w:pPr>
        <w:pStyle w:val="ListParagraph"/>
        <w:numPr>
          <w:ilvl w:val="0"/>
          <w:numId w:val="563"/>
        </w:numPr>
        <w:rPr>
          <w:lang w:val="en-US"/>
        </w:rPr>
      </w:pPr>
      <w:r>
        <w:rPr>
          <w:lang w:val="en-US"/>
        </w:rPr>
        <w:t>Ambiguity of TEP definitions will remain.</w:t>
      </w:r>
    </w:p>
    <w:p w14:paraId="1D306F4E" w14:textId="6E322993" w:rsidR="5EB28E1B" w:rsidRPr="00A64993" w:rsidRDefault="5EB28E1B" w:rsidP="00837773">
      <w:pPr>
        <w:rPr>
          <w:b/>
          <w:lang w:val="en-US"/>
        </w:rPr>
      </w:pPr>
      <w:r w:rsidRPr="00A64993">
        <w:rPr>
          <w:b/>
          <w:lang w:val="en-US"/>
        </w:rPr>
        <w:t>From mid-2028: Post-NPL Baseline Without Biotech Act</w:t>
      </w:r>
    </w:p>
    <w:p w14:paraId="40D24F2D" w14:textId="7D973BD9" w:rsidR="001823ED" w:rsidRPr="001823ED" w:rsidRDefault="5EB28E1B" w:rsidP="001823ED">
      <w:pPr>
        <w:pStyle w:val="ListParagraph"/>
        <w:numPr>
          <w:ilvl w:val="0"/>
          <w:numId w:val="563"/>
        </w:numPr>
        <w:rPr>
          <w:lang w:val="en-US"/>
        </w:rPr>
      </w:pPr>
      <w:r w:rsidRPr="001823ED">
        <w:rPr>
          <w:lang w:val="en-US"/>
        </w:rPr>
        <w:t xml:space="preserve">From mid-2028, Article 177 of the NPL will replace the fragmented national ERA system with a centralised, CHMP-led ERA submitted through CTIS for all GMO-containing IMPs. This delivers a significant structural improvement regardless of the </w:t>
      </w:r>
      <w:r w:rsidR="001823ED">
        <w:rPr>
          <w:lang w:val="en-US"/>
        </w:rPr>
        <w:t xml:space="preserve">proposed European </w:t>
      </w:r>
      <w:r w:rsidRPr="001823ED">
        <w:rPr>
          <w:lang w:val="en-US"/>
        </w:rPr>
        <w:t xml:space="preserve">Biotech Act. </w:t>
      </w:r>
      <w:r w:rsidR="001823ED">
        <w:rPr>
          <w:lang w:val="en-US"/>
        </w:rPr>
        <w:t>T</w:t>
      </w:r>
      <w:r w:rsidRPr="001823ED">
        <w:rPr>
          <w:lang w:val="en-US"/>
        </w:rPr>
        <w:t xml:space="preserve">he NPL amendments to Articles 61 and 91 of the CTR also remove parallel national contained-use authorisation requirements under Directive 2009/41/EC for clinical trials within the scope of the CTR, addressing one of the most practically significant comprehensiveness concerns. Read together with Article 5a(3)’s disapplication of Articles 6 to 11 of Directive 2001/18/EC, the </w:t>
      </w:r>
      <w:r w:rsidR="001823ED">
        <w:rPr>
          <w:lang w:val="en-US"/>
        </w:rPr>
        <w:t xml:space="preserve">expected </w:t>
      </w:r>
      <w:r w:rsidRPr="001823ED">
        <w:rPr>
          <w:lang w:val="en-US"/>
        </w:rPr>
        <w:t>combined effect is to remove both the deliberate release consent track and the contained-use track as parallel national requirements, replacing them with the single centralised CTIS-based ERA procedure.</w:t>
      </w:r>
      <w:r w:rsidR="001823ED">
        <w:rPr>
          <w:lang w:val="en-US"/>
        </w:rPr>
        <w:t xml:space="preserve"> </w:t>
      </w:r>
      <w:r w:rsidR="001823ED" w:rsidRPr="001823ED">
        <w:rPr>
          <w:lang w:val="en-US"/>
        </w:rPr>
        <w:t>Under the baseline</w:t>
      </w:r>
      <w:r w:rsidRPr="001823ED">
        <w:rPr>
          <w:lang w:val="en-US"/>
        </w:rPr>
        <w:t xml:space="preserve"> however, all ATMP clinical trials involving a GMO component — including those with replication-defective viral vectors presenting negligible environmental risk — would continue to undergo a full ERA under the centralised Article 5a procedure. </w:t>
      </w:r>
    </w:p>
    <w:p w14:paraId="791A46F5" w14:textId="24558B5F" w:rsidR="5EB28E1B" w:rsidRPr="004570F2" w:rsidRDefault="5EB28E1B" w:rsidP="004570F2">
      <w:pPr>
        <w:pStyle w:val="ListParagraph"/>
        <w:numPr>
          <w:ilvl w:val="0"/>
          <w:numId w:val="563"/>
        </w:numPr>
        <w:rPr>
          <w:lang w:val="en-US"/>
        </w:rPr>
      </w:pPr>
      <w:r w:rsidRPr="001823ED">
        <w:rPr>
          <w:lang w:val="en-US"/>
        </w:rPr>
        <w:lastRenderedPageBreak/>
        <w:t xml:space="preserve">The </w:t>
      </w:r>
      <w:r w:rsidRPr="004570F2">
        <w:rPr>
          <w:lang w:val="en-US"/>
        </w:rPr>
        <w:t xml:space="preserve">TEP </w:t>
      </w:r>
      <w:r w:rsidRPr="001823ED">
        <w:rPr>
          <w:lang w:val="en-US"/>
        </w:rPr>
        <w:t>definition ambiguity would also remain unresolved</w:t>
      </w:r>
      <w:r w:rsidR="001823ED">
        <w:rPr>
          <w:lang w:val="en-US"/>
        </w:rPr>
        <w:t xml:space="preserve"> under the baseline</w:t>
      </w:r>
      <w:r w:rsidRPr="001823ED">
        <w:rPr>
          <w:lang w:val="en-US"/>
        </w:rPr>
        <w:t xml:space="preserve">, sustaining classification disputes and unpredictability for </w:t>
      </w:r>
      <w:r w:rsidRPr="004570F2">
        <w:rPr>
          <w:lang w:val="en-US"/>
        </w:rPr>
        <w:t>emerging ATMP modalities</w:t>
      </w:r>
      <w:r w:rsidRPr="001823ED">
        <w:rPr>
          <w:lang w:val="en-US"/>
        </w:rPr>
        <w:t xml:space="preserve"> such as</w:t>
      </w:r>
      <w:r w:rsidRPr="004570F2">
        <w:rPr>
          <w:lang w:val="en-US"/>
        </w:rPr>
        <w:t xml:space="preserve"> in vivo genome editing, </w:t>
      </w:r>
      <w:r w:rsidRPr="001823ED">
        <w:rPr>
          <w:lang w:val="en-US"/>
        </w:rPr>
        <w:t>acellular therapies, and</w:t>
      </w:r>
      <w:r w:rsidRPr="004570F2">
        <w:rPr>
          <w:lang w:val="en-US"/>
        </w:rPr>
        <w:t xml:space="preserve"> cell</w:t>
      </w:r>
      <w:r w:rsidRPr="001823ED">
        <w:rPr>
          <w:lang w:val="en-US"/>
        </w:rPr>
        <w:t>-</w:t>
      </w:r>
      <w:r w:rsidRPr="004570F2">
        <w:rPr>
          <w:lang w:val="en-US"/>
        </w:rPr>
        <w:t>device combinations</w:t>
      </w:r>
      <w:r w:rsidRPr="001823ED">
        <w:rPr>
          <w:lang w:val="en-US"/>
        </w:rPr>
        <w:t xml:space="preserve">. </w:t>
      </w:r>
    </w:p>
    <w:p w14:paraId="35607BCC" w14:textId="4BC3AEA8" w:rsidR="00FC76BD" w:rsidRPr="005A3401" w:rsidRDefault="00FC76BD" w:rsidP="00AB5640">
      <w:pPr>
        <w:pStyle w:val="Heading2"/>
      </w:pPr>
      <w:bookmarkStart w:id="247" w:name="_Toc225969798"/>
      <w:bookmarkStart w:id="248" w:name="_Toc225979130"/>
      <w:r w:rsidRPr="005A3401">
        <w:t>Expected impacts</w:t>
      </w:r>
      <w:bookmarkEnd w:id="247"/>
      <w:bookmarkEnd w:id="248"/>
    </w:p>
    <w:p w14:paraId="0896EFB1" w14:textId="77777777" w:rsidR="00B9056D" w:rsidRPr="004570F2" w:rsidRDefault="00B9056D" w:rsidP="00B9056D">
      <w:pPr>
        <w:rPr>
          <w:b/>
        </w:rPr>
      </w:pPr>
      <w:bookmarkStart w:id="249" w:name="_Toc224111359"/>
      <w:r w:rsidRPr="004570F2">
        <w:rPr>
          <w:b/>
        </w:rPr>
        <w:t>Administrative costs on businesses, including SMEs</w:t>
      </w:r>
      <w:bookmarkEnd w:id="249"/>
      <w:r w:rsidRPr="004570F2">
        <w:rPr>
          <w:b/>
        </w:rPr>
        <w:t xml:space="preserve"> </w:t>
      </w:r>
    </w:p>
    <w:p w14:paraId="3B777F7A" w14:textId="29ED8F3F" w:rsidR="00B9056D" w:rsidRPr="00CB440A" w:rsidRDefault="00B9056D" w:rsidP="74FC1FCF">
      <w:pPr>
        <w:rPr>
          <w:lang w:val="en-US"/>
        </w:rPr>
      </w:pPr>
      <w:r w:rsidRPr="00CB440A">
        <w:t xml:space="preserve">The proposed </w:t>
      </w:r>
      <w:r w:rsidR="34F8EEDE">
        <w:t>reform</w:t>
      </w:r>
      <w:r w:rsidRPr="00CB440A">
        <w:t xml:space="preserve"> complements the ongoing revision of the EU pharmaceutical legislation and aligns with the </w:t>
      </w:r>
      <w:r w:rsidR="66B0C596">
        <w:t>P</w:t>
      </w:r>
      <w:r w:rsidRPr="00CB440A">
        <w:t>harmaceutical strategy for Europe, ensuring that regulatory requirements for GMOs in medicines are fit for purpose</w:t>
      </w:r>
      <w:r w:rsidR="00795892">
        <w:t>.</w:t>
      </w:r>
      <w:r w:rsidRPr="00CB440A">
        <w:t xml:space="preserve"> </w:t>
      </w:r>
    </w:p>
    <w:p w14:paraId="1EE30CCE" w14:textId="191216CE" w:rsidR="00B9056D" w:rsidRPr="00CB440A" w:rsidRDefault="00B9056D" w:rsidP="70C408F4">
      <w:pPr>
        <w:rPr>
          <w:lang w:val="en-US"/>
        </w:rPr>
      </w:pPr>
      <w:r w:rsidRPr="00CB440A">
        <w:t>The exemption from the ERA requirement for GMO-ATMPs</w:t>
      </w:r>
      <w:r w:rsidR="00B76DBB">
        <w:t xml:space="preserve"> </w:t>
      </w:r>
      <w:r w:rsidR="6ADB75B9">
        <w:t xml:space="preserve">falling </w:t>
      </w:r>
      <w:r w:rsidR="00756E55">
        <w:t xml:space="preserve">within </w:t>
      </w:r>
      <w:r w:rsidR="00756E55" w:rsidRPr="00CB440A">
        <w:t>clearly</w:t>
      </w:r>
      <w:r w:rsidRPr="00CB440A">
        <w:t xml:space="preserve"> defined negligible-risk categories </w:t>
      </w:r>
      <w:r w:rsidRPr="00CB440A">
        <w:rPr>
          <w:b/>
          <w:bCs/>
        </w:rPr>
        <w:t>eliminate</w:t>
      </w:r>
      <w:r w:rsidR="68D65AC4" w:rsidRPr="5DA36055">
        <w:rPr>
          <w:b/>
          <w:bCs/>
        </w:rPr>
        <w:t>s</w:t>
      </w:r>
      <w:r w:rsidRPr="00CB440A">
        <w:rPr>
          <w:b/>
          <w:bCs/>
        </w:rPr>
        <w:t xml:space="preserve"> ERA preparation costs</w:t>
      </w:r>
      <w:r w:rsidRPr="00CB440A">
        <w:t xml:space="preserve"> for </w:t>
      </w:r>
      <w:r w:rsidR="3DC979A4">
        <w:t xml:space="preserve">qualifying </w:t>
      </w:r>
      <w:r w:rsidRPr="00CB440A">
        <w:t xml:space="preserve">products. While no official EU estimate exists for these costs in the ATMP context, industry- estimates suggest the </w:t>
      </w:r>
      <w:r w:rsidRPr="00CB440A">
        <w:rPr>
          <w:lang w:val="en-US"/>
        </w:rPr>
        <w:t xml:space="preserve">reform primarily removes </w:t>
      </w:r>
      <w:r w:rsidRPr="00CB440A">
        <w:rPr>
          <w:b/>
          <w:bCs/>
          <w:lang w:val="en-US"/>
        </w:rPr>
        <w:t>administrative and procedural duplication rather than scientific work</w:t>
      </w:r>
      <w:r w:rsidR="006453E1" w:rsidRPr="5DA36055">
        <w:rPr>
          <w:b/>
          <w:bCs/>
          <w:lang w:val="en-US"/>
        </w:rPr>
        <w:t>,</w:t>
      </w:r>
      <w:r w:rsidR="00756E55">
        <w:rPr>
          <w:b/>
          <w:bCs/>
          <w:lang w:val="en-US"/>
        </w:rPr>
        <w:t xml:space="preserve"> </w:t>
      </w:r>
      <w:r w:rsidR="38FED0F2" w:rsidRPr="5DA36055">
        <w:rPr>
          <w:lang w:val="en-US"/>
        </w:rPr>
        <w:t>with</w:t>
      </w:r>
      <w:r w:rsidRPr="00CB440A">
        <w:rPr>
          <w:lang w:val="en-US"/>
        </w:rPr>
        <w:t xml:space="preserve"> FTE saving</w:t>
      </w:r>
      <w:r w:rsidR="7ACB43A4" w:rsidRPr="5DA36055">
        <w:rPr>
          <w:lang w:val="en-US"/>
        </w:rPr>
        <w:t>s</w:t>
      </w:r>
      <w:r w:rsidRPr="00CB440A">
        <w:rPr>
          <w:lang w:val="en-US"/>
        </w:rPr>
        <w:t xml:space="preserve"> concentrated in regulatory and coordination activities.</w:t>
      </w:r>
    </w:p>
    <w:p w14:paraId="4AD5E3B8" w14:textId="135C3D7A" w:rsidR="00B9056D" w:rsidRPr="00CB440A" w:rsidRDefault="00B9056D" w:rsidP="168353BF">
      <w:pPr>
        <w:rPr>
          <w:rStyle w:val="FootnoteReference"/>
          <w:lang w:val="en-US"/>
        </w:rPr>
      </w:pPr>
      <w:r>
        <w:t xml:space="preserve">For qualifying products, the current obligation to provide detailed environmental risk data </w:t>
      </w:r>
      <w:r w:rsidR="38546A7D">
        <w:t xml:space="preserve">is </w:t>
      </w:r>
      <w:r>
        <w:t xml:space="preserve">replaced by a </w:t>
      </w:r>
      <w:r w:rsidRPr="168353BF">
        <w:rPr>
          <w:b/>
          <w:bCs/>
        </w:rPr>
        <w:t>simplified declaration</w:t>
      </w:r>
      <w:r w:rsidR="06570F1A">
        <w:t>,</w:t>
      </w:r>
      <w:r w:rsidR="00756E55">
        <w:t xml:space="preserve"> </w:t>
      </w:r>
      <w:r>
        <w:t xml:space="preserve">in which the sponsor explains the applicable risk categorisation and demonstrates compliance with </w:t>
      </w:r>
      <w:r w:rsidR="00756E55">
        <w:t>predefined criteria</w:t>
      </w:r>
      <w:r>
        <w:t xml:space="preserve">. </w:t>
      </w:r>
      <w:r w:rsidR="00756E55">
        <w:t>This mirrors</w:t>
      </w:r>
      <w:r>
        <w:t xml:space="preserve"> the tiered, risk-proportionate system used for contained use of GMOs</w:t>
      </w:r>
      <w:r w:rsidR="00795892">
        <w:t>.</w:t>
      </w:r>
      <w:r>
        <w:t xml:space="preserve">  </w:t>
      </w:r>
    </w:p>
    <w:p w14:paraId="0E51856C" w14:textId="54AF1CDA" w:rsidR="00B9056D" w:rsidRPr="00CB440A" w:rsidRDefault="00B9056D" w:rsidP="168353BF">
      <w:pPr>
        <w:rPr>
          <w:rStyle w:val="FootnoteReference"/>
          <w:lang w:val="en-US"/>
        </w:rPr>
      </w:pPr>
      <w:r w:rsidRPr="168353BF">
        <w:rPr>
          <w:b/>
          <w:bCs/>
          <w:lang w:val="en-US"/>
        </w:rPr>
        <w:t>Estimated FTE savings per CTA application</w:t>
      </w:r>
      <w:r w:rsidR="008B115F">
        <w:rPr>
          <w:b/>
          <w:bCs/>
          <w:lang w:val="en-US"/>
        </w:rPr>
        <w:t>:</w:t>
      </w:r>
      <w:r w:rsidRPr="168353BF">
        <w:rPr>
          <w:b/>
          <w:bCs/>
          <w:lang w:val="en-US"/>
        </w:rPr>
        <w:t xml:space="preserve"> </w:t>
      </w:r>
    </w:p>
    <w:p w14:paraId="2DB4FF9F" w14:textId="5CF2C57D" w:rsidR="00B9056D" w:rsidRPr="00CB440A" w:rsidRDefault="00B9056D" w:rsidP="168353BF">
      <w:pPr>
        <w:rPr>
          <w:rStyle w:val="FootnoteReference"/>
          <w:lang w:val="en-US"/>
        </w:rPr>
      </w:pPr>
      <w:r w:rsidRPr="168353BF">
        <w:rPr>
          <w:b/>
          <w:bCs/>
        </w:rPr>
        <w:t>lower bound:</w:t>
      </w:r>
      <w:r>
        <w:t xml:space="preserve"> ~0.15 FTE-year </w:t>
      </w:r>
    </w:p>
    <w:p w14:paraId="5A113A33" w14:textId="5B5EF87F" w:rsidR="00B9056D" w:rsidRPr="00CB440A" w:rsidRDefault="00B9056D" w:rsidP="168353BF">
      <w:pPr>
        <w:rPr>
          <w:rStyle w:val="FootnoteReference"/>
          <w:lang w:val="en-US"/>
        </w:rPr>
      </w:pPr>
      <w:r w:rsidRPr="004570F2">
        <w:rPr>
          <w:b/>
        </w:rPr>
        <w:t>u</w:t>
      </w:r>
      <w:r w:rsidRPr="001A0E4B">
        <w:rPr>
          <w:b/>
          <w:bCs/>
        </w:rPr>
        <w:t>pp</w:t>
      </w:r>
      <w:r w:rsidRPr="168353BF">
        <w:rPr>
          <w:b/>
          <w:bCs/>
        </w:rPr>
        <w:t>er bound:</w:t>
      </w:r>
      <w:r>
        <w:t xml:space="preserve"> ~0.3 FTE-years</w:t>
      </w:r>
      <w:r w:rsidRPr="168353BF">
        <w:rPr>
          <w:lang w:val="en-US"/>
        </w:rPr>
        <w:t xml:space="preserve">. </w:t>
      </w:r>
    </w:p>
    <w:p w14:paraId="013EBBD6" w14:textId="7637CFCB" w:rsidR="00B9056D" w:rsidRPr="004570F2" w:rsidRDefault="00B9056D" w:rsidP="168353BF">
      <w:pPr>
        <w:rPr>
          <w:rStyle w:val="FootnoteReference"/>
        </w:rPr>
      </w:pPr>
      <w:r w:rsidRPr="168353BF">
        <w:rPr>
          <w:lang w:val="en-US"/>
        </w:rPr>
        <w:t xml:space="preserve">This corresponds to approximately </w:t>
      </w:r>
      <w:r w:rsidRPr="168353BF">
        <w:rPr>
          <w:b/>
          <w:bCs/>
          <w:lang w:val="en-US"/>
        </w:rPr>
        <w:t>50–70</w:t>
      </w:r>
      <w:r w:rsidR="006856C2">
        <w:rPr>
          <w:b/>
          <w:bCs/>
          <w:lang w:val="en-US"/>
        </w:rPr>
        <w:t>%</w:t>
      </w:r>
      <w:r w:rsidRPr="168353BF">
        <w:rPr>
          <w:b/>
          <w:bCs/>
          <w:lang w:val="en-US"/>
        </w:rPr>
        <w:t xml:space="preserve"> of the GMO-specific administrative workload</w:t>
      </w:r>
      <w:r w:rsidRPr="168353BF">
        <w:rPr>
          <w:lang w:val="en-US"/>
        </w:rPr>
        <w:t xml:space="preserve">, while the underlying ERA data generation effort is retained. </w:t>
      </w:r>
    </w:p>
    <w:p w14:paraId="466DDBA4" w14:textId="5FB1E24D" w:rsidR="00B9056D" w:rsidRPr="00CB440A" w:rsidRDefault="00B9056D" w:rsidP="008E5757">
      <w:r w:rsidRPr="00CB440A">
        <w:t xml:space="preserve">Regulatory frameworks that introduce </w:t>
      </w:r>
      <w:r w:rsidRPr="00CB440A">
        <w:rPr>
          <w:b/>
          <w:bCs/>
        </w:rPr>
        <w:t xml:space="preserve">clear, risk-tiered criteria </w:t>
      </w:r>
      <w:r w:rsidRPr="00CB440A">
        <w:t xml:space="preserve">allow sponsors to self-assess regulatory obligations and can reduce reliance on specialised consultancy services for interpretation and compliance planning. This is widely recognised in regulatory policy literature as a means to lower compliance costs and enhance predictability. </w:t>
      </w:r>
    </w:p>
    <w:p w14:paraId="7F8FFB84" w14:textId="464381A2" w:rsidR="00B9056D" w:rsidRPr="00CB440A" w:rsidRDefault="00B9056D" w:rsidP="008E5757">
      <w:r w:rsidRPr="00CB440A">
        <w:t xml:space="preserve">Importantly, safety oversight is maintained: the Committee for Medicinal Products for Human Use (CHMP) will continue to verify all </w:t>
      </w:r>
      <w:r w:rsidR="66494AFE">
        <w:t>ERAs</w:t>
      </w:r>
      <w:r w:rsidRPr="00CB440A">
        <w:t xml:space="preserve"> as part of the centralised marketing authorisation procedure, ensuring ongoing safety verification for all GMO-ATMPs.</w:t>
      </w:r>
    </w:p>
    <w:p w14:paraId="20D3E157" w14:textId="77777777" w:rsidR="00B9056D" w:rsidRPr="004570F2" w:rsidRDefault="00B9056D" w:rsidP="168353BF">
      <w:pPr>
        <w:rPr>
          <w:b/>
        </w:rPr>
      </w:pPr>
      <w:bookmarkStart w:id="250" w:name="_Toc224111360"/>
      <w:r w:rsidRPr="004570F2">
        <w:rPr>
          <w:b/>
        </w:rPr>
        <w:t>Competitiveness, trade and investment flows</w:t>
      </w:r>
      <w:bookmarkEnd w:id="250"/>
      <w:r w:rsidRPr="004570F2">
        <w:rPr>
          <w:b/>
        </w:rPr>
        <w:t xml:space="preserve"> </w:t>
      </w:r>
    </w:p>
    <w:p w14:paraId="6C462D67" w14:textId="77777777" w:rsidR="70E012C8" w:rsidRPr="009B0E47" w:rsidRDefault="70E012C8" w:rsidP="0080069B">
      <w:r w:rsidRPr="009B0E47">
        <w:t xml:space="preserve">The temporary COVID-19 derogation from GMO legislation granted by the European Commission provided direct evidence of what a risk-proportionate exemption delivers in practice: Pizevska et al. (Frontiers in Medicine, 2022) confirmed that the derogation had documented timely and administrative benefits for sponsors and trial sites, demonstrating that removing the ERA obligation for low-risk investigational products reduces procedural </w:t>
      </w:r>
      <w:r w:rsidRPr="009B0E47">
        <w:lastRenderedPageBreak/>
        <w:t>delays without compromising safety oversight. ARM, EFPIA, and EuropaBio drew explicitly on this precedent in calling for a permanent exemption, noting that without it, GMO requirements would continue to threaten EU competitiveness in a sector where other jurisdictions apply less cumbersome frameworks (EFPIA joint statement, May 2021). The Article 4a derogation under the Biotech Act operationalises this evidence-based approach on a durable legislative basis, for clearly defined negligible-risk ATMP categories. From mid-2028, its interaction with the NPL’s centralised Article 5a ERA procedure — which will itself replace the current fragmented national submission system for all GMO-containing IMPs — further reduces the residual procedural burden for those ATMPs not qualifying for the derogation.</w:t>
      </w:r>
    </w:p>
    <w:p w14:paraId="14F511D7" w14:textId="776C18BF" w:rsidR="70E012C8" w:rsidRPr="009B0E47" w:rsidRDefault="70E012C8" w:rsidP="0080069B">
      <w:r w:rsidRPr="009B0E47">
        <w:t>On TEP definition ambiguity, the consequences of the static 2007 definition are documented in the clinical trial data. TEPs represent fewer than 5% of ATMPs in EU clinical trials and received only 5.1% of ATMP-designated trial funding in 2019. Of the 90 TEP-based EU trials undertaken since 2009, only four TEPs have ever received a marketing authorisation, with two subsequently withdrawn (Joyce et al., Cell Transplantation, 2022)</w:t>
      </w:r>
      <w:r w:rsidRPr="00F240CE">
        <w:rPr>
          <w:vertAlign w:val="superscript"/>
        </w:rPr>
        <w:footnoteReference w:id="116"/>
      </w:r>
      <w:r w:rsidRPr="009B0E47">
        <w:t>. As of February 2025, only three authorised ATMPs in the EU are human cell and tissue products — two TEPs and one somatic cell therapy — with no significant increase projected, in part reflecting the classification burden and regulatory uncertainty the 2007 definition creates for developers of products that do not map cleanly onto existing categories (Ongena et al., Wound Repair and Regeneration, 2025)</w:t>
      </w:r>
      <w:r w:rsidRPr="00F240CE">
        <w:rPr>
          <w:vertAlign w:val="superscript"/>
        </w:rPr>
        <w:footnoteReference w:id="117"/>
      </w:r>
      <w:r w:rsidRPr="009B0E47">
        <w:t>. EMA’s own reflection paper on ATMP classification acknowledges that, due to the complex nature of these products and the rapid evolution of science and technology, borderline classification questions regularly arise and require case-by-case CAT assessment — generating unpredictability that is itself a competitive disadvantage (EMA Reflection Paper on Classification of ATMPs, 2015, updated). Empowering the Commission to adapt the TEP definition via delegated acts, in light of scientific advances and following consultation with EMA and the SCB, directly addresses this structural gap and reduces the risk that emerging modalities — in vivo tissue generation, acellular therapies, bio-synthetic hybrids — fall into regulatory grey zones requiring bespoke classification procedures.</w:t>
      </w:r>
    </w:p>
    <w:p w14:paraId="30170026" w14:textId="2D66EBE8" w:rsidR="00B9056D" w:rsidRPr="00CB440A" w:rsidRDefault="00B9056D" w:rsidP="00B9056D">
      <w:pPr>
        <w:pStyle w:val="Caption"/>
        <w:rPr>
          <w:rFonts w:ascii="Times New Roman" w:hAnsi="Times New Roman"/>
          <w:sz w:val="24"/>
          <w:lang w:eastAsia="en-US"/>
        </w:rPr>
      </w:pPr>
      <w:bookmarkStart w:id="251" w:name="_Toc225160365"/>
      <w:r w:rsidRPr="00CB440A">
        <w:rPr>
          <w:rFonts w:ascii="Times New Roman" w:hAnsi="Times New Roman"/>
          <w:sz w:val="24"/>
        </w:rPr>
        <w:t xml:space="preserve">Table </w:t>
      </w:r>
      <w:r w:rsidR="0048707F">
        <w:rPr>
          <w:rFonts w:ascii="Times New Roman" w:hAnsi="Times New Roman"/>
          <w:sz w:val="24"/>
        </w:rPr>
        <w:t>1</w:t>
      </w:r>
      <w:r w:rsidR="00106AA9">
        <w:rPr>
          <w:rFonts w:ascii="Times New Roman" w:hAnsi="Times New Roman"/>
          <w:sz w:val="24"/>
        </w:rPr>
        <w:t xml:space="preserve">. </w:t>
      </w:r>
      <w:r w:rsidRPr="00CB440A">
        <w:rPr>
          <w:rFonts w:ascii="Times New Roman" w:hAnsi="Times New Roman"/>
          <w:sz w:val="24"/>
        </w:rPr>
        <w:t>Indicators Competitiveness</w:t>
      </w:r>
      <w:bookmarkEnd w:id="251"/>
    </w:p>
    <w:tbl>
      <w:tblPr>
        <w:tblStyle w:val="TableGrid"/>
        <w:tblW w:w="0" w:type="auto"/>
        <w:tblLook w:val="04A0" w:firstRow="1" w:lastRow="0" w:firstColumn="1" w:lastColumn="0" w:noHBand="0" w:noVBand="1"/>
      </w:tblPr>
      <w:tblGrid>
        <w:gridCol w:w="2192"/>
        <w:gridCol w:w="2170"/>
        <w:gridCol w:w="1117"/>
        <w:gridCol w:w="3128"/>
      </w:tblGrid>
      <w:tr w:rsidR="00B9056D" w:rsidRPr="0099291D" w14:paraId="16CD2997" w14:textId="77777777" w:rsidTr="4EC480EB">
        <w:tc>
          <w:tcPr>
            <w:tcW w:w="0" w:type="auto"/>
            <w:hideMark/>
          </w:tcPr>
          <w:p w14:paraId="7D6D8AE4" w14:textId="77777777" w:rsidR="00B9056D" w:rsidRPr="0099291D" w:rsidRDefault="00B9056D">
            <w:pPr>
              <w:jc w:val="center"/>
              <w:rPr>
                <w:b/>
                <w:sz w:val="20"/>
                <w:szCs w:val="20"/>
              </w:rPr>
            </w:pPr>
            <w:r w:rsidRPr="0099291D">
              <w:rPr>
                <w:sz w:val="20"/>
                <w:szCs w:val="20"/>
              </w:rPr>
              <w:t>Effect / impact</w:t>
            </w:r>
          </w:p>
        </w:tc>
        <w:tc>
          <w:tcPr>
            <w:tcW w:w="0" w:type="auto"/>
            <w:hideMark/>
          </w:tcPr>
          <w:p w14:paraId="6E764BE7" w14:textId="77777777" w:rsidR="00B9056D" w:rsidRPr="0099291D" w:rsidRDefault="00B9056D">
            <w:pPr>
              <w:jc w:val="center"/>
              <w:rPr>
                <w:b/>
                <w:sz w:val="20"/>
                <w:szCs w:val="20"/>
              </w:rPr>
            </w:pPr>
            <w:r w:rsidRPr="0099291D">
              <w:rPr>
                <w:sz w:val="20"/>
                <w:szCs w:val="20"/>
              </w:rPr>
              <w:t>Indicators</w:t>
            </w:r>
          </w:p>
        </w:tc>
        <w:tc>
          <w:tcPr>
            <w:tcW w:w="0" w:type="auto"/>
            <w:hideMark/>
          </w:tcPr>
          <w:p w14:paraId="4B4ADF85" w14:textId="77777777" w:rsidR="00B9056D" w:rsidRPr="0099291D" w:rsidRDefault="00B9056D">
            <w:pPr>
              <w:jc w:val="center"/>
              <w:rPr>
                <w:b/>
                <w:sz w:val="20"/>
                <w:szCs w:val="20"/>
              </w:rPr>
            </w:pPr>
            <w:r w:rsidRPr="0099291D">
              <w:rPr>
                <w:sz w:val="20"/>
                <w:szCs w:val="20"/>
              </w:rPr>
              <w:t>Expected change</w:t>
            </w:r>
          </w:p>
        </w:tc>
        <w:tc>
          <w:tcPr>
            <w:tcW w:w="0" w:type="auto"/>
          </w:tcPr>
          <w:p w14:paraId="126DBBE0" w14:textId="77777777" w:rsidR="00B9056D" w:rsidRPr="0099291D" w:rsidRDefault="00B9056D">
            <w:pPr>
              <w:jc w:val="center"/>
              <w:rPr>
                <w:b/>
                <w:sz w:val="20"/>
                <w:szCs w:val="20"/>
              </w:rPr>
            </w:pPr>
            <w:r w:rsidRPr="0099291D">
              <w:rPr>
                <w:sz w:val="20"/>
                <w:szCs w:val="20"/>
              </w:rPr>
              <w:t>Data source for baseline</w:t>
            </w:r>
          </w:p>
        </w:tc>
      </w:tr>
      <w:tr w:rsidR="00B9056D" w:rsidRPr="0099291D" w14:paraId="04DB3FA6" w14:textId="77777777" w:rsidTr="4EC480EB">
        <w:tc>
          <w:tcPr>
            <w:tcW w:w="0" w:type="auto"/>
          </w:tcPr>
          <w:p w14:paraId="57C13595" w14:textId="5F301D26" w:rsidR="00B9056D" w:rsidRPr="0099291D" w:rsidRDefault="00B9056D" w:rsidP="168353BF">
            <w:pPr>
              <w:rPr>
                <w:b/>
                <w:bCs/>
                <w:sz w:val="20"/>
                <w:szCs w:val="20"/>
              </w:rPr>
            </w:pPr>
            <w:r w:rsidRPr="168353BF">
              <w:rPr>
                <w:sz w:val="20"/>
                <w:szCs w:val="20"/>
              </w:rPr>
              <w:t>Higher investment into EU</w:t>
            </w:r>
            <w:r w:rsidR="64DC591C" w:rsidRPr="168353BF">
              <w:rPr>
                <w:sz w:val="20"/>
                <w:szCs w:val="20"/>
              </w:rPr>
              <w:t>-</w:t>
            </w:r>
            <w:r w:rsidRPr="168353BF">
              <w:rPr>
                <w:sz w:val="20"/>
                <w:szCs w:val="20"/>
              </w:rPr>
              <w:t xml:space="preserve"> based research and innovation</w:t>
            </w:r>
          </w:p>
        </w:tc>
        <w:tc>
          <w:tcPr>
            <w:tcW w:w="0" w:type="auto"/>
          </w:tcPr>
          <w:p w14:paraId="2A318A05" w14:textId="6074EF2F" w:rsidR="00B9056D" w:rsidRPr="0099291D" w:rsidRDefault="00B9056D">
            <w:pPr>
              <w:rPr>
                <w:sz w:val="20"/>
                <w:szCs w:val="20"/>
              </w:rPr>
            </w:pPr>
            <w:r w:rsidRPr="168353BF">
              <w:rPr>
                <w:sz w:val="20"/>
                <w:szCs w:val="20"/>
              </w:rPr>
              <w:t xml:space="preserve">EU </w:t>
            </w:r>
            <w:r w:rsidR="117E78A1" w:rsidRPr="168353BF">
              <w:rPr>
                <w:sz w:val="20"/>
                <w:szCs w:val="20"/>
              </w:rPr>
              <w:t>H</w:t>
            </w:r>
            <w:r w:rsidRPr="168353BF">
              <w:rPr>
                <w:sz w:val="20"/>
                <w:szCs w:val="20"/>
              </w:rPr>
              <w:t>orizon investments into regenerative medicine</w:t>
            </w:r>
          </w:p>
        </w:tc>
        <w:tc>
          <w:tcPr>
            <w:tcW w:w="0" w:type="auto"/>
          </w:tcPr>
          <w:p w14:paraId="4988A314" w14:textId="77777777" w:rsidR="00B9056D" w:rsidRPr="0099291D" w:rsidRDefault="00B9056D">
            <w:pPr>
              <w:rPr>
                <w:sz w:val="20"/>
                <w:szCs w:val="20"/>
              </w:rPr>
            </w:pPr>
            <w:r w:rsidRPr="0099291D">
              <w:rPr>
                <w:sz w:val="20"/>
                <w:szCs w:val="20"/>
              </w:rPr>
              <w:t>increase</w:t>
            </w:r>
          </w:p>
        </w:tc>
        <w:tc>
          <w:tcPr>
            <w:tcW w:w="0" w:type="auto"/>
          </w:tcPr>
          <w:p w14:paraId="19E51820" w14:textId="4D511F7E" w:rsidR="00B9056D" w:rsidRPr="0099291D" w:rsidRDefault="00B9056D">
            <w:pPr>
              <w:rPr>
                <w:sz w:val="20"/>
                <w:szCs w:val="20"/>
              </w:rPr>
            </w:pPr>
            <w:r w:rsidRPr="0099291D">
              <w:rPr>
                <w:sz w:val="20"/>
                <w:szCs w:val="20"/>
              </w:rPr>
              <w:t xml:space="preserve">EU Horizon </w:t>
            </w:r>
            <w:r w:rsidR="3FB892A7" w:rsidRPr="4EC480EB">
              <w:rPr>
                <w:sz w:val="20"/>
                <w:szCs w:val="20"/>
              </w:rPr>
              <w:t xml:space="preserve">Europe programme: 20 ATMP projects </w:t>
            </w:r>
            <w:r w:rsidR="37E1F92A" w:rsidRPr="4EC480EB">
              <w:rPr>
                <w:sz w:val="20"/>
                <w:szCs w:val="20"/>
              </w:rPr>
              <w:t xml:space="preserve">with </w:t>
            </w:r>
            <w:r w:rsidRPr="0099291D">
              <w:rPr>
                <w:sz w:val="20"/>
                <w:szCs w:val="20"/>
              </w:rPr>
              <w:t>median</w:t>
            </w:r>
            <w:r w:rsidRPr="4EC480EB">
              <w:rPr>
                <w:sz w:val="20"/>
                <w:szCs w:val="20"/>
              </w:rPr>
              <w:t xml:space="preserve"> </w:t>
            </w:r>
            <w:r w:rsidR="723C25E4" w:rsidRPr="4EC480EB">
              <w:rPr>
                <w:sz w:val="20"/>
                <w:szCs w:val="20"/>
              </w:rPr>
              <w:t>funding</w:t>
            </w:r>
            <w:r w:rsidRPr="0099291D">
              <w:rPr>
                <w:sz w:val="20"/>
                <w:szCs w:val="20"/>
              </w:rPr>
              <w:t xml:space="preserve"> ~ </w:t>
            </w:r>
            <w:r w:rsidR="3F7D2399" w:rsidRPr="4EC480EB">
              <w:rPr>
                <w:sz w:val="20"/>
                <w:szCs w:val="20"/>
              </w:rPr>
              <w:t xml:space="preserve">EUR </w:t>
            </w:r>
            <w:r w:rsidRPr="0099291D">
              <w:rPr>
                <w:sz w:val="20"/>
                <w:szCs w:val="20"/>
              </w:rPr>
              <w:t>7.5</w:t>
            </w:r>
            <w:r w:rsidR="1232E3D2" w:rsidRPr="4EC480EB">
              <w:rPr>
                <w:sz w:val="20"/>
                <w:szCs w:val="20"/>
              </w:rPr>
              <w:t xml:space="preserve"> million</w:t>
            </w:r>
            <w:r w:rsidRPr="0099291D">
              <w:rPr>
                <w:rStyle w:val="FootnoteReference"/>
                <w:sz w:val="20"/>
                <w:szCs w:val="20"/>
              </w:rPr>
              <w:footnoteReference w:id="118"/>
            </w:r>
          </w:p>
        </w:tc>
      </w:tr>
      <w:tr w:rsidR="00B9056D" w:rsidRPr="0099291D" w14:paraId="23FADB69" w14:textId="77777777" w:rsidTr="4EC480EB">
        <w:tc>
          <w:tcPr>
            <w:tcW w:w="0" w:type="auto"/>
          </w:tcPr>
          <w:p w14:paraId="6A25635F" w14:textId="3C31FED6" w:rsidR="00B9056D" w:rsidRPr="0099291D" w:rsidRDefault="00B9056D" w:rsidP="168353BF">
            <w:pPr>
              <w:rPr>
                <w:b/>
                <w:bCs/>
                <w:sz w:val="20"/>
                <w:szCs w:val="20"/>
              </w:rPr>
            </w:pPr>
            <w:r w:rsidRPr="168353BF">
              <w:rPr>
                <w:sz w:val="20"/>
                <w:szCs w:val="20"/>
              </w:rPr>
              <w:lastRenderedPageBreak/>
              <w:t>More favourable</w:t>
            </w:r>
            <w:r w:rsidR="00636376">
              <w:rPr>
                <w:sz w:val="20"/>
                <w:szCs w:val="20"/>
              </w:rPr>
              <w:t xml:space="preserve"> </w:t>
            </w:r>
            <w:r w:rsidRPr="168353BF">
              <w:rPr>
                <w:sz w:val="20"/>
                <w:szCs w:val="20"/>
              </w:rPr>
              <w:t>EU innovation investment location decision</w:t>
            </w:r>
          </w:p>
        </w:tc>
        <w:tc>
          <w:tcPr>
            <w:tcW w:w="0" w:type="auto"/>
          </w:tcPr>
          <w:p w14:paraId="376229D3" w14:textId="650A3E51" w:rsidR="00B9056D" w:rsidRPr="0099291D" w:rsidRDefault="00B9056D">
            <w:pPr>
              <w:rPr>
                <w:sz w:val="20"/>
                <w:szCs w:val="20"/>
              </w:rPr>
            </w:pPr>
            <w:r w:rsidRPr="168353BF">
              <w:rPr>
                <w:sz w:val="20"/>
                <w:szCs w:val="20"/>
              </w:rPr>
              <w:t>Number of EU-headquartered gene therapy developer</w:t>
            </w:r>
            <w:r w:rsidR="5141CD6C" w:rsidRPr="168353BF">
              <w:rPr>
                <w:sz w:val="20"/>
                <w:szCs w:val="20"/>
              </w:rPr>
              <w:t>s</w:t>
            </w:r>
          </w:p>
        </w:tc>
        <w:tc>
          <w:tcPr>
            <w:tcW w:w="0" w:type="auto"/>
          </w:tcPr>
          <w:p w14:paraId="4BEB5639" w14:textId="77777777" w:rsidR="00B9056D" w:rsidRPr="0099291D" w:rsidRDefault="00B9056D">
            <w:pPr>
              <w:rPr>
                <w:sz w:val="20"/>
                <w:szCs w:val="20"/>
              </w:rPr>
            </w:pPr>
            <w:r w:rsidRPr="0099291D">
              <w:rPr>
                <w:sz w:val="20"/>
                <w:szCs w:val="20"/>
              </w:rPr>
              <w:t>increase</w:t>
            </w:r>
          </w:p>
        </w:tc>
        <w:tc>
          <w:tcPr>
            <w:tcW w:w="0" w:type="auto"/>
          </w:tcPr>
          <w:p w14:paraId="1E57A8FE" w14:textId="535DCD46" w:rsidR="00B9056D" w:rsidRPr="0099291D" w:rsidRDefault="542C0E2A">
            <w:pPr>
              <w:rPr>
                <w:sz w:val="20"/>
                <w:szCs w:val="20"/>
              </w:rPr>
            </w:pPr>
            <w:r w:rsidRPr="4EC480EB">
              <w:rPr>
                <w:sz w:val="20"/>
                <w:szCs w:val="20"/>
              </w:rPr>
              <w:t xml:space="preserve">Alliance for Regenerative Medicine (2026), ARM Q4 2025 CGT Sector Data" </w:t>
            </w:r>
            <w:r w:rsidR="00B9056D" w:rsidRPr="168353BF">
              <w:rPr>
                <w:sz w:val="20"/>
                <w:szCs w:val="20"/>
              </w:rPr>
              <w:t xml:space="preserve">(396, incl. </w:t>
            </w:r>
            <w:r w:rsidR="00B9056D" w:rsidRPr="0099291D">
              <w:rPr>
                <w:sz w:val="20"/>
                <w:szCs w:val="20"/>
              </w:rPr>
              <w:t xml:space="preserve"> 145 private)</w:t>
            </w:r>
            <w:r w:rsidR="00B9056D" w:rsidRPr="0099291D">
              <w:rPr>
                <w:rStyle w:val="FootnoteReference"/>
                <w:sz w:val="20"/>
                <w:szCs w:val="20"/>
              </w:rPr>
              <w:footnoteReference w:id="119"/>
            </w:r>
          </w:p>
        </w:tc>
      </w:tr>
      <w:tr w:rsidR="00B9056D" w:rsidRPr="0099291D" w14:paraId="32283534" w14:textId="77777777" w:rsidTr="4EC480EB">
        <w:tc>
          <w:tcPr>
            <w:tcW w:w="0" w:type="auto"/>
          </w:tcPr>
          <w:p w14:paraId="69C01B64" w14:textId="77777777" w:rsidR="00B9056D" w:rsidRPr="0099291D" w:rsidRDefault="00B9056D">
            <w:pPr>
              <w:rPr>
                <w:b/>
                <w:sz w:val="20"/>
                <w:szCs w:val="20"/>
              </w:rPr>
            </w:pPr>
            <w:r w:rsidRPr="0099291D">
              <w:rPr>
                <w:sz w:val="20"/>
                <w:szCs w:val="20"/>
              </w:rPr>
              <w:t>Higher EU share of global regenerative medicine funding</w:t>
            </w:r>
          </w:p>
        </w:tc>
        <w:tc>
          <w:tcPr>
            <w:tcW w:w="0" w:type="auto"/>
          </w:tcPr>
          <w:p w14:paraId="09E7B9C7" w14:textId="77777777" w:rsidR="00B9056D" w:rsidRPr="0099291D" w:rsidRDefault="00B9056D">
            <w:pPr>
              <w:rPr>
                <w:sz w:val="20"/>
                <w:szCs w:val="20"/>
              </w:rPr>
            </w:pPr>
            <w:r w:rsidRPr="0099291D">
              <w:rPr>
                <w:sz w:val="20"/>
                <w:szCs w:val="20"/>
              </w:rPr>
              <w:t>EU share of global funding</w:t>
            </w:r>
          </w:p>
        </w:tc>
        <w:tc>
          <w:tcPr>
            <w:tcW w:w="0" w:type="auto"/>
          </w:tcPr>
          <w:p w14:paraId="19CEB0BB" w14:textId="77777777" w:rsidR="00B9056D" w:rsidRPr="0099291D" w:rsidRDefault="00B9056D">
            <w:pPr>
              <w:rPr>
                <w:sz w:val="20"/>
                <w:szCs w:val="20"/>
              </w:rPr>
            </w:pPr>
            <w:r w:rsidRPr="0099291D">
              <w:rPr>
                <w:sz w:val="20"/>
                <w:szCs w:val="20"/>
              </w:rPr>
              <w:t>increase</w:t>
            </w:r>
          </w:p>
        </w:tc>
        <w:tc>
          <w:tcPr>
            <w:tcW w:w="0" w:type="auto"/>
          </w:tcPr>
          <w:p w14:paraId="295EBA92" w14:textId="77777777" w:rsidR="00B9056D" w:rsidRPr="0099291D" w:rsidRDefault="00B9056D">
            <w:pPr>
              <w:rPr>
                <w:sz w:val="20"/>
                <w:szCs w:val="20"/>
              </w:rPr>
            </w:pPr>
            <w:r w:rsidRPr="0099291D">
              <w:rPr>
                <w:sz w:val="20"/>
                <w:szCs w:val="20"/>
              </w:rPr>
              <w:t>Europe Regenerative Medicine Market Size &amp; Outlook, 2025-2033</w:t>
            </w:r>
            <w:r w:rsidRPr="0099291D">
              <w:rPr>
                <w:rStyle w:val="FootnoteReference"/>
                <w:sz w:val="20"/>
                <w:szCs w:val="20"/>
              </w:rPr>
              <w:footnoteReference w:id="120"/>
            </w:r>
          </w:p>
        </w:tc>
      </w:tr>
    </w:tbl>
    <w:p w14:paraId="4B8DCE47" w14:textId="0FD78433" w:rsidR="00B9056D" w:rsidRPr="00CB440A" w:rsidRDefault="00B9056D" w:rsidP="004570F2">
      <w:pPr>
        <w:spacing w:before="120" w:after="120"/>
      </w:pPr>
    </w:p>
    <w:p w14:paraId="1A2F5116" w14:textId="77777777" w:rsidR="00B9056D" w:rsidRPr="004570F2" w:rsidRDefault="00B9056D" w:rsidP="00B9056D">
      <w:pPr>
        <w:rPr>
          <w:b/>
        </w:rPr>
      </w:pPr>
      <w:bookmarkStart w:id="252" w:name="_Toc224111361"/>
      <w:r w:rsidRPr="004570F2">
        <w:rPr>
          <w:b/>
        </w:rPr>
        <w:t>Innovation and research</w:t>
      </w:r>
      <w:bookmarkEnd w:id="252"/>
      <w:r w:rsidRPr="004570F2">
        <w:rPr>
          <w:b/>
        </w:rPr>
        <w:t xml:space="preserve"> </w:t>
      </w:r>
    </w:p>
    <w:p w14:paraId="448D6147" w14:textId="61CD5668" w:rsidR="00B9056D" w:rsidRPr="00CB440A" w:rsidRDefault="00B9056D" w:rsidP="00EE4C52">
      <w:r w:rsidRPr="00CB440A">
        <w:t>Removing or reducing regulatory requirements</w:t>
      </w:r>
      <w:r w:rsidR="53E490F5" w:rsidRPr="00CB440A">
        <w:t>-</w:t>
      </w:r>
      <w:r w:rsidRPr="00CB440A">
        <w:t xml:space="preserve"> such as exempting qualified GMO</w:t>
      </w:r>
      <w:r w:rsidRPr="00CB440A">
        <w:noBreakHyphen/>
        <w:t>containing ATMPs and broadening the TEP definition to a flexible, risk</w:t>
      </w:r>
      <w:r w:rsidR="008C5DDB">
        <w:t>-</w:t>
      </w:r>
      <w:r w:rsidRPr="00CB440A">
        <w:t>based umbrella</w:t>
      </w:r>
      <w:r w:rsidR="008C5DDB">
        <w:t xml:space="preserve"> </w:t>
      </w:r>
      <w:r w:rsidRPr="00CB440A">
        <w:t>would lower operational costs and speed up the transition from research to clinical development</w:t>
      </w:r>
      <w:r w:rsidR="002248D7">
        <w:t>.</w:t>
      </w:r>
      <w:r w:rsidR="009829F6" w:rsidRPr="00CB440A">
        <w:t xml:space="preserve"> </w:t>
      </w:r>
      <w:r w:rsidR="53C33F0E" w:rsidRPr="00CB440A">
        <w:t xml:space="preserve">This particularly </w:t>
      </w:r>
      <w:r w:rsidRPr="00CB440A">
        <w:t>benefit</w:t>
      </w:r>
      <w:r w:rsidR="548085B3" w:rsidRPr="00CB440A">
        <w:t>s</w:t>
      </w:r>
      <w:r w:rsidR="006A1EF5">
        <w:t xml:space="preserve"> </w:t>
      </w:r>
      <w:r w:rsidRPr="00CB440A">
        <w:t>smaller organizations and SMEs</w:t>
      </w:r>
      <w:r w:rsidR="1A59142C" w:rsidRPr="00CB440A">
        <w:t xml:space="preserve">, which </w:t>
      </w:r>
      <w:r w:rsidR="52168B47" w:rsidRPr="00CB440A">
        <w:t>represent</w:t>
      </w:r>
      <w:r w:rsidRPr="00CB440A">
        <w:t xml:space="preserve"> over 60</w:t>
      </w:r>
      <w:r w:rsidR="006856C2">
        <w:t>%</w:t>
      </w:r>
      <w:r w:rsidRPr="00CB440A">
        <w:t xml:space="preserve"> of ATMP developers in Europe.</w:t>
      </w:r>
      <w:r w:rsidDel="00B9056D">
        <w:t xml:space="preserve"> </w:t>
      </w:r>
    </w:p>
    <w:p w14:paraId="244683EC" w14:textId="7BD7EB2B" w:rsidR="00B9056D" w:rsidRPr="00CB440A" w:rsidRDefault="2B0E9F19" w:rsidP="00EE4C52">
      <w:r w:rsidRPr="4EC480EB">
        <w:rPr>
          <w:rFonts w:eastAsia="Times New Roman"/>
        </w:rPr>
        <w:t>In some Member States,</w:t>
      </w:r>
      <w:r w:rsidR="00B9056D" w:rsidRPr="00CB440A">
        <w:t xml:space="preserve"> ATMP SMEs</w:t>
      </w:r>
      <w:r w:rsidDel="2B0E9F19">
        <w:t xml:space="preserve"> </w:t>
      </w:r>
      <w:r w:rsidR="00B9056D" w:rsidRPr="00CB440A">
        <w:t>have reported workforce growth of over 180</w:t>
      </w:r>
      <w:r w:rsidR="006856C2">
        <w:t>%</w:t>
      </w:r>
      <w:r w:rsidR="00B9056D" w:rsidRPr="00CB440A">
        <w:noBreakHyphen/>
        <w:t xml:space="preserve"> in five years, indicating strong employment and innovation potential when </w:t>
      </w:r>
      <w:r w:rsidR="0B518FA7">
        <w:t xml:space="preserve">regulatory </w:t>
      </w:r>
      <w:r w:rsidR="00B9056D" w:rsidRPr="00CB440A">
        <w:t>barriers are reduced.</w:t>
      </w:r>
      <w:r w:rsidR="00B9056D" w:rsidRPr="00CB440A">
        <w:rPr>
          <w:rStyle w:val="FootnoteReference"/>
        </w:rPr>
        <w:footnoteReference w:id="121"/>
      </w:r>
      <w:r w:rsidR="00B9056D" w:rsidRPr="00CB440A">
        <w:t xml:space="preserve"> Simplifying requirements </w:t>
      </w:r>
      <w:r w:rsidR="6C640652">
        <w:t xml:space="preserve">is expected </w:t>
      </w:r>
      <w:r w:rsidR="00B9056D" w:rsidRPr="00CB440A">
        <w:t>to improve capital efficiency and survival rates of SMEs in early clinical phases.</w:t>
      </w:r>
      <w:r w:rsidR="00B9056D" w:rsidRPr="00CB440A">
        <w:rPr>
          <w:rStyle w:val="FootnoteReference"/>
        </w:rPr>
        <w:footnoteReference w:id="122"/>
      </w:r>
    </w:p>
    <w:p w14:paraId="68D3C6DE" w14:textId="4A53472C" w:rsidR="00B9056D" w:rsidRPr="00CB440A" w:rsidRDefault="00B9056D" w:rsidP="00EE4C52">
      <w:r w:rsidRPr="00CB440A">
        <w:t xml:space="preserve">Harmonizing and simplifying the Regulation (EU) No 536/2014 in combination with harmonized ERA requirements and clearer ATMP classification </w:t>
      </w:r>
      <w:r w:rsidR="5E8BEBDC">
        <w:t xml:space="preserve">is expected </w:t>
      </w:r>
      <w:r w:rsidRPr="00CB440A">
        <w:t>to improve the feasibility of multinational trials, —particularly critical in rare disease indications where patient populations are small and cross-border recruitment is essential.</w:t>
      </w:r>
      <w:r w:rsidRPr="00CB440A">
        <w:rPr>
          <w:rStyle w:val="FootnoteReference"/>
        </w:rPr>
        <w:footnoteReference w:id="123"/>
      </w:r>
      <w:r w:rsidRPr="00CB440A">
        <w:t xml:space="preserve"> By simplifying the regulatory environment, the EU would  become more attractive for ATMP research and investment, supporting the growth of over 580 ATMP companies across more than 20 Member States</w:t>
      </w:r>
      <w:r w:rsidRPr="00CB440A">
        <w:rPr>
          <w:rStyle w:val="FootnoteReference"/>
        </w:rPr>
        <w:footnoteReference w:id="124"/>
      </w:r>
      <w:r w:rsidRPr="00CB440A">
        <w:t xml:space="preserve">. </w:t>
      </w:r>
    </w:p>
    <w:p w14:paraId="1F812969" w14:textId="2185D6B5" w:rsidR="00B9056D" w:rsidRPr="00CB440A" w:rsidRDefault="00B9056D" w:rsidP="00EE4C52">
      <w:r w:rsidRPr="00CB440A">
        <w:rPr>
          <w:b/>
          <w:bCs/>
        </w:rPr>
        <w:t>Faster Patient Access and Data Generation</w:t>
      </w:r>
      <w:r w:rsidRPr="00CB440A">
        <w:t xml:space="preserve">: </w:t>
      </w:r>
      <w:r w:rsidR="460427B7">
        <w:t>S</w:t>
      </w:r>
      <w:r w:rsidRPr="00CB440A">
        <w:t xml:space="preserve">implified pathways would accelerate patient recruitment and data generation, reducing uncertainty for investors and developers. For example, protocol amendments in Europe can currently take up to 90 days, compared </w:t>
      </w:r>
      <w:r w:rsidRPr="00CB440A">
        <w:lastRenderedPageBreak/>
        <w:t>to around 30 days in other regions.</w:t>
      </w:r>
      <w:r w:rsidRPr="00CB440A">
        <w:rPr>
          <w:rStyle w:val="FootnoteReference"/>
        </w:rPr>
        <w:footnoteReference w:id="125"/>
      </w:r>
      <w:r w:rsidRPr="00CB440A">
        <w:t xml:space="preserve"> Reducing these timelines would directly support both faster innovation cycles and access to potentially curing treatments for patients.</w:t>
      </w:r>
    </w:p>
    <w:p w14:paraId="391E772A" w14:textId="32281A19" w:rsidR="00B9056D" w:rsidRPr="00CB440A" w:rsidRDefault="00B9056D" w:rsidP="00B9056D">
      <w:pPr>
        <w:pStyle w:val="Caption"/>
        <w:rPr>
          <w:rFonts w:ascii="Times New Roman" w:hAnsi="Times New Roman"/>
          <w:sz w:val="24"/>
          <w:lang w:eastAsia="en-US"/>
        </w:rPr>
      </w:pPr>
      <w:bookmarkStart w:id="253" w:name="_Toc225160366"/>
      <w:r w:rsidRPr="00CB440A">
        <w:rPr>
          <w:rFonts w:ascii="Times New Roman" w:hAnsi="Times New Roman"/>
          <w:sz w:val="24"/>
        </w:rPr>
        <w:t xml:space="preserve">Table </w:t>
      </w:r>
      <w:r w:rsidR="0048707F">
        <w:rPr>
          <w:rFonts w:ascii="Times New Roman" w:hAnsi="Times New Roman"/>
          <w:sz w:val="24"/>
        </w:rPr>
        <w:t>2</w:t>
      </w:r>
      <w:r w:rsidR="00106AA9">
        <w:rPr>
          <w:rFonts w:ascii="Times New Roman" w:hAnsi="Times New Roman"/>
          <w:sz w:val="24"/>
        </w:rPr>
        <w:t xml:space="preserve">. </w:t>
      </w:r>
      <w:r w:rsidRPr="00CB440A">
        <w:rPr>
          <w:rFonts w:ascii="Times New Roman" w:hAnsi="Times New Roman"/>
          <w:sz w:val="24"/>
        </w:rPr>
        <w:t>Indicators Innovation and research</w:t>
      </w:r>
      <w:bookmarkEnd w:id="253"/>
    </w:p>
    <w:tbl>
      <w:tblPr>
        <w:tblStyle w:val="TableGrid"/>
        <w:tblW w:w="0" w:type="auto"/>
        <w:tblLook w:val="04A0" w:firstRow="1" w:lastRow="0" w:firstColumn="1" w:lastColumn="0" w:noHBand="0" w:noVBand="1"/>
      </w:tblPr>
      <w:tblGrid>
        <w:gridCol w:w="1812"/>
        <w:gridCol w:w="2519"/>
        <w:gridCol w:w="1100"/>
        <w:gridCol w:w="3176"/>
      </w:tblGrid>
      <w:tr w:rsidR="00B9056D" w:rsidRPr="0099291D" w14:paraId="47CD8C13" w14:textId="77777777" w:rsidTr="4EC480EB">
        <w:tc>
          <w:tcPr>
            <w:tcW w:w="0" w:type="auto"/>
            <w:hideMark/>
          </w:tcPr>
          <w:p w14:paraId="60CE4DD0" w14:textId="77777777" w:rsidR="00B9056D" w:rsidRPr="0099291D" w:rsidRDefault="00B9056D">
            <w:pPr>
              <w:jc w:val="center"/>
              <w:rPr>
                <w:b/>
                <w:sz w:val="20"/>
                <w:szCs w:val="20"/>
              </w:rPr>
            </w:pPr>
            <w:r w:rsidRPr="0099291D">
              <w:rPr>
                <w:sz w:val="20"/>
                <w:szCs w:val="20"/>
              </w:rPr>
              <w:t>Effect / impact</w:t>
            </w:r>
          </w:p>
        </w:tc>
        <w:tc>
          <w:tcPr>
            <w:tcW w:w="0" w:type="auto"/>
            <w:hideMark/>
          </w:tcPr>
          <w:p w14:paraId="658C104F" w14:textId="77777777" w:rsidR="00B9056D" w:rsidRPr="0099291D" w:rsidRDefault="00B9056D">
            <w:pPr>
              <w:jc w:val="center"/>
              <w:rPr>
                <w:b/>
                <w:sz w:val="20"/>
                <w:szCs w:val="20"/>
              </w:rPr>
            </w:pPr>
            <w:r w:rsidRPr="0099291D">
              <w:rPr>
                <w:sz w:val="20"/>
                <w:szCs w:val="20"/>
              </w:rPr>
              <w:t>Indicators</w:t>
            </w:r>
          </w:p>
        </w:tc>
        <w:tc>
          <w:tcPr>
            <w:tcW w:w="0" w:type="auto"/>
            <w:hideMark/>
          </w:tcPr>
          <w:p w14:paraId="495A882E" w14:textId="77777777" w:rsidR="00B9056D" w:rsidRPr="0099291D" w:rsidRDefault="00B9056D">
            <w:pPr>
              <w:jc w:val="center"/>
              <w:rPr>
                <w:b/>
                <w:sz w:val="20"/>
                <w:szCs w:val="20"/>
              </w:rPr>
            </w:pPr>
            <w:r w:rsidRPr="0099291D">
              <w:rPr>
                <w:sz w:val="20"/>
                <w:szCs w:val="20"/>
              </w:rPr>
              <w:t>Expected change</w:t>
            </w:r>
          </w:p>
        </w:tc>
        <w:tc>
          <w:tcPr>
            <w:tcW w:w="0" w:type="auto"/>
          </w:tcPr>
          <w:p w14:paraId="3127329D" w14:textId="77777777" w:rsidR="00B9056D" w:rsidRPr="0099291D" w:rsidRDefault="00B9056D">
            <w:pPr>
              <w:jc w:val="center"/>
              <w:rPr>
                <w:b/>
                <w:sz w:val="20"/>
                <w:szCs w:val="20"/>
              </w:rPr>
            </w:pPr>
            <w:r w:rsidRPr="0099291D">
              <w:rPr>
                <w:sz w:val="20"/>
                <w:szCs w:val="20"/>
              </w:rPr>
              <w:t>Data source for baseline</w:t>
            </w:r>
          </w:p>
        </w:tc>
      </w:tr>
      <w:tr w:rsidR="00B9056D" w:rsidRPr="0024473A" w14:paraId="7EE4AFE7" w14:textId="77777777" w:rsidTr="4EC480EB">
        <w:tc>
          <w:tcPr>
            <w:tcW w:w="0" w:type="auto"/>
          </w:tcPr>
          <w:p w14:paraId="076A7A77" w14:textId="77777777" w:rsidR="00B9056D" w:rsidRPr="0099291D" w:rsidRDefault="00B9056D">
            <w:pPr>
              <w:rPr>
                <w:b/>
                <w:sz w:val="20"/>
                <w:szCs w:val="20"/>
              </w:rPr>
            </w:pPr>
            <w:r w:rsidRPr="0099291D">
              <w:rPr>
                <w:sz w:val="20"/>
                <w:szCs w:val="20"/>
              </w:rPr>
              <w:t>Higher research (and patenting) activities</w:t>
            </w:r>
          </w:p>
        </w:tc>
        <w:tc>
          <w:tcPr>
            <w:tcW w:w="0" w:type="auto"/>
          </w:tcPr>
          <w:p w14:paraId="1AE8EA72" w14:textId="77777777" w:rsidR="00B9056D" w:rsidRPr="0099291D" w:rsidRDefault="00B9056D" w:rsidP="00B9056D">
            <w:pPr>
              <w:pStyle w:val="ListParagraph"/>
              <w:numPr>
                <w:ilvl w:val="0"/>
                <w:numId w:val="420"/>
              </w:numPr>
              <w:spacing w:before="60" w:after="270" w:line="270" w:lineRule="atLeast"/>
              <w:ind w:right="284"/>
              <w:rPr>
                <w:sz w:val="20"/>
                <w:szCs w:val="20"/>
              </w:rPr>
            </w:pPr>
            <w:r w:rsidRPr="0099291D">
              <w:rPr>
                <w:sz w:val="20"/>
                <w:szCs w:val="20"/>
              </w:rPr>
              <w:t>Rate of In Vivo Approvals</w:t>
            </w:r>
          </w:p>
          <w:p w14:paraId="7476C844" w14:textId="77777777" w:rsidR="00B9056D" w:rsidRPr="0099291D" w:rsidRDefault="00B9056D" w:rsidP="00B9056D">
            <w:pPr>
              <w:pStyle w:val="ListParagraph"/>
              <w:numPr>
                <w:ilvl w:val="0"/>
                <w:numId w:val="420"/>
              </w:numPr>
              <w:spacing w:before="60" w:after="270" w:line="270" w:lineRule="atLeast"/>
              <w:ind w:right="284"/>
              <w:rPr>
                <w:sz w:val="20"/>
                <w:szCs w:val="20"/>
              </w:rPr>
            </w:pPr>
            <w:r w:rsidRPr="0099291D">
              <w:rPr>
                <w:sz w:val="20"/>
                <w:szCs w:val="20"/>
              </w:rPr>
              <w:t>Rate of Acellular Therapy Approvals</w:t>
            </w:r>
          </w:p>
          <w:p w14:paraId="0BEDC308" w14:textId="77777777" w:rsidR="00B9056D" w:rsidRPr="0099291D" w:rsidRDefault="00B9056D" w:rsidP="00B9056D">
            <w:pPr>
              <w:pStyle w:val="ListParagraph"/>
              <w:numPr>
                <w:ilvl w:val="0"/>
                <w:numId w:val="420"/>
              </w:numPr>
              <w:spacing w:before="60" w:after="270" w:line="270" w:lineRule="atLeast"/>
              <w:ind w:right="284"/>
              <w:rPr>
                <w:sz w:val="20"/>
                <w:szCs w:val="20"/>
              </w:rPr>
            </w:pPr>
            <w:r w:rsidRPr="0099291D">
              <w:rPr>
                <w:sz w:val="20"/>
                <w:szCs w:val="20"/>
              </w:rPr>
              <w:t>Number of Gene Therapy Clinical Trials initiated in EU</w:t>
            </w:r>
          </w:p>
          <w:p w14:paraId="3B5FB3CB" w14:textId="77777777" w:rsidR="00B9056D" w:rsidRPr="0099291D" w:rsidRDefault="00B9056D" w:rsidP="00B9056D">
            <w:pPr>
              <w:pStyle w:val="pf0"/>
              <w:numPr>
                <w:ilvl w:val="0"/>
                <w:numId w:val="420"/>
              </w:numPr>
              <w:rPr>
                <w:color w:val="353332"/>
                <w:sz w:val="20"/>
                <w:szCs w:val="20"/>
              </w:rPr>
            </w:pPr>
            <w:r w:rsidRPr="0099291D">
              <w:rPr>
                <w:color w:val="353332"/>
                <w:sz w:val="20"/>
                <w:szCs w:val="20"/>
              </w:rPr>
              <w:t>Share of publications and patents worldwide</w:t>
            </w:r>
          </w:p>
        </w:tc>
        <w:tc>
          <w:tcPr>
            <w:tcW w:w="0" w:type="auto"/>
          </w:tcPr>
          <w:p w14:paraId="61813AD3" w14:textId="77777777" w:rsidR="00B9056D" w:rsidRPr="0099291D" w:rsidRDefault="00B9056D">
            <w:pPr>
              <w:spacing w:after="0"/>
              <w:rPr>
                <w:sz w:val="20"/>
                <w:szCs w:val="20"/>
              </w:rPr>
            </w:pPr>
            <w:r w:rsidRPr="0099291D">
              <w:rPr>
                <w:sz w:val="20"/>
                <w:szCs w:val="20"/>
              </w:rPr>
              <w:t>Increase</w:t>
            </w:r>
          </w:p>
          <w:p w14:paraId="35BAA6D1" w14:textId="77777777" w:rsidR="00B9056D" w:rsidRPr="0099291D" w:rsidRDefault="00B9056D">
            <w:pPr>
              <w:spacing w:after="0"/>
              <w:rPr>
                <w:sz w:val="20"/>
                <w:szCs w:val="20"/>
              </w:rPr>
            </w:pPr>
            <w:r w:rsidRPr="0099291D">
              <w:rPr>
                <w:sz w:val="20"/>
                <w:szCs w:val="20"/>
              </w:rPr>
              <w:t>Increase</w:t>
            </w:r>
          </w:p>
          <w:p w14:paraId="549E648F" w14:textId="77777777" w:rsidR="00B9056D" w:rsidRPr="0099291D" w:rsidRDefault="00B9056D">
            <w:pPr>
              <w:spacing w:after="0"/>
              <w:rPr>
                <w:sz w:val="20"/>
                <w:szCs w:val="20"/>
              </w:rPr>
            </w:pPr>
          </w:p>
          <w:p w14:paraId="5B84AA79" w14:textId="77777777" w:rsidR="00B9056D" w:rsidRPr="0099291D" w:rsidRDefault="00B9056D">
            <w:pPr>
              <w:spacing w:after="0"/>
              <w:rPr>
                <w:sz w:val="20"/>
                <w:szCs w:val="20"/>
              </w:rPr>
            </w:pPr>
            <w:r w:rsidRPr="0099291D">
              <w:rPr>
                <w:sz w:val="20"/>
                <w:szCs w:val="20"/>
              </w:rPr>
              <w:t>Increase</w:t>
            </w:r>
          </w:p>
          <w:p w14:paraId="0B8CCCB6" w14:textId="77777777" w:rsidR="00B9056D" w:rsidRPr="0099291D" w:rsidRDefault="00B9056D">
            <w:pPr>
              <w:spacing w:after="0"/>
              <w:rPr>
                <w:sz w:val="20"/>
                <w:szCs w:val="20"/>
              </w:rPr>
            </w:pPr>
          </w:p>
          <w:p w14:paraId="3396130C" w14:textId="77777777" w:rsidR="00B9056D" w:rsidRPr="0099291D" w:rsidRDefault="00B9056D">
            <w:pPr>
              <w:spacing w:after="0"/>
              <w:rPr>
                <w:sz w:val="20"/>
                <w:szCs w:val="20"/>
              </w:rPr>
            </w:pPr>
            <w:r w:rsidRPr="0099291D">
              <w:rPr>
                <w:sz w:val="20"/>
                <w:szCs w:val="20"/>
              </w:rPr>
              <w:t>increase</w:t>
            </w:r>
          </w:p>
        </w:tc>
        <w:tc>
          <w:tcPr>
            <w:tcW w:w="0" w:type="auto"/>
          </w:tcPr>
          <w:p w14:paraId="1F657E4A" w14:textId="59C884A9" w:rsidR="00B9056D" w:rsidRPr="0099291D" w:rsidRDefault="00B9056D">
            <w:pPr>
              <w:spacing w:after="0"/>
              <w:rPr>
                <w:sz w:val="20"/>
                <w:szCs w:val="20"/>
              </w:rPr>
            </w:pPr>
            <w:r w:rsidRPr="0099291D">
              <w:rPr>
                <w:sz w:val="20"/>
                <w:szCs w:val="20"/>
              </w:rPr>
              <w:t>~15</w:t>
            </w:r>
            <w:r w:rsidR="006856C2">
              <w:rPr>
                <w:sz w:val="20"/>
                <w:szCs w:val="20"/>
              </w:rPr>
              <w:t>%</w:t>
            </w:r>
            <w:r w:rsidRPr="0099291D">
              <w:rPr>
                <w:sz w:val="20"/>
                <w:szCs w:val="20"/>
              </w:rPr>
              <w:t xml:space="preserve"> cell-based therapies</w:t>
            </w:r>
            <w:bookmarkStart w:id="254" w:name="_Ref224042689"/>
            <w:r w:rsidRPr="0099291D">
              <w:rPr>
                <w:rStyle w:val="FootnoteReference"/>
                <w:sz w:val="20"/>
                <w:szCs w:val="20"/>
              </w:rPr>
              <w:footnoteReference w:id="126"/>
            </w:r>
            <w:bookmarkEnd w:id="254"/>
          </w:p>
          <w:p w14:paraId="13AAA8F0" w14:textId="09FF8C43" w:rsidR="00B9056D" w:rsidRPr="0099291D" w:rsidRDefault="00B9056D">
            <w:pPr>
              <w:spacing w:after="0"/>
              <w:rPr>
                <w:sz w:val="20"/>
                <w:szCs w:val="20"/>
              </w:rPr>
            </w:pPr>
            <w:r w:rsidRPr="0099291D">
              <w:rPr>
                <w:sz w:val="20"/>
                <w:szCs w:val="20"/>
              </w:rPr>
              <w:t>~70</w:t>
            </w:r>
            <w:r w:rsidR="006856C2">
              <w:rPr>
                <w:sz w:val="20"/>
                <w:szCs w:val="20"/>
              </w:rPr>
              <w:t>%</w:t>
            </w:r>
            <w:r w:rsidRPr="0099291D">
              <w:rPr>
                <w:sz w:val="20"/>
                <w:szCs w:val="20"/>
              </w:rPr>
              <w:t xml:space="preserve"> acellular gene therapies</w:t>
            </w:r>
            <w:r w:rsidR="00A0145B">
              <w:rPr>
                <w:rStyle w:val="FootnoteReference"/>
                <w:sz w:val="20"/>
                <w:szCs w:val="20"/>
              </w:rPr>
              <w:footnoteReference w:id="127"/>
            </w:r>
          </w:p>
          <w:p w14:paraId="151FC0AE" w14:textId="129E6EAE" w:rsidR="00B9056D" w:rsidRPr="0099291D" w:rsidRDefault="5D16D8F8">
            <w:pPr>
              <w:spacing w:after="0"/>
              <w:rPr>
                <w:sz w:val="20"/>
                <w:szCs w:val="20"/>
              </w:rPr>
            </w:pPr>
            <w:r w:rsidRPr="4EC480EB">
              <w:rPr>
                <w:sz w:val="20"/>
                <w:szCs w:val="20"/>
              </w:rPr>
              <w:t xml:space="preserve">Alliance for Regenerative Medicine (2026), ARM Q4 2025 CGT Sector Data" </w:t>
            </w:r>
            <w:r w:rsidR="00B9056D" w:rsidRPr="0099291D">
              <w:rPr>
                <w:rStyle w:val="FootnoteReference"/>
                <w:sz w:val="20"/>
                <w:szCs w:val="20"/>
              </w:rPr>
              <w:footnoteReference w:id="128"/>
            </w:r>
          </w:p>
          <w:p w14:paraId="7E2F7D3E" w14:textId="670EBB4F" w:rsidR="00B9056D" w:rsidRPr="004570F2" w:rsidRDefault="3458B65F">
            <w:pPr>
              <w:rPr>
                <w:sz w:val="20"/>
                <w:lang w:val="de-DE"/>
              </w:rPr>
            </w:pPr>
            <w:r w:rsidRPr="61F4491D">
              <w:rPr>
                <w:sz w:val="20"/>
                <w:szCs w:val="20"/>
                <w:lang w:val="de-DE"/>
              </w:rPr>
              <w:t>Fraunhofer ISI / VFA (2023), Technologische Souveränität Pharma/Biotech</w:t>
            </w:r>
          </w:p>
        </w:tc>
      </w:tr>
      <w:tr w:rsidR="00B9056D" w:rsidRPr="0099291D" w14:paraId="446BEC2D" w14:textId="77777777" w:rsidTr="4EC480EB">
        <w:tc>
          <w:tcPr>
            <w:tcW w:w="0" w:type="auto"/>
          </w:tcPr>
          <w:p w14:paraId="263D1ED7" w14:textId="77777777" w:rsidR="00B9056D" w:rsidRPr="0099291D" w:rsidRDefault="00B9056D">
            <w:pPr>
              <w:rPr>
                <w:b/>
                <w:sz w:val="20"/>
                <w:szCs w:val="20"/>
              </w:rPr>
            </w:pPr>
            <w:r w:rsidRPr="0099291D">
              <w:rPr>
                <w:sz w:val="20"/>
                <w:szCs w:val="20"/>
              </w:rPr>
              <w:t>More investment in Gene Therapy Research in EU</w:t>
            </w:r>
          </w:p>
        </w:tc>
        <w:tc>
          <w:tcPr>
            <w:tcW w:w="0" w:type="auto"/>
          </w:tcPr>
          <w:p w14:paraId="11D4E391" w14:textId="77777777" w:rsidR="00B9056D" w:rsidRPr="0099291D" w:rsidRDefault="00B9056D">
            <w:pPr>
              <w:rPr>
                <w:sz w:val="20"/>
                <w:szCs w:val="20"/>
              </w:rPr>
            </w:pPr>
            <w:r w:rsidRPr="0099291D">
              <w:rPr>
                <w:sz w:val="20"/>
                <w:szCs w:val="20"/>
              </w:rPr>
              <w:t>Share of global market of EU gene therapy</w:t>
            </w:r>
          </w:p>
        </w:tc>
        <w:tc>
          <w:tcPr>
            <w:tcW w:w="0" w:type="auto"/>
          </w:tcPr>
          <w:p w14:paraId="2F2AF3C4" w14:textId="77777777" w:rsidR="00B9056D" w:rsidRPr="0099291D" w:rsidRDefault="00B9056D">
            <w:pPr>
              <w:rPr>
                <w:sz w:val="20"/>
                <w:szCs w:val="20"/>
              </w:rPr>
            </w:pPr>
            <w:r w:rsidRPr="0099291D">
              <w:rPr>
                <w:sz w:val="20"/>
                <w:szCs w:val="20"/>
              </w:rPr>
              <w:t>increase</w:t>
            </w:r>
          </w:p>
        </w:tc>
        <w:tc>
          <w:tcPr>
            <w:tcW w:w="0" w:type="auto"/>
          </w:tcPr>
          <w:p w14:paraId="1DD661A0" w14:textId="112DE314" w:rsidR="00B9056D" w:rsidRPr="0099291D" w:rsidRDefault="44A2AE2D">
            <w:pPr>
              <w:rPr>
                <w:sz w:val="20"/>
                <w:szCs w:val="20"/>
              </w:rPr>
            </w:pPr>
            <w:r w:rsidRPr="4EC480EB">
              <w:rPr>
                <w:sz w:val="20"/>
                <w:szCs w:val="20"/>
              </w:rPr>
              <w:t xml:space="preserve">EU Horizon Europe programme: 20 ATMP projects with median funding ~EUR 7.5 million </w:t>
            </w:r>
            <w:r w:rsidR="09A87081" w:rsidRPr="4EC480EB">
              <w:rPr>
                <w:sz w:val="20"/>
                <w:szCs w:val="20"/>
              </w:rPr>
              <w:t>EUR  million</w:t>
            </w:r>
            <w:r w:rsidR="00B9056D" w:rsidRPr="0099291D">
              <w:rPr>
                <w:rStyle w:val="FootnoteReference"/>
                <w:sz w:val="20"/>
                <w:szCs w:val="20"/>
              </w:rPr>
              <w:footnoteReference w:id="129"/>
            </w:r>
          </w:p>
        </w:tc>
      </w:tr>
    </w:tbl>
    <w:p w14:paraId="7B5044E6" w14:textId="77777777" w:rsidR="00B9056D" w:rsidRPr="00CB440A" w:rsidRDefault="00B9056D" w:rsidP="00B9056D">
      <w:pPr>
        <w:spacing w:after="120"/>
        <w:ind w:left="360"/>
        <w:rPr>
          <w:b/>
          <w:bCs/>
        </w:rPr>
      </w:pPr>
    </w:p>
    <w:p w14:paraId="5170217E" w14:textId="77777777" w:rsidR="00B9056D" w:rsidRPr="004570F2" w:rsidRDefault="00B9056D" w:rsidP="00EE4C52">
      <w:pPr>
        <w:rPr>
          <w:b/>
        </w:rPr>
      </w:pPr>
      <w:bookmarkStart w:id="255" w:name="_Toc224111362"/>
      <w:r w:rsidRPr="004570F2">
        <w:rPr>
          <w:b/>
        </w:rPr>
        <w:t>Public health and safety</w:t>
      </w:r>
      <w:bookmarkEnd w:id="255"/>
    </w:p>
    <w:p w14:paraId="55C1B504" w14:textId="396C770E" w:rsidR="00B9056D" w:rsidRPr="00CB440A" w:rsidRDefault="00B9056D" w:rsidP="00EE4C52">
      <w:r>
        <w:t>Reducing avoidable regulatory steps at the clinical development stage could contribute to earlier initiation of trials and</w:t>
      </w:r>
      <w:r w:rsidR="007263E7">
        <w:t xml:space="preserve"> </w:t>
      </w:r>
      <w:r>
        <w:t xml:space="preserve">earlier availability of innovative ATMPs for patients with high unmet medical need. However,  this effect would only apply to GMO -ATMPs </w:t>
      </w:r>
      <w:r w:rsidR="6558306A">
        <w:t xml:space="preserve">falling within the exempted categories. </w:t>
      </w:r>
      <w:r>
        <w:t>Th</w:t>
      </w:r>
      <w:r w:rsidR="1F24C72A">
        <w:t>e</w:t>
      </w:r>
      <w:r w:rsidR="007263E7">
        <w:t xml:space="preserve"> </w:t>
      </w:r>
      <w:r w:rsidR="235034D5">
        <w:t>ERA</w:t>
      </w:r>
      <w:r>
        <w:t xml:space="preserve"> exemption is not a waiver of safety oversight; rather, it replaces a full ERA dossier with a declaration </w:t>
      </w:r>
      <w:r w:rsidR="6B1EB849">
        <w:t xml:space="preserve">verified by </w:t>
      </w:r>
      <w:r>
        <w:t>CHMP using existing scientific knowledge.</w:t>
      </w:r>
      <w:r w:rsidR="6EF74353">
        <w:t xml:space="preserve">, </w:t>
      </w:r>
      <w:r w:rsidDel="00B9056D">
        <w:t xml:space="preserve"> </w:t>
      </w:r>
      <w:r>
        <w:t>preserv</w:t>
      </w:r>
      <w:r w:rsidR="2220A60A">
        <w:t>ing</w:t>
      </w:r>
      <w:r>
        <w:t xml:space="preserve"> the same level of safety assurance while eliminating redundant procedural steps. </w:t>
      </w:r>
    </w:p>
    <w:p w14:paraId="424874F0" w14:textId="303087A0" w:rsidR="00B9056D" w:rsidRPr="00CB440A" w:rsidRDefault="00B9056D" w:rsidP="00EE4C52">
      <w:r w:rsidRPr="00CB440A">
        <w:t xml:space="preserve">Clarifying the definition TEPs and modernising regulatory provisions to reflect modular gene and cell technologies could reduce classification uncertainty and procedural delays. Given that ATMP development often involves small patient populations, complex manufacturing chains and iterative product modifications, greater procedural coordination </w:t>
      </w:r>
      <w:r w:rsidRPr="00CB440A">
        <w:lastRenderedPageBreak/>
        <w:t xml:space="preserve">between national competent authorities, ethics committees, and EMA structures could reduce inconsistencies and improve predictability. </w:t>
      </w:r>
      <w:r>
        <w:t>.</w:t>
      </w:r>
    </w:p>
    <w:p w14:paraId="7FEA81FB" w14:textId="1CAE0DB7" w:rsidR="1BD98702" w:rsidRPr="0033697D" w:rsidRDefault="1BD98702" w:rsidP="00544B66">
      <w:pPr>
        <w:shd w:val="clear" w:color="auto" w:fill="FFFFFF" w:themeFill="background1"/>
        <w:spacing w:after="0" w:line="300" w:lineRule="auto"/>
        <w:jc w:val="left"/>
        <w:rPr>
          <w:rFonts w:eastAsia="Segoe UI"/>
          <w:color w:val="242424"/>
        </w:rPr>
      </w:pPr>
      <w:r w:rsidRPr="0033697D">
        <w:rPr>
          <w:rFonts w:eastAsia="Segoe UI"/>
          <w:color w:val="242424"/>
        </w:rPr>
        <w:t>Safety is specifically preserved through:</w:t>
      </w:r>
    </w:p>
    <w:p w14:paraId="579CD2AB" w14:textId="16D29112" w:rsidR="1BD98702" w:rsidRPr="0033697D" w:rsidRDefault="1BD98702" w:rsidP="00544B66">
      <w:pPr>
        <w:shd w:val="clear" w:color="auto" w:fill="FFFFFF" w:themeFill="background1"/>
        <w:spacing w:after="0" w:line="300" w:lineRule="auto"/>
        <w:jc w:val="left"/>
        <w:rPr>
          <w:rFonts w:eastAsia="Segoe UI"/>
          <w:color w:val="242424"/>
        </w:rPr>
      </w:pPr>
      <w:r w:rsidRPr="0033697D">
        <w:rPr>
          <w:rFonts w:eastAsia="Segoe UI"/>
          <w:color w:val="242424"/>
        </w:rPr>
        <w:t>•      CHMP verification of sponsor declarations regarding negligible-risk status.</w:t>
      </w:r>
    </w:p>
    <w:p w14:paraId="06AD1DF4" w14:textId="18AC7181" w:rsidR="1BD98702" w:rsidRPr="0033697D" w:rsidRDefault="1BD98702" w:rsidP="00544B66">
      <w:pPr>
        <w:shd w:val="clear" w:color="auto" w:fill="FFFFFF" w:themeFill="background1"/>
        <w:spacing w:after="0" w:line="300" w:lineRule="auto"/>
        <w:jc w:val="left"/>
        <w:rPr>
          <w:rFonts w:eastAsia="Segoe UI"/>
          <w:color w:val="242424"/>
        </w:rPr>
      </w:pPr>
      <w:r w:rsidRPr="0033697D">
        <w:rPr>
          <w:rFonts w:eastAsia="Segoe UI"/>
          <w:color w:val="242424"/>
        </w:rPr>
        <w:t>•      Comprehensive risk-benefit assessment as part of the clinical trial and marketing authorisation processes.</w:t>
      </w:r>
    </w:p>
    <w:p w14:paraId="082BAD5C" w14:textId="04596E41" w:rsidR="1BD98702" w:rsidRPr="0033697D" w:rsidRDefault="1BD98702" w:rsidP="00544B66">
      <w:pPr>
        <w:shd w:val="clear" w:color="auto" w:fill="FFFFFF" w:themeFill="background1"/>
        <w:spacing w:after="0" w:line="300" w:lineRule="auto"/>
        <w:jc w:val="left"/>
        <w:rPr>
          <w:rFonts w:eastAsia="Segoe UI"/>
          <w:color w:val="242424"/>
        </w:rPr>
      </w:pPr>
      <w:r w:rsidRPr="0033697D">
        <w:rPr>
          <w:rFonts w:eastAsia="Segoe UI"/>
          <w:color w:val="242424"/>
        </w:rPr>
        <w:t>•      Existing pharmacovigilance mechanisms, including risk management plans and long-term follow-up obligations.</w:t>
      </w:r>
    </w:p>
    <w:p w14:paraId="7B822172" w14:textId="35C6FC51" w:rsidR="168353BF" w:rsidRPr="004570F2" w:rsidRDefault="0048707F" w:rsidP="004570F2">
      <w:bookmarkStart w:id="256" w:name="_Toc225160367"/>
      <w:r w:rsidRPr="004570F2">
        <w:rPr>
          <w:b/>
        </w:rPr>
        <w:t xml:space="preserve">Table </w:t>
      </w:r>
      <w:r w:rsidRPr="003E3D5D">
        <w:rPr>
          <w:b/>
        </w:rPr>
        <w:t>3. Public Health and Safety</w:t>
      </w:r>
      <w:r w:rsidRPr="004570F2">
        <w:rPr>
          <w:b/>
        </w:rPr>
        <w:t xml:space="preserve"> Indicators</w:t>
      </w:r>
      <w:bookmarkEnd w:id="256"/>
    </w:p>
    <w:tbl>
      <w:tblPr>
        <w:tblStyle w:val="TableGrid"/>
        <w:tblW w:w="0" w:type="auto"/>
        <w:tblLook w:val="04A0" w:firstRow="1" w:lastRow="0" w:firstColumn="1" w:lastColumn="0" w:noHBand="0" w:noVBand="1"/>
      </w:tblPr>
      <w:tblGrid>
        <w:gridCol w:w="2004"/>
        <w:gridCol w:w="2156"/>
        <w:gridCol w:w="1248"/>
        <w:gridCol w:w="3199"/>
      </w:tblGrid>
      <w:tr w:rsidR="00B9056D" w:rsidRPr="0099291D" w14:paraId="0989E713" w14:textId="77777777" w:rsidTr="4EC480EB">
        <w:tc>
          <w:tcPr>
            <w:tcW w:w="0" w:type="auto"/>
            <w:hideMark/>
          </w:tcPr>
          <w:p w14:paraId="4D431724" w14:textId="22AFAE5F" w:rsidR="00B9056D" w:rsidRPr="0099291D" w:rsidRDefault="00B9056D">
            <w:pPr>
              <w:jc w:val="center"/>
              <w:rPr>
                <w:b/>
                <w:sz w:val="20"/>
                <w:szCs w:val="20"/>
              </w:rPr>
            </w:pPr>
            <w:r w:rsidRPr="0099291D">
              <w:rPr>
                <w:sz w:val="20"/>
                <w:szCs w:val="20"/>
              </w:rPr>
              <w:t>Effect / impact</w:t>
            </w:r>
          </w:p>
        </w:tc>
        <w:tc>
          <w:tcPr>
            <w:tcW w:w="0" w:type="auto"/>
            <w:hideMark/>
          </w:tcPr>
          <w:p w14:paraId="21DB94AD" w14:textId="77777777" w:rsidR="00B9056D" w:rsidRPr="0099291D" w:rsidRDefault="00B9056D">
            <w:pPr>
              <w:jc w:val="center"/>
              <w:rPr>
                <w:b/>
                <w:sz w:val="20"/>
                <w:szCs w:val="20"/>
              </w:rPr>
            </w:pPr>
            <w:r w:rsidRPr="0099291D">
              <w:rPr>
                <w:sz w:val="20"/>
                <w:szCs w:val="20"/>
              </w:rPr>
              <w:t>Indicators</w:t>
            </w:r>
          </w:p>
        </w:tc>
        <w:tc>
          <w:tcPr>
            <w:tcW w:w="0" w:type="auto"/>
            <w:hideMark/>
          </w:tcPr>
          <w:p w14:paraId="7FE36718" w14:textId="77777777" w:rsidR="00B9056D" w:rsidRPr="0099291D" w:rsidRDefault="00B9056D">
            <w:pPr>
              <w:jc w:val="center"/>
              <w:rPr>
                <w:b/>
                <w:sz w:val="20"/>
                <w:szCs w:val="20"/>
              </w:rPr>
            </w:pPr>
            <w:r w:rsidRPr="0099291D">
              <w:rPr>
                <w:sz w:val="20"/>
                <w:szCs w:val="20"/>
              </w:rPr>
              <w:t>Expected change</w:t>
            </w:r>
          </w:p>
        </w:tc>
        <w:tc>
          <w:tcPr>
            <w:tcW w:w="0" w:type="auto"/>
          </w:tcPr>
          <w:p w14:paraId="51F6F10A" w14:textId="77777777" w:rsidR="00B9056D" w:rsidRPr="0099291D" w:rsidRDefault="00B9056D">
            <w:pPr>
              <w:jc w:val="center"/>
              <w:rPr>
                <w:b/>
                <w:sz w:val="20"/>
                <w:szCs w:val="20"/>
              </w:rPr>
            </w:pPr>
            <w:r w:rsidRPr="0099291D">
              <w:rPr>
                <w:sz w:val="20"/>
                <w:szCs w:val="20"/>
              </w:rPr>
              <w:t>Data source for baseline</w:t>
            </w:r>
          </w:p>
        </w:tc>
      </w:tr>
      <w:tr w:rsidR="00B9056D" w:rsidRPr="0099291D" w14:paraId="19B7465A" w14:textId="77777777" w:rsidTr="4EC480EB">
        <w:tc>
          <w:tcPr>
            <w:tcW w:w="0" w:type="auto"/>
          </w:tcPr>
          <w:p w14:paraId="0A728099" w14:textId="77777777" w:rsidR="00B9056D" w:rsidRPr="0099291D" w:rsidRDefault="00B9056D">
            <w:pPr>
              <w:rPr>
                <w:b/>
                <w:sz w:val="20"/>
                <w:szCs w:val="20"/>
              </w:rPr>
            </w:pPr>
            <w:r w:rsidRPr="0099291D">
              <w:rPr>
                <w:sz w:val="20"/>
                <w:szCs w:val="20"/>
              </w:rPr>
              <w:t>Maintaining high safety standards</w:t>
            </w:r>
          </w:p>
        </w:tc>
        <w:tc>
          <w:tcPr>
            <w:tcW w:w="0" w:type="auto"/>
          </w:tcPr>
          <w:p w14:paraId="65BC2600" w14:textId="77777777" w:rsidR="00B9056D" w:rsidRPr="0099291D" w:rsidRDefault="00B9056D">
            <w:pPr>
              <w:jc w:val="left"/>
              <w:rPr>
                <w:sz w:val="20"/>
                <w:szCs w:val="20"/>
              </w:rPr>
            </w:pPr>
            <w:r w:rsidRPr="0099291D">
              <w:rPr>
                <w:sz w:val="20"/>
                <w:szCs w:val="20"/>
              </w:rPr>
              <w:t>ATMP withdrawals for safety reasons</w:t>
            </w:r>
          </w:p>
        </w:tc>
        <w:tc>
          <w:tcPr>
            <w:tcW w:w="0" w:type="auto"/>
          </w:tcPr>
          <w:p w14:paraId="7E0AC595" w14:textId="77777777" w:rsidR="00B9056D" w:rsidRPr="0099291D" w:rsidRDefault="00B9056D">
            <w:pPr>
              <w:rPr>
                <w:sz w:val="20"/>
                <w:szCs w:val="20"/>
              </w:rPr>
            </w:pPr>
            <w:r w:rsidRPr="0099291D">
              <w:rPr>
                <w:sz w:val="20"/>
                <w:szCs w:val="20"/>
              </w:rPr>
              <w:t>no change</w:t>
            </w:r>
          </w:p>
        </w:tc>
        <w:tc>
          <w:tcPr>
            <w:tcW w:w="0" w:type="auto"/>
          </w:tcPr>
          <w:p w14:paraId="7E4AE16E" w14:textId="77777777" w:rsidR="00B9056D" w:rsidRPr="0099291D" w:rsidRDefault="00B9056D">
            <w:pPr>
              <w:rPr>
                <w:sz w:val="20"/>
                <w:szCs w:val="20"/>
              </w:rPr>
            </w:pPr>
            <w:r w:rsidRPr="0099291D">
              <w:rPr>
                <w:sz w:val="20"/>
                <w:szCs w:val="20"/>
              </w:rPr>
              <w:t>EMA annual reports no withdrawals for safety reasons reported</w:t>
            </w:r>
            <w:r w:rsidRPr="0099291D">
              <w:rPr>
                <w:rStyle w:val="FootnoteReference"/>
                <w:sz w:val="20"/>
                <w:szCs w:val="20"/>
              </w:rPr>
              <w:footnoteReference w:id="130"/>
            </w:r>
          </w:p>
        </w:tc>
      </w:tr>
    </w:tbl>
    <w:p w14:paraId="1EC65401" w14:textId="05C35A84" w:rsidR="0037380C" w:rsidRPr="00CB440A" w:rsidRDefault="0037380C" w:rsidP="00B9056D">
      <w:pPr>
        <w:tabs>
          <w:tab w:val="num" w:pos="720"/>
        </w:tabs>
        <w:spacing w:after="120"/>
        <w:ind w:left="360"/>
      </w:pPr>
    </w:p>
    <w:p w14:paraId="65DAE244" w14:textId="0AA8BB3C" w:rsidR="00207F53" w:rsidRDefault="00207F53" w:rsidP="00207F53">
      <w:pPr>
        <w:pStyle w:val="Heading2"/>
      </w:pPr>
      <w:bookmarkStart w:id="257" w:name="_Toc225969799"/>
      <w:bookmarkStart w:id="258" w:name="_Toc225979131"/>
      <w:r>
        <w:t>Summary of impacts:</w:t>
      </w:r>
      <w:bookmarkEnd w:id="257"/>
      <w:bookmarkEnd w:id="258"/>
    </w:p>
    <w:p w14:paraId="15AEA7D8" w14:textId="6D1FE465" w:rsidR="00207F53" w:rsidRPr="00AB5640" w:rsidRDefault="00207F53" w:rsidP="00207F53">
      <w:pPr>
        <w:rPr>
          <w:b/>
          <w:bCs/>
        </w:rPr>
      </w:pPr>
      <w:r w:rsidRPr="00AB5640">
        <w:rPr>
          <w:b/>
          <w:bCs/>
        </w:rPr>
        <w:t>Economic Impacts on Businesses</w:t>
      </w:r>
    </w:p>
    <w:p w14:paraId="6869D49F" w14:textId="67C393A4" w:rsidR="00207F53" w:rsidRPr="00AB5640" w:rsidRDefault="00207F53" w:rsidP="00EE4C52">
      <w:pPr>
        <w:rPr>
          <w:lang w:val="en-IE"/>
        </w:rPr>
      </w:pPr>
      <w:r w:rsidRPr="00AB5640">
        <w:rPr>
          <w:lang w:val="en-IE"/>
        </w:rPr>
        <w:t xml:space="preserve">Exempting clearly delineated negligible‑risk categories of investigational GMO‑containing ATMPs from the full Environmental Risk Assessment (ERA) eliminates preparation costs and certain GMO‑related manufacturing and import requirements. While this is expected to substantially reduce administrative costs for sponsors—particularly small and medium‑sized enterprises (SMEs)—explicit quantifications could not be </w:t>
      </w:r>
      <w:r w:rsidR="25E5BF19" w:rsidRPr="4EC480EB">
        <w:rPr>
          <w:lang w:val="en-IE"/>
        </w:rPr>
        <w:t xml:space="preserve">fully </w:t>
      </w:r>
      <w:r w:rsidRPr="00AB5640">
        <w:rPr>
          <w:lang w:val="en-IE"/>
        </w:rPr>
        <w:t>estimated</w:t>
      </w:r>
      <w:r w:rsidR="334D44A7" w:rsidRPr="4EC480EB">
        <w:rPr>
          <w:lang w:val="en-IE"/>
        </w:rPr>
        <w:t xml:space="preserve"> at this stage</w:t>
      </w:r>
      <w:r>
        <w:rPr>
          <w:rStyle w:val="FootnoteReference"/>
          <w:lang w:val="en-IE"/>
        </w:rPr>
        <w:footnoteReference w:id="131"/>
      </w:r>
      <w:r w:rsidRPr="00AB5640">
        <w:rPr>
          <w:lang w:val="en-IE"/>
        </w:rPr>
        <w:t>.</w:t>
      </w:r>
    </w:p>
    <w:p w14:paraId="3F0EB8B8" w14:textId="0DED360D" w:rsidR="00207F53" w:rsidRPr="00757A31" w:rsidRDefault="00207F53" w:rsidP="00EE4C52">
      <w:r w:rsidRPr="00AB5640">
        <w:rPr>
          <w:lang w:val="en-IE"/>
        </w:rPr>
        <w:t>A streamlined procedure requiring sponsors to submit a declaration justifying that the product falls within predefined no‑risk or negligible‑risk categories, verified by the CHMP, is expected to save considerable time and resources while increasing the predictability of regulatory requirements.</w:t>
      </w:r>
    </w:p>
    <w:p w14:paraId="2183FC67" w14:textId="4E1AA636" w:rsidR="00207F53" w:rsidRPr="00AB5640" w:rsidRDefault="00207F53" w:rsidP="004570F2">
      <w:pPr>
        <w:rPr>
          <w:rFonts w:eastAsia="Calibri"/>
          <w:lang w:val="en-IE"/>
        </w:rPr>
      </w:pPr>
      <w:r w:rsidRPr="168353BF">
        <w:rPr>
          <w:rFonts w:eastAsia="Calibri"/>
          <w:lang w:val="en-IE"/>
        </w:rPr>
        <w:t xml:space="preserve">Adapting the definition of tissue engineering products (TEPs) via delegated acts is expected to future‑proof the regulatory framework by allowing products to be classified according to their intended purpose and risk profile. Stakeholder interviews confirm the need for </w:t>
      </w:r>
      <w:r w:rsidR="3DA1ADE1" w:rsidRPr="168353BF">
        <w:rPr>
          <w:rFonts w:eastAsia="Calibri"/>
          <w:lang w:val="en-IE"/>
        </w:rPr>
        <w:t>this</w:t>
      </w:r>
      <w:r w:rsidRPr="168353BF">
        <w:rPr>
          <w:rFonts w:eastAsia="Calibri"/>
          <w:lang w:val="en-IE"/>
        </w:rPr>
        <w:t xml:space="preserve"> flexibility, emphasising that it enables greater regulatory adaptability to scientific and technological advances.</w:t>
      </w:r>
    </w:p>
    <w:p w14:paraId="6AB82F7A" w14:textId="7676DB2A" w:rsidR="00207F53" w:rsidRPr="00AB5640" w:rsidRDefault="58820E38" w:rsidP="004570F2">
      <w:pPr>
        <w:rPr>
          <w:b/>
          <w:bCs/>
        </w:rPr>
      </w:pPr>
      <w:r w:rsidRPr="4EC480EB">
        <w:rPr>
          <w:lang w:val="en-IE"/>
        </w:rPr>
        <w:lastRenderedPageBreak/>
        <w:t>The combination of more predictable, internationally coherent definitions and robust EU public health and safety standards is viewed by relevant stakeholders as a competitive asset relative to jurisdictions such as the United States</w:t>
      </w:r>
      <w:r w:rsidR="00207F53">
        <w:rPr>
          <w:rStyle w:val="FootnoteReference"/>
          <w:rFonts w:eastAsia="Calibri"/>
          <w:lang w:val="en-IE"/>
        </w:rPr>
        <w:footnoteReference w:id="132"/>
      </w:r>
      <w:r w:rsidR="00207F53" w:rsidRPr="00AB5640">
        <w:rPr>
          <w:rFonts w:eastAsia="Calibri"/>
          <w:lang w:val="en-IE"/>
        </w:rPr>
        <w:t>.</w:t>
      </w:r>
    </w:p>
    <w:p w14:paraId="37024CB0" w14:textId="65912D8D" w:rsidR="00207F53" w:rsidRPr="00AB5640" w:rsidRDefault="00207F53" w:rsidP="00207F53">
      <w:pPr>
        <w:rPr>
          <w:b/>
          <w:bCs/>
        </w:rPr>
      </w:pPr>
      <w:r w:rsidRPr="00AB5640">
        <w:rPr>
          <w:b/>
          <w:bCs/>
        </w:rPr>
        <w:t>Impact on Innovation, Competitiveness, and Patient Access</w:t>
      </w:r>
    </w:p>
    <w:p w14:paraId="6E44CEF5" w14:textId="48C2D07F" w:rsidR="00207F53" w:rsidRPr="00AB5640" w:rsidRDefault="00207F53" w:rsidP="00A02D6C">
      <w:pPr>
        <w:rPr>
          <w:lang w:val="en-IE"/>
        </w:rPr>
      </w:pPr>
      <w:r w:rsidRPr="00AB5640">
        <w:rPr>
          <w:lang w:val="en-IE"/>
        </w:rPr>
        <w:t>Exempting qualified GMO‑containing ATMPs from full ERA requirements, alongside broadening the TEP definition into a flexible, risk‑based ATMP umbrella, is expected to lower operational costs and accelerate the transition from research to clinical development. This will particularly benefit smaller organisations and SMEs, which represent over 60</w:t>
      </w:r>
      <w:r w:rsidR="006856C2">
        <w:rPr>
          <w:lang w:val="en-IE"/>
        </w:rPr>
        <w:t>%</w:t>
      </w:r>
      <w:r w:rsidRPr="00AB5640">
        <w:rPr>
          <w:lang w:val="en-IE"/>
        </w:rPr>
        <w:t xml:space="preserve"> of ATMP developers in Europe</w:t>
      </w:r>
      <w:r>
        <w:rPr>
          <w:rStyle w:val="FootnoteReference"/>
          <w:lang w:val="en-IE"/>
        </w:rPr>
        <w:footnoteReference w:id="133"/>
      </w:r>
      <w:r w:rsidRPr="00AB5640">
        <w:rPr>
          <w:lang w:val="en-IE"/>
        </w:rPr>
        <w:t>.</w:t>
      </w:r>
    </w:p>
    <w:p w14:paraId="1B4E49B2" w14:textId="237157BC" w:rsidR="00207F53" w:rsidRPr="00AB5640" w:rsidRDefault="00207F53" w:rsidP="00AB5640">
      <w:pPr>
        <w:spacing w:after="200" w:line="276" w:lineRule="auto"/>
        <w:rPr>
          <w:rFonts w:eastAsia="Calibri"/>
          <w:b/>
          <w:bCs/>
          <w:lang w:val="en-IE"/>
        </w:rPr>
      </w:pPr>
      <w:r w:rsidRPr="168353BF">
        <w:rPr>
          <w:rFonts w:eastAsia="Calibri"/>
          <w:b/>
          <w:bCs/>
          <w:lang w:val="en-IE"/>
        </w:rPr>
        <w:t>Public Health and Safety</w:t>
      </w:r>
    </w:p>
    <w:p w14:paraId="22B291E2" w14:textId="547D7B84" w:rsidR="00207F53" w:rsidRPr="00A84027" w:rsidRDefault="6C8483EB" w:rsidP="00A84027">
      <w:pPr>
        <w:rPr>
          <w:lang w:val="en-IE"/>
        </w:rPr>
      </w:pPr>
      <w:r w:rsidRPr="00A84027">
        <w:rPr>
          <w:lang w:val="en-IE"/>
        </w:rPr>
        <w:t>The reform targets procedural simplification rather than a substantive relaxation of safety standards. ERA exemptions apply only to investigational ATMPs that fall into clearly defined negligible-risk categories. By reducing unnecessary procedural delays, the measures are expected to enable earlier initiation of trials and potentially earlier access to safe, effective, and transformative ATMPs for EU patients — particularly in areas of high unmet medical need.</w:t>
      </w:r>
    </w:p>
    <w:p w14:paraId="3002DC63" w14:textId="0D3D6D8D" w:rsidR="00207F53" w:rsidRPr="00A84027" w:rsidRDefault="6C8483EB" w:rsidP="00A84027">
      <w:pPr>
        <w:rPr>
          <w:lang w:val="en-IE"/>
        </w:rPr>
      </w:pPr>
      <w:r w:rsidRPr="00A84027">
        <w:rPr>
          <w:lang w:val="en-IE"/>
        </w:rPr>
        <w:t>The ability to adapt TEP definitions to scientific progress reduces the risk of regulatory blind spots for emerging technologies, helping ensure that innovative ATMPs are brought under appropriate oversight rather than remaining in</w:t>
      </w:r>
      <w:r w:rsidR="0025760A" w:rsidRPr="00A84027">
        <w:rPr>
          <w:lang w:val="en-IE"/>
        </w:rPr>
        <w:t xml:space="preserve"> a</w:t>
      </w:r>
      <w:r w:rsidRPr="00A84027">
        <w:rPr>
          <w:lang w:val="en-IE"/>
        </w:rPr>
        <w:t xml:space="preserve"> regulatory grey zone</w:t>
      </w:r>
      <w:r w:rsidR="0025760A" w:rsidRPr="00A84027">
        <w:rPr>
          <w:lang w:val="en-IE"/>
        </w:rPr>
        <w:t>.</w:t>
      </w:r>
      <w:r w:rsidRPr="00A84027">
        <w:rPr>
          <w:lang w:val="en-IE"/>
        </w:rPr>
        <w:t xml:space="preserve"> </w:t>
      </w:r>
    </w:p>
    <w:p w14:paraId="1AE46BF9" w14:textId="05009DAA" w:rsidR="00226260" w:rsidRDefault="005A301E" w:rsidP="00AB5640">
      <w:pPr>
        <w:pStyle w:val="Heading1"/>
      </w:pPr>
      <w:bookmarkStart w:id="259" w:name="_Toc225783204"/>
      <w:bookmarkStart w:id="260" w:name="_Toc225969800"/>
      <w:bookmarkStart w:id="261" w:name="_Toc225979132"/>
      <w:r w:rsidRPr="00A01320">
        <w:t>Intervention n°4</w:t>
      </w:r>
      <w:r w:rsidR="00226260">
        <w:t xml:space="preserve">: </w:t>
      </w:r>
      <w:r w:rsidR="0037380C" w:rsidRPr="00A01320">
        <w:t>Targeted regulatory reform of clinical trials</w:t>
      </w:r>
      <w:bookmarkEnd w:id="259"/>
      <w:bookmarkEnd w:id="260"/>
      <w:bookmarkEnd w:id="261"/>
    </w:p>
    <w:p w14:paraId="11E5E9DE" w14:textId="60345928" w:rsidR="5EDAD3E6" w:rsidRPr="00E5568D" w:rsidRDefault="0FC35DDD" w:rsidP="5DA36055">
      <w:pPr>
        <w:rPr>
          <w:i/>
          <w:iCs/>
        </w:rPr>
      </w:pPr>
      <w:r w:rsidRPr="00E5568D">
        <w:t>The following policy measures have been discarded</w:t>
      </w:r>
      <w:r w:rsidRPr="00E5568D">
        <w:rPr>
          <w:vertAlign w:val="superscript"/>
        </w:rPr>
        <w:footnoteReference w:id="134"/>
      </w:r>
      <w:r w:rsidRPr="00E5568D">
        <w:t>:</w:t>
      </w:r>
    </w:p>
    <w:p w14:paraId="5A676AF3" w14:textId="4A73E23C" w:rsidR="00226260" w:rsidRPr="00E5568D" w:rsidRDefault="0FC35DDD" w:rsidP="00AB5640">
      <w:pPr>
        <w:pStyle w:val="ListParagraph"/>
        <w:numPr>
          <w:ilvl w:val="0"/>
          <w:numId w:val="428"/>
        </w:numPr>
        <w:spacing w:after="0" w:line="257" w:lineRule="auto"/>
        <w:ind w:left="1080"/>
        <w:rPr>
          <w:lang w:val="en-US"/>
        </w:rPr>
      </w:pPr>
      <w:r w:rsidRPr="00E5568D">
        <w:rPr>
          <w:rFonts w:eastAsia="Times New Roman"/>
        </w:rPr>
        <w:t>Consideration was given to establishing a centralised assessment body to oversee the authorisation of the initial applications of multinational clinical trials as well as applications for substantial modifications to such trials at the EU level. This body was intended to manage the scientific, regulatory, and ethical reviews of such trials. However, the proposal was discarded for the following reasons. Firstly, approximately 60</w:t>
      </w:r>
      <w:r w:rsidR="006856C2" w:rsidRPr="00E5568D">
        <w:rPr>
          <w:rFonts w:eastAsia="Times New Roman"/>
        </w:rPr>
        <w:t>%</w:t>
      </w:r>
      <w:r w:rsidRPr="00E5568D">
        <w:rPr>
          <w:rFonts w:eastAsia="Times New Roman"/>
        </w:rPr>
        <w:t xml:space="preserve"> of clinical trial applications are mononational and do not require cross-border collaboration. Secondly, national-specific aspects of the applications, detailed in Part II of the dossier, would still need to be evaluated by the Member State concerned. Hence, </w:t>
      </w:r>
      <w:r w:rsidRPr="00E5568D">
        <w:rPr>
          <w:rFonts w:eastAsia="Times New Roman"/>
        </w:rPr>
        <w:lastRenderedPageBreak/>
        <w:t xml:space="preserve">creating this body would potentially result in two separate procedures, one for mononational and one for multinational trials, ultimately leading to increased fragmentation and retaining procedural complexity related to site and investigator suitability, compensation, or insurance. </w:t>
      </w:r>
      <w:r w:rsidR="007D44EA" w:rsidRPr="00E5568D">
        <w:rPr>
          <w:rFonts w:eastAsia="Times New Roman"/>
        </w:rPr>
        <w:t>Survey results</w:t>
      </w:r>
      <w:r w:rsidR="007D44EA" w:rsidRPr="00E5568D">
        <w:rPr>
          <w:rStyle w:val="FootnoteReference"/>
          <w:rFonts w:eastAsia="Times New Roman"/>
          <w:lang w:val="en-US"/>
        </w:rPr>
        <w:footnoteReference w:id="135"/>
      </w:r>
      <w:r w:rsidR="00E416C3" w:rsidRPr="00E5568D">
        <w:rPr>
          <w:rFonts w:eastAsia="Times New Roman"/>
        </w:rPr>
        <w:t xml:space="preserve"> </w:t>
      </w:r>
      <w:r w:rsidR="00206229" w:rsidRPr="00E5568D">
        <w:rPr>
          <w:rFonts w:eastAsia="Times New Roman"/>
        </w:rPr>
        <w:t>indicate that Member States consider the establishment of a centralised body</w:t>
      </w:r>
      <w:r w:rsidR="0015560F" w:rsidRPr="00E5568D">
        <w:rPr>
          <w:rFonts w:eastAsia="Times New Roman"/>
        </w:rPr>
        <w:t>, particularly</w:t>
      </w:r>
      <w:r w:rsidR="00206229" w:rsidRPr="00E5568D">
        <w:rPr>
          <w:rFonts w:eastAsia="Times New Roman"/>
        </w:rPr>
        <w:t xml:space="preserve"> for the assessment of </w:t>
      </w:r>
      <w:r w:rsidR="0015560F" w:rsidRPr="00E5568D">
        <w:rPr>
          <w:rFonts w:eastAsia="Times New Roman"/>
        </w:rPr>
        <w:t>the ethical review, as a risk of further fragmentation</w:t>
      </w:r>
      <w:r w:rsidR="002F6841" w:rsidRPr="00E5568D">
        <w:rPr>
          <w:rFonts w:eastAsia="Times New Roman"/>
        </w:rPr>
        <w:t>s</w:t>
      </w:r>
      <w:r w:rsidR="00074E1F" w:rsidRPr="00E5568D">
        <w:rPr>
          <w:rFonts w:eastAsia="Times New Roman"/>
        </w:rPr>
        <w:t xml:space="preserve">, while large enterprises </w:t>
      </w:r>
      <w:r w:rsidR="002F6841" w:rsidRPr="00E5568D">
        <w:rPr>
          <w:rFonts w:eastAsia="Times New Roman"/>
        </w:rPr>
        <w:t>rather</w:t>
      </w:r>
      <w:r w:rsidR="00074E1F" w:rsidRPr="00E5568D">
        <w:rPr>
          <w:rFonts w:eastAsia="Times New Roman"/>
        </w:rPr>
        <w:t xml:space="preserve"> favour a centrali</w:t>
      </w:r>
      <w:r w:rsidR="002F6841" w:rsidRPr="00E5568D">
        <w:rPr>
          <w:rFonts w:eastAsia="Times New Roman"/>
        </w:rPr>
        <w:t>s</w:t>
      </w:r>
      <w:r w:rsidR="00074E1F" w:rsidRPr="00E5568D">
        <w:rPr>
          <w:rFonts w:eastAsia="Times New Roman"/>
        </w:rPr>
        <w:t>ation</w:t>
      </w:r>
      <w:r w:rsidR="002F6841" w:rsidRPr="00E5568D">
        <w:rPr>
          <w:rFonts w:eastAsia="Times New Roman"/>
        </w:rPr>
        <w:t>.</w:t>
      </w:r>
      <w:r w:rsidR="00074E1F" w:rsidRPr="00E5568D">
        <w:rPr>
          <w:rFonts w:eastAsia="Times New Roman"/>
        </w:rPr>
        <w:t xml:space="preserve"> </w:t>
      </w:r>
      <w:r w:rsidR="0015560F" w:rsidRPr="00E5568D">
        <w:rPr>
          <w:rFonts w:eastAsia="Times New Roman"/>
        </w:rPr>
        <w:t xml:space="preserve"> </w:t>
      </w:r>
    </w:p>
    <w:p w14:paraId="2C8B6411" w14:textId="57A897F3" w:rsidR="00842872" w:rsidRPr="00E5568D" w:rsidRDefault="0FC35DDD" w:rsidP="004570F2">
      <w:pPr>
        <w:pStyle w:val="ListParagraph"/>
        <w:numPr>
          <w:ilvl w:val="0"/>
          <w:numId w:val="428"/>
        </w:numPr>
        <w:spacing w:after="0"/>
        <w:rPr>
          <w:lang w:val="en-US"/>
        </w:rPr>
      </w:pPr>
      <w:r w:rsidRPr="00E5568D">
        <w:rPr>
          <w:rFonts w:eastAsia="Times New Roman"/>
          <w:lang w:val="en-US"/>
        </w:rPr>
        <w:t xml:space="preserve">Reducing the timelines for clinical trial authorisation without altering the authorisation procedure for clinical trials was also considered. However, this would not address significant demands for reducing complexity through simplification, such as </w:t>
      </w:r>
      <w:r w:rsidRPr="00E5568D">
        <w:rPr>
          <w:rFonts w:eastAsia="Times New Roman"/>
          <w:i/>
          <w:iCs/>
          <w:lang w:val="en-US"/>
        </w:rPr>
        <w:t>e.g</w:t>
      </w:r>
      <w:r w:rsidRPr="00E5568D">
        <w:rPr>
          <w:rFonts w:eastAsia="Times New Roman"/>
          <w:lang w:val="en-US"/>
        </w:rPr>
        <w:t>. the introduction of a single core dossier for trials using the same IMPs, a single legal basis under the requirements of the GDPR for processing of personal data and a single authorisation procedure for combined studies.  Moreover, shortening timelines without streamlining the authorisation procedure would have placed additional pressure on already strained national capacities and could have compromised both the quality and safety of the authorisation process.</w:t>
      </w:r>
    </w:p>
    <w:p w14:paraId="581A5792" w14:textId="5119C8C8" w:rsidR="00226260" w:rsidRPr="00E5568D" w:rsidRDefault="0FC35DDD" w:rsidP="00AB5640">
      <w:pPr>
        <w:pStyle w:val="ListParagraph"/>
        <w:numPr>
          <w:ilvl w:val="0"/>
          <w:numId w:val="428"/>
        </w:numPr>
        <w:spacing w:after="0"/>
        <w:ind w:left="1080"/>
        <w:rPr>
          <w:i/>
        </w:rPr>
      </w:pPr>
      <w:r w:rsidRPr="00E5568D">
        <w:rPr>
          <w:lang w:val="en-US"/>
        </w:rPr>
        <w:t xml:space="preserve">It was considered to apply the amendments to the Clinical Trial Regulation under the </w:t>
      </w:r>
      <w:r w:rsidR="00494446" w:rsidRPr="00E5568D">
        <w:rPr>
          <w:lang w:val="en-US"/>
        </w:rPr>
        <w:t xml:space="preserve">proposed </w:t>
      </w:r>
      <w:r w:rsidR="003C2FD6" w:rsidRPr="00E5568D">
        <w:rPr>
          <w:lang w:val="en-US"/>
        </w:rPr>
        <w:t>E</w:t>
      </w:r>
      <w:r w:rsidR="00494446" w:rsidRPr="00E5568D">
        <w:rPr>
          <w:lang w:val="en-US"/>
        </w:rPr>
        <w:t>uropean</w:t>
      </w:r>
      <w:r w:rsidR="003C2FD6" w:rsidRPr="00E5568D">
        <w:rPr>
          <w:lang w:val="en-US"/>
        </w:rPr>
        <w:t xml:space="preserve"> </w:t>
      </w:r>
      <w:r w:rsidRPr="00E5568D">
        <w:rPr>
          <w:lang w:val="en-US"/>
        </w:rPr>
        <w:t>Bio</w:t>
      </w:r>
      <w:r w:rsidR="00494446" w:rsidRPr="00E5568D">
        <w:rPr>
          <w:lang w:val="en-US"/>
        </w:rPr>
        <w:t>t</w:t>
      </w:r>
      <w:r w:rsidRPr="00E5568D">
        <w:rPr>
          <w:lang w:val="en-US"/>
        </w:rPr>
        <w:t>ech</w:t>
      </w:r>
      <w:r w:rsidR="00494446" w:rsidRPr="00E5568D">
        <w:rPr>
          <w:lang w:val="en-US"/>
        </w:rPr>
        <w:t xml:space="preserve"> </w:t>
      </w:r>
      <w:r w:rsidRPr="00E5568D" w:rsidDel="00494446">
        <w:rPr>
          <w:lang w:val="en-US"/>
        </w:rPr>
        <w:t>A</w:t>
      </w:r>
      <w:r w:rsidRPr="00E5568D">
        <w:rPr>
          <w:lang w:val="en-US"/>
        </w:rPr>
        <w:t>ct specifically to</w:t>
      </w:r>
      <w:r w:rsidRPr="00E5568D">
        <w:rPr>
          <w:b/>
          <w:lang w:val="en-US"/>
        </w:rPr>
        <w:t xml:space="preserve"> </w:t>
      </w:r>
      <w:r w:rsidRPr="00E5568D">
        <w:rPr>
          <w:lang w:val="en-US"/>
        </w:rPr>
        <w:t>biological and not to chemical products</w:t>
      </w:r>
      <w:r w:rsidRPr="00E5568D">
        <w:rPr>
          <w:b/>
          <w:lang w:val="en-US"/>
        </w:rPr>
        <w:t>.</w:t>
      </w:r>
      <w:r w:rsidRPr="00E5568D">
        <w:rPr>
          <w:lang w:val="en-US"/>
        </w:rPr>
        <w:t xml:space="preserve"> However, implementing distinct authorisation procedures or timelines might lead to fragmentation and increased complexity. Also, not all the Member States would have the resources to accommodate two distinct authorisation procedures which would have to create a potential discrimination of access to clinical trials for EU patients depending on their country of residence.</w:t>
      </w:r>
    </w:p>
    <w:p w14:paraId="4AEFE946" w14:textId="3778C2BB" w:rsidR="006A4481" w:rsidRPr="00AB5640" w:rsidRDefault="006A4481" w:rsidP="00AB5640">
      <w:pPr>
        <w:spacing w:after="200" w:line="276" w:lineRule="auto"/>
        <w:ind w:left="360"/>
        <w:jc w:val="left"/>
        <w:rPr>
          <w:rFonts w:eastAsia="Times New Roman"/>
          <w:b/>
          <w:sz w:val="22"/>
          <w:szCs w:val="22"/>
        </w:rPr>
      </w:pPr>
    </w:p>
    <w:p w14:paraId="2380DF3B" w14:textId="4E0F2DE3" w:rsidR="00226260" w:rsidRDefault="7BC7C078" w:rsidP="00AB5640">
      <w:pPr>
        <w:pStyle w:val="Heading1"/>
      </w:pPr>
      <w:bookmarkStart w:id="262" w:name="_Toc225783205"/>
      <w:bookmarkStart w:id="263" w:name="_Toc225969801"/>
      <w:bookmarkStart w:id="264" w:name="_Toc225979133"/>
      <w:r w:rsidRPr="00254B44">
        <w:t>Intervention n°5</w:t>
      </w:r>
      <w:r w:rsidR="661CA3E4" w:rsidRPr="00654082">
        <w:t>:</w:t>
      </w:r>
      <w:r w:rsidR="661CA3E4" w:rsidRPr="4E53ECFD">
        <w:t xml:space="preserve"> </w:t>
      </w:r>
      <w:r w:rsidR="661CA3E4" w:rsidRPr="00654082">
        <w:t xml:space="preserve">Targeted regulatory reform of </w:t>
      </w:r>
      <w:r w:rsidR="52E88081" w:rsidRPr="4E53ECFD">
        <w:t>VMPs</w:t>
      </w:r>
      <w:bookmarkEnd w:id="262"/>
      <w:bookmarkEnd w:id="263"/>
      <w:bookmarkEnd w:id="264"/>
    </w:p>
    <w:p w14:paraId="58C64336" w14:textId="280F54FF" w:rsidR="00226260" w:rsidRPr="001E0941" w:rsidRDefault="00E51342" w:rsidP="00AB5640">
      <w:pPr>
        <w:pStyle w:val="Heading2"/>
      </w:pPr>
      <w:bookmarkStart w:id="265" w:name="_Toc225969802"/>
      <w:bookmarkStart w:id="266" w:name="_Toc225979134"/>
      <w:r w:rsidRPr="001E0941">
        <w:t>Detailed description</w:t>
      </w:r>
      <w:r w:rsidR="00B51A4D" w:rsidRPr="00654082">
        <w:t xml:space="preserve"> of the proposed measures</w:t>
      </w:r>
      <w:bookmarkEnd w:id="265"/>
      <w:bookmarkEnd w:id="266"/>
    </w:p>
    <w:p w14:paraId="6BFF39E0" w14:textId="3A997161" w:rsidR="009A4F33" w:rsidRPr="00AB5640" w:rsidRDefault="003463A6" w:rsidP="00672E91">
      <w:pPr>
        <w:rPr>
          <w:u w:val="single"/>
        </w:rPr>
      </w:pPr>
      <w:r w:rsidRPr="00AB5640">
        <w:rPr>
          <w:u w:val="single"/>
        </w:rPr>
        <w:t xml:space="preserve">Measure 1: </w:t>
      </w:r>
      <w:r w:rsidR="021225A5" w:rsidRPr="10C9B025">
        <w:rPr>
          <w:u w:val="single"/>
        </w:rPr>
        <w:t>E</w:t>
      </w:r>
      <w:r w:rsidR="007E1CAC" w:rsidRPr="00AB5640">
        <w:rPr>
          <w:u w:val="single"/>
        </w:rPr>
        <w:t xml:space="preserve">xemption </w:t>
      </w:r>
      <w:r w:rsidR="5700FE35" w:rsidRPr="10C9B025">
        <w:rPr>
          <w:u w:val="single"/>
        </w:rPr>
        <w:t>from GMO</w:t>
      </w:r>
      <w:r w:rsidR="34B5CFD9" w:rsidRPr="10C9B025">
        <w:rPr>
          <w:u w:val="single"/>
        </w:rPr>
        <w:t xml:space="preserve"> </w:t>
      </w:r>
      <w:r w:rsidR="5700FE35" w:rsidRPr="10C9B025">
        <w:rPr>
          <w:u w:val="single"/>
        </w:rPr>
        <w:t>framework</w:t>
      </w:r>
      <w:r w:rsidR="007E1CAC" w:rsidRPr="10C9B025">
        <w:rPr>
          <w:u w:val="single"/>
        </w:rPr>
        <w:t xml:space="preserve"> </w:t>
      </w:r>
      <w:r w:rsidR="007E1CAC" w:rsidRPr="00AB5640">
        <w:rPr>
          <w:u w:val="single"/>
        </w:rPr>
        <w:t xml:space="preserve">and single </w:t>
      </w:r>
      <w:r w:rsidR="0E7D9531" w:rsidRPr="10C9B025">
        <w:rPr>
          <w:u w:val="single"/>
        </w:rPr>
        <w:t>assessment under pharma framework</w:t>
      </w:r>
    </w:p>
    <w:p w14:paraId="383E7988" w14:textId="10DC9DB1" w:rsidR="00F16230" w:rsidRDefault="009A4F33" w:rsidP="00672E91">
      <w:r>
        <w:t xml:space="preserve">The Act proposes to </w:t>
      </w:r>
      <w:r w:rsidRPr="009A4F33">
        <w:t xml:space="preserve">establish a </w:t>
      </w:r>
      <w:r w:rsidRPr="00672E91">
        <w:t>'One-Stop-Shop' principle</w:t>
      </w:r>
      <w:r w:rsidRPr="009A4F33">
        <w:t>, removing the dual-track regulation and establishing Regulation 2019/6 as the specific and sole legal framework for these products</w:t>
      </w:r>
      <w:r w:rsidR="002C303C">
        <w:t>:</w:t>
      </w:r>
    </w:p>
    <w:p w14:paraId="22A06AA5" w14:textId="676FF4AC" w:rsidR="00672E91" w:rsidRDefault="002C303C" w:rsidP="00672E91">
      <w:pPr>
        <w:pStyle w:val="ListParagraph"/>
        <w:numPr>
          <w:ilvl w:val="0"/>
          <w:numId w:val="318"/>
        </w:numPr>
      </w:pPr>
      <w:r w:rsidRPr="001E0941">
        <w:rPr>
          <w:b/>
        </w:rPr>
        <w:t>For clinical trials</w:t>
      </w:r>
      <w:r w:rsidR="005A3C14">
        <w:t xml:space="preserve">: </w:t>
      </w:r>
      <w:r w:rsidRPr="002C303C">
        <w:t>veterinary competent authorities assess environmental risks within the clinical trial evaluation</w:t>
      </w:r>
      <w:r w:rsidR="0ECEED84">
        <w:t>, with the possibility to consult</w:t>
      </w:r>
      <w:r w:rsidRPr="002C303C">
        <w:t xml:space="preserve"> with national GMO bodies, particularly for novel questions or first-in-class products.</w:t>
      </w:r>
    </w:p>
    <w:p w14:paraId="7F280C69" w14:textId="45F286E9" w:rsidR="002C303C" w:rsidRPr="002C303C" w:rsidRDefault="002C303C" w:rsidP="00AB5640">
      <w:pPr>
        <w:pStyle w:val="ListParagraph"/>
        <w:numPr>
          <w:ilvl w:val="0"/>
          <w:numId w:val="318"/>
        </w:numPr>
      </w:pPr>
      <w:r w:rsidRPr="001E0941">
        <w:rPr>
          <w:b/>
        </w:rPr>
        <w:lastRenderedPageBreak/>
        <w:t>For marketing authorisation</w:t>
      </w:r>
      <w:r w:rsidR="005A3C14">
        <w:t xml:space="preserve">: </w:t>
      </w:r>
      <w:r w:rsidRPr="002C303C">
        <w:t xml:space="preserve">the requirement to submit documentation </w:t>
      </w:r>
      <w:r w:rsidR="1BFFC959">
        <w:t>as</w:t>
      </w:r>
      <w:r w:rsidRPr="002C303C">
        <w:t xml:space="preserve"> </w:t>
      </w:r>
      <w:r w:rsidR="1BFFC959">
        <w:t>required</w:t>
      </w:r>
      <w:r w:rsidRPr="002C303C">
        <w:t xml:space="preserve"> under the GMO Directive</w:t>
      </w:r>
      <w:r w:rsidR="005A3C14">
        <w:t xml:space="preserve"> is removed</w:t>
      </w:r>
      <w:r w:rsidRPr="002C303C">
        <w:t xml:space="preserve">. EMA </w:t>
      </w:r>
      <w:r w:rsidRPr="00AB5640">
        <w:t>may</w:t>
      </w:r>
      <w:r w:rsidRPr="002C303C">
        <w:t xml:space="preserve"> consult national GMO authorities, in particular for first-in-class products or novel questions.</w:t>
      </w:r>
    </w:p>
    <w:p w14:paraId="3E711B7F" w14:textId="0F38F1FA" w:rsidR="002C303C" w:rsidRPr="002C303C" w:rsidRDefault="005A3C14" w:rsidP="00672E91">
      <w:r>
        <w:t>Furthermore, the proposed Act introduces a</w:t>
      </w:r>
      <w:r w:rsidR="002C303C" w:rsidRPr="002C303C">
        <w:t xml:space="preserve"> </w:t>
      </w:r>
      <w:r w:rsidR="002C303C" w:rsidRPr="001E0941">
        <w:rPr>
          <w:b/>
        </w:rPr>
        <w:t>legal clarification regarding the downstream status of animals treated with VMPs</w:t>
      </w:r>
      <w:r w:rsidR="00AE1E61">
        <w:t xml:space="preserve">: </w:t>
      </w:r>
      <w:r w:rsidR="002C303C" w:rsidRPr="002C303C">
        <w:t>the administration of VMPs does not bring the treated animal or their derived products under the scope of Union GMO legislation.</w:t>
      </w:r>
    </w:p>
    <w:p w14:paraId="026B1C7F" w14:textId="742510C4" w:rsidR="00E51342" w:rsidRPr="00AB5640" w:rsidRDefault="00E51342" w:rsidP="00AB5640">
      <w:pPr>
        <w:rPr>
          <w:sz w:val="32"/>
          <w:szCs w:val="26"/>
          <w:u w:val="single"/>
        </w:rPr>
      </w:pPr>
      <w:bookmarkStart w:id="267" w:name="_Toc224214829"/>
      <w:r w:rsidRPr="00AB5640">
        <w:rPr>
          <w:u w:val="single"/>
        </w:rPr>
        <w:t>Measure 2: Targeted SPC extension for zoonotic biotech products</w:t>
      </w:r>
      <w:bookmarkEnd w:id="267"/>
    </w:p>
    <w:p w14:paraId="46B255EA" w14:textId="65388A3A" w:rsidR="0010565D" w:rsidRPr="0010565D" w:rsidRDefault="249BA655" w:rsidP="00672E91">
      <w:r>
        <w:t xml:space="preserve">The proposed Act creates a </w:t>
      </w:r>
      <w:r w:rsidRPr="001E0941">
        <w:rPr>
          <w:b/>
        </w:rPr>
        <w:t>12-month extension</w:t>
      </w:r>
      <w:r w:rsidRPr="00AB5640">
        <w:rPr>
          <w:b/>
        </w:rPr>
        <w:t xml:space="preserve"> </w:t>
      </w:r>
      <w:r w:rsidRPr="001E0941">
        <w:rPr>
          <w:b/>
        </w:rPr>
        <w:t>of the SPC</w:t>
      </w:r>
      <w:r>
        <w:t xml:space="preserve"> duration beyond the standard maximum of 5 years, thus creating targeted </w:t>
      </w:r>
      <w:r w:rsidR="194CDB10">
        <w:t>a</w:t>
      </w:r>
      <w:r w:rsidR="6BCE0C9F">
        <w:t>n</w:t>
      </w:r>
      <w:r w:rsidR="194CDB10">
        <w:t xml:space="preserve"> </w:t>
      </w:r>
      <w:r>
        <w:t>incentive for biotechnology-derived veterinary products addressing zoonotic diseases. Eligibility requires satisfaction of five cumulative conditions: (1) the product must be developed by means of a biotechnology process as defined in Article 42(2)(a) of Regulation 2019/6; (2) it must be intended to diagnose, treat, or prevent zoonotic diseases; (3) it must contain a new active substance distinctly different from any authorised medicinal product in the Union; (4) it must have a mechanism of action distinctly different from existing products for the same zoonotic disease, with at least equivalent safety and efficacy; and (5) at least one manufacturing step (excluding packaging, quality testing, and certification) must be performed in the Union.</w:t>
      </w:r>
    </w:p>
    <w:p w14:paraId="4296CD7F" w14:textId="77777777" w:rsidR="0010565D" w:rsidRPr="0010565D" w:rsidRDefault="0010565D" w:rsidP="00672E91">
      <w:r w:rsidRPr="00672E91">
        <w:t>EMA assesses</w:t>
      </w:r>
      <w:r w:rsidRPr="00AB5640">
        <w:rPr>
          <w:b/>
        </w:rPr>
        <w:t xml:space="preserve"> compliance</w:t>
      </w:r>
      <w:r w:rsidRPr="0010565D">
        <w:t xml:space="preserve"> with these conditions as part of the marketing authorisation procedure and issues a statement confirming eligibility, which is then included in the SPC extension application to national patent offices. </w:t>
      </w:r>
    </w:p>
    <w:p w14:paraId="1AC8B70E" w14:textId="77777777" w:rsidR="006A4481" w:rsidRPr="00AB5640" w:rsidRDefault="006A4481" w:rsidP="00AB5640">
      <w:pPr>
        <w:rPr>
          <w:szCs w:val="20"/>
          <w:u w:val="single"/>
        </w:rPr>
      </w:pPr>
      <w:bookmarkStart w:id="268" w:name="_Toc224214830"/>
      <w:r w:rsidRPr="00AB5640">
        <w:rPr>
          <w:u w:val="single"/>
        </w:rPr>
        <w:t>Measure 3: Regulatory sandbox for animal health innovation</w:t>
      </w:r>
      <w:bookmarkEnd w:id="268"/>
    </w:p>
    <w:p w14:paraId="2DF112AF" w14:textId="4B7DCB78" w:rsidR="006A4481" w:rsidRDefault="00683371" w:rsidP="00AB5640">
      <w:r w:rsidRPr="00AB5640">
        <w:t>The proposed Act</w:t>
      </w:r>
      <w:r w:rsidR="006A4481">
        <w:t xml:space="preserve"> establishes a framework for regulatory sandboxes</w:t>
      </w:r>
      <w:r w:rsidR="00BF1342">
        <w:t xml:space="preserve">, specific to innovations </w:t>
      </w:r>
      <w:r w:rsidR="4C85AB9C">
        <w:t>in animal health</w:t>
      </w:r>
      <w:r w:rsidR="00BF1342">
        <w:t xml:space="preserve"> not regulated under other Union legislation.</w:t>
      </w:r>
      <w:r>
        <w:t xml:space="preserve"> </w:t>
      </w:r>
      <w:r w:rsidR="006A4481">
        <w:t xml:space="preserve">The Commission may establish a sandbox where two conditions are satisfied: (a) the technology can be expected to have a positive impact on animal health without unacceptable negative impacts on human health or the environment; and (b) the development, placing on the market, or use is hindered by the lack of a harmonised legal framework. </w:t>
      </w:r>
    </w:p>
    <w:p w14:paraId="14668D3B" w14:textId="77777777" w:rsidR="006A4481" w:rsidRDefault="006A4481" w:rsidP="00AB5640">
      <w:pPr>
        <w:rPr>
          <w:szCs w:val="20"/>
        </w:rPr>
      </w:pPr>
      <w:r>
        <w:rPr>
          <w:szCs w:val="20"/>
        </w:rPr>
        <w:t>The process begins with an application to EMA from developers of eligible innovations. EMA assesses applications and may submit a recommendation to the Commission including justification, identification of regulatory challenges, estimation of benefits and risks, mapping of available expertise, and a proposed duration. The Commission decides by implementing act whether to establish the sandbox and specifies its duration.</w:t>
      </w:r>
    </w:p>
    <w:p w14:paraId="3D44D91D" w14:textId="57205AA0" w:rsidR="006A4481" w:rsidRDefault="006A4481" w:rsidP="00AB5640">
      <w:r>
        <w:t>Once established, EMA develops technical and scientific requirements, provides scientific advice, and assesses benefits and risks</w:t>
      </w:r>
      <w:r w:rsidR="12699995">
        <w:t xml:space="preserve"> of specific products, technologies or methods</w:t>
      </w:r>
      <w:r>
        <w:t>. Products</w:t>
      </w:r>
      <w:r w:rsidR="21244171">
        <w:t>, technologies or methods developed under the sandbox</w:t>
      </w:r>
      <w:r>
        <w:t xml:space="preserve"> cannot be placed on the market </w:t>
      </w:r>
      <w:r w:rsidR="0F5277D9">
        <w:t xml:space="preserve">or used in the Union </w:t>
      </w:r>
      <w:r>
        <w:t xml:space="preserve">until authorised by the Commission by </w:t>
      </w:r>
      <w:r w:rsidR="7EC7B06D">
        <w:t xml:space="preserve">an </w:t>
      </w:r>
      <w:r>
        <w:t xml:space="preserve">implementing act. </w:t>
      </w:r>
      <w:r w:rsidR="2F3801E6">
        <w:t>N</w:t>
      </w:r>
      <w:r>
        <w:t xml:space="preserve">ational competent authorities </w:t>
      </w:r>
      <w:r w:rsidR="3F6F1A1D">
        <w:t xml:space="preserve">retain supervisory competences and are empowered </w:t>
      </w:r>
      <w:r>
        <w:t>to take interim measures</w:t>
      </w:r>
      <w:r w:rsidR="4BD31DE3">
        <w:t>,</w:t>
      </w:r>
      <w:r>
        <w:t xml:space="preserve"> including </w:t>
      </w:r>
      <w:r w:rsidR="4C94329F">
        <w:t xml:space="preserve">the </w:t>
      </w:r>
      <w:r>
        <w:t>suspension or recall</w:t>
      </w:r>
      <w:r w:rsidR="2DBE4ED9">
        <w:t>,</w:t>
      </w:r>
      <w:r>
        <w:t xml:space="preserve"> where serious risks are identified</w:t>
      </w:r>
      <w:r w:rsidR="7F16D7F3">
        <w:t>. In</w:t>
      </w:r>
      <w:r>
        <w:t xml:space="preserve"> such </w:t>
      </w:r>
      <w:r w:rsidR="7F16D7F3">
        <w:t>cases, an assessment by EMA takes place and eventually the Commission takes a final decision by means</w:t>
      </w:r>
      <w:r>
        <w:t xml:space="preserve"> of </w:t>
      </w:r>
      <w:r w:rsidR="7F16D7F3">
        <w:t xml:space="preserve">an </w:t>
      </w:r>
      <w:r w:rsidR="3086011C">
        <w:t>implementing act.</w:t>
      </w:r>
      <w:r w:rsidR="7F16D7F3">
        <w:t xml:space="preserve"> </w:t>
      </w:r>
      <w:r>
        <w:t xml:space="preserve">Two years before the end of an established </w:t>
      </w:r>
      <w:r>
        <w:lastRenderedPageBreak/>
        <w:t>sandbox period, EMA must submit an assessment report to the Commission including recommendations for a regulatory framework after termination. The Commission may take appropriate actions regarding permanent regulatory requirements, or extend the sandbox duration where justified.</w:t>
      </w:r>
    </w:p>
    <w:p w14:paraId="665B669D" w14:textId="34158126" w:rsidR="001F4211" w:rsidRPr="00AB5640" w:rsidRDefault="001F4211" w:rsidP="00AB5640">
      <w:pPr>
        <w:rPr>
          <w:u w:val="single"/>
        </w:rPr>
      </w:pPr>
      <w:bookmarkStart w:id="269" w:name="_Toc224214831"/>
      <w:r w:rsidRPr="00AB5640">
        <w:rPr>
          <w:u w:val="single"/>
        </w:rPr>
        <w:t xml:space="preserve">Measure 4: Reduction of burden for the handling of </w:t>
      </w:r>
      <w:bookmarkEnd w:id="269"/>
      <w:r w:rsidRPr="00AB5640">
        <w:rPr>
          <w:u w:val="single"/>
        </w:rPr>
        <w:t>VN</w:t>
      </w:r>
      <w:r w:rsidR="005870F5">
        <w:rPr>
          <w:u w:val="single"/>
        </w:rPr>
        <w:t>RAs</w:t>
      </w:r>
    </w:p>
    <w:p w14:paraId="14672797" w14:textId="5F85A551" w:rsidR="001F4211" w:rsidRPr="001F4211" w:rsidRDefault="001F4211" w:rsidP="00672E91">
      <w:r w:rsidRPr="001F4211">
        <w:t xml:space="preserve">The </w:t>
      </w:r>
      <w:r w:rsidR="00697E06">
        <w:t>proposed amendments</w:t>
      </w:r>
      <w:r w:rsidRPr="001F4211">
        <w:t xml:space="preserve"> introduce two significant modifications: </w:t>
      </w:r>
    </w:p>
    <w:p w14:paraId="54668972" w14:textId="7E50CCD7" w:rsidR="0003671D" w:rsidRDefault="001F4211" w:rsidP="00672E91">
      <w:pPr>
        <w:pStyle w:val="ListParagraph"/>
        <w:numPr>
          <w:ilvl w:val="0"/>
          <w:numId w:val="318"/>
        </w:numPr>
      </w:pPr>
      <w:r w:rsidRPr="00AB5640">
        <w:t>First</w:t>
      </w:r>
      <w:r w:rsidRPr="001F4211">
        <w:t>, the right to implement VNRAs is explicitly codified</w:t>
      </w:r>
      <w:r w:rsidR="007F604F">
        <w:t xml:space="preserve">, </w:t>
      </w:r>
      <w:r w:rsidRPr="001F4211">
        <w:t>strengthen</w:t>
      </w:r>
      <w:r w:rsidR="007F604F">
        <w:t>ing</w:t>
      </w:r>
      <w:r w:rsidRPr="001F4211">
        <w:t xml:space="preserve"> legal certainty for companies by removing the confirmation step by competent authorities. Moreover, an anti-circumvention clause</w:t>
      </w:r>
      <w:r w:rsidR="00546ECF">
        <w:t xml:space="preserve"> is added, </w:t>
      </w:r>
      <w:r w:rsidRPr="001F4211">
        <w:t>balanc</w:t>
      </w:r>
      <w:r w:rsidR="00546ECF">
        <w:t>ing</w:t>
      </w:r>
      <w:r w:rsidRPr="001F4211">
        <w:t xml:space="preserve"> the increased flexibility with enhanced enforcement capability during inspections.</w:t>
      </w:r>
    </w:p>
    <w:p w14:paraId="7CB3C017" w14:textId="71CF82EE" w:rsidR="001F4211" w:rsidRPr="001F4211" w:rsidRDefault="001F4211" w:rsidP="00AB5640">
      <w:pPr>
        <w:pStyle w:val="ListParagraph"/>
        <w:numPr>
          <w:ilvl w:val="0"/>
          <w:numId w:val="318"/>
        </w:numPr>
      </w:pPr>
      <w:r w:rsidRPr="00AB5640">
        <w:t>Second</w:t>
      </w:r>
      <w:r w:rsidRPr="001F4211">
        <w:t xml:space="preserve">, </w:t>
      </w:r>
      <w:r w:rsidR="669D737F">
        <w:t xml:space="preserve">for VNRA with no impact on product information, submissions can be consolidated on a yearly basis. </w:t>
      </w:r>
      <w:r w:rsidR="006B4555">
        <w:t>T</w:t>
      </w:r>
      <w:r w:rsidRPr="001F4211">
        <w:t>he 30-day deadline</w:t>
      </w:r>
      <w:r w:rsidR="006A3E82">
        <w:t xml:space="preserve"> is </w:t>
      </w:r>
      <w:r w:rsidR="7912C3D6">
        <w:t>only</w:t>
      </w:r>
      <w:r w:rsidR="7912C3D6" w:rsidDel="00F8561C">
        <w:t xml:space="preserve"> </w:t>
      </w:r>
      <w:r w:rsidR="00697FA4">
        <w:t>maintained</w:t>
      </w:r>
      <w:r w:rsidRPr="001F4211">
        <w:t xml:space="preserve"> for variations affecting the summary of product characteristics, labelling, or package leaflet; changes that veterinarians and users need to access immediately. </w:t>
      </w:r>
    </w:p>
    <w:p w14:paraId="5D07BE68" w14:textId="2AE01459" w:rsidR="00B51A4D" w:rsidRPr="000231A7" w:rsidRDefault="00B51A4D" w:rsidP="00AB5640">
      <w:pPr>
        <w:pStyle w:val="Heading2"/>
      </w:pPr>
      <w:bookmarkStart w:id="270" w:name="_Toc225969803"/>
      <w:bookmarkStart w:id="271" w:name="_Toc225979135"/>
      <w:r w:rsidRPr="00254B44">
        <w:t>Baseline description</w:t>
      </w:r>
      <w:r w:rsidR="00DE54BF">
        <w:t xml:space="preserve"> (2025-2040)</w:t>
      </w:r>
      <w:bookmarkEnd w:id="270"/>
      <w:bookmarkEnd w:id="271"/>
    </w:p>
    <w:p w14:paraId="11DA193A" w14:textId="77777777" w:rsidR="00162D0D" w:rsidRPr="004570F2" w:rsidRDefault="00162D0D" w:rsidP="00AB5640">
      <w:pPr>
        <w:rPr>
          <w:b/>
        </w:rPr>
      </w:pPr>
      <w:bookmarkStart w:id="272" w:name="_Toc224214844"/>
      <w:r w:rsidRPr="004570F2">
        <w:rPr>
          <w:b/>
        </w:rPr>
        <w:t>Conduct of business</w:t>
      </w:r>
      <w:bookmarkEnd w:id="272"/>
      <w:r w:rsidRPr="004570F2">
        <w:rPr>
          <w:b/>
        </w:rPr>
        <w:t xml:space="preserve"> </w:t>
      </w:r>
    </w:p>
    <w:p w14:paraId="770684DB" w14:textId="62B2C50C" w:rsidR="00162D0D" w:rsidRPr="00162D0D" w:rsidRDefault="00A92603" w:rsidP="00162D0D">
      <w:r>
        <w:t>T</w:t>
      </w:r>
      <w:r w:rsidR="00162D0D" w:rsidRPr="00162D0D">
        <w:t xml:space="preserve">he dual-track regulatory system governing GMO-containing VMPs will persist through 2040, with no autonomous convergence expected between the veterinary and GMO legislative frameworks. The </w:t>
      </w:r>
      <w:r w:rsidR="00162D0D" w:rsidRPr="00162D0D">
        <w:rPr>
          <w:b/>
          <w:bCs/>
        </w:rPr>
        <w:t xml:space="preserve">clinical trial </w:t>
      </w:r>
      <w:r w:rsidR="00162D0D" w:rsidRPr="00162D0D">
        <w:t xml:space="preserve">approval </w:t>
      </w:r>
      <w:r w:rsidR="00162D0D" w:rsidRPr="00C700CB">
        <w:t xml:space="preserve">differential </w:t>
      </w:r>
      <w:r w:rsidR="00162D0D" w:rsidRPr="00AB5640">
        <w:t>(currently estimated at 2–3 times longer for the GMO process compared to the standard CTA process),</w:t>
      </w:r>
      <w:r w:rsidR="00162D0D" w:rsidRPr="00C700CB">
        <w:t xml:space="preserve"> will</w:t>
      </w:r>
      <w:r w:rsidR="00162D0D" w:rsidRPr="00162D0D">
        <w:t xml:space="preserve"> remain. As the number of GMO-based VMPs entering development grows steadily, the annual volume of clinical trial applications subject to this duplicative burden will increase in parallel. </w:t>
      </w:r>
      <w:r w:rsidR="00162D0D" w:rsidRPr="00AB5640">
        <w:rPr>
          <w:b/>
          <w:bCs/>
        </w:rPr>
        <w:t>At an estimated rate of approximately 10 new GMO-containing VMPs entering development per year with an 8–10 year development cycle</w:t>
      </w:r>
      <w:r w:rsidR="00162D0D" w:rsidRPr="00162D0D">
        <w:t xml:space="preserve">, the throughput of products requiring dual CTA submissions across fragmented national GMO authorities will </w:t>
      </w:r>
      <w:r w:rsidR="145F8F29">
        <w:t>scale</w:t>
      </w:r>
      <w:r w:rsidR="00162D0D" w:rsidRPr="00162D0D">
        <w:t xml:space="preserve"> over the projection period. </w:t>
      </w:r>
    </w:p>
    <w:p w14:paraId="5023CE01" w14:textId="78E3450A" w:rsidR="00162D0D" w:rsidRPr="00162D0D" w:rsidRDefault="00162D0D" w:rsidP="00162D0D">
      <w:r w:rsidRPr="00162D0D">
        <w:t xml:space="preserve">At the </w:t>
      </w:r>
      <w:r w:rsidRPr="00162D0D">
        <w:rPr>
          <w:b/>
          <w:bCs/>
        </w:rPr>
        <w:t xml:space="preserve">marketing authorisation </w:t>
      </w:r>
      <w:r w:rsidR="00370052">
        <w:rPr>
          <w:b/>
          <w:bCs/>
        </w:rPr>
        <w:t xml:space="preserve">(MA) </w:t>
      </w:r>
      <w:r w:rsidRPr="00162D0D">
        <w:t>stage</w:t>
      </w:r>
      <w:r w:rsidR="00254B44">
        <w:t xml:space="preserve">, </w:t>
      </w:r>
      <w:r w:rsidR="00BA41BE">
        <w:t>t</w:t>
      </w:r>
      <w:r w:rsidRPr="00162D0D">
        <w:t xml:space="preserve">he GMO consultation with national competent authorities </w:t>
      </w:r>
      <w:r w:rsidR="00306FAC">
        <w:t>will continue to run</w:t>
      </w:r>
      <w:r w:rsidRPr="00162D0D">
        <w:t xml:space="preserve"> in parallel to EMA's scientific assessment, </w:t>
      </w:r>
      <w:r w:rsidR="4F48333B">
        <w:t>leading to</w:t>
      </w:r>
      <w:r w:rsidRPr="00162D0D">
        <w:t xml:space="preserve"> a growing absolute number of GMO-containing products </w:t>
      </w:r>
      <w:r w:rsidR="00F62112">
        <w:t>going through the</w:t>
      </w:r>
      <w:r w:rsidRPr="00162D0D">
        <w:t xml:space="preserve"> consultation process, with </w:t>
      </w:r>
      <w:r w:rsidRPr="00AB5640">
        <w:rPr>
          <w:b/>
        </w:rPr>
        <w:t>increasing resources being devoted to this process in the rapporteur’s teams</w:t>
      </w:r>
      <w:r w:rsidRPr="00162D0D">
        <w:t xml:space="preserve">. </w:t>
      </w:r>
      <w:r w:rsidR="00A54F00">
        <w:t>U</w:t>
      </w:r>
      <w:r w:rsidRPr="00162D0D">
        <w:t>nder accelerated or conditional assessment pathways</w:t>
      </w:r>
      <w:r w:rsidR="00911E6F">
        <w:t xml:space="preserve"> (</w:t>
      </w:r>
      <w:r w:rsidRPr="00162D0D">
        <w:t>relevant for emergency disease response</w:t>
      </w:r>
      <w:r w:rsidR="00911E6F">
        <w:t>s</w:t>
      </w:r>
      <w:r w:rsidR="56A6560A">
        <w:t>)</w:t>
      </w:r>
      <w:r>
        <w:t>,</w:t>
      </w:r>
      <w:r w:rsidRPr="00162D0D">
        <w:t xml:space="preserve"> the GMO consultation requirement will continue to constitute a constraint on time-to-market.</w:t>
      </w:r>
    </w:p>
    <w:p w14:paraId="08A2CD5D" w14:textId="45C71240" w:rsidR="00162D0D" w:rsidRDefault="00162D0D" w:rsidP="00162D0D">
      <w:r w:rsidRPr="00162D0D">
        <w:t xml:space="preserve">Regarding </w:t>
      </w:r>
      <w:r w:rsidRPr="00162D0D">
        <w:rPr>
          <w:b/>
          <w:bCs/>
        </w:rPr>
        <w:t xml:space="preserve">commercial uptake of </w:t>
      </w:r>
      <w:r w:rsidR="00DC604C">
        <w:rPr>
          <w:b/>
          <w:bCs/>
        </w:rPr>
        <w:t>novel biotech</w:t>
      </w:r>
      <w:r w:rsidRPr="00162D0D">
        <w:rPr>
          <w:b/>
          <w:bCs/>
        </w:rPr>
        <w:t xml:space="preserve"> VMPs</w:t>
      </w:r>
      <w:r w:rsidRPr="00162D0D">
        <w:t xml:space="preserve"> in food-producing species, the legal ambiguity concerning the GMO status of treated animals and their products will persist</w:t>
      </w:r>
      <w:r>
        <w:t>.</w:t>
      </w:r>
      <w:r w:rsidRPr="00162D0D">
        <w:t xml:space="preserve"> </w:t>
      </w:r>
      <w:r w:rsidR="00D652EE">
        <w:t>The</w:t>
      </w:r>
      <w:r w:rsidRPr="00162D0D">
        <w:t xml:space="preserve"> risk</w:t>
      </w:r>
      <w:r w:rsidR="00D652EE">
        <w:t xml:space="preserve"> that this</w:t>
      </w:r>
      <w:r w:rsidR="00D652EE" w:rsidRPr="00162D0D">
        <w:t xml:space="preserve"> impact</w:t>
      </w:r>
      <w:r w:rsidR="00D652EE">
        <w:t>s</w:t>
      </w:r>
      <w:r w:rsidR="00D652EE" w:rsidRPr="00162D0D">
        <w:t xml:space="preserve"> commercial uptake </w:t>
      </w:r>
      <w:r w:rsidRPr="00162D0D">
        <w:t xml:space="preserve">is projected to </w:t>
      </w:r>
      <w:r w:rsidR="6903013F">
        <w:t>increase</w:t>
      </w:r>
      <w:r w:rsidRPr="00162D0D">
        <w:t xml:space="preserve"> over the baseline period as the number of GMO-based vaccines and therapies targeting food-producing species increases.</w:t>
      </w:r>
    </w:p>
    <w:p w14:paraId="5B997874" w14:textId="77777777" w:rsidR="007E43CF" w:rsidRPr="00162D0D" w:rsidRDefault="007E43CF" w:rsidP="00162D0D"/>
    <w:p w14:paraId="0542F955" w14:textId="76B4119A" w:rsidR="00794C6D" w:rsidRPr="004570F2" w:rsidRDefault="00162D0D">
      <w:pPr>
        <w:rPr>
          <w:b/>
        </w:rPr>
      </w:pPr>
      <w:r w:rsidRPr="004570F2">
        <w:rPr>
          <w:b/>
        </w:rPr>
        <w:lastRenderedPageBreak/>
        <w:t>Administrativ</w:t>
      </w:r>
      <w:r w:rsidR="00A74476" w:rsidRPr="004570F2">
        <w:rPr>
          <w:b/>
        </w:rPr>
        <w:t xml:space="preserve">e </w:t>
      </w:r>
      <w:r w:rsidRPr="004570F2">
        <w:rPr>
          <w:b/>
        </w:rPr>
        <w:t>costs on businesses, including SMEs</w:t>
      </w:r>
    </w:p>
    <w:p w14:paraId="42EDCF85" w14:textId="23F798D2" w:rsidR="00F12B83" w:rsidRDefault="00162D0D">
      <w:r w:rsidRPr="00162D0D">
        <w:t>For the GMO-related component, the burden</w:t>
      </w:r>
      <w:r w:rsidR="006C498D">
        <w:t xml:space="preserve"> of </w:t>
      </w:r>
      <w:r w:rsidR="006C498D" w:rsidRPr="00162D0D">
        <w:rPr>
          <w:b/>
          <w:bCs/>
        </w:rPr>
        <w:t>MA dual-dossier requirement</w:t>
      </w:r>
      <w:r w:rsidRPr="00162D0D">
        <w:t xml:space="preserve"> is higher than for non-GMO products. </w:t>
      </w:r>
      <w:r w:rsidR="51770F1A">
        <w:t>With</w:t>
      </w:r>
      <w:r w:rsidRPr="00162D0D">
        <w:t xml:space="preserve"> an estimated pipeline of approximately 100 GMO-containing VMPs </w:t>
      </w:r>
      <w:r w:rsidR="5913FB32">
        <w:t>up to 2040</w:t>
      </w:r>
      <w:r w:rsidR="29BC7E8E">
        <w:t>;</w:t>
      </w:r>
      <w:r w:rsidRPr="00162D0D">
        <w:t xml:space="preserve"> the aggregate administrative cost of dual compliance will scale</w:t>
      </w:r>
      <w:r w:rsidR="2982542C">
        <w:t>.</w:t>
      </w:r>
      <w:r w:rsidRPr="00162D0D">
        <w:t xml:space="preserve"> </w:t>
      </w:r>
      <w:r w:rsidR="00DC6745">
        <w:t>T</w:t>
      </w:r>
      <w:r w:rsidRPr="00162D0D">
        <w:t xml:space="preserve">his burden </w:t>
      </w:r>
      <w:r w:rsidR="00DC6745">
        <w:t xml:space="preserve">is expected to </w:t>
      </w:r>
      <w:r w:rsidRPr="00162D0D">
        <w:t>intensif</w:t>
      </w:r>
      <w:r w:rsidR="00DC6745">
        <w:t>y</w:t>
      </w:r>
      <w:r w:rsidRPr="00162D0D">
        <w:t xml:space="preserve"> in relative terms as </w:t>
      </w:r>
      <w:r w:rsidR="00DC6745">
        <w:t>third-country</w:t>
      </w:r>
      <w:r w:rsidRPr="00162D0D">
        <w:t xml:space="preserve"> jurisdictions streamline their processes: the absolute per-product cost may remain broadly stable, but the EU's comparative regulatory overhead grows, placing increasing competitive pressure on companies operating in the </w:t>
      </w:r>
      <w:r w:rsidR="00B0636C">
        <w:t>single</w:t>
      </w:r>
      <w:r w:rsidRPr="00162D0D">
        <w:t xml:space="preserve"> market.</w:t>
      </w:r>
    </w:p>
    <w:p w14:paraId="7B97D19C" w14:textId="65B6B26A" w:rsidR="00F12B83" w:rsidRDefault="00162D0D">
      <w:r w:rsidRPr="00162D0D">
        <w:t xml:space="preserve">For </w:t>
      </w:r>
      <w:r w:rsidRPr="00162D0D">
        <w:rPr>
          <w:b/>
          <w:bCs/>
        </w:rPr>
        <w:t>VNRAs</w:t>
      </w:r>
      <w:r w:rsidRPr="00162D0D">
        <w:t>, the U</w:t>
      </w:r>
      <w:r w:rsidR="003576FF">
        <w:t xml:space="preserve">nion </w:t>
      </w:r>
      <w:r w:rsidRPr="00162D0D">
        <w:t>P</w:t>
      </w:r>
      <w:r w:rsidR="003576FF">
        <w:t xml:space="preserve">roduct </w:t>
      </w:r>
      <w:r w:rsidRPr="00162D0D">
        <w:t>D</w:t>
      </w:r>
      <w:r w:rsidR="003576FF">
        <w:t>atabase</w:t>
      </w:r>
      <w:r w:rsidR="005A7DD2">
        <w:t xml:space="preserve"> (UPD)</w:t>
      </w:r>
      <w:r w:rsidRPr="00162D0D">
        <w:t xml:space="preserve"> r</w:t>
      </w:r>
      <w:r>
        <w:t>ecorded 23,777</w:t>
      </w:r>
      <w:r w:rsidRPr="00162D0D">
        <w:t xml:space="preserve"> submissions encompassing 185,662 individual VNRAs between 31 January 2022 and 12 December 2025</w:t>
      </w:r>
      <w:r w:rsidR="1CFF5C4B">
        <w:t xml:space="preserve">. </w:t>
      </w:r>
      <w:r w:rsidR="004B6D47">
        <w:t xml:space="preserve">A survey by a trade association </w:t>
      </w:r>
      <w:r w:rsidR="004C1E4E">
        <w:t xml:space="preserve">covering </w:t>
      </w:r>
      <w:r w:rsidR="00225B89">
        <w:t xml:space="preserve">responses from holders of approximately 4000 marketing authorisations shows that </w:t>
      </w:r>
      <w:r w:rsidR="0062115E">
        <w:t xml:space="preserve">the submissions of VNRAs has more than doubled as compared with the </w:t>
      </w:r>
      <w:r w:rsidR="005C6C2F">
        <w:t>number of submissions for</w:t>
      </w:r>
      <w:r w:rsidR="0062115E">
        <w:t xml:space="preserve"> </w:t>
      </w:r>
      <w:r w:rsidR="233AF16B">
        <w:t>Type IA variations u</w:t>
      </w:r>
      <w:r w:rsidR="655E0F1F">
        <w:t xml:space="preserve">nder the previous framework </w:t>
      </w:r>
      <w:r w:rsidR="0061399A">
        <w:t>(</w:t>
      </w:r>
      <w:r w:rsidRPr="00162D0D">
        <w:t xml:space="preserve">from approximately 2,150 </w:t>
      </w:r>
      <w:r w:rsidR="0050745C">
        <w:t xml:space="preserve">submissions of </w:t>
      </w:r>
      <w:r w:rsidRPr="00162D0D">
        <w:t xml:space="preserve">Type IA variation in 2021 to over 4,500 </w:t>
      </w:r>
      <w:r w:rsidR="0050745C">
        <w:t xml:space="preserve">submissions of </w:t>
      </w:r>
      <w:r w:rsidRPr="00162D0D">
        <w:t>VNRAs in 2023</w:t>
      </w:r>
      <w:r w:rsidR="0061399A">
        <w:t>)</w:t>
      </w:r>
      <w:r w:rsidRPr="00162D0D">
        <w:t xml:space="preserve">. </w:t>
      </w:r>
      <w:r w:rsidR="3F959098">
        <w:t>Th</w:t>
      </w:r>
      <w:r w:rsidR="0204F7AB">
        <w:t>is confirms</w:t>
      </w:r>
      <w:r w:rsidRPr="00162D0D">
        <w:t xml:space="preserve"> </w:t>
      </w:r>
      <w:r w:rsidR="00566BA3">
        <w:t xml:space="preserve">the </w:t>
      </w:r>
      <w:r w:rsidR="0EF012FD">
        <w:t xml:space="preserve">growing increase of </w:t>
      </w:r>
      <w:r w:rsidR="3F959098">
        <w:t>administrative burden.</w:t>
      </w:r>
      <w:r w:rsidRPr="00162D0D">
        <w:t xml:space="preserve"> As new MAs are awarded (</w:t>
      </w:r>
      <w:r w:rsidR="00D3234E">
        <w:t>according to</w:t>
      </w:r>
      <w:r w:rsidRPr="00162D0D">
        <w:t xml:space="preserve"> UPD </w:t>
      </w:r>
      <w:r w:rsidR="00D3234E">
        <w:t xml:space="preserve">data, it is estimated that there are currently </w:t>
      </w:r>
      <w:r w:rsidRPr="00162D0D">
        <w:t>40,000-45,000 active MAs</w:t>
      </w:r>
      <w:r w:rsidR="00D92E04">
        <w:rPr>
          <w:rStyle w:val="FootnoteReference"/>
        </w:rPr>
        <w:footnoteReference w:id="136"/>
      </w:r>
      <w:r w:rsidRPr="00162D0D">
        <w:t xml:space="preserve">, and this number is expected to grow) the aggregate base of products requiring VNRA management expands. Assuming that active portfolios generating 2-3 VNRAs per MA annually, and with each submission requiring 2-5 or more hours of staff time, </w:t>
      </w:r>
      <w:r w:rsidRPr="168353BF">
        <w:rPr>
          <w:b/>
          <w:bCs/>
        </w:rPr>
        <w:t>the aggregate annual FTE burden will grow broadly in proportion to the expanding MA base.</w:t>
      </w:r>
      <w:r w:rsidRPr="00162D0D">
        <w:t xml:space="preserve"> The uniform 30-day reporting deadline will continue to force a reactive compliance pattern amplifying the per-unit cost of each submission. </w:t>
      </w:r>
      <w:r w:rsidR="005F1FE9">
        <w:t>As</w:t>
      </w:r>
      <w:r w:rsidR="000957A3" w:rsidRPr="00162D0D">
        <w:t xml:space="preserve"> the 30-day uniform deadline persists, the aggregate </w:t>
      </w:r>
      <w:r w:rsidR="000957A3" w:rsidRPr="168353BF">
        <w:rPr>
          <w:b/>
          <w:bCs/>
        </w:rPr>
        <w:t>VNRA volume</w:t>
      </w:r>
      <w:r w:rsidR="000957A3" w:rsidRPr="00162D0D">
        <w:t xml:space="preserve"> grows in rough proportion to the expanding MA base </w:t>
      </w:r>
      <w:r w:rsidR="00EC576D">
        <w:t>(</w:t>
      </w:r>
      <w:r w:rsidR="000957A3" w:rsidRPr="00162D0D">
        <w:t>a conservative compounding growth rate of approximately 2-3</w:t>
      </w:r>
      <w:r w:rsidR="006856C2">
        <w:t>%</w:t>
      </w:r>
      <w:r w:rsidR="000957A3" w:rsidRPr="00162D0D">
        <w:t xml:space="preserve"> per year in active </w:t>
      </w:r>
      <w:r w:rsidR="000957A3">
        <w:t>M</w:t>
      </w:r>
      <w:r w:rsidR="3CC0899A">
        <w:t>A</w:t>
      </w:r>
      <w:r w:rsidR="000957A3">
        <w:t>s</w:t>
      </w:r>
      <w:r w:rsidR="00EC576D">
        <w:t>)</w:t>
      </w:r>
      <w:r w:rsidR="002170E2">
        <w:t>. This brings</w:t>
      </w:r>
      <w:r w:rsidR="000957A3">
        <w:t xml:space="preserve"> the MA base to roughly 55,000-60,000 by 2040.</w:t>
      </w:r>
      <w:r w:rsidR="00042ED8">
        <w:t xml:space="preserve"> </w:t>
      </w:r>
      <w:r w:rsidR="7F70C996">
        <w:t>In the absence of legal changes,</w:t>
      </w:r>
      <w:r w:rsidR="000957A3">
        <w:t xml:space="preserve"> </w:t>
      </w:r>
      <w:r w:rsidR="000957A3" w:rsidRPr="168353BF">
        <w:rPr>
          <w:b/>
          <w:bCs/>
        </w:rPr>
        <w:t xml:space="preserve">the aggregate FTE burden, fees, and compliance cost </w:t>
      </w:r>
      <w:r w:rsidR="1ABE7190" w:rsidRPr="32E756A1">
        <w:rPr>
          <w:b/>
          <w:bCs/>
        </w:rPr>
        <w:t xml:space="preserve">will </w:t>
      </w:r>
      <w:r w:rsidR="000957A3" w:rsidRPr="00AB5640">
        <w:rPr>
          <w:b/>
          <w:bCs/>
        </w:rPr>
        <w:t>scal</w:t>
      </w:r>
      <w:r w:rsidR="2E23D005" w:rsidRPr="32E756A1">
        <w:rPr>
          <w:b/>
          <w:bCs/>
        </w:rPr>
        <w:t>e</w:t>
      </w:r>
      <w:r w:rsidR="000957A3" w:rsidRPr="168353BF">
        <w:rPr>
          <w:b/>
          <w:bCs/>
        </w:rPr>
        <w:t xml:space="preserve"> proportionally.</w:t>
      </w:r>
      <w:r w:rsidR="0058011F">
        <w:rPr>
          <w:b/>
          <w:bCs/>
        </w:rPr>
        <w:t xml:space="preserve"> </w:t>
      </w:r>
      <w:r w:rsidRPr="00162D0D">
        <w:t xml:space="preserve">The aggregate </w:t>
      </w:r>
      <w:r w:rsidRPr="00162D0D">
        <w:rPr>
          <w:b/>
          <w:bCs/>
        </w:rPr>
        <w:t>VNRA fee burden</w:t>
      </w:r>
      <w:r w:rsidRPr="00162D0D">
        <w:t xml:space="preserve">, currently estimated at approximately EUR 5 million per year sector-wide, is projected to grow in proportion to the expanding MA base and maintained fee structures. Cross-country variation in fees will persist, continuing to penalise companies with broad European portfolios. </w:t>
      </w:r>
    </w:p>
    <w:p w14:paraId="3F7FB1DC" w14:textId="77777777" w:rsidR="00FE21FD" w:rsidRPr="004570F2" w:rsidRDefault="00162D0D">
      <w:pPr>
        <w:rPr>
          <w:b/>
        </w:rPr>
      </w:pPr>
      <w:r w:rsidRPr="004570F2">
        <w:rPr>
          <w:b/>
        </w:rPr>
        <w:t>Competitiveness, trade and investment flows</w:t>
      </w:r>
    </w:p>
    <w:p w14:paraId="49714678" w14:textId="4098FC38" w:rsidR="00FE21FD" w:rsidRPr="00AB5640" w:rsidRDefault="00442611" w:rsidP="00AB5640">
      <w:pPr>
        <w:rPr>
          <w:bCs/>
          <w:u w:val="single"/>
        </w:rPr>
      </w:pPr>
      <w:r>
        <w:t>T</w:t>
      </w:r>
      <w:r w:rsidR="00162D0D" w:rsidRPr="00162D0D">
        <w:t xml:space="preserve">he </w:t>
      </w:r>
      <w:r w:rsidR="003003EC">
        <w:t>absence of</w:t>
      </w:r>
      <w:r w:rsidR="00162D0D" w:rsidRPr="00162D0D">
        <w:t xml:space="preserve"> </w:t>
      </w:r>
      <w:r w:rsidR="00162D0D" w:rsidRPr="00AB5640">
        <w:rPr>
          <w:b/>
        </w:rPr>
        <w:t>SPC extensions</w:t>
      </w:r>
      <w:r w:rsidR="00162D0D" w:rsidRPr="00162D0D">
        <w:t xml:space="preserve"> for biotechnology-derived zoonotic VMPs will remain unchanged</w:t>
      </w:r>
      <w:r w:rsidR="3F959098">
        <w:t>.</w:t>
      </w:r>
      <w:r w:rsidR="00162D0D" w:rsidRPr="00162D0D">
        <w:t xml:space="preserve"> The rate of eligible products emerging will continue at the current pace of approximately 1 potentially SPC-eligible biotech VMP for zoonotic diseases every 2 years. </w:t>
      </w:r>
      <w:r w:rsidR="00F66190">
        <w:t>In terms of</w:t>
      </w:r>
      <w:r w:rsidR="00162D0D" w:rsidRPr="00162D0D">
        <w:t xml:space="preserve"> competitiveness</w:t>
      </w:r>
      <w:r w:rsidR="0023071E">
        <w:t>, a</w:t>
      </w:r>
      <w:r w:rsidR="00037956">
        <w:t xml:space="preserve">lthough </w:t>
      </w:r>
      <w:r w:rsidR="00162D0D" w:rsidRPr="00162D0D">
        <w:t>no veterinary biosimilars have been authorised</w:t>
      </w:r>
      <w:r w:rsidR="00037956">
        <w:t xml:space="preserve"> in the EU </w:t>
      </w:r>
      <w:r w:rsidR="00A910A1">
        <w:t>at T0</w:t>
      </w:r>
      <w:r w:rsidR="00037956">
        <w:t xml:space="preserve">, </w:t>
      </w:r>
      <w:r w:rsidR="00C97E2D">
        <w:t>this is not likely to</w:t>
      </w:r>
      <w:r w:rsidR="00162D0D" w:rsidRPr="00162D0D">
        <w:t xml:space="preserve"> remain static through 2040. Technology maturation and declining biologics manufacturing costs will progressively lower the entry threshold</w:t>
      </w:r>
      <w:r w:rsidR="00162D0D">
        <w:t>.</w:t>
      </w:r>
      <w:r w:rsidR="00162D0D" w:rsidRPr="00162D0D">
        <w:t xml:space="preserve"> Over a 15-year horizon, </w:t>
      </w:r>
      <w:r w:rsidR="2E39820E">
        <w:t xml:space="preserve">it can be expected that </w:t>
      </w:r>
      <w:r w:rsidR="00162D0D">
        <w:t>originator</w:t>
      </w:r>
      <w:r w:rsidR="00162D0D" w:rsidRPr="00162D0D">
        <w:t xml:space="preserve"> companies developing biotechnology-derived VMPs for zoonotic diseases will increasingly confront a competitive environment </w:t>
      </w:r>
      <w:r w:rsidR="00162D0D" w:rsidRPr="00162D0D">
        <w:lastRenderedPageBreak/>
        <w:t>in which biosimilar entry, while structurally less aggressive than in human pharmaceuticals, becomes a commercially relevant consideration.</w:t>
      </w:r>
    </w:p>
    <w:p w14:paraId="31B797E2" w14:textId="77777777" w:rsidR="00162D0D" w:rsidRPr="004570F2" w:rsidRDefault="00162D0D" w:rsidP="00AB5640">
      <w:pPr>
        <w:rPr>
          <w:b/>
        </w:rPr>
      </w:pPr>
      <w:bookmarkStart w:id="273" w:name="_Toc224214847"/>
      <w:r w:rsidRPr="004570F2">
        <w:rPr>
          <w:b/>
        </w:rPr>
        <w:t>Innovation and research</w:t>
      </w:r>
      <w:bookmarkEnd w:id="273"/>
    </w:p>
    <w:p w14:paraId="6B4A979F" w14:textId="1AC43C7D" w:rsidR="00162D0D" w:rsidRPr="00162D0D" w:rsidRDefault="00162D0D" w:rsidP="00162D0D">
      <w:r w:rsidRPr="00162D0D">
        <w:t xml:space="preserve">The </w:t>
      </w:r>
      <w:r w:rsidRPr="00162D0D">
        <w:rPr>
          <w:b/>
          <w:bCs/>
        </w:rPr>
        <w:t>GMO-containing VMP development pipeline</w:t>
      </w:r>
      <w:r w:rsidRPr="00162D0D">
        <w:t xml:space="preserve"> is projected to grow steadily throughout the baseline period.</w:t>
      </w:r>
      <w:r w:rsidR="005F0B6F">
        <w:t xml:space="preserve"> </w:t>
      </w:r>
      <w:r w:rsidR="00A961FA">
        <w:t>At T0</w:t>
      </w:r>
      <w:r w:rsidR="005F0B6F">
        <w:t xml:space="preserve">, </w:t>
      </w:r>
      <w:r w:rsidRPr="00162D0D">
        <w:t>among the 8 vaccines authorised under exceptional circumstances in 2024–2025, 5 employed biological recombinant approaches and 3 were GMOs. All four vaccine platform technologies certified to date under Regulation 2019/6 are GMO-based. At an estimated entry rate of approximately 10 new GMO-containing VMPs into development per year, with 8-10 year</w:t>
      </w:r>
      <w:r w:rsidR="005F0B6F">
        <w:t>s</w:t>
      </w:r>
      <w:r w:rsidRPr="00162D0D">
        <w:t xml:space="preserve"> development timelines, the pipeline is expected to encompass roughly 100 products in various stages of development </w:t>
      </w:r>
      <w:r w:rsidR="4086A994">
        <w:t>by</w:t>
      </w:r>
      <w:r>
        <w:t xml:space="preserve"> 2040.</w:t>
      </w:r>
    </w:p>
    <w:p w14:paraId="27A7A124" w14:textId="3A1DBBF5" w:rsidR="00162D0D" w:rsidRPr="00162D0D" w:rsidRDefault="00162D0D" w:rsidP="00162D0D">
      <w:r w:rsidRPr="00162D0D">
        <w:t xml:space="preserve">While the persistence of the dual regulatory pathway is unlikely to prevent any GMO-containing VMPs from ultimately reaching the market, the current system would lead to higher-than-necessary costs and </w:t>
      </w:r>
      <w:r w:rsidR="11F5ACCF">
        <w:t>delays to market</w:t>
      </w:r>
      <w:r>
        <w:t>.</w:t>
      </w:r>
      <w:r w:rsidRPr="00162D0D">
        <w:t xml:space="preserve"> The net effect on innovation </w:t>
      </w:r>
      <w:r w:rsidR="00FA3AEB">
        <w:t>is</w:t>
      </w:r>
      <w:r w:rsidRPr="00162D0D">
        <w:t xml:space="preserve"> </w:t>
      </w:r>
      <w:r w:rsidR="526CF368">
        <w:t>negative:</w:t>
      </w:r>
      <w:r w:rsidRPr="00162D0D">
        <w:t xml:space="preserve"> a systematic increment to development timelines, costs, and operational complexity that reduces the efficiency of translating scientific opportunity into marketed products, without a commensurate safety or environmental benefit.</w:t>
      </w:r>
    </w:p>
    <w:p w14:paraId="64DDB360" w14:textId="76AE2ADC" w:rsidR="00162D0D" w:rsidRPr="00162D0D" w:rsidRDefault="00162D0D" w:rsidP="00162D0D">
      <w:r w:rsidRPr="00162D0D">
        <w:t xml:space="preserve">Moreover, </w:t>
      </w:r>
      <w:r w:rsidR="003C34CF">
        <w:t>th</w:t>
      </w:r>
      <w:r w:rsidR="29ECED29">
        <w:t xml:space="preserve">e current regulatory framework </w:t>
      </w:r>
      <w:r w:rsidR="0CCEE645">
        <w:t>is a disadvantage for operators wanting to conduct their innovation in the Union</w:t>
      </w:r>
      <w:r w:rsidR="00800B1C">
        <w:t xml:space="preserve">. </w:t>
      </w:r>
      <w:r w:rsidR="2D626A5F">
        <w:t>Th</w:t>
      </w:r>
      <w:r w:rsidR="44A23321">
        <w:t xml:space="preserve">erefore, it can be expected that more </w:t>
      </w:r>
      <w:r w:rsidR="00330F1B">
        <w:t xml:space="preserve">operators </w:t>
      </w:r>
      <w:r w:rsidR="37BAC35F">
        <w:t>will</w:t>
      </w:r>
      <w:r>
        <w:t xml:space="preserve"> </w:t>
      </w:r>
      <w:r w:rsidR="14DAECD0">
        <w:t xml:space="preserve">move </w:t>
      </w:r>
      <w:r w:rsidR="375B91E7">
        <w:t>their activities</w:t>
      </w:r>
      <w:r w:rsidRPr="00162D0D">
        <w:t xml:space="preserve"> </w:t>
      </w:r>
      <w:r w:rsidR="000A0CB8">
        <w:t>to</w:t>
      </w:r>
      <w:r w:rsidR="00800B1C">
        <w:t xml:space="preserve"> </w:t>
      </w:r>
      <w:r w:rsidR="000A0CB8">
        <w:t>jurisdictions</w:t>
      </w:r>
      <w:r w:rsidR="00800B1C" w:rsidRPr="00162D0D">
        <w:t xml:space="preserve"> </w:t>
      </w:r>
      <w:r w:rsidRPr="00162D0D">
        <w:t>offering faster</w:t>
      </w:r>
      <w:r w:rsidR="000A0CB8">
        <w:t xml:space="preserve"> and</w:t>
      </w:r>
      <w:r w:rsidRPr="00162D0D">
        <w:t xml:space="preserve"> more predictable pathways and that emerging animal health innovation </w:t>
      </w:r>
      <w:r w:rsidR="7B64EF36">
        <w:t>will</w:t>
      </w:r>
      <w:r w:rsidRPr="00162D0D">
        <w:t xml:space="preserve"> progressively divert to </w:t>
      </w:r>
      <w:r w:rsidR="00D25BE4">
        <w:t>third countries</w:t>
      </w:r>
      <w:r w:rsidRPr="00162D0D">
        <w:t xml:space="preserve">. </w:t>
      </w:r>
      <w:r w:rsidR="00D25BE4">
        <w:t>Thus,</w:t>
      </w:r>
      <w:r w:rsidRPr="00162D0D">
        <w:t xml:space="preserve"> clinical trials, and over time the upstream R&amp;D infrastructure that clusters around trial activity,</w:t>
      </w:r>
      <w:r w:rsidR="00D25BE4">
        <w:t xml:space="preserve"> are likely to</w:t>
      </w:r>
      <w:r w:rsidRPr="00162D0D">
        <w:t xml:space="preserve"> </w:t>
      </w:r>
      <w:r w:rsidR="00D25BE4">
        <w:t>take place outside of the EU</w:t>
      </w:r>
      <w:r w:rsidRPr="00162D0D">
        <w:t xml:space="preserve">. </w:t>
      </w:r>
      <w:r w:rsidR="00907CFB">
        <w:t>Consequently, the</w:t>
      </w:r>
      <w:r w:rsidRPr="00162D0D">
        <w:t xml:space="preserve"> EU </w:t>
      </w:r>
      <w:r w:rsidR="00907CFB">
        <w:t xml:space="preserve">is likely to </w:t>
      </w:r>
      <w:r w:rsidRPr="00162D0D">
        <w:t xml:space="preserve">increasingly import the products of innovation conducted </w:t>
      </w:r>
      <w:r w:rsidR="00907CFB">
        <w:t>in third countries</w:t>
      </w:r>
      <w:r w:rsidRPr="00162D0D">
        <w:t>, deepening a technological dependency that is difficult to reverse once the relevant expertise ecosystems have relocated.</w:t>
      </w:r>
    </w:p>
    <w:p w14:paraId="283746CA" w14:textId="4880A77E" w:rsidR="00162D0D" w:rsidRPr="00162D0D" w:rsidRDefault="00822D86" w:rsidP="00162D0D">
      <w:r>
        <w:t xml:space="preserve">Under the baseline, </w:t>
      </w:r>
      <w:r w:rsidR="00D25988">
        <w:t>there is no</w:t>
      </w:r>
      <w:r>
        <w:t xml:space="preserve"> </w:t>
      </w:r>
      <w:r w:rsidR="004F1804" w:rsidRPr="00AB5640">
        <w:rPr>
          <w:b/>
        </w:rPr>
        <w:t>EU-level sandbox</w:t>
      </w:r>
      <w:r w:rsidR="004F1804">
        <w:t xml:space="preserve">. </w:t>
      </w:r>
      <w:r w:rsidR="00400308">
        <w:t>T</w:t>
      </w:r>
      <w:r w:rsidR="00162D0D" w:rsidRPr="00162D0D">
        <w:t xml:space="preserve">echnological innovation is </w:t>
      </w:r>
      <w:r w:rsidR="00400308">
        <w:t xml:space="preserve">expected to </w:t>
      </w:r>
      <w:r w:rsidR="00CC0938">
        <w:t>continue to o</w:t>
      </w:r>
      <w:r w:rsidR="00162D0D" w:rsidRPr="00162D0D">
        <w:t>utpac</w:t>
      </w:r>
      <w:r w:rsidR="00400308">
        <w:t>e</w:t>
      </w:r>
      <w:r w:rsidR="00162D0D" w:rsidRPr="00162D0D">
        <w:t xml:space="preserve"> regulatory framework evolution, progressively widening the gap between commercially deployable technologies and those with clear EU regulatory pathways. Products that do not fall within the existing definition of a veterinary medicinal product will continue to encounter regulatory limbo irrespective of their safety or efficacy profile. </w:t>
      </w:r>
      <w:r w:rsidR="008D32C0">
        <w:t>Re</w:t>
      </w:r>
      <w:r w:rsidR="00162D0D" w:rsidRPr="00162D0D">
        <w:t xml:space="preserve">gulatory uncertainty </w:t>
      </w:r>
      <w:r w:rsidR="008D32C0">
        <w:t>is expected to</w:t>
      </w:r>
      <w:r w:rsidR="00162D0D" w:rsidRPr="00162D0D">
        <w:t xml:space="preserve"> extend throughout the </w:t>
      </w:r>
      <w:r w:rsidR="006D000F">
        <w:t>baseline.</w:t>
      </w:r>
    </w:p>
    <w:p w14:paraId="7BCE2B2D" w14:textId="46A4847A" w:rsidR="00162D0D" w:rsidRPr="004570F2" w:rsidRDefault="00162D0D" w:rsidP="00AB5640">
      <w:pPr>
        <w:rPr>
          <w:b/>
        </w:rPr>
      </w:pPr>
      <w:bookmarkStart w:id="274" w:name="_Toc224214848"/>
      <w:r w:rsidRPr="004570F2">
        <w:rPr>
          <w:b/>
        </w:rPr>
        <w:t>Public health and safety</w:t>
      </w:r>
      <w:bookmarkEnd w:id="274"/>
    </w:p>
    <w:p w14:paraId="0C01F530" w14:textId="777E2E70" w:rsidR="006451CB" w:rsidRPr="006451CB" w:rsidRDefault="004C2A45" w:rsidP="006451CB">
      <w:r>
        <w:t>P</w:t>
      </w:r>
      <w:r w:rsidR="00162D0D" w:rsidRPr="00162D0D">
        <w:t xml:space="preserve">ublic health and safety </w:t>
      </w:r>
      <w:r w:rsidR="00552442">
        <w:t xml:space="preserve">are </w:t>
      </w:r>
      <w:r w:rsidR="00162D0D" w:rsidRPr="00162D0D">
        <w:t xml:space="preserve">shaped by the downstream consequences of the regulatory barriers that persist under the </w:t>
      </w:r>
      <w:r>
        <w:t>baseline.</w:t>
      </w:r>
      <w:r w:rsidR="002502F4">
        <w:t xml:space="preserve"> </w:t>
      </w:r>
      <w:r w:rsidR="00162D0D" w:rsidRPr="00162D0D">
        <w:t xml:space="preserve">First, the </w:t>
      </w:r>
      <w:r w:rsidR="00162D0D" w:rsidRPr="00162D0D">
        <w:rPr>
          <w:b/>
          <w:bCs/>
        </w:rPr>
        <w:t>legal ambiguity surrounding the GMO status</w:t>
      </w:r>
      <w:r w:rsidR="00162D0D" w:rsidRPr="00162D0D">
        <w:t xml:space="preserve"> of animals treated with biotech-derived VMPs sustains a commercial risk under which farmers and supply chain actors may prefer conventional treatments, including antimicrobials, over novel biotech vaccines with potentially superior efficacy profiles in food-producing species. While </w:t>
      </w:r>
      <w:r w:rsidR="00C353DF">
        <w:t>there is no evidence</w:t>
      </w:r>
      <w:r w:rsidR="00B62F95">
        <w:t xml:space="preserve"> t</w:t>
      </w:r>
      <w:r w:rsidR="00162D0D" w:rsidRPr="00162D0D">
        <w:t xml:space="preserve">hat this risk has materialised </w:t>
      </w:r>
      <w:r w:rsidR="0F57262E">
        <w:t>yet</w:t>
      </w:r>
      <w:r w:rsidR="00162D0D">
        <w:t>,</w:t>
      </w:r>
      <w:r w:rsidR="00162D0D" w:rsidRPr="00162D0D">
        <w:t xml:space="preserve"> the conditions for such discrimination will become more pronounced over the projection period as GMO-based vaccines increasingly target food-producing species. Second, the absence of a </w:t>
      </w:r>
      <w:r w:rsidR="00162D0D" w:rsidRPr="00162D0D">
        <w:rPr>
          <w:b/>
          <w:bCs/>
        </w:rPr>
        <w:t>regulatory sandbox mechanism</w:t>
      </w:r>
      <w:r w:rsidR="00162D0D" w:rsidRPr="00162D0D">
        <w:t xml:space="preserve"> </w:t>
      </w:r>
      <w:r w:rsidR="005040A4">
        <w:t xml:space="preserve">and the expected impact on </w:t>
      </w:r>
      <w:r w:rsidR="004420CA">
        <w:t xml:space="preserve">EU market </w:t>
      </w:r>
      <w:r w:rsidR="005040A4">
        <w:t xml:space="preserve">access </w:t>
      </w:r>
      <w:r w:rsidR="004420CA">
        <w:t>to</w:t>
      </w:r>
      <w:r w:rsidR="00162D0D" w:rsidRPr="00162D0D">
        <w:t xml:space="preserve"> innovative technologies with potential public health benefits will remain. The </w:t>
      </w:r>
      <w:r w:rsidR="00162D0D" w:rsidRPr="00162D0D">
        <w:lastRenderedPageBreak/>
        <w:t>gap between technological capability and regulatory accommodation is projected to widen steadily, deferring potential public health gains from emerging approaches.</w:t>
      </w:r>
      <w:r w:rsidR="007E1DDD">
        <w:t xml:space="preserve"> </w:t>
      </w:r>
      <w:r w:rsidR="00162D0D" w:rsidRPr="00162D0D">
        <w:t xml:space="preserve">In aggregate, the baseline is characterised by </w:t>
      </w:r>
      <w:r w:rsidR="00162D0D" w:rsidRPr="00AB5640">
        <w:rPr>
          <w:b/>
        </w:rPr>
        <w:t>a slower-than-achievable realisation of the public health benefits</w:t>
      </w:r>
      <w:r w:rsidR="00162D0D" w:rsidRPr="00162D0D">
        <w:t xml:space="preserve"> that veterinary biotechnology innovation is technically capable of delivering.</w:t>
      </w:r>
    </w:p>
    <w:p w14:paraId="1D5724EC" w14:textId="3424AAF3" w:rsidR="002A38D2" w:rsidRPr="00654082" w:rsidRDefault="00B51A4D" w:rsidP="00AB5640">
      <w:pPr>
        <w:pStyle w:val="Heading2"/>
      </w:pPr>
      <w:bookmarkStart w:id="275" w:name="_Toc225969804"/>
      <w:bookmarkStart w:id="276" w:name="_Toc225979136"/>
      <w:r w:rsidRPr="00254B44">
        <w:t>Expected impacts</w:t>
      </w:r>
      <w:bookmarkEnd w:id="275"/>
      <w:bookmarkEnd w:id="276"/>
    </w:p>
    <w:p w14:paraId="33303D90" w14:textId="755F7F1E" w:rsidR="002A38D2" w:rsidRPr="004570F2" w:rsidRDefault="002A38D2" w:rsidP="00E63A74">
      <w:pPr>
        <w:rPr>
          <w:b/>
          <w:rtl/>
        </w:rPr>
      </w:pPr>
      <w:bookmarkStart w:id="277" w:name="_Toc224214856"/>
      <w:r w:rsidRPr="004570F2">
        <w:rPr>
          <w:b/>
        </w:rPr>
        <w:t>Conduct of business</w:t>
      </w:r>
      <w:bookmarkEnd w:id="277"/>
    </w:p>
    <w:p w14:paraId="526CFB9E" w14:textId="6EB9D3F7" w:rsidR="001B75FF" w:rsidRDefault="00CC6882" w:rsidP="001B75FF">
      <w:r w:rsidRPr="00AB5640">
        <w:t>On the a</w:t>
      </w:r>
      <w:r w:rsidR="002A38D2" w:rsidRPr="00AB5640">
        <w:t>verage time for CTA</w:t>
      </w:r>
      <w:r w:rsidRPr="00AB5640">
        <w:t>, t</w:t>
      </w:r>
      <w:r w:rsidR="002A38D2" w:rsidRPr="002A38D2">
        <w:t xml:space="preserve">he reform eliminates the procedural duplication. </w:t>
      </w:r>
    </w:p>
    <w:p w14:paraId="058CD4B6" w14:textId="0D3B9BA8" w:rsidR="002A38D2" w:rsidRDefault="002A38D2" w:rsidP="001B75FF">
      <w:r w:rsidRPr="002A38D2">
        <w:t xml:space="preserve">Under the current framework, the slower of the two </w:t>
      </w:r>
      <w:r>
        <w:t>authori</w:t>
      </w:r>
      <w:r w:rsidR="399A622B">
        <w:t>sations required to conduct a clinical trial</w:t>
      </w:r>
      <w:r w:rsidRPr="002A38D2">
        <w:t xml:space="preserve"> determines the pace. </w:t>
      </w:r>
    </w:p>
    <w:p w14:paraId="06C90098" w14:textId="42CF2A7D" w:rsidR="002A38D2" w:rsidRPr="002A38D2" w:rsidRDefault="002E77BE" w:rsidP="00AB5640">
      <w:r>
        <w:t>Further, at presen</w:t>
      </w:r>
      <w:r w:rsidR="63600D48">
        <w:t>t</w:t>
      </w:r>
      <w:r w:rsidR="002A38D2" w:rsidRPr="002A38D2">
        <w:t xml:space="preserve">, applicants must manage </w:t>
      </w:r>
      <w:r w:rsidR="002A38D2" w:rsidRPr="0088633B">
        <w:t>interactions with distinct authorities</w:t>
      </w:r>
      <w:r w:rsidR="47D382F1" w:rsidRPr="0088633B">
        <w:t xml:space="preserve"> in every Member State where they conduct a clinical trial</w:t>
      </w:r>
      <w:r w:rsidR="00882B5A" w:rsidRPr="0088633B">
        <w:t xml:space="preserve">. </w:t>
      </w:r>
      <w:r w:rsidR="00762B5E" w:rsidRPr="00AB5640">
        <w:t>An</w:t>
      </w:r>
      <w:r w:rsidR="00D7408E" w:rsidRPr="00AB5640">
        <w:t xml:space="preserve"> EU level trade association </w:t>
      </w:r>
      <w:r w:rsidR="002A38D2" w:rsidRPr="00AB5640">
        <w:t xml:space="preserve">estimated that </w:t>
      </w:r>
      <w:r w:rsidR="00D7408E" w:rsidRPr="00AB5640">
        <w:t xml:space="preserve">the </w:t>
      </w:r>
      <w:r w:rsidR="1E6528DB" w:rsidRPr="00AB5640">
        <w:t>one-stop shop approach</w:t>
      </w:r>
      <w:r w:rsidR="002A38D2" w:rsidRPr="00AB5640">
        <w:t xml:space="preserve"> would save approximately 3-6 months per CTA.</w:t>
      </w:r>
      <w:r w:rsidR="002A38D2" w:rsidRPr="0088633B">
        <w:t xml:space="preserve"> This estimate encompassing both the direct timeline reduction and the indirect reduction in coordination-related delays and uncertainties.</w:t>
      </w:r>
    </w:p>
    <w:p w14:paraId="74456CD7" w14:textId="209DC891" w:rsidR="002A38D2" w:rsidRPr="002A38D2" w:rsidRDefault="002A38D2" w:rsidP="002A38D2">
      <w:r w:rsidRPr="002A38D2">
        <w:t xml:space="preserve">Given the heterogeneity across Member States, a weighted approach is </w:t>
      </w:r>
      <w:r w:rsidRPr="0011330F">
        <w:t>appropriate. Taking</w:t>
      </w:r>
      <w:r w:rsidR="004C2BEF" w:rsidRPr="0011330F">
        <w:t xml:space="preserve"> </w:t>
      </w:r>
      <w:r w:rsidR="004C2BEF" w:rsidRPr="00AB5640">
        <w:t>data from an NCA</w:t>
      </w:r>
      <w:r w:rsidRPr="00AB5640">
        <w:t xml:space="preserve"> </w:t>
      </w:r>
      <w:r w:rsidR="004C2BEF" w:rsidRPr="00AB5640">
        <w:t>on</w:t>
      </w:r>
      <w:r w:rsidRPr="00AB5640">
        <w:t xml:space="preserve"> the well-synchronised end (</w:t>
      </w:r>
      <w:r w:rsidR="00542877" w:rsidRPr="00AB5640">
        <w:t>0 t</w:t>
      </w:r>
      <w:r w:rsidRPr="00AB5640">
        <w:t xml:space="preserve">o 30 days additional time) and </w:t>
      </w:r>
      <w:r w:rsidR="004C2BEF" w:rsidRPr="00AB5640">
        <w:t>feedback from an EU-level trade association</w:t>
      </w:r>
      <w:r w:rsidRPr="00AB5640">
        <w:t xml:space="preserve"> (90-180 day) time estimate as representative of the </w:t>
      </w:r>
      <w:r w:rsidRPr="00AB5640" w:rsidDel="00762B5E">
        <w:t>poorly</w:t>
      </w:r>
      <w:r w:rsidR="00762B5E" w:rsidRPr="00AB5640">
        <w:t xml:space="preserve"> synchronised</w:t>
      </w:r>
      <w:r w:rsidRPr="00AB5640">
        <w:t xml:space="preserve"> en</w:t>
      </w:r>
      <w:r w:rsidRPr="0011330F">
        <w:t xml:space="preserve">d, a </w:t>
      </w:r>
      <w:r w:rsidRPr="00AB5640">
        <w:rPr>
          <w:b/>
          <w:bCs/>
        </w:rPr>
        <w:t>conservative</w:t>
      </w:r>
      <w:r w:rsidRPr="0011330F">
        <w:t xml:space="preserve"> </w:t>
      </w:r>
      <w:r w:rsidRPr="0011330F">
        <w:rPr>
          <w:b/>
        </w:rPr>
        <w:t>estimate for the average per-CTA process timeline saving across the EU is 1-3 months</w:t>
      </w:r>
      <w:r w:rsidR="000E3D69" w:rsidRPr="0011330F">
        <w:t xml:space="preserve">, i.e. </w:t>
      </w:r>
      <w:r w:rsidRPr="0011330F">
        <w:t>30-90 days.</w:t>
      </w:r>
      <w:r w:rsidRPr="002A38D2">
        <w:t xml:space="preserve"> </w:t>
      </w:r>
    </w:p>
    <w:p w14:paraId="5095268D" w14:textId="12E28DDC" w:rsidR="002A38D2" w:rsidRPr="002A38D2" w:rsidRDefault="002A38D2" w:rsidP="002A38D2">
      <w:r w:rsidRPr="002A38D2">
        <w:t>At an estimated throughput of 8-15 CTA applications per year subject to the dual-track burden at baseline, rising to 12-</w:t>
      </w:r>
      <w:r w:rsidRPr="007632BB">
        <w:t xml:space="preserve">20 per year by 2040 (reflecting pipeline growth), and applying the central per-CTA saving of </w:t>
      </w:r>
      <w:r w:rsidRPr="00AB5640">
        <w:t>30-90 day</w:t>
      </w:r>
      <w:r w:rsidRPr="007632BB">
        <w:t>s</w:t>
      </w:r>
      <w:r w:rsidR="003526DC" w:rsidRPr="007632BB">
        <w:t xml:space="preserve">, </w:t>
      </w:r>
      <w:r w:rsidR="00CC6392" w:rsidRPr="007632BB">
        <w:rPr>
          <w:b/>
        </w:rPr>
        <w:t xml:space="preserve">the reform eliminates approximately </w:t>
      </w:r>
      <w:r w:rsidR="00CC6392" w:rsidRPr="007632BB">
        <w:rPr>
          <w:b/>
          <w:bCs/>
        </w:rPr>
        <w:t>8-45 product-months of aggregate delay per year</w:t>
      </w:r>
      <w:r w:rsidR="00CC6392" w:rsidRPr="007632BB">
        <w:rPr>
          <w:b/>
        </w:rPr>
        <w:t xml:space="preserve"> at current pipeline volumes, rising to </w:t>
      </w:r>
      <w:r w:rsidR="00CC6392" w:rsidRPr="007632BB">
        <w:rPr>
          <w:b/>
          <w:bCs/>
        </w:rPr>
        <w:t>12-60 product-months per year</w:t>
      </w:r>
      <w:r w:rsidR="00CC6392" w:rsidRPr="007632BB">
        <w:rPr>
          <w:b/>
        </w:rPr>
        <w:t xml:space="preserve"> by 2040.</w:t>
      </w:r>
    </w:p>
    <w:p w14:paraId="0DE6F8A6" w14:textId="60241D45" w:rsidR="002A38D2" w:rsidRPr="002A38D2" w:rsidRDefault="007A7F82" w:rsidP="00E63A74">
      <w:r>
        <w:t>As regards marketing author</w:t>
      </w:r>
      <w:r w:rsidR="005F54CC">
        <w:t>i</w:t>
      </w:r>
      <w:r>
        <w:t>sation</w:t>
      </w:r>
      <w:r w:rsidR="002A38D2" w:rsidRPr="00E63A74">
        <w:t xml:space="preserve"> procedures,</w:t>
      </w:r>
      <w:r w:rsidR="0033302B">
        <w:t xml:space="preserve"> under standard evaluation timelines,</w:t>
      </w:r>
      <w:r w:rsidR="002A38D2" w:rsidRPr="002A38D2">
        <w:rPr>
          <w:b/>
          <w:bCs/>
        </w:rPr>
        <w:t xml:space="preserve"> the reform will have no measurable impact on the average number of days</w:t>
      </w:r>
      <w:r w:rsidR="000231A7">
        <w:rPr>
          <w:b/>
          <w:bCs/>
        </w:rPr>
        <w:t xml:space="preserve">. </w:t>
      </w:r>
      <w:r w:rsidR="000231A7">
        <w:t>First, t</w:t>
      </w:r>
      <w:r w:rsidR="002A38D2" w:rsidRPr="002A38D2">
        <w:t>he GMO consultation currently occupies a window within the first 90-</w:t>
      </w:r>
      <w:r w:rsidR="002A38D2" w:rsidRPr="0029282B">
        <w:t xml:space="preserve">100 days of the assessment phase and runs concurrently with the CVMP's scientific evaluation. </w:t>
      </w:r>
      <w:r w:rsidR="000231A7" w:rsidRPr="00AB5640">
        <w:t xml:space="preserve">As </w:t>
      </w:r>
      <w:r w:rsidR="002A38D2" w:rsidRPr="00AB5640">
        <w:t>the CVMP's evaluation</w:t>
      </w:r>
      <w:r w:rsidR="000231A7" w:rsidRPr="00AB5640">
        <w:t xml:space="preserve"> </w:t>
      </w:r>
      <w:r w:rsidR="002A38D2" w:rsidRPr="00AB5640">
        <w:t xml:space="preserve">takes the full 198 days on average, </w:t>
      </w:r>
      <w:r w:rsidR="000231A7" w:rsidRPr="00AB5640">
        <w:t>the assessment phase remains unchanged</w:t>
      </w:r>
      <w:r w:rsidR="002A38D2" w:rsidRPr="0029282B">
        <w:t>.</w:t>
      </w:r>
      <w:r w:rsidR="000231A7" w:rsidRPr="0029282B">
        <w:t xml:space="preserve"> Second, t</w:t>
      </w:r>
      <w:r w:rsidR="002A38D2" w:rsidRPr="0029282B">
        <w:t>he reform converts the mandatory consultation into an optional one.</w:t>
      </w:r>
      <w:r w:rsidR="002A38D2" w:rsidRPr="002A38D2">
        <w:t xml:space="preserve"> </w:t>
      </w:r>
    </w:p>
    <w:p w14:paraId="70DDA183" w14:textId="6483BB8D" w:rsidR="002A38D2" w:rsidRPr="002A38D2" w:rsidRDefault="0082194A" w:rsidP="002A38D2">
      <w:r>
        <w:rPr>
          <w:b/>
          <w:bCs/>
        </w:rPr>
        <w:t>However, a</w:t>
      </w:r>
      <w:r w:rsidR="002A38D2" w:rsidRPr="002A38D2">
        <w:rPr>
          <w:b/>
          <w:bCs/>
        </w:rPr>
        <w:t xml:space="preserve"> positive impact of this measure on </w:t>
      </w:r>
      <w:r w:rsidR="00BC4146">
        <w:rPr>
          <w:b/>
          <w:bCs/>
        </w:rPr>
        <w:t>marketing authorisation</w:t>
      </w:r>
      <w:r w:rsidR="002A38D2" w:rsidRPr="002A38D2">
        <w:rPr>
          <w:b/>
          <w:bCs/>
        </w:rPr>
        <w:t xml:space="preserve"> timelines can be identified in two specific scenarios:</w:t>
      </w:r>
    </w:p>
    <w:p w14:paraId="018A1B0D" w14:textId="2CBF081C" w:rsidR="002A38D2" w:rsidRPr="00E63A74" w:rsidRDefault="002A38D2" w:rsidP="002A38D2">
      <w:pPr>
        <w:pStyle w:val="ListParagraph"/>
        <w:numPr>
          <w:ilvl w:val="0"/>
          <w:numId w:val="365"/>
        </w:numPr>
        <w:spacing w:after="270" w:line="270" w:lineRule="atLeast"/>
        <w:ind w:right="284"/>
        <w:rPr>
          <w:b/>
        </w:rPr>
      </w:pPr>
      <w:r w:rsidRPr="002A38D2">
        <w:rPr>
          <w:b/>
          <w:bCs/>
        </w:rPr>
        <w:t>Accelerated assessment pathways</w:t>
      </w:r>
      <w:r w:rsidR="007660ED">
        <w:rPr>
          <w:b/>
        </w:rPr>
        <w:t xml:space="preserve">, </w:t>
      </w:r>
      <w:r w:rsidR="007660ED" w:rsidRPr="004D0410">
        <w:t xml:space="preserve">which </w:t>
      </w:r>
      <w:r w:rsidR="007660ED" w:rsidRPr="00E63A74">
        <w:t>are</w:t>
      </w:r>
      <w:r w:rsidR="007660ED" w:rsidRPr="004D0410">
        <w:t xml:space="preserve"> </w:t>
      </w:r>
      <w:r w:rsidRPr="007660ED">
        <w:t>relevant</w:t>
      </w:r>
      <w:r w:rsidRPr="002A38D2">
        <w:t xml:space="preserve"> for disease outbreaks, </w:t>
      </w:r>
      <w:r w:rsidR="007660ED">
        <w:t>the removal of the</w:t>
      </w:r>
      <w:r w:rsidRPr="002A38D2">
        <w:t xml:space="preserve"> mandatory requirement provides regulatory authorities with the procedural flexibility to consult </w:t>
      </w:r>
      <w:r w:rsidR="1BDAACE2">
        <w:t xml:space="preserve">with </w:t>
      </w:r>
      <w:r>
        <w:t xml:space="preserve">the GMO </w:t>
      </w:r>
      <w:r w:rsidR="7844F1D2">
        <w:t xml:space="preserve">authorities </w:t>
      </w:r>
      <w:r w:rsidR="53ECBDD5">
        <w:t xml:space="preserve">solely </w:t>
      </w:r>
      <w:r w:rsidR="7844F1D2">
        <w:t xml:space="preserve">when </w:t>
      </w:r>
      <w:r w:rsidR="2A4110CD">
        <w:t>additional expertise can add value</w:t>
      </w:r>
      <w:r w:rsidRPr="002A38D2">
        <w:t xml:space="preserve">. </w:t>
      </w:r>
      <w:r w:rsidR="00E74516">
        <w:t>T</w:t>
      </w:r>
      <w:r w:rsidRPr="002A38D2">
        <w:t>he frequency and circumstances of accelerated assessments are inherently unpredictable</w:t>
      </w:r>
      <w:r w:rsidR="00E74516">
        <w:t>, which is thus difficult to quantify</w:t>
      </w:r>
      <w:r w:rsidRPr="002A38D2">
        <w:t xml:space="preserve">. However, between 2024-2025, 8 vaccines were authorised under exceptional circumstances, of which 3 were GMOs. For these products, the elimination of a mandatory parallel consultation could plausibly </w:t>
      </w:r>
      <w:r w:rsidRPr="00E63A74">
        <w:rPr>
          <w:b/>
        </w:rPr>
        <w:t>save</w:t>
      </w:r>
      <w:r w:rsidRPr="002A38D2">
        <w:t xml:space="preserve"> </w:t>
      </w:r>
      <w:r w:rsidRPr="002A38D2">
        <w:rPr>
          <w:b/>
          <w:bCs/>
        </w:rPr>
        <w:t xml:space="preserve">30-60 </w:t>
      </w:r>
      <w:r w:rsidRPr="002A38D2">
        <w:rPr>
          <w:b/>
          <w:bCs/>
        </w:rPr>
        <w:lastRenderedPageBreak/>
        <w:t>days</w:t>
      </w:r>
      <w:r w:rsidRPr="002A38D2">
        <w:t xml:space="preserve"> in the accelerated pathway</w:t>
      </w:r>
      <w:r w:rsidR="00AA11F8">
        <w:t>.</w:t>
      </w:r>
      <w:r w:rsidRPr="002A38D2">
        <w:t xml:space="preserve"> This saving applies to a small number of products per year (estimated at </w:t>
      </w:r>
      <w:r w:rsidRPr="00E63A74">
        <w:rPr>
          <w:b/>
        </w:rPr>
        <w:t>1-3 under emergency circumstances).</w:t>
      </w:r>
    </w:p>
    <w:p w14:paraId="2A3C69F6" w14:textId="244F30BB" w:rsidR="002A38D2" w:rsidRPr="002A38D2" w:rsidRDefault="00F86BFB" w:rsidP="002A38D2">
      <w:pPr>
        <w:pStyle w:val="ListParagraph"/>
        <w:numPr>
          <w:ilvl w:val="0"/>
          <w:numId w:val="365"/>
        </w:numPr>
        <w:spacing w:after="270" w:line="270" w:lineRule="atLeast"/>
        <w:ind w:right="284"/>
      </w:pPr>
      <w:r>
        <w:rPr>
          <w:b/>
          <w:bCs/>
        </w:rPr>
        <w:t>With regards to the d</w:t>
      </w:r>
      <w:r w:rsidR="002A38D2" w:rsidRPr="002A38D2">
        <w:rPr>
          <w:b/>
          <w:bCs/>
        </w:rPr>
        <w:t xml:space="preserve">ossier preparation phase </w:t>
      </w:r>
      <w:r w:rsidR="002A38D2" w:rsidRPr="00AB5640">
        <w:t xml:space="preserve">(upstream of the </w:t>
      </w:r>
      <w:r w:rsidR="0082194A" w:rsidRPr="00AB5640">
        <w:t xml:space="preserve">submission of the </w:t>
      </w:r>
      <w:r w:rsidR="006B5532" w:rsidRPr="00AB5640">
        <w:t>marketing authorisation application</w:t>
      </w:r>
      <w:r w:rsidR="002A38D2" w:rsidRPr="00AB5640">
        <w:t>)</w:t>
      </w:r>
      <w:r w:rsidRPr="00AB5640">
        <w:t>,</w:t>
      </w:r>
      <w:r>
        <w:rPr>
          <w:b/>
          <w:bCs/>
        </w:rPr>
        <w:t xml:space="preserve"> </w:t>
      </w:r>
      <w:r>
        <w:t>t</w:t>
      </w:r>
      <w:r w:rsidR="002A38D2" w:rsidRPr="002A38D2">
        <w:t xml:space="preserve">he elimination of the requirement to compile Annex III documentation under Directive 2001/18/EC </w:t>
      </w:r>
      <w:r w:rsidR="1010B131">
        <w:t>(in addition</w:t>
      </w:r>
      <w:r w:rsidR="002A38D2">
        <w:t xml:space="preserve"> </w:t>
      </w:r>
      <w:r w:rsidR="1010B131">
        <w:t>to information requirements under the pharma framework that overlap) will bring some administrative savings.  Further</w:t>
      </w:r>
      <w:r w:rsidR="56BE2E02">
        <w:t xml:space="preserve"> savings can arise </w:t>
      </w:r>
      <w:r w:rsidR="0B638743">
        <w:t>during the assessment</w:t>
      </w:r>
      <w:r w:rsidR="002A38D2" w:rsidRPr="002A38D2">
        <w:t>, insofar as companies require less time to prepare responses to questions from national GMO bodies channelled through EMA.</w:t>
      </w:r>
      <w:r w:rsidR="002A38D2" w:rsidRPr="002A38D2" w:rsidDel="001559F3">
        <w:t xml:space="preserve"> </w:t>
      </w:r>
      <w:r w:rsidR="001559F3">
        <w:t>T</w:t>
      </w:r>
      <w:r w:rsidR="002A38D2" w:rsidRPr="002A38D2">
        <w:t xml:space="preserve">his effect is captured under </w:t>
      </w:r>
      <w:r w:rsidR="005F22FE">
        <w:t xml:space="preserve">the indicators on </w:t>
      </w:r>
      <w:r w:rsidR="002A38D2" w:rsidRPr="00E63A74">
        <w:rPr>
          <w:b/>
        </w:rPr>
        <w:t xml:space="preserve">administrative burden for </w:t>
      </w:r>
      <w:r w:rsidR="001559F3">
        <w:rPr>
          <w:b/>
        </w:rPr>
        <w:t>marketing authorisation</w:t>
      </w:r>
      <w:r w:rsidR="002A38D2" w:rsidRPr="00E63A74">
        <w:rPr>
          <w:b/>
        </w:rPr>
        <w:t xml:space="preserve"> dossier </w:t>
      </w:r>
      <w:r w:rsidR="00452B75" w:rsidRPr="00E63A74">
        <w:rPr>
          <w:b/>
        </w:rPr>
        <w:t>preparation</w:t>
      </w:r>
      <w:r w:rsidR="00452B75">
        <w:t>, with an</w:t>
      </w:r>
      <w:r w:rsidR="002A38D2" w:rsidRPr="002A38D2">
        <w:t xml:space="preserve"> associated cost saving estimated at approximately </w:t>
      </w:r>
      <w:r w:rsidR="002A38D2" w:rsidRPr="00E63A74">
        <w:rPr>
          <w:b/>
        </w:rPr>
        <w:t xml:space="preserve">EUR 7,000 per </w:t>
      </w:r>
      <w:r w:rsidR="00251437">
        <w:rPr>
          <w:b/>
        </w:rPr>
        <w:t>marketing authorisation</w:t>
      </w:r>
      <w:r w:rsidR="002A38D2" w:rsidRPr="00E63A74">
        <w:rPr>
          <w:b/>
        </w:rPr>
        <w:t xml:space="preserve"> dossier</w:t>
      </w:r>
      <w:r w:rsidR="002A38D2" w:rsidRPr="002A38D2">
        <w:t xml:space="preserve">. </w:t>
      </w:r>
    </w:p>
    <w:p w14:paraId="6AB9CA99" w14:textId="77777777" w:rsidR="002A38D2" w:rsidRPr="004570F2" w:rsidRDefault="002A38D2" w:rsidP="00E63A74">
      <w:pPr>
        <w:rPr>
          <w:b/>
        </w:rPr>
      </w:pPr>
      <w:bookmarkStart w:id="278" w:name="_Toc224214857"/>
      <w:r w:rsidRPr="004570F2">
        <w:rPr>
          <w:b/>
        </w:rPr>
        <w:t>Administrative costs on businesses, including SMEs</w:t>
      </w:r>
      <w:bookmarkEnd w:id="278"/>
    </w:p>
    <w:p w14:paraId="74F69B5D" w14:textId="2A994C52" w:rsidR="002A38D2" w:rsidRPr="002A38D2" w:rsidRDefault="00B36C0D" w:rsidP="002A38D2">
      <w:r w:rsidRPr="00AB5640">
        <w:t>The</w:t>
      </w:r>
      <w:r w:rsidR="002A38D2" w:rsidRPr="00AB5640">
        <w:t xml:space="preserve"> </w:t>
      </w:r>
      <w:r w:rsidR="05E89BB9" w:rsidRPr="00AB5640">
        <w:t>proposed changes in</w:t>
      </w:r>
      <w:r w:rsidR="002A38D2" w:rsidRPr="00AB5640">
        <w:t xml:space="preserve"> the </w:t>
      </w:r>
      <w:r w:rsidR="05E89BB9" w:rsidRPr="00AB5640">
        <w:t>handling of VNRAs</w:t>
      </w:r>
      <w:r w:rsidR="409DCB52" w:rsidRPr="00AB5640">
        <w:t xml:space="preserve"> will</w:t>
      </w:r>
      <w:r w:rsidR="05E89BB9" w:rsidRPr="00AB5640">
        <w:t xml:space="preserve"> </w:t>
      </w:r>
      <w:r w:rsidR="7FB1605E">
        <w:t>lead</w:t>
      </w:r>
      <w:r w:rsidR="0869AE94">
        <w:t xml:space="preserve"> </w:t>
      </w:r>
      <w:r w:rsidR="7FB1605E">
        <w:t>to savings</w:t>
      </w:r>
      <w:r w:rsidR="002A38D2" w:rsidRPr="002A38D2">
        <w:t xml:space="preserve"> per-unit administrative cost of </w:t>
      </w:r>
      <w:r w:rsidR="001D1A71">
        <w:t>the</w:t>
      </w:r>
      <w:r w:rsidR="002A38D2" w:rsidRPr="002A38D2">
        <w:t xml:space="preserve"> submissions</w:t>
      </w:r>
      <w:r w:rsidR="001D1A71">
        <w:t xml:space="preserve"> related to </w:t>
      </w:r>
      <w:r w:rsidR="001D1A71" w:rsidRPr="00E63A74">
        <w:rPr>
          <w:b/>
        </w:rPr>
        <w:t>variations that must be reported</w:t>
      </w:r>
      <w:r w:rsidR="002A38D2" w:rsidRPr="002A38D2">
        <w:t xml:space="preserve">. The impact manifests as a structural </w:t>
      </w:r>
      <w:r w:rsidR="002A38D2" w:rsidRPr="00E63A74">
        <w:rPr>
          <w:b/>
        </w:rPr>
        <w:t>redistribution of the volume of notifications across time</w:t>
      </w:r>
      <w:r w:rsidR="002A38D2" w:rsidRPr="002A38D2">
        <w:t>, with cascading effects on staff effort, fees, and compliance cost.</w:t>
      </w:r>
    </w:p>
    <w:p w14:paraId="27F7F3BF" w14:textId="400CE6DD" w:rsidR="002A38D2" w:rsidRPr="002A38D2" w:rsidRDefault="00452668" w:rsidP="002A38D2">
      <w:r>
        <w:t>It is estimated</w:t>
      </w:r>
      <w:r w:rsidR="002A38D2" w:rsidRPr="002A38D2">
        <w:t xml:space="preserve"> that 70-80</w:t>
      </w:r>
      <w:r w:rsidR="006856C2">
        <w:t>%</w:t>
      </w:r>
      <w:r w:rsidR="002A38D2" w:rsidRPr="002A38D2">
        <w:t xml:space="preserve"> of VNRAs do not affect the SPC, labelling, or package leaflet. Absent broader survey data, adopting a sector-wide estimate of 75</w:t>
      </w:r>
      <w:r w:rsidR="006856C2">
        <w:t>%</w:t>
      </w:r>
      <w:r w:rsidR="002A38D2" w:rsidRPr="002A38D2">
        <w:t xml:space="preserve"> as a central assumption is reasonable, with sensitivity bounds of 65-85</w:t>
      </w:r>
      <w:r w:rsidR="006856C2">
        <w:t>%</w:t>
      </w:r>
      <w:r w:rsidR="002A38D2" w:rsidRPr="002A38D2">
        <w:t xml:space="preserve"> reflecting portfolio heterogeneity.</w:t>
      </w:r>
      <w:r w:rsidR="00C833B0">
        <w:t xml:space="preserve"> </w:t>
      </w:r>
      <w:r w:rsidR="002A38D2" w:rsidRPr="002A38D2">
        <w:t>This means that</w:t>
      </w:r>
      <w:r w:rsidR="00C825A0">
        <w:t xml:space="preserve">, with a conservative baseline of </w:t>
      </w:r>
      <w:r w:rsidR="002A38D2" w:rsidRPr="002A38D2">
        <w:t xml:space="preserve"> 42,500 annual VNRAs</w:t>
      </w:r>
      <w:r w:rsidR="00C825A0">
        <w:t xml:space="preserve"> per year,</w:t>
      </w:r>
      <w:r w:rsidR="002A38D2" w:rsidRPr="002A38D2">
        <w:t xml:space="preserve"> </w:t>
      </w:r>
      <w:r w:rsidR="00AE6482">
        <w:t xml:space="preserve"> </w:t>
      </w:r>
      <w:r w:rsidR="00C833B0">
        <w:t>, approximatively</w:t>
      </w:r>
      <w:r w:rsidR="002A38D2" w:rsidRPr="002A38D2">
        <w:rPr>
          <w:b/>
          <w:bCs/>
        </w:rPr>
        <w:t xml:space="preserve"> 10,625 VNRAs</w:t>
      </w:r>
      <w:r w:rsidR="002A38D2" w:rsidRPr="002A38D2">
        <w:t xml:space="preserve"> (25</w:t>
      </w:r>
      <w:r w:rsidR="006856C2">
        <w:t>%</w:t>
      </w:r>
      <w:r w:rsidR="002A38D2" w:rsidRPr="002A38D2">
        <w:t>) remain subject to the 30-day deadline (SPC/labelling changes)</w:t>
      </w:r>
      <w:r w:rsidR="00C833B0">
        <w:t xml:space="preserve"> and </w:t>
      </w:r>
      <w:r w:rsidR="002A38D2" w:rsidRPr="002A38D2">
        <w:rPr>
          <w:b/>
          <w:bCs/>
        </w:rPr>
        <w:t>31,875 VNRAs</w:t>
      </w:r>
      <w:r w:rsidR="002A38D2" w:rsidRPr="002A38D2">
        <w:t xml:space="preserve"> (75</w:t>
      </w:r>
      <w:r w:rsidR="006856C2">
        <w:t>%</w:t>
      </w:r>
      <w:r w:rsidR="002A38D2" w:rsidRPr="002A38D2">
        <w:t>) become eligible for annual reporting.</w:t>
      </w:r>
      <w:r w:rsidR="00C833B0">
        <w:t xml:space="preserve"> </w:t>
      </w:r>
      <w:r w:rsidR="00C833B0" w:rsidRPr="00E63A74">
        <w:rPr>
          <w:b/>
        </w:rPr>
        <w:t xml:space="preserve">Thus, </w:t>
      </w:r>
      <w:r w:rsidR="002A38D2" w:rsidRPr="00E63A74">
        <w:rPr>
          <w:b/>
        </w:rPr>
        <w:t>75</w:t>
      </w:r>
      <w:r w:rsidR="006856C2">
        <w:rPr>
          <w:b/>
          <w:bCs/>
        </w:rPr>
        <w:t>%</w:t>
      </w:r>
      <w:r w:rsidR="002A38D2" w:rsidRPr="00E63A74">
        <w:rPr>
          <w:b/>
        </w:rPr>
        <w:t xml:space="preserve"> of the volume migrates from continuous monthly submissions to consolidated periodic filings</w:t>
      </w:r>
      <w:r w:rsidR="002A38D2" w:rsidRPr="002A38D2">
        <w:t>.</w:t>
      </w:r>
    </w:p>
    <w:p w14:paraId="6E4EA7DF" w14:textId="6AA9E4C5" w:rsidR="002A38D2" w:rsidRPr="002A38D2" w:rsidRDefault="393530E8" w:rsidP="002A38D2">
      <w:pPr>
        <w:rPr>
          <w:b/>
          <w:bCs/>
        </w:rPr>
      </w:pPr>
      <w:r>
        <w:t xml:space="preserve">The UPD data shows 23,777 submissions for 185,662 VNRAs, yielding an average of approximately 7.8 VNRAs per submission. The batching enabled by the annual deadline will increase this ratio substantially </w:t>
      </w:r>
      <w:r w:rsidRPr="4E26AC25">
        <w:rPr>
          <w:b/>
          <w:bCs/>
        </w:rPr>
        <w:t>for the 75</w:t>
      </w:r>
      <w:r w:rsidR="006856C2">
        <w:rPr>
          <w:b/>
          <w:bCs/>
        </w:rPr>
        <w:t>%</w:t>
      </w:r>
      <w:r w:rsidRPr="4E26AC25">
        <w:rPr>
          <w:b/>
          <w:bCs/>
        </w:rPr>
        <w:t xml:space="preserve"> of VNRAs that qualify</w:t>
      </w:r>
      <w:r>
        <w:t xml:space="preserve">. If companies </w:t>
      </w:r>
      <w:r w:rsidDel="393530E8">
        <w:t>consolidate</w:t>
      </w:r>
      <w:r w:rsidR="00947660">
        <w:t xml:space="preserve"> VNRAs</w:t>
      </w:r>
      <w:r>
        <w:t xml:space="preserve"> </w:t>
      </w:r>
      <w:r w:rsidR="52FB55D1">
        <w:t>with no impact on product information</w:t>
      </w:r>
      <w:r>
        <w:t xml:space="preserve"> into 2 annual submission windows rather than continuous 30-day filings</w:t>
      </w:r>
      <w:r w:rsidR="1376C941">
        <w:t xml:space="preserve"> (with required 10-12 filing cycles per year)</w:t>
      </w:r>
      <w:r>
        <w:t xml:space="preserve">, </w:t>
      </w:r>
      <w:r w:rsidRPr="4E26AC25">
        <w:rPr>
          <w:b/>
          <w:bCs/>
        </w:rPr>
        <w:t>the number of discrete submission events for those VNRAs could fall by roughly 60-70%</w:t>
      </w:r>
      <w:r>
        <w:t>.</w:t>
      </w:r>
      <w:r w:rsidR="002A38D2" w:rsidRPr="002A38D2">
        <w:rPr>
          <w:rStyle w:val="FootnoteReference"/>
        </w:rPr>
        <w:footnoteReference w:id="137"/>
      </w:r>
      <w:r>
        <w:t xml:space="preserve"> </w:t>
      </w:r>
      <w:r w:rsidRPr="4E26AC25">
        <w:rPr>
          <w:b/>
          <w:bCs/>
        </w:rPr>
        <w:t>However, the 25</w:t>
      </w:r>
      <w:r w:rsidR="006856C2">
        <w:rPr>
          <w:b/>
          <w:bCs/>
        </w:rPr>
        <w:t>%</w:t>
      </w:r>
      <w:r w:rsidRPr="4E26AC25">
        <w:rPr>
          <w:b/>
          <w:bCs/>
        </w:rPr>
        <w:t xml:space="preserve"> of VNRAs still under the 30-day deadline continue to generate continuous submission events.</w:t>
      </w:r>
    </w:p>
    <w:p w14:paraId="5A8B0CC6" w14:textId="7DE5680E" w:rsidR="002A38D2" w:rsidRPr="001A4BD2" w:rsidRDefault="393530E8" w:rsidP="002A38D2">
      <w:r w:rsidRPr="001A4BD2">
        <w:t xml:space="preserve">Indicatively, at sector level, the total </w:t>
      </w:r>
      <w:r w:rsidRPr="001A4BD2">
        <w:rPr>
          <w:b/>
          <w:bCs/>
        </w:rPr>
        <w:t>number of submission events</w:t>
      </w:r>
      <w:r w:rsidRPr="001A4BD2">
        <w:t xml:space="preserve"> (currently approximately 6,100 per year, derived from the 23,777 over 3.9 years)</w:t>
      </w:r>
      <w:r w:rsidR="42FD2F2E" w:rsidRPr="001A4BD2">
        <w:t xml:space="preserve"> </w:t>
      </w:r>
      <w:r w:rsidR="42FD2F2E" w:rsidRPr="001A4BD2">
        <w:rPr>
          <w:b/>
          <w:bCs/>
        </w:rPr>
        <w:t xml:space="preserve">would </w:t>
      </w:r>
      <w:r w:rsidRPr="001A4BD2">
        <w:rPr>
          <w:b/>
          <w:bCs/>
        </w:rPr>
        <w:lastRenderedPageBreak/>
        <w:t>approximately</w:t>
      </w:r>
      <w:r w:rsidR="42FD2F2E" w:rsidRPr="001A4BD2">
        <w:rPr>
          <w:b/>
          <w:bCs/>
        </w:rPr>
        <w:t xml:space="preserve"> be</w:t>
      </w:r>
      <w:r w:rsidRPr="001A4BD2">
        <w:rPr>
          <w:b/>
          <w:bCs/>
        </w:rPr>
        <w:t xml:space="preserve"> 1,525 events for the 30-day cohort and 4,575 for the annual cohort</w:t>
      </w:r>
      <w:r w:rsidR="00DA5924" w:rsidRPr="001A4BD2">
        <w:rPr>
          <w:rStyle w:val="FootnoteReference"/>
          <w:b/>
          <w:bCs/>
        </w:rPr>
        <w:footnoteReference w:id="138"/>
      </w:r>
      <w:r w:rsidRPr="001A4BD2">
        <w:rPr>
          <w:b/>
          <w:bCs/>
        </w:rPr>
        <w:t>.</w:t>
      </w:r>
    </w:p>
    <w:p w14:paraId="4920B307" w14:textId="12BA53B4" w:rsidR="002A38D2" w:rsidRPr="001A4BD2" w:rsidRDefault="00DA5924" w:rsidP="002A38D2">
      <w:r w:rsidRPr="001A4BD2">
        <w:t>Thus, t</w:t>
      </w:r>
      <w:r w:rsidR="002A38D2" w:rsidRPr="001A4BD2">
        <w:t xml:space="preserve">he total number of submission events could decline by an estimated </w:t>
      </w:r>
      <w:r w:rsidR="002A38D2" w:rsidRPr="001A4BD2">
        <w:rPr>
          <w:b/>
          <w:bCs/>
        </w:rPr>
        <w:t>45-55</w:t>
      </w:r>
      <w:r w:rsidR="006856C2">
        <w:rPr>
          <w:b/>
          <w:bCs/>
        </w:rPr>
        <w:t>%</w:t>
      </w:r>
      <w:r w:rsidR="002A38D2" w:rsidRPr="001A4BD2">
        <w:t xml:space="preserve">, to approximately </w:t>
      </w:r>
      <w:r w:rsidR="002A38D2" w:rsidRPr="001A4BD2">
        <w:rPr>
          <w:b/>
        </w:rPr>
        <w:t>2,900-3,400 per year</w:t>
      </w:r>
      <w:r w:rsidR="002A38D2" w:rsidRPr="001A4BD2">
        <w:t>. This reduction represents a meaningful decrease in the frequency of UPD interactions.</w:t>
      </w:r>
    </w:p>
    <w:p w14:paraId="3754529A" w14:textId="795A9225" w:rsidR="00713713" w:rsidRPr="001A4BD2" w:rsidRDefault="67F18E62" w:rsidP="00AB5640">
      <w:pPr>
        <w:spacing w:after="270" w:line="270" w:lineRule="atLeast"/>
        <w:ind w:right="284"/>
        <w:rPr>
          <w:b/>
        </w:rPr>
      </w:pPr>
      <w:r w:rsidRPr="001A4BD2">
        <w:t>Based on a survey from an EU level trade association, e</w:t>
      </w:r>
      <w:r w:rsidR="393530E8" w:rsidRPr="001A4BD2">
        <w:t xml:space="preserve">ach VNRA </w:t>
      </w:r>
      <w:r w:rsidRPr="001A4BD2">
        <w:t xml:space="preserve">is estimated to cost </w:t>
      </w:r>
      <w:r w:rsidR="5296A0A7" w:rsidRPr="001A4BD2">
        <w:t>for marketing authorisation holder</w:t>
      </w:r>
      <w:r w:rsidR="393530E8" w:rsidRPr="001A4BD2">
        <w:t xml:space="preserve"> between 2 and 5+ hours of staff time. The aggregate per-MAH burden is estimated at 0.2 FTE per year (approximately 344 hours, assuming 1,722 hours per FTE</w:t>
      </w:r>
      <w:r w:rsidR="002A38D2" w:rsidRPr="001A4BD2">
        <w:rPr>
          <w:rStyle w:val="FootnoteReference"/>
        </w:rPr>
        <w:footnoteReference w:id="139"/>
      </w:r>
      <w:r w:rsidR="393530E8" w:rsidRPr="001A4BD2">
        <w:t>)</w:t>
      </w:r>
      <w:r w:rsidRPr="001A4BD2">
        <w:t>.</w:t>
      </w:r>
      <w:r w:rsidR="659ADFC8" w:rsidRPr="001A4BD2">
        <w:t xml:space="preserve"> </w:t>
      </w:r>
      <w:r w:rsidR="50159717" w:rsidRPr="001A4BD2">
        <w:rPr>
          <w:b/>
          <w:bCs/>
        </w:rPr>
        <w:t>Another EU level trade association</w:t>
      </w:r>
      <w:r w:rsidR="393530E8" w:rsidRPr="001A4BD2">
        <w:rPr>
          <w:b/>
          <w:bCs/>
        </w:rPr>
        <w:t xml:space="preserve"> estimated up to 20</w:t>
      </w:r>
      <w:r w:rsidR="006856C2">
        <w:rPr>
          <w:b/>
          <w:bCs/>
        </w:rPr>
        <w:t>%</w:t>
      </w:r>
      <w:r w:rsidR="393530E8" w:rsidRPr="001A4BD2">
        <w:rPr>
          <w:b/>
          <w:bCs/>
        </w:rPr>
        <w:t xml:space="preserve"> reduction in total man-hours through operational efficiencies gained from </w:t>
      </w:r>
      <w:r w:rsidR="24048F60" w:rsidRPr="001A4BD2">
        <w:rPr>
          <w:b/>
          <w:bCs/>
        </w:rPr>
        <w:t>the possibility to consolidate submissions of VNRAs over a period of time</w:t>
      </w:r>
      <w:r w:rsidR="393530E8" w:rsidRPr="001A4BD2">
        <w:t xml:space="preserve">. While the preparation work per VNRA persists, </w:t>
      </w:r>
      <w:r w:rsidR="2E0F107C" w:rsidRPr="001A4BD2">
        <w:t xml:space="preserve">the consolidation </w:t>
      </w:r>
      <w:r w:rsidR="393530E8" w:rsidRPr="001A4BD2">
        <w:t xml:space="preserve">would eliminate most of the repetitive overhead of individual UPD submission events. </w:t>
      </w:r>
      <w:r w:rsidR="393530E8" w:rsidRPr="001A4BD2">
        <w:rPr>
          <w:b/>
          <w:bCs/>
        </w:rPr>
        <w:t>Thus, a 10-20</w:t>
      </w:r>
      <w:r w:rsidR="006856C2">
        <w:rPr>
          <w:b/>
          <w:bCs/>
        </w:rPr>
        <w:t>%</w:t>
      </w:r>
      <w:r w:rsidR="393530E8" w:rsidRPr="001A4BD2">
        <w:rPr>
          <w:b/>
          <w:bCs/>
        </w:rPr>
        <w:t xml:space="preserve"> range is </w:t>
      </w:r>
      <w:r w:rsidR="236BD614" w:rsidRPr="001A4BD2">
        <w:rPr>
          <w:b/>
          <w:bCs/>
        </w:rPr>
        <w:t>estimated</w:t>
      </w:r>
      <w:r w:rsidR="393530E8" w:rsidRPr="001A4BD2">
        <w:rPr>
          <w:b/>
          <w:bCs/>
        </w:rPr>
        <w:t xml:space="preserve"> for efficiency gain from consolidated workflows</w:t>
      </w:r>
      <w:r w:rsidR="10422E4B" w:rsidRPr="001A4BD2">
        <w:rPr>
          <w:b/>
          <w:bCs/>
        </w:rPr>
        <w:t>, even if</w:t>
      </w:r>
      <w:r w:rsidR="393530E8" w:rsidRPr="001A4BD2">
        <w:rPr>
          <w:b/>
          <w:bCs/>
        </w:rPr>
        <w:t xml:space="preserve"> the substantive documentation effort is largely invariant.</w:t>
      </w:r>
      <w:r w:rsidR="236BD614" w:rsidRPr="001A4BD2">
        <w:rPr>
          <w:b/>
          <w:bCs/>
        </w:rPr>
        <w:t xml:space="preserve"> Based on a 15</w:t>
      </w:r>
      <w:r w:rsidR="006856C2">
        <w:rPr>
          <w:b/>
          <w:bCs/>
        </w:rPr>
        <w:t>%</w:t>
      </w:r>
      <w:r w:rsidR="236BD614" w:rsidRPr="001A4BD2">
        <w:rPr>
          <w:b/>
          <w:bCs/>
        </w:rPr>
        <w:t xml:space="preserve"> reduction, EUR 1.46 million per year in staff cost savings are estimated.</w:t>
      </w:r>
    </w:p>
    <w:p w14:paraId="781A16FA" w14:textId="365D6C15" w:rsidR="002A38D2" w:rsidRPr="002A38D2" w:rsidRDefault="00617F7B" w:rsidP="002A38D2">
      <w:r w:rsidRPr="001A4BD2">
        <w:t>Taking into account compounding</w:t>
      </w:r>
      <w:r w:rsidR="002A38D2" w:rsidRPr="00AB5640">
        <w:t xml:space="preserve"> growth drivers for 2025–2040 growth</w:t>
      </w:r>
      <w:r w:rsidRPr="00AB5640">
        <w:t xml:space="preserve">, </w:t>
      </w:r>
      <w:r w:rsidR="002A38D2" w:rsidRPr="00617F7B">
        <w:t>the</w:t>
      </w:r>
      <w:r w:rsidR="002A38D2" w:rsidRPr="002A38D2">
        <w:t xml:space="preserve"> </w:t>
      </w:r>
      <w:r w:rsidR="002A38D2" w:rsidRPr="002A38D2">
        <w:rPr>
          <w:rStyle w:val="Strong"/>
        </w:rPr>
        <w:t>present-value cumulative saving in real terms</w:t>
      </w:r>
      <w:r w:rsidR="002A38D2" w:rsidRPr="002A38D2">
        <w:t xml:space="preserve">: </w:t>
      </w:r>
      <w:r w:rsidR="002A38D2" w:rsidRPr="002A38D2">
        <w:rPr>
          <w:rStyle w:val="Strong"/>
        </w:rPr>
        <w:t>EUR 15-30 million over 2025–2040</w:t>
      </w:r>
      <w:r w:rsidR="002A38D2" w:rsidRPr="002A38D2">
        <w:t xml:space="preserve">, with a central estimate of </w:t>
      </w:r>
      <w:r w:rsidR="002A38D2" w:rsidRPr="002A38D2">
        <w:rPr>
          <w:rStyle w:val="Strong"/>
        </w:rPr>
        <w:t>EUR 22.5 million</w:t>
      </w:r>
      <w:r w:rsidR="002A38D2" w:rsidRPr="002A38D2">
        <w:t xml:space="preserve">. </w:t>
      </w:r>
    </w:p>
    <w:p w14:paraId="6ECE9BE3" w14:textId="53117757" w:rsidR="002A38D2" w:rsidRPr="002A38D2" w:rsidRDefault="4FC596D8" w:rsidP="002A38D2">
      <w:r>
        <w:t>Although the</w:t>
      </w:r>
      <w:r w:rsidR="393530E8">
        <w:t xml:space="preserve"> confirmatory assessment by competent authorities is the principal basis on which several Member States charge per-VNRA fees</w:t>
      </w:r>
      <w:r w:rsidR="5D764C91">
        <w:t xml:space="preserve">, </w:t>
      </w:r>
      <w:r w:rsidR="393530E8">
        <w:t xml:space="preserve">Member States </w:t>
      </w:r>
      <w:r w:rsidR="5D764C91">
        <w:t xml:space="preserve">can charge </w:t>
      </w:r>
      <w:r w:rsidR="393530E8">
        <w:t>administrative processing fees.</w:t>
      </w:r>
      <w:r w:rsidR="002A38D2" w:rsidRPr="002A38D2">
        <w:rPr>
          <w:rStyle w:val="FootnoteReference"/>
        </w:rPr>
        <w:footnoteReference w:id="140"/>
      </w:r>
      <w:r w:rsidR="393530E8">
        <w:t xml:space="preserve"> </w:t>
      </w:r>
      <w:r w:rsidR="1198DCAE">
        <w:t xml:space="preserve">It is thus assumed that </w:t>
      </w:r>
      <w:r w:rsidR="393530E8">
        <w:t>Member States currently charging explicit per-VNRA assessment-related fees will reduce or eliminate them, while those already embedding VNRAs in annual maintenance fees will no</w:t>
      </w:r>
      <w:r w:rsidR="1198DCAE">
        <w:t>t make</w:t>
      </w:r>
      <w:r w:rsidR="393530E8">
        <w:t xml:space="preserve"> change</w:t>
      </w:r>
      <w:r w:rsidR="1198DCAE">
        <w:t>s</w:t>
      </w:r>
      <w:r w:rsidR="393530E8">
        <w:t xml:space="preserve">. </w:t>
      </w:r>
      <w:r w:rsidR="1198DCAE">
        <w:t xml:space="preserve">Around </w:t>
      </w:r>
      <w:r w:rsidR="393530E8" w:rsidRPr="4E26AC25">
        <w:rPr>
          <w:b/>
          <w:bCs/>
        </w:rPr>
        <w:t>50</w:t>
      </w:r>
      <w:r w:rsidR="006856C2">
        <w:rPr>
          <w:b/>
          <w:bCs/>
        </w:rPr>
        <w:t>%</w:t>
      </w:r>
      <w:r w:rsidR="393530E8" w:rsidRPr="4E26AC25">
        <w:rPr>
          <w:b/>
          <w:bCs/>
        </w:rPr>
        <w:t xml:space="preserve"> of the EUR 5 million</w:t>
      </w:r>
      <w:r w:rsidR="393530E8">
        <w:t xml:space="preserve"> in fees is</w:t>
      </w:r>
      <w:r w:rsidR="1198DCAE">
        <w:t xml:space="preserve"> estimated to be</w:t>
      </w:r>
      <w:r w:rsidR="393530E8">
        <w:t xml:space="preserve"> attributable to the confirmatory step, th</w:t>
      </w:r>
      <w:r w:rsidR="1198DCAE">
        <w:t>us th</w:t>
      </w:r>
      <w:r w:rsidR="393530E8">
        <w:t xml:space="preserve">e potential fee reduction is approximately </w:t>
      </w:r>
      <w:r w:rsidR="393530E8" w:rsidRPr="4E26AC25">
        <w:rPr>
          <w:b/>
          <w:bCs/>
        </w:rPr>
        <w:t>EUR 2.5 million per year</w:t>
      </w:r>
      <w:r w:rsidR="393530E8">
        <w:t>.</w:t>
      </w:r>
    </w:p>
    <w:p w14:paraId="073F50F9" w14:textId="601C1EAB" w:rsidR="002A38D2" w:rsidRPr="002A38D2" w:rsidRDefault="00486F87" w:rsidP="002A38D2">
      <w:r>
        <w:t>As the</w:t>
      </w:r>
      <w:r w:rsidR="002A38D2" w:rsidRPr="002A38D2">
        <w:t xml:space="preserve"> </w:t>
      </w:r>
      <w:r w:rsidR="002A38D2" w:rsidRPr="002A38D2">
        <w:rPr>
          <w:b/>
          <w:bCs/>
        </w:rPr>
        <w:t>EMA</w:t>
      </w:r>
      <w:r>
        <w:t xml:space="preserve"> will need to</w:t>
      </w:r>
      <w:r w:rsidR="002A38D2" w:rsidRPr="002A38D2">
        <w:t xml:space="preserve"> adapt the UPD system to accommodate the bifurcated deadline and remove the approve/reject functionality for NCAs</w:t>
      </w:r>
      <w:r w:rsidRPr="000C3ABE">
        <w:rPr>
          <w:b/>
        </w:rPr>
        <w:t xml:space="preserve">, the cost of the EMA is estimated at </w:t>
      </w:r>
      <w:r w:rsidR="002A38D2" w:rsidRPr="00486F87">
        <w:rPr>
          <w:b/>
          <w:bCs/>
        </w:rPr>
        <w:t>EUR 150-300</w:t>
      </w:r>
      <w:r w:rsidR="00A03500">
        <w:rPr>
          <w:b/>
          <w:bCs/>
        </w:rPr>
        <w:t xml:space="preserve"> thousand</w:t>
      </w:r>
      <w:r w:rsidR="002A38D2" w:rsidRPr="000C3ABE">
        <w:rPr>
          <w:b/>
        </w:rPr>
        <w:t xml:space="preserve"> (3-6 months, 1 IT team), representing a one-off implementation cost.</w:t>
      </w:r>
      <w:r w:rsidR="002A38D2" w:rsidRPr="002A38D2">
        <w:t xml:space="preserve"> No recurring operational cost increase was identified.</w:t>
      </w:r>
    </w:p>
    <w:p w14:paraId="192965B9" w14:textId="4A43DC0E" w:rsidR="008607EF" w:rsidRPr="002A38D2" w:rsidRDefault="00F80163" w:rsidP="008607EF">
      <w:pPr>
        <w:rPr>
          <w:b/>
          <w:bCs/>
        </w:rPr>
      </w:pPr>
      <w:r w:rsidRPr="00AB5640">
        <w:t xml:space="preserve">On the </w:t>
      </w:r>
      <w:r w:rsidR="002A38D2" w:rsidRPr="00AB5640">
        <w:t>FTEs dedicated to the CTA process for GMO-VMPs</w:t>
      </w:r>
      <w:r w:rsidRPr="00AB5640">
        <w:t>, a</w:t>
      </w:r>
      <w:r w:rsidR="002A38D2" w:rsidRPr="002A38D2">
        <w:t xml:space="preserve"> standard CTA preparation and management cycle (6-12 months, midpoint ~9 months) engages a small regulatory affairs team. </w:t>
      </w:r>
      <w:r w:rsidR="00B2791F">
        <w:t>T</w:t>
      </w:r>
      <w:r w:rsidR="002A38D2" w:rsidRPr="002A38D2">
        <w:t xml:space="preserve">he GMO-specific FTE overhead </w:t>
      </w:r>
      <w:r w:rsidR="00BD1482">
        <w:t xml:space="preserve">is </w:t>
      </w:r>
      <w:r w:rsidR="00B2791F">
        <w:t>conservatively</w:t>
      </w:r>
      <w:r w:rsidR="00BD1482">
        <w:t xml:space="preserve"> estimated </w:t>
      </w:r>
      <w:r w:rsidR="002A38D2" w:rsidRPr="002A38D2">
        <w:t xml:space="preserve">at approximately </w:t>
      </w:r>
      <w:r w:rsidR="002A38D2" w:rsidRPr="002A38D2">
        <w:rPr>
          <w:b/>
          <w:bCs/>
        </w:rPr>
        <w:t>0.3-0.5 FTE-years per CTA application</w:t>
      </w:r>
      <w:r w:rsidR="002A38D2" w:rsidRPr="002A38D2">
        <w:t xml:space="preserve">, </w:t>
      </w:r>
      <w:r w:rsidR="002A38D2" w:rsidRPr="00AB5640">
        <w:rPr>
          <w:b/>
        </w:rPr>
        <w:t xml:space="preserve">representing roughly </w:t>
      </w:r>
      <w:r w:rsidR="002A38D2" w:rsidRPr="00BD1482">
        <w:rPr>
          <w:b/>
          <w:bCs/>
        </w:rPr>
        <w:t>15–25</w:t>
      </w:r>
      <w:r w:rsidR="006856C2">
        <w:rPr>
          <w:b/>
          <w:bCs/>
        </w:rPr>
        <w:t>%</w:t>
      </w:r>
      <w:r w:rsidR="002A38D2" w:rsidRPr="00AB5640">
        <w:rPr>
          <w:b/>
        </w:rPr>
        <w:t xml:space="preserve"> of total CTA effort</w:t>
      </w:r>
      <w:r w:rsidR="002A38D2" w:rsidRPr="002A38D2">
        <w:t xml:space="preserve">. This range accounts for the fact that the ERA data generation itself </w:t>
      </w:r>
      <w:r w:rsidR="002A38D2" w:rsidRPr="002A38D2">
        <w:lastRenderedPageBreak/>
        <w:t>(the most labour-intensive component) is retained, while the administrative duplication</w:t>
      </w:r>
      <w:r w:rsidR="002A38D2" w:rsidRPr="002A38D2" w:rsidDel="001559F3">
        <w:t xml:space="preserve"> </w:t>
      </w:r>
      <w:r w:rsidR="002A38D2" w:rsidRPr="002A38D2">
        <w:t>is eliminated.</w:t>
      </w:r>
      <w:r>
        <w:t xml:space="preserve"> </w:t>
      </w:r>
      <w:r w:rsidR="008607EF" w:rsidRPr="002A38D2">
        <w:t xml:space="preserve">By 2040, with an expanding pipeline and an estimated throughput of </w:t>
      </w:r>
      <w:r w:rsidR="008607EF" w:rsidRPr="002A38D2">
        <w:rPr>
          <w:b/>
          <w:bCs/>
        </w:rPr>
        <w:t>12-20 GMO-related CTA applications per year</w:t>
      </w:r>
      <w:r w:rsidR="008607EF" w:rsidRPr="002A38D2">
        <w:t xml:space="preserve"> (reflecting pipeline growth), the aggregate annual GMO-specific FTE burden would rise to approximately </w:t>
      </w:r>
      <w:r w:rsidR="008607EF" w:rsidRPr="002A38D2">
        <w:rPr>
          <w:b/>
          <w:bCs/>
        </w:rPr>
        <w:t>3.6-10 FTE</w:t>
      </w:r>
      <w:r w:rsidR="00E53182">
        <w:rPr>
          <w:b/>
          <w:bCs/>
        </w:rPr>
        <w:t>/</w:t>
      </w:r>
      <w:r w:rsidR="008607EF" w:rsidRPr="002A38D2">
        <w:rPr>
          <w:b/>
          <w:bCs/>
        </w:rPr>
        <w:t>year</w:t>
      </w:r>
      <w:r w:rsidR="008607EF" w:rsidRPr="002A38D2">
        <w:t xml:space="preserve">, or </w:t>
      </w:r>
      <w:r w:rsidR="008607EF" w:rsidRPr="002A38D2">
        <w:rPr>
          <w:b/>
          <w:bCs/>
        </w:rPr>
        <w:t>EUR 403,000-1,119,000</w:t>
      </w:r>
      <w:r w:rsidR="008607EF" w:rsidRPr="002A38D2">
        <w:t xml:space="preserve"> per year.</w:t>
      </w:r>
      <w:r w:rsidR="007426C9">
        <w:t xml:space="preserve"> Thus, </w:t>
      </w:r>
      <w:r>
        <w:t>c</w:t>
      </w:r>
      <w:r w:rsidR="008607EF" w:rsidRPr="002A38D2">
        <w:t xml:space="preserve">umulative over the 15-year projection period, assuming linear growth from current levels: approximately 45-130 FTE-years, or approximately </w:t>
      </w:r>
      <w:r w:rsidR="008607EF" w:rsidRPr="002A38D2">
        <w:rPr>
          <w:b/>
          <w:bCs/>
        </w:rPr>
        <w:t>EUR 5-14.5 million in total GMO-specific CTA administrative costs savings.</w:t>
      </w:r>
    </w:p>
    <w:p w14:paraId="7314B61B" w14:textId="7D521B67" w:rsidR="002A38D2" w:rsidRPr="002A38D2" w:rsidRDefault="00F80163" w:rsidP="002A38D2">
      <w:pPr>
        <w:rPr>
          <w:b/>
          <w:bCs/>
        </w:rPr>
      </w:pPr>
      <w:r w:rsidRPr="00AB5640">
        <w:t>The</w:t>
      </w:r>
      <w:r w:rsidRPr="00F80163">
        <w:rPr>
          <w:b/>
          <w:bCs/>
          <w:color w:val="3071C3" w:themeColor="text2" w:themeTint="BF"/>
        </w:rPr>
        <w:t xml:space="preserve"> </w:t>
      </w:r>
      <w:r w:rsidR="002A38D2" w:rsidRPr="00AB5640">
        <w:rPr>
          <w:b/>
          <w:bCs/>
        </w:rPr>
        <w:t>GMO-specific increment at the MA stage</w:t>
      </w:r>
      <w:r w:rsidR="002A38D2" w:rsidRPr="002A38D2">
        <w:t xml:space="preserve"> is much smaller than at the CTA stage</w:t>
      </w:r>
      <w:r>
        <w:t xml:space="preserve">. </w:t>
      </w:r>
      <w:r w:rsidR="00526233">
        <w:t>Based on the estimate that</w:t>
      </w:r>
      <w:r w:rsidR="002A38D2" w:rsidRPr="002A38D2">
        <w:t xml:space="preserve"> 1 full-time regulatory affairs specialist work</w:t>
      </w:r>
      <w:r w:rsidR="00526233">
        <w:t>in</w:t>
      </w:r>
      <w:r w:rsidR="002A38D2" w:rsidRPr="002A38D2">
        <w:t>g for 3 weeks per MA dossier, amount</w:t>
      </w:r>
      <w:r w:rsidR="00526233">
        <w:t>s</w:t>
      </w:r>
      <w:r w:rsidR="002A38D2" w:rsidRPr="002A38D2">
        <w:t xml:space="preserve"> to ~108 hours or ~0.06 FTE-year</w:t>
      </w:r>
      <w:r w:rsidR="00125DF5">
        <w:t xml:space="preserve">, leading to a </w:t>
      </w:r>
      <w:r w:rsidR="002A38D2" w:rsidRPr="002A38D2">
        <w:rPr>
          <w:b/>
          <w:bCs/>
        </w:rPr>
        <w:t xml:space="preserve">cost saving of approximately EUR 7,000 per MA dossier/application. </w:t>
      </w:r>
    </w:p>
    <w:p w14:paraId="189C9ACA" w14:textId="285DD470" w:rsidR="002A38D2" w:rsidRDefault="00551368" w:rsidP="002A38D2">
      <w:r>
        <w:rPr>
          <w:b/>
          <w:bCs/>
        </w:rPr>
        <w:t>With an estimated</w:t>
      </w:r>
      <w:r w:rsidR="002A38D2" w:rsidRPr="002A38D2">
        <w:t xml:space="preserve"> </w:t>
      </w:r>
      <w:r w:rsidR="002A38D2" w:rsidRPr="002A38D2">
        <w:rPr>
          <w:b/>
          <w:bCs/>
        </w:rPr>
        <w:t>3-5 MA applications</w:t>
      </w:r>
      <w:r w:rsidR="002A38D2" w:rsidRPr="002A38D2">
        <w:rPr>
          <w:b/>
        </w:rPr>
        <w:t xml:space="preserve"> per year</w:t>
      </w:r>
      <w:r>
        <w:t xml:space="preserve"> and </w:t>
      </w:r>
      <w:r w:rsidR="002A38D2" w:rsidRPr="002A38D2">
        <w:t xml:space="preserve">assuming moderate growth </w:t>
      </w:r>
      <w:r>
        <w:t>yielding</w:t>
      </w:r>
      <w:r w:rsidR="002A38D2" w:rsidRPr="002A38D2">
        <w:t xml:space="preserve"> approximately </w:t>
      </w:r>
      <w:r w:rsidR="002A38D2" w:rsidRPr="002A38D2">
        <w:rPr>
          <w:b/>
          <w:bCs/>
        </w:rPr>
        <w:t>5-8 GMO-containing MA applications per year by 2040</w:t>
      </w:r>
      <w:r>
        <w:t xml:space="preserve">, the </w:t>
      </w:r>
      <w:r w:rsidR="002A38D2" w:rsidRPr="002A38D2">
        <w:t xml:space="preserve">cumulative total of approximately </w:t>
      </w:r>
      <w:r w:rsidR="002A38D2" w:rsidRPr="002A38D2">
        <w:rPr>
          <w:b/>
          <w:bCs/>
        </w:rPr>
        <w:t>80 GMO-containing MA applications</w:t>
      </w:r>
      <w:r w:rsidR="002A38D2" w:rsidRPr="002A38D2">
        <w:t xml:space="preserve">, corresponding to a cumulative sector-wide saving of approximately </w:t>
      </w:r>
      <w:r w:rsidR="002A38D2" w:rsidRPr="002A38D2">
        <w:rPr>
          <w:b/>
          <w:bCs/>
        </w:rPr>
        <w:t>EUR 560</w:t>
      </w:r>
      <w:r w:rsidR="00154027">
        <w:rPr>
          <w:b/>
          <w:bCs/>
        </w:rPr>
        <w:t xml:space="preserve"> thousand</w:t>
      </w:r>
      <w:r w:rsidR="002A38D2" w:rsidRPr="002A38D2">
        <w:t xml:space="preserve"> in eliminated duplicative dossier preparation costs. </w:t>
      </w:r>
    </w:p>
    <w:p w14:paraId="4AEB00E3" w14:textId="39E93601" w:rsidR="002A38D2" w:rsidRPr="004570F2" w:rsidRDefault="002A38D2" w:rsidP="00AB5640">
      <w:pPr>
        <w:rPr>
          <w:b/>
        </w:rPr>
      </w:pPr>
      <w:bookmarkStart w:id="279" w:name="_Toc224214858"/>
      <w:r w:rsidRPr="004570F2">
        <w:rPr>
          <w:b/>
        </w:rPr>
        <w:t>Competitiveness, trade and investment flows</w:t>
      </w:r>
      <w:bookmarkEnd w:id="279"/>
    </w:p>
    <w:p w14:paraId="54D3E6CA" w14:textId="7A6EA543" w:rsidR="002A38D2" w:rsidRPr="002A38D2" w:rsidRDefault="0E54EFD2" w:rsidP="002A38D2">
      <w:r>
        <w:t>On the biotechnology-derived VMPs awarded SPC extensions</w:t>
      </w:r>
      <w:r w:rsidR="1C824A0D">
        <w:t xml:space="preserve">, a forward-looking estimate is </w:t>
      </w:r>
      <w:r w:rsidR="1C824A0D" w:rsidRPr="043522AD">
        <w:rPr>
          <w:b/>
          <w:bCs/>
        </w:rPr>
        <w:t>an average of 3 eligible products per year over 2026-2040</w:t>
      </w:r>
      <w:r w:rsidR="1C824A0D">
        <w:t>. It is based on</w:t>
      </w:r>
      <w:r w:rsidR="0EE90B4F">
        <w:t xml:space="preserve"> the retrospective eligibility analysis (8 out of 28 over 16 years ≈ 2/year</w:t>
      </w:r>
      <w:r w:rsidR="3EC2448A">
        <w:t>) and</w:t>
      </w:r>
      <w:r w:rsidR="0EE90B4F">
        <w:t xml:space="preserve"> adjust</w:t>
      </w:r>
      <w:r w:rsidR="1C824A0D">
        <w:t>ed</w:t>
      </w:r>
      <w:r w:rsidR="0EE90B4F">
        <w:t xml:space="preserve"> upward modestly to reflect the growing share of biotech vaccines in the pipeline</w:t>
      </w:r>
      <w:r w:rsidR="1C824A0D">
        <w:t xml:space="preserve">. </w:t>
      </w:r>
      <w:r w:rsidR="0EE90B4F">
        <w:t>The commercial benefit of an additional 12 months of SPC duration depends on whether biosimilar  competition would otherwise materialise immediately upon expiry. At T0, no veterinary biosimilars have been authorized. Therefore</w:t>
      </w:r>
      <w:r w:rsidR="0EE90B4F" w:rsidRPr="043522AD">
        <w:rPr>
          <w:b/>
          <w:bCs/>
        </w:rPr>
        <w:t>, the marginal revenue preserved by the extension is, for all practical purposes, close to zero in the short to medium term.</w:t>
      </w:r>
      <w:r w:rsidR="7DB12F2F" w:rsidRPr="043522AD">
        <w:rPr>
          <w:b/>
          <w:bCs/>
        </w:rPr>
        <w:t xml:space="preserve"> </w:t>
      </w:r>
      <w:r w:rsidR="0EE90B4F">
        <w:t xml:space="preserve">Under the forward-looking scenario in which veterinary biosimilar competition begins to materialise by the mid-2030s, the narrow pool of eligible products and the fact that data protection typically outlasts patent/SPC terms </w:t>
      </w:r>
      <w:r w:rsidR="0EE90B4F" w:rsidRPr="043522AD">
        <w:rPr>
          <w:b/>
          <w:bCs/>
        </w:rPr>
        <w:t xml:space="preserve">mean the number of cases where the 12-month extension is the binding margin of protection would be </w:t>
      </w:r>
      <w:r w:rsidR="752646B7" w:rsidRPr="043522AD">
        <w:rPr>
          <w:b/>
          <w:bCs/>
        </w:rPr>
        <w:t>very</w:t>
      </w:r>
      <w:r w:rsidR="0EE90B4F" w:rsidRPr="043522AD">
        <w:rPr>
          <w:b/>
          <w:bCs/>
        </w:rPr>
        <w:t xml:space="preserve"> small</w:t>
      </w:r>
      <w:r w:rsidR="0EE90B4F">
        <w:t>.</w:t>
      </w:r>
    </w:p>
    <w:p w14:paraId="6049C92B" w14:textId="01C6E1D9" w:rsidR="002A38D2" w:rsidRPr="002A38D2" w:rsidRDefault="009619D0" w:rsidP="002A38D2">
      <w:r w:rsidRPr="00AB5640">
        <w:t>In terms of costs,</w:t>
      </w:r>
      <w:r>
        <w:rPr>
          <w:b/>
          <w:bCs/>
        </w:rPr>
        <w:t xml:space="preserve"> </w:t>
      </w:r>
      <w:r w:rsidRPr="00AB5640">
        <w:t>the</w:t>
      </w:r>
      <w:r w:rsidR="002A38D2" w:rsidRPr="002A38D2">
        <w:t xml:space="preserve"> measure creates </w:t>
      </w:r>
      <w:r w:rsidR="002A38D2" w:rsidRPr="00AB5640">
        <w:rPr>
          <w:b/>
        </w:rPr>
        <w:t xml:space="preserve">a modest new </w:t>
      </w:r>
      <w:r w:rsidR="53EAE48E" w:rsidRPr="392F8BC2">
        <w:rPr>
          <w:b/>
          <w:bCs/>
        </w:rPr>
        <w:t xml:space="preserve">tasks </w:t>
      </w:r>
      <w:r w:rsidR="002A38D2" w:rsidRPr="00AB5640">
        <w:rPr>
          <w:b/>
        </w:rPr>
        <w:t>for EMA</w:t>
      </w:r>
      <w:r w:rsidR="002A38D2" w:rsidRPr="002A38D2">
        <w:t xml:space="preserve"> </w:t>
      </w:r>
      <w:r w:rsidR="002A38D2" w:rsidRPr="002A38D2" w:rsidDel="00154027">
        <w:t>(</w:t>
      </w:r>
      <w:r w:rsidR="00154027" w:rsidRPr="002A38D2">
        <w:t>eligibility</w:t>
      </w:r>
      <w:r w:rsidR="002A38D2" w:rsidRPr="002A38D2">
        <w:t xml:space="preserve"> statements </w:t>
      </w:r>
      <w:r w:rsidR="002A38D2">
        <w:t>as</w:t>
      </w:r>
      <w:r w:rsidR="23572AC3">
        <w:t xml:space="preserve">sessment </w:t>
      </w:r>
      <w:r w:rsidR="002A38D2" w:rsidRPr="002A38D2">
        <w:t xml:space="preserve">as part of the MA procedure) </w:t>
      </w:r>
      <w:r w:rsidR="002A38D2" w:rsidRPr="00AB5640">
        <w:rPr>
          <w:b/>
        </w:rPr>
        <w:t>and for national patent offices</w:t>
      </w:r>
      <w:r w:rsidR="002A38D2" w:rsidRPr="002A38D2">
        <w:t xml:space="preserve"> (processing the extended SPC applications). Given the very low volume, these costs are negligible in aggregate. </w:t>
      </w:r>
    </w:p>
    <w:p w14:paraId="1DC264E5" w14:textId="2A76FB61" w:rsidR="002A38D2" w:rsidRPr="002A38D2" w:rsidRDefault="002A38D2" w:rsidP="00AB5640">
      <w:r w:rsidRPr="002A38D2">
        <w:t>Therefore, the impact of this measure is not appropriately captured through quantification of direct commercial or cost effects, because the primary function of the SPC extension is not to deliver measurable near-term revenue protection but to serve three signalling and future-proofing purposes</w:t>
      </w:r>
      <w:r w:rsidR="009619D0">
        <w:t xml:space="preserve">. </w:t>
      </w:r>
      <w:r w:rsidR="009619D0" w:rsidRPr="00AB5640">
        <w:t>First,</w:t>
      </w:r>
      <w:r w:rsidRPr="00D22808">
        <w:t xml:space="preserve"> </w:t>
      </w:r>
      <w:r w:rsidR="00F528E1">
        <w:t>t</w:t>
      </w:r>
      <w:r w:rsidRPr="009619D0">
        <w:t>he</w:t>
      </w:r>
      <w:r w:rsidRPr="002A38D2">
        <w:t xml:space="preserve"> measure </w:t>
      </w:r>
      <w:r w:rsidR="003A6307">
        <w:t>serves as</w:t>
      </w:r>
      <w:r w:rsidR="009619D0">
        <w:t xml:space="preserve"> a </w:t>
      </w:r>
      <w:r w:rsidR="009619D0" w:rsidRPr="00AB5640">
        <w:rPr>
          <w:b/>
          <w:bCs/>
        </w:rPr>
        <w:t>signal on the</w:t>
      </w:r>
      <w:r w:rsidRPr="00AB5640">
        <w:rPr>
          <w:b/>
        </w:rPr>
        <w:t xml:space="preserve"> EU institutional commitment to veterinary biotechnology innovation addressing zoonotic diseases</w:t>
      </w:r>
      <w:r w:rsidRPr="002A38D2">
        <w:t>, potentially influencing long-term R&amp;D allocation decisions at the margin.</w:t>
      </w:r>
      <w:r w:rsidR="009619D0">
        <w:t xml:space="preserve"> Second, </w:t>
      </w:r>
      <w:r w:rsidR="00F424BF" w:rsidRPr="00AB5640">
        <w:rPr>
          <w:b/>
        </w:rPr>
        <w:t xml:space="preserve">the measure is expected to make the </w:t>
      </w:r>
      <w:r w:rsidR="00F424BF" w:rsidRPr="00AB5640">
        <w:rPr>
          <w:b/>
          <w:bCs/>
        </w:rPr>
        <w:t>legi</w:t>
      </w:r>
      <w:r w:rsidR="00B44624" w:rsidRPr="00AB5640">
        <w:rPr>
          <w:b/>
          <w:bCs/>
        </w:rPr>
        <w:t>slation future-proof</w:t>
      </w:r>
      <w:r w:rsidR="00B44624">
        <w:t>.</w:t>
      </w:r>
      <w:r w:rsidRPr="002A38D2">
        <w:t xml:space="preserve"> Should veterinary biosimilar competition eventually materialise, the mechanism would already be in place.</w:t>
      </w:r>
      <w:r w:rsidR="003A6307">
        <w:t xml:space="preserve"> Third, </w:t>
      </w:r>
      <w:r w:rsidR="00EA08AC">
        <w:t>t</w:t>
      </w:r>
      <w:r w:rsidRPr="002A38D2">
        <w:t xml:space="preserve">he requirement that at least one manufacturing step be performed in the Union introduces </w:t>
      </w:r>
      <w:r w:rsidRPr="00AB5640">
        <w:rPr>
          <w:b/>
        </w:rPr>
        <w:t xml:space="preserve">an </w:t>
      </w:r>
      <w:r w:rsidRPr="00AB5640">
        <w:rPr>
          <w:b/>
        </w:rPr>
        <w:lastRenderedPageBreak/>
        <w:t>explicit industrial policy lever</w:t>
      </w:r>
      <w:r w:rsidRPr="002A38D2">
        <w:t>. However, stakeholders indicated that manufacturing location decisions are dominated by existing capacity, and the marginal influence of an additional 12 months of SPC on site selection is very limited.</w:t>
      </w:r>
    </w:p>
    <w:p w14:paraId="45A56268" w14:textId="6D495FC9" w:rsidR="002A38D2" w:rsidRPr="002A38D2" w:rsidRDefault="00F674F6" w:rsidP="002A38D2">
      <w:r>
        <w:t xml:space="preserve">As a </w:t>
      </w:r>
      <w:r w:rsidR="002A38D2" w:rsidRPr="002A38D2">
        <w:t>conclusion</w:t>
      </w:r>
      <w:r>
        <w:t>,</w:t>
      </w:r>
      <w:r w:rsidR="002A38D2" w:rsidRPr="002A38D2">
        <w:t xml:space="preserve"> Measure 2 is a very low-cost, low to medium impact instrument whose principal value lies in its signalling and institutional-readiness functions (medium- to long-term) rather than in any quantifiable near-term economic effect.</w:t>
      </w:r>
    </w:p>
    <w:p w14:paraId="74BD18FA" w14:textId="77777777" w:rsidR="002A38D2" w:rsidRPr="004570F2" w:rsidRDefault="002A38D2" w:rsidP="00AB5640">
      <w:pPr>
        <w:rPr>
          <w:b/>
        </w:rPr>
      </w:pPr>
      <w:bookmarkStart w:id="280" w:name="_Toc224214859"/>
      <w:r w:rsidRPr="004570F2">
        <w:rPr>
          <w:b/>
        </w:rPr>
        <w:t>Innovation and research</w:t>
      </w:r>
      <w:bookmarkEnd w:id="280"/>
    </w:p>
    <w:p w14:paraId="7EF8D37D" w14:textId="45D2E187" w:rsidR="000D2008" w:rsidRDefault="000D2008" w:rsidP="000D2008">
      <w:pPr>
        <w:rPr>
          <w:b/>
          <w:bCs/>
        </w:rPr>
      </w:pPr>
      <w:r>
        <w:t>Although</w:t>
      </w:r>
      <w:r w:rsidR="002A38D2" w:rsidRPr="002A38D2">
        <w:t xml:space="preserve"> </w:t>
      </w:r>
      <w:r w:rsidR="005B1EC8" w:rsidRPr="00AB5640">
        <w:rPr>
          <w:b/>
          <w:bCs/>
        </w:rPr>
        <w:t>m</w:t>
      </w:r>
      <w:r w:rsidR="002A38D2" w:rsidRPr="005B1EC8">
        <w:rPr>
          <w:b/>
          <w:bCs/>
        </w:rPr>
        <w:t>easure</w:t>
      </w:r>
      <w:r w:rsidR="002A38D2" w:rsidRPr="002A38D2">
        <w:rPr>
          <w:b/>
          <w:bCs/>
        </w:rPr>
        <w:t xml:space="preserve"> 1 is not expected to increase the number of GMO-containing VMPs </w:t>
      </w:r>
      <w:r w:rsidR="22404201" w:rsidRPr="4B251C8E">
        <w:rPr>
          <w:b/>
          <w:bCs/>
        </w:rPr>
        <w:t xml:space="preserve">marketed </w:t>
      </w:r>
      <w:r w:rsidR="002A38D2" w:rsidRPr="002A38D2">
        <w:rPr>
          <w:b/>
          <w:bCs/>
        </w:rPr>
        <w:t>in the EU</w:t>
      </w:r>
      <w:r w:rsidR="638237D5" w:rsidRPr="4760DEE4">
        <w:rPr>
          <w:b/>
          <w:bCs/>
        </w:rPr>
        <w:t xml:space="preserve">, it is expected to </w:t>
      </w:r>
      <w:r w:rsidR="3C02EB48" w:rsidRPr="16D54E17">
        <w:rPr>
          <w:b/>
          <w:bCs/>
        </w:rPr>
        <w:t>lead</w:t>
      </w:r>
      <w:r w:rsidR="638237D5" w:rsidRPr="16D54E17">
        <w:rPr>
          <w:b/>
          <w:bCs/>
        </w:rPr>
        <w:t xml:space="preserve"> </w:t>
      </w:r>
      <w:r w:rsidR="3C02EB48" w:rsidRPr="16D54E17">
        <w:rPr>
          <w:b/>
          <w:bCs/>
        </w:rPr>
        <w:t>to</w:t>
      </w:r>
      <w:r w:rsidR="638237D5" w:rsidRPr="4760DEE4">
        <w:rPr>
          <w:b/>
          <w:bCs/>
        </w:rPr>
        <w:t xml:space="preserve"> benefits in terms of research activities conducted in the Union.</w:t>
      </w:r>
      <w:r>
        <w:rPr>
          <w:b/>
          <w:bCs/>
        </w:rPr>
        <w:t xml:space="preserve"> </w:t>
      </w:r>
    </w:p>
    <w:p w14:paraId="3B9499CD" w14:textId="321AE240" w:rsidR="002A38D2" w:rsidRPr="00AB5640" w:rsidRDefault="000D2008" w:rsidP="00AB5640">
      <w:pPr>
        <w:rPr>
          <w:b/>
          <w:u w:val="single"/>
        </w:rPr>
      </w:pPr>
      <w:r>
        <w:t>S</w:t>
      </w:r>
      <w:r w:rsidR="002A38D2" w:rsidRPr="000D2008">
        <w:t>takeholder</w:t>
      </w:r>
      <w:r w:rsidR="002A38D2" w:rsidRPr="002A38D2">
        <w:t xml:space="preserve"> consultations indicate</w:t>
      </w:r>
      <w:r w:rsidR="006F23AF">
        <w:t xml:space="preserve"> </w:t>
      </w:r>
      <w:r w:rsidR="002A38D2" w:rsidRPr="002A38D2">
        <w:t xml:space="preserve">that no additional GMO-containing VMPs are likely to reach the market over the next 15 years as a direct result of this change, because the current authorisation pathway does not </w:t>
      </w:r>
      <w:r w:rsidR="73BA9B50">
        <w:t>prevent</w:t>
      </w:r>
      <w:r w:rsidR="002A38D2" w:rsidRPr="002A38D2">
        <w:t xml:space="preserve"> authorisation outcomes</w:t>
      </w:r>
      <w:r w:rsidR="002A38D2">
        <w:t>.</w:t>
      </w:r>
      <w:r w:rsidR="002A38D2" w:rsidRPr="002A38D2">
        <w:t xml:space="preserve"> </w:t>
      </w:r>
      <w:r w:rsidR="006F23AF">
        <w:t>T</w:t>
      </w:r>
      <w:r w:rsidR="002A38D2" w:rsidRPr="002A38D2">
        <w:t>he dual-track system has never generated a negative opinion on the GMO component of any VMP.</w:t>
      </w:r>
      <w:r w:rsidR="006F23AF">
        <w:t xml:space="preserve"> </w:t>
      </w:r>
      <w:r>
        <w:t>Furthermore</w:t>
      </w:r>
      <w:r w:rsidR="002A38D2" w:rsidRPr="002A38D2">
        <w:t xml:space="preserve">, the pipeline growth rate is </w:t>
      </w:r>
      <w:r w:rsidR="00CE0E96">
        <w:t xml:space="preserve">primarily </w:t>
      </w:r>
      <w:r w:rsidR="002A38D2" w:rsidRPr="002A38D2">
        <w:t>driven by scientific and technological imperatives and by market demand</w:t>
      </w:r>
      <w:r>
        <w:t xml:space="preserve">, which </w:t>
      </w:r>
      <w:r w:rsidR="002A38D2" w:rsidRPr="002A38D2">
        <w:t xml:space="preserve">are exogenous </w:t>
      </w:r>
      <w:r>
        <w:t xml:space="preserve">drivers </w:t>
      </w:r>
      <w:r w:rsidR="002A38D2" w:rsidRPr="002A38D2">
        <w:t>to the reform.</w:t>
      </w:r>
      <w:r w:rsidR="00901959">
        <w:t xml:space="preserve"> </w:t>
      </w:r>
      <w:r w:rsidRPr="00AB5640">
        <w:t>Some</w:t>
      </w:r>
      <w:r w:rsidR="00445FF4" w:rsidRPr="00AB5640">
        <w:t xml:space="preserve"> indirect</w:t>
      </w:r>
      <w:r w:rsidR="0D4DF794" w:rsidRPr="00AB5640">
        <w:t xml:space="preserve"> benefits are</w:t>
      </w:r>
      <w:r w:rsidRPr="00AB5640">
        <w:t xml:space="preserve"> nevertheless</w:t>
      </w:r>
      <w:r w:rsidR="0D4DF794" w:rsidRPr="00AB5640">
        <w:t xml:space="preserve"> expected</w:t>
      </w:r>
      <w:r w:rsidRPr="00AB5640">
        <w:t>. First, f</w:t>
      </w:r>
      <w:r w:rsidR="002A38D2" w:rsidRPr="000D2008">
        <w:t>or</w:t>
      </w:r>
      <w:r w:rsidR="002A38D2" w:rsidRPr="002A38D2">
        <w:t xml:space="preserve"> smaller developers with constrained budgets, </w:t>
      </w:r>
      <w:r w:rsidR="002A38D2" w:rsidRPr="00AB5640">
        <w:rPr>
          <w:b/>
        </w:rPr>
        <w:t>the cumulative effect of reduced procedural costs and improved timeline predictability could</w:t>
      </w:r>
      <w:r w:rsidR="0042696B">
        <w:rPr>
          <w:b/>
        </w:rPr>
        <w:t xml:space="preserve"> </w:t>
      </w:r>
      <w:r w:rsidR="002A38D2" w:rsidRPr="00AB5640">
        <w:rPr>
          <w:b/>
        </w:rPr>
        <w:t>tip individual investment decisions</w:t>
      </w:r>
      <w:r w:rsidR="002A38D2" w:rsidRPr="002A38D2">
        <w:t xml:space="preserve">. </w:t>
      </w:r>
      <w:r>
        <w:t>T</w:t>
      </w:r>
      <w:r w:rsidR="002A38D2" w:rsidRPr="002A38D2">
        <w:t xml:space="preserve">his effect </w:t>
      </w:r>
      <w:r w:rsidR="007B079D">
        <w:t>cannot be q</w:t>
      </w:r>
      <w:r w:rsidR="002A38D2" w:rsidRPr="002A38D2">
        <w:t>uantifi</w:t>
      </w:r>
      <w:r w:rsidR="007B079D">
        <w:t>ed as</w:t>
      </w:r>
      <w:r w:rsidR="002A38D2" w:rsidRPr="002A38D2">
        <w:t xml:space="preserve"> it concerns projects that do not yet exist and whose existence would depend on firm-specific financial conditions. </w:t>
      </w:r>
      <w:r w:rsidR="00962F7A">
        <w:t xml:space="preserve">Second, </w:t>
      </w:r>
      <w:r w:rsidR="00307083" w:rsidRPr="00AB5640">
        <w:rPr>
          <w:u w:val="single"/>
        </w:rPr>
        <w:t>t</w:t>
      </w:r>
      <w:r w:rsidR="002A38D2" w:rsidRPr="00307083">
        <w:t xml:space="preserve">he </w:t>
      </w:r>
      <w:r w:rsidR="002A38D2" w:rsidRPr="002A38D2">
        <w:t xml:space="preserve">reform may </w:t>
      </w:r>
      <w:r w:rsidR="00307083" w:rsidRPr="00307083">
        <w:t>lead</w:t>
      </w:r>
      <w:r w:rsidR="002A38D2" w:rsidRPr="002A38D2">
        <w:t xml:space="preserve"> products already in the pipeline to progress faster (captured under Indicators 1 and 4</w:t>
      </w:r>
      <w:r w:rsidR="002A38D2" w:rsidRPr="00307083">
        <w:t>)</w:t>
      </w:r>
      <w:r w:rsidR="002A38D2" w:rsidRPr="002A38D2">
        <w:t>.</w:t>
      </w:r>
    </w:p>
    <w:p w14:paraId="66C109D5" w14:textId="4622CB84" w:rsidR="002A38D2" w:rsidRPr="002A38D2" w:rsidRDefault="1830F9C6" w:rsidP="002A38D2">
      <w:r>
        <w:t>Moreover</w:t>
      </w:r>
      <w:r w:rsidR="3481395F">
        <w:t xml:space="preserve">, the key </w:t>
      </w:r>
      <w:r w:rsidR="2C3C985D">
        <w:t xml:space="preserve">expected </w:t>
      </w:r>
      <w:r w:rsidR="3481395F">
        <w:t xml:space="preserve">benefit </w:t>
      </w:r>
      <w:r w:rsidR="6BA48503">
        <w:t>is to incentivise research activit</w:t>
      </w:r>
      <w:r w:rsidR="67F24263">
        <w:t>ies</w:t>
      </w:r>
      <w:r w:rsidR="6BA48503">
        <w:t xml:space="preserve"> in the Union</w:t>
      </w:r>
      <w:r w:rsidR="38D8AAD2">
        <w:t>, avoiding that the conduct of clin</w:t>
      </w:r>
      <w:r w:rsidR="00307083">
        <w:t>i</w:t>
      </w:r>
      <w:r w:rsidR="38D8AAD2">
        <w:t xml:space="preserve">cal trials with GMO VMPs is moved to outside the Union to </w:t>
      </w:r>
      <w:r w:rsidR="1865C15F">
        <w:t>avoid</w:t>
      </w:r>
      <w:r w:rsidR="38D8AAD2">
        <w:t xml:space="preserve"> the heavy regulatory framework.</w:t>
      </w:r>
      <w:r w:rsidR="3481395F">
        <w:t xml:space="preserve"> </w:t>
      </w:r>
      <w:r w:rsidR="002A38D2" w:rsidRPr="002A38D2">
        <w:t xml:space="preserve">This is not a hypothetical risk but an observed pattern: </w:t>
      </w:r>
      <w:r w:rsidR="002A38D2" w:rsidRPr="00AB5640">
        <w:rPr>
          <w:b/>
        </w:rPr>
        <w:t>regulatory complexity does not suppress innovation globally; it displaces it geographically</w:t>
      </w:r>
      <w:r w:rsidR="002A38D2" w:rsidRPr="002A38D2">
        <w:t xml:space="preserve">. </w:t>
      </w:r>
      <w:r w:rsidR="004E1794">
        <w:t>This risk would lead</w:t>
      </w:r>
      <w:r w:rsidR="002A38D2" w:rsidRPr="002A38D2">
        <w:t xml:space="preserve"> the Union </w:t>
      </w:r>
      <w:r w:rsidR="004E1794">
        <w:t>to</w:t>
      </w:r>
      <w:r w:rsidR="002A38D2" w:rsidRPr="002A38D2">
        <w:t xml:space="preserve"> become a recipient rather than an originator of next-generation veterinary biotechnology. </w:t>
      </w:r>
      <w:r w:rsidR="004E1794" w:rsidRPr="00AB5640">
        <w:rPr>
          <w:b/>
        </w:rPr>
        <w:t>P</w:t>
      </w:r>
      <w:r w:rsidR="002A38D2" w:rsidRPr="00AB5640">
        <w:rPr>
          <w:b/>
        </w:rPr>
        <w:t>roducts developed under non-EU regulatory frameworks are typically launched first in the jurisdictions where they were developed and trialled</w:t>
      </w:r>
      <w:r w:rsidR="002A38D2" w:rsidRPr="002A38D2">
        <w:t>, meaning that EU farmers and veterinarians gain access to critically needed innovations, particularly during zoonotic disease outbreaks, later than their counterparts in competing markets, with direct implications for outbreak response capacity and One Health preparedness.</w:t>
      </w:r>
    </w:p>
    <w:p w14:paraId="2B7D55CC" w14:textId="067C891C" w:rsidR="002A38D2" w:rsidRPr="002A38D2" w:rsidRDefault="007D3727" w:rsidP="007D3727">
      <w:r>
        <w:t>On the impact of the</w:t>
      </w:r>
      <w:r w:rsidR="002A38D2" w:rsidRPr="002A38D2">
        <w:t xml:space="preserve"> sandbox mechanism</w:t>
      </w:r>
      <w:r>
        <w:t xml:space="preserve">, </w:t>
      </w:r>
      <w:r w:rsidR="002A38D2" w:rsidRPr="002A38D2">
        <w:t xml:space="preserve">stakeholder consultations indicate an average of </w:t>
      </w:r>
      <w:r w:rsidR="002A38D2" w:rsidRPr="002A38D2">
        <w:rPr>
          <w:b/>
          <w:bCs/>
        </w:rPr>
        <w:t>one sandbox per five years</w:t>
      </w:r>
      <w:r w:rsidR="002A38D2" w:rsidRPr="002A38D2">
        <w:t>, since the mechanism operates per technology area rather than per product. Each sandbox requires a Commission implementing act, which also involves institutional effort.</w:t>
      </w:r>
    </w:p>
    <w:p w14:paraId="5E89DE59" w14:textId="20DCA2F0" w:rsidR="002A38D2" w:rsidRPr="002A38D2" w:rsidRDefault="002A38D2" w:rsidP="00AB5640">
      <w:r w:rsidRPr="00AB5640">
        <w:rPr>
          <w:b/>
        </w:rPr>
        <w:t>On this basis, for the 2026–2040 period</w:t>
      </w:r>
      <w:r w:rsidR="007D3727" w:rsidRPr="00AB5640">
        <w:rPr>
          <w:b/>
        </w:rPr>
        <w:t xml:space="preserve">, </w:t>
      </w:r>
      <w:r w:rsidRPr="004E7508">
        <w:rPr>
          <w:b/>
          <w:bCs/>
        </w:rPr>
        <w:t>3-4 sandbox applications</w:t>
      </w:r>
      <w:r w:rsidR="007D3727" w:rsidRPr="004E7508">
        <w:rPr>
          <w:b/>
          <w:bCs/>
        </w:rPr>
        <w:t xml:space="preserve"> are estimated</w:t>
      </w:r>
      <w:r w:rsidRPr="00AB5640">
        <w:rPr>
          <w:b/>
        </w:rPr>
        <w:t xml:space="preserve">, of which potentially </w:t>
      </w:r>
      <w:r w:rsidRPr="004E7508">
        <w:rPr>
          <w:b/>
          <w:bCs/>
        </w:rPr>
        <w:t>2-3 result in established sandboxes</w:t>
      </w:r>
      <w:r w:rsidRPr="002A38D2">
        <w:t xml:space="preserve">. This </w:t>
      </w:r>
      <w:r w:rsidR="00BD41BC">
        <w:t xml:space="preserve">is estimated based on the </w:t>
      </w:r>
      <w:r w:rsidRPr="002A38D2">
        <w:t>15-year projection window divided by the estimated 5-year cycle per sandbox</w:t>
      </w:r>
      <w:r w:rsidR="00BD41BC">
        <w:t xml:space="preserve">; the time for EMA to </w:t>
      </w:r>
      <w:r w:rsidRPr="002A38D2">
        <w:t>develop application procedures and assessment criteria</w:t>
      </w:r>
      <w:r w:rsidR="00BD41BC">
        <w:t xml:space="preserve"> (i.e. </w:t>
      </w:r>
      <w:r w:rsidRPr="002A38D2">
        <w:t>application is unlikely before 2028</w:t>
      </w:r>
      <w:r w:rsidR="00BD41BC">
        <w:t>)</w:t>
      </w:r>
      <w:r w:rsidR="004E7508">
        <w:t>;</w:t>
      </w:r>
      <w:r w:rsidR="00BD41BC">
        <w:t xml:space="preserve"> and </w:t>
      </w:r>
      <w:r w:rsidR="004E7508">
        <w:t xml:space="preserve">the </w:t>
      </w:r>
      <w:r w:rsidRPr="002A38D2">
        <w:t>narrow eligibility scope</w:t>
      </w:r>
      <w:r w:rsidR="004E7508">
        <w:t xml:space="preserve"> of the </w:t>
      </w:r>
      <w:r w:rsidRPr="002A38D2">
        <w:t>sandboxes</w:t>
      </w:r>
      <w:r w:rsidR="004E7508">
        <w:t>.</w:t>
      </w:r>
    </w:p>
    <w:p w14:paraId="21F2CC32" w14:textId="1022B33C" w:rsidR="002A38D2" w:rsidRPr="002A38D2" w:rsidRDefault="00A50F0F" w:rsidP="00AB5640">
      <w:pPr>
        <w:rPr>
          <w:b/>
          <w:bCs/>
        </w:rPr>
      </w:pPr>
      <w:r>
        <w:rPr>
          <w:b/>
          <w:bCs/>
        </w:rPr>
        <w:lastRenderedPageBreak/>
        <w:t>With regards to t</w:t>
      </w:r>
      <w:r w:rsidR="00901959">
        <w:rPr>
          <w:b/>
          <w:bCs/>
        </w:rPr>
        <w:t>he effect</w:t>
      </w:r>
      <w:r w:rsidR="00610C2F">
        <w:rPr>
          <w:b/>
          <w:bCs/>
        </w:rPr>
        <w:t xml:space="preserve">s </w:t>
      </w:r>
      <w:r w:rsidR="00901959">
        <w:rPr>
          <w:b/>
          <w:bCs/>
        </w:rPr>
        <w:t>of the sandboxes</w:t>
      </w:r>
      <w:r w:rsidR="00610C2F">
        <w:rPr>
          <w:b/>
          <w:bCs/>
        </w:rPr>
        <w:t xml:space="preserve"> on innovation, </w:t>
      </w:r>
      <w:r w:rsidR="00610C2F">
        <w:t>it is likely that e</w:t>
      </w:r>
      <w:r w:rsidR="002A38D2" w:rsidRPr="002A38D2">
        <w:t>ach established sandbox provides a time-limited pathway for specific innovations to be developed, tested, and potentially authorised under regulatory supervision</w:t>
      </w:r>
      <w:r w:rsidR="00F11BB0">
        <w:t xml:space="preserve"> </w:t>
      </w:r>
      <w:r w:rsidR="00F11BB0" w:rsidRPr="00AB5640">
        <w:rPr>
          <w:b/>
          <w:bCs/>
        </w:rPr>
        <w:t>which</w:t>
      </w:r>
      <w:r w:rsidR="00F11BB0" w:rsidRPr="00AB5640">
        <w:rPr>
          <w:b/>
        </w:rPr>
        <w:t xml:space="preserve"> could </w:t>
      </w:r>
      <w:r w:rsidR="00F11BB0" w:rsidRPr="00AB5640">
        <w:rPr>
          <w:b/>
          <w:bCs/>
        </w:rPr>
        <w:t>lead to</w:t>
      </w:r>
      <w:r w:rsidR="00F11BB0" w:rsidRPr="00AB5640">
        <w:rPr>
          <w:b/>
        </w:rPr>
        <w:t xml:space="preserve"> </w:t>
      </w:r>
      <w:r w:rsidR="002A38D2" w:rsidRPr="00AB5640">
        <w:rPr>
          <w:b/>
        </w:rPr>
        <w:t>several products or technologies that would otherwise have no EU market pathway</w:t>
      </w:r>
      <w:r w:rsidR="002A38D2" w:rsidRPr="002A38D2">
        <w:t xml:space="preserve">. </w:t>
      </w:r>
      <w:r w:rsidR="00F11BB0">
        <w:t>In addition</w:t>
      </w:r>
      <w:r w:rsidR="00F11BB0" w:rsidRPr="00AB5640">
        <w:rPr>
          <w:b/>
        </w:rPr>
        <w:t xml:space="preserve">, </w:t>
      </w:r>
      <w:r w:rsidR="005F4E03" w:rsidRPr="00741AF7">
        <w:rPr>
          <w:b/>
          <w:bCs/>
        </w:rPr>
        <w:t>t</w:t>
      </w:r>
      <w:r w:rsidR="002A38D2" w:rsidRPr="00AB5640">
        <w:rPr>
          <w:b/>
        </w:rPr>
        <w:t>he two-year reporting requirement before sandbox expiry means each sandbox generates structured evidence to inform permanent regulatory framework development.</w:t>
      </w:r>
      <w:r w:rsidR="002A38D2" w:rsidRPr="002A38D2">
        <w:t xml:space="preserve"> </w:t>
      </w:r>
      <w:r w:rsidR="00741AF7">
        <w:t xml:space="preserve">Thus, </w:t>
      </w:r>
      <w:r w:rsidR="002A38D2" w:rsidRPr="002A38D2">
        <w:t>each sandbox effectively conducts a regulatory pilot that would otherwise require years of legislative deliberation.</w:t>
      </w:r>
      <w:r w:rsidR="00741AF7">
        <w:t xml:space="preserve"> Furthermore, stakeholders consulted </w:t>
      </w:r>
      <w:r w:rsidR="002A38D2" w:rsidRPr="002A38D2">
        <w:t xml:space="preserve">noted that </w:t>
      </w:r>
      <w:r w:rsidR="00DF036E" w:rsidRPr="00AB5640">
        <w:rPr>
          <w:b/>
        </w:rPr>
        <w:t>t</w:t>
      </w:r>
      <w:r w:rsidR="002A38D2" w:rsidRPr="00AB5640">
        <w:rPr>
          <w:b/>
        </w:rPr>
        <w:t xml:space="preserve">he </w:t>
      </w:r>
      <w:r w:rsidR="002A38D2" w:rsidRPr="00AB5640">
        <w:rPr>
          <w:b/>
          <w:bCs/>
        </w:rPr>
        <w:t>sandbox</w:t>
      </w:r>
      <w:r w:rsidR="00DF036E" w:rsidRPr="00AB5640">
        <w:rPr>
          <w:b/>
        </w:rPr>
        <w:t xml:space="preserve"> is </w:t>
      </w:r>
      <w:r w:rsidR="00DF036E" w:rsidRPr="00AB5640">
        <w:rPr>
          <w:b/>
          <w:bCs/>
        </w:rPr>
        <w:t>likely to have a</w:t>
      </w:r>
      <w:r w:rsidR="002A38D2" w:rsidRPr="00AB5640">
        <w:rPr>
          <w:b/>
        </w:rPr>
        <w:t xml:space="preserve"> </w:t>
      </w:r>
      <w:r w:rsidR="00DF036E" w:rsidRPr="00AB5640">
        <w:rPr>
          <w:b/>
        </w:rPr>
        <w:t>broader</w:t>
      </w:r>
      <w:r w:rsidR="002A38D2" w:rsidRPr="00AB5640">
        <w:rPr>
          <w:b/>
        </w:rPr>
        <w:t xml:space="preserve"> signalling function</w:t>
      </w:r>
      <w:r w:rsidR="002A38D2" w:rsidRPr="002A38D2">
        <w:t xml:space="preserve">, demonstrating that a regulatory pathway exists, potentially unlocking investment currently stalled by regulatory uncertainty. </w:t>
      </w:r>
    </w:p>
    <w:p w14:paraId="40E45924" w14:textId="456AEABB" w:rsidR="00214ABC" w:rsidRPr="00AB5640" w:rsidRDefault="0D7554CE" w:rsidP="001F2EEE">
      <w:r w:rsidRPr="00AB5640">
        <w:t>In terms of quantitative impacts</w:t>
      </w:r>
      <w:r w:rsidR="00686C5B" w:rsidRPr="00AB5640">
        <w:rPr>
          <w:rStyle w:val="FootnoteReference"/>
        </w:rPr>
        <w:footnoteReference w:id="141"/>
      </w:r>
      <w:r w:rsidRPr="00AB5640">
        <w:t xml:space="preserve">, </w:t>
      </w:r>
      <w:r w:rsidR="377300DB" w:rsidRPr="00AB5640">
        <w:rPr>
          <w:b/>
          <w:bCs/>
        </w:rPr>
        <w:t>c</w:t>
      </w:r>
      <w:r w:rsidR="393530E8" w:rsidRPr="4E26AC25">
        <w:rPr>
          <w:b/>
          <w:bCs/>
        </w:rPr>
        <w:t>osts are likely modest</w:t>
      </w:r>
      <w:r w:rsidR="393530E8" w:rsidRPr="00AB5640">
        <w:rPr>
          <w:b/>
          <w:bCs/>
        </w:rPr>
        <w:t xml:space="preserve"> and fall primarily on public authorities. </w:t>
      </w:r>
      <w:r w:rsidR="393530E8">
        <w:t xml:space="preserve">Each sandbox requires EMA resources for application assessment, technical requirement development, scientific advice, risk-benefit assessment, and the two-year assessment report plus Commission resources for the implementing act. </w:t>
      </w:r>
      <w:bookmarkStart w:id="281" w:name="_Toc224214860"/>
    </w:p>
    <w:p w14:paraId="2FBFD748" w14:textId="77777777" w:rsidR="002A38D2" w:rsidRPr="004570F2" w:rsidRDefault="002A38D2" w:rsidP="00AB5640">
      <w:pPr>
        <w:rPr>
          <w:b/>
        </w:rPr>
      </w:pPr>
      <w:r w:rsidRPr="004570F2">
        <w:rPr>
          <w:b/>
        </w:rPr>
        <w:t>Public health and safety</w:t>
      </w:r>
      <w:bookmarkEnd w:id="281"/>
    </w:p>
    <w:p w14:paraId="5D89F96D" w14:textId="29D124BB" w:rsidR="002A38D2" w:rsidRPr="002A38D2" w:rsidRDefault="00790F20" w:rsidP="003F2A9E">
      <w:r w:rsidRPr="00AB5640">
        <w:t>With regards to the u</w:t>
      </w:r>
      <w:r w:rsidR="002A38D2" w:rsidRPr="00AB5640">
        <w:t>ptake of GMO-containing VMPs in food-producing species</w:t>
      </w:r>
      <w:r>
        <w:t xml:space="preserve">, the </w:t>
      </w:r>
      <w:r w:rsidR="003F2A9E">
        <w:t xml:space="preserve">impact of the </w:t>
      </w:r>
      <w:r w:rsidR="002A38D2" w:rsidRPr="002A38D2">
        <w:rPr>
          <w:b/>
          <w:bCs/>
        </w:rPr>
        <w:t>legal clarification</w:t>
      </w:r>
      <w:r w:rsidR="002A38D2" w:rsidRPr="002A38D2">
        <w:t xml:space="preserve"> should be understood as the </w:t>
      </w:r>
      <w:r w:rsidR="002A38D2" w:rsidRPr="002A38D2">
        <w:rPr>
          <w:b/>
          <w:bCs/>
        </w:rPr>
        <w:t>averted cost of a counterfactual scenario</w:t>
      </w:r>
      <w:r w:rsidR="002A38D2" w:rsidRPr="002A38D2">
        <w:t xml:space="preserve"> in which, absent the firewall, the legal ambiguity eventually crystallises into a concrete market disruption. </w:t>
      </w:r>
      <w:r w:rsidR="003F2A9E">
        <w:t xml:space="preserve">The measure </w:t>
      </w:r>
      <w:r w:rsidR="002A38D2" w:rsidRPr="002A38D2">
        <w:t xml:space="preserve">eliminates a tail risk whose expected cost, while difficult to quantify precisely, is potentially very large given the economic </w:t>
      </w:r>
      <w:r w:rsidR="591FD117">
        <w:t>and health</w:t>
      </w:r>
      <w:r w:rsidR="002A38D2">
        <w:t xml:space="preserve"> </w:t>
      </w:r>
      <w:r w:rsidR="002A38D2" w:rsidRPr="002A38D2">
        <w:t>stakes involved.</w:t>
      </w:r>
    </w:p>
    <w:p w14:paraId="6F44734A" w14:textId="30229D8A" w:rsidR="002A38D2" w:rsidRPr="002A38D2" w:rsidRDefault="48B59930" w:rsidP="002A38D2">
      <w:r>
        <w:t>It</w:t>
      </w:r>
      <w:r w:rsidR="393530E8">
        <w:t xml:space="preserve"> is </w:t>
      </w:r>
      <w:r>
        <w:t>estimated</w:t>
      </w:r>
      <w:r w:rsidR="00B11EA3">
        <w:rPr>
          <w:rStyle w:val="FootnoteReference"/>
        </w:rPr>
        <w:footnoteReference w:id="142"/>
      </w:r>
      <w:r>
        <w:t xml:space="preserve"> that</w:t>
      </w:r>
      <w:r w:rsidR="393530E8">
        <w:t xml:space="preserve"> even a modest suppression of farmer uptake of next-generation biotech vaccines (</w:t>
      </w:r>
      <w:r>
        <w:t>e.g.</w:t>
      </w:r>
      <w:r w:rsidR="393530E8">
        <w:t>, a 5–10</w:t>
      </w:r>
      <w:r w:rsidR="006856C2">
        <w:t>%</w:t>
      </w:r>
      <w:r w:rsidR="393530E8">
        <w:t xml:space="preserve"> avoidance rate in food-producing species), would translate into foregone disease prevention benefits worth potentially hundreds of millions of euros annually across the Union, when accounting for both on-farm productivity losses and downstream public health costs.</w:t>
      </w:r>
    </w:p>
    <w:p w14:paraId="3007C3C9" w14:textId="0E35BA8A" w:rsidR="002A38D2" w:rsidRPr="002A38D2" w:rsidRDefault="002A38D2" w:rsidP="002A38D2">
      <w:r w:rsidRPr="002A38D2">
        <w:t xml:space="preserve">The legal clarification </w:t>
      </w:r>
      <w:r w:rsidR="00A715C5">
        <w:t>does not impose</w:t>
      </w:r>
      <w:r w:rsidRPr="002A38D2">
        <w:t xml:space="preserve"> compliance costs on any actor. There is no implementation cost for Member States, EMA, or industry.</w:t>
      </w:r>
    </w:p>
    <w:p w14:paraId="133B42A0" w14:textId="03904218" w:rsidR="008E6AD3" w:rsidRDefault="00A715C5" w:rsidP="00AB5640">
      <w:r>
        <w:t xml:space="preserve">As a </w:t>
      </w:r>
      <w:r w:rsidR="002A38D2" w:rsidRPr="002A38D2">
        <w:t>conclusion</w:t>
      </w:r>
      <w:r>
        <w:t>,</w:t>
      </w:r>
      <w:r w:rsidR="002A38D2" w:rsidRPr="002A38D2">
        <w:t xml:space="preserve"> Measure 1 delivers a </w:t>
      </w:r>
      <w:r w:rsidR="002A38D2" w:rsidRPr="002A38D2">
        <w:rPr>
          <w:b/>
          <w:bCs/>
        </w:rPr>
        <w:t>high-value, zero-cost legal clarification</w:t>
      </w:r>
      <w:r w:rsidR="009A17F1">
        <w:rPr>
          <w:b/>
          <w:bCs/>
        </w:rPr>
        <w:t xml:space="preserve"> </w:t>
      </w:r>
      <w:r w:rsidR="009A17F1" w:rsidRPr="0011160C">
        <w:t xml:space="preserve">which is </w:t>
      </w:r>
      <w:r w:rsidR="002A38D2" w:rsidRPr="009A17F1">
        <w:t>characterised</w:t>
      </w:r>
      <w:r w:rsidR="002A38D2" w:rsidRPr="002A38D2">
        <w:t xml:space="preserve"> as insurance against a growing and potentially costly downside risk.</w:t>
      </w:r>
    </w:p>
    <w:p w14:paraId="359EB530" w14:textId="531BF105" w:rsidR="5A6D412E" w:rsidRDefault="2F0061A7" w:rsidP="00654082">
      <w:pPr>
        <w:pStyle w:val="Heading1"/>
      </w:pPr>
      <w:bookmarkStart w:id="282" w:name="_Toc225969805"/>
      <w:bookmarkStart w:id="283" w:name="_Toc225979137"/>
      <w:bookmarkStart w:id="284" w:name="_Toc225783207"/>
      <w:r w:rsidRPr="41BEE9DA">
        <w:t xml:space="preserve">Intervention n°7: </w:t>
      </w:r>
      <w:r w:rsidR="1E1D23B5" w:rsidRPr="00654082">
        <w:t>Targeted regulatory reform of the Directive on the deliberate release into the environment of GMOs</w:t>
      </w:r>
      <w:bookmarkEnd w:id="282"/>
      <w:bookmarkEnd w:id="283"/>
      <w:r w:rsidR="55032AB3" w:rsidRPr="008E6FAD">
        <w:rPr>
          <w:i/>
        </w:rPr>
        <w:t xml:space="preserve"> </w:t>
      </w:r>
      <w:bookmarkEnd w:id="284"/>
    </w:p>
    <w:p w14:paraId="7914214F" w14:textId="66E99676" w:rsidR="55032AB3" w:rsidRDefault="42D606C0" w:rsidP="41BEE9DA">
      <w:pPr>
        <w:spacing w:after="160" w:line="257" w:lineRule="auto"/>
      </w:pPr>
      <w:r w:rsidRPr="08FDD09A">
        <w:rPr>
          <w:rFonts w:eastAsia="Times New Roman"/>
        </w:rPr>
        <w:t>This Annex summarises the key statements of the scientific and technical reports of the European Food Safety Authority (EFSA) (</w:t>
      </w:r>
      <w:r w:rsidRPr="08FDD09A">
        <w:rPr>
          <w:rFonts w:eastAsia="Times New Roman"/>
          <w:b/>
          <w:bCs/>
        </w:rPr>
        <w:t xml:space="preserve">section </w:t>
      </w:r>
      <w:r w:rsidR="2C42528E" w:rsidRPr="08FDD09A">
        <w:rPr>
          <w:rFonts w:eastAsia="Times New Roman"/>
          <w:b/>
          <w:bCs/>
        </w:rPr>
        <w:t>5</w:t>
      </w:r>
      <w:r w:rsidRPr="08FDD09A">
        <w:rPr>
          <w:rFonts w:eastAsia="Times New Roman"/>
          <w:b/>
          <w:bCs/>
        </w:rPr>
        <w:t>.1</w:t>
      </w:r>
      <w:r w:rsidR="74068DF1" w:rsidRPr="08FDD09A">
        <w:rPr>
          <w:rFonts w:eastAsia="Times New Roman"/>
          <w:b/>
          <w:bCs/>
        </w:rPr>
        <w:t>.1</w:t>
      </w:r>
      <w:r w:rsidRPr="08FDD09A">
        <w:rPr>
          <w:rFonts w:eastAsia="Times New Roman"/>
        </w:rPr>
        <w:t xml:space="preserve">) and the European Network of GMO </w:t>
      </w:r>
      <w:r w:rsidR="261C61F8" w:rsidRPr="08FDD09A">
        <w:rPr>
          <w:rFonts w:eastAsia="Times New Roman"/>
        </w:rPr>
        <w:t>L</w:t>
      </w:r>
      <w:r w:rsidRPr="08FDD09A">
        <w:rPr>
          <w:rFonts w:eastAsia="Times New Roman"/>
        </w:rPr>
        <w:t>aboratories (ENGL) (</w:t>
      </w:r>
      <w:r w:rsidRPr="08FDD09A">
        <w:rPr>
          <w:rFonts w:eastAsia="Times New Roman"/>
          <w:b/>
          <w:bCs/>
        </w:rPr>
        <w:t xml:space="preserve">section </w:t>
      </w:r>
      <w:r w:rsidR="2C42528E" w:rsidRPr="08FDD09A">
        <w:rPr>
          <w:rFonts w:eastAsia="Times New Roman"/>
          <w:b/>
          <w:bCs/>
        </w:rPr>
        <w:t>5</w:t>
      </w:r>
      <w:r w:rsidR="36AE6DBA" w:rsidRPr="08FDD09A">
        <w:rPr>
          <w:rFonts w:eastAsia="Times New Roman"/>
          <w:b/>
          <w:bCs/>
        </w:rPr>
        <w:t>.1.3</w:t>
      </w:r>
      <w:r w:rsidRPr="08FDD09A">
        <w:rPr>
          <w:rFonts w:eastAsia="Times New Roman"/>
        </w:rPr>
        <w:t xml:space="preserve">) that provide scientific justification to various </w:t>
      </w:r>
      <w:r w:rsidRPr="08FDD09A">
        <w:rPr>
          <w:rFonts w:eastAsia="Times New Roman"/>
        </w:rPr>
        <w:lastRenderedPageBreak/>
        <w:t>elements of the legislative proposal to amend Directive 2001/18/EC as regards genetically modified micro-organisms (GMMs). In addition, it explains the development and application of the Qualified Presumption of Safety (QPS) approach in the context of EFSA risk assessments (</w:t>
      </w:r>
      <w:r w:rsidRPr="08FDD09A">
        <w:rPr>
          <w:rFonts w:eastAsia="Times New Roman"/>
          <w:b/>
          <w:bCs/>
        </w:rPr>
        <w:t xml:space="preserve">section </w:t>
      </w:r>
      <w:r w:rsidR="2C42528E" w:rsidRPr="08FDD09A">
        <w:rPr>
          <w:rFonts w:eastAsia="Times New Roman"/>
          <w:b/>
          <w:bCs/>
        </w:rPr>
        <w:t>5</w:t>
      </w:r>
      <w:r w:rsidR="36AE6DBA" w:rsidRPr="08FDD09A">
        <w:rPr>
          <w:rFonts w:eastAsia="Times New Roman"/>
          <w:b/>
          <w:bCs/>
        </w:rPr>
        <w:t>.1.3</w:t>
      </w:r>
      <w:r w:rsidRPr="08FDD09A">
        <w:rPr>
          <w:rFonts w:eastAsia="Times New Roman"/>
        </w:rPr>
        <w:t xml:space="preserve">), a concept relied on </w:t>
      </w:r>
      <w:r w:rsidR="5C33CF92" w:rsidRPr="08FDD09A">
        <w:rPr>
          <w:rFonts w:eastAsia="Times New Roman"/>
        </w:rPr>
        <w:t>for</w:t>
      </w:r>
      <w:r w:rsidRPr="08FDD09A">
        <w:rPr>
          <w:rFonts w:eastAsia="Times New Roman"/>
        </w:rPr>
        <w:t xml:space="preserve"> certain provisions of the proposal. </w:t>
      </w:r>
      <w:r w:rsidRPr="08FDD09A">
        <w:rPr>
          <w:rFonts w:eastAsia="Times New Roman"/>
          <w:b/>
          <w:bCs/>
        </w:rPr>
        <w:t xml:space="preserve">Section </w:t>
      </w:r>
      <w:r w:rsidR="2C42528E" w:rsidRPr="08FDD09A">
        <w:rPr>
          <w:rFonts w:eastAsia="Times New Roman"/>
          <w:b/>
          <w:bCs/>
        </w:rPr>
        <w:t>5</w:t>
      </w:r>
      <w:r w:rsidR="36AE6DBA" w:rsidRPr="08FDD09A">
        <w:rPr>
          <w:rFonts w:eastAsia="Times New Roman"/>
          <w:b/>
          <w:bCs/>
        </w:rPr>
        <w:t>.</w:t>
      </w:r>
      <w:r w:rsidRPr="08FDD09A">
        <w:rPr>
          <w:rFonts w:eastAsia="Times New Roman"/>
          <w:b/>
          <w:bCs/>
        </w:rPr>
        <w:t>2</w:t>
      </w:r>
      <w:r w:rsidRPr="08FDD09A">
        <w:rPr>
          <w:rFonts w:eastAsia="Times New Roman"/>
        </w:rPr>
        <w:t xml:space="preserve"> provides an overview of the applications of GMMs in the areas in the scope of the proposal.</w:t>
      </w:r>
    </w:p>
    <w:p w14:paraId="66527986" w14:textId="0534EBFB" w:rsidR="55032AB3" w:rsidRPr="00DE6B0B" w:rsidRDefault="55032AB3" w:rsidP="00DE6B0B">
      <w:pPr>
        <w:pStyle w:val="Heading2"/>
      </w:pPr>
      <w:bookmarkStart w:id="285" w:name="_Toc225969806"/>
      <w:bookmarkStart w:id="286" w:name="_Toc225979138"/>
      <w:r w:rsidRPr="00DE6B0B">
        <w:rPr>
          <w:rStyle w:val="Heading2Char"/>
          <w:rFonts w:eastAsiaTheme="minorHAnsi"/>
          <w:b/>
        </w:rPr>
        <w:t>Scientific Context</w:t>
      </w:r>
      <w:bookmarkEnd w:id="285"/>
      <w:bookmarkEnd w:id="286"/>
    </w:p>
    <w:p w14:paraId="03A63D5D" w14:textId="70D75DE2" w:rsidR="55032AB3" w:rsidRDefault="55032AB3" w:rsidP="00AB5640">
      <w:pPr>
        <w:pStyle w:val="Heading3"/>
      </w:pPr>
      <w:bookmarkStart w:id="287" w:name="_Toc225969807"/>
      <w:bookmarkStart w:id="288" w:name="_Toc225979139"/>
      <w:r w:rsidRPr="41BEE9DA">
        <w:t>EFSA scientific opinions and guidance on GMMs</w:t>
      </w:r>
      <w:bookmarkEnd w:id="287"/>
      <w:bookmarkEnd w:id="288"/>
    </w:p>
    <w:p w14:paraId="351D24D6" w14:textId="4BD02B83" w:rsidR="55032AB3" w:rsidRDefault="55032AB3" w:rsidP="004570F2">
      <w:r w:rsidRPr="41BEE9DA">
        <w:rPr>
          <w:rFonts w:eastAsia="Times New Roman"/>
        </w:rPr>
        <w:t>At the request of the Council, the Commission published in 2021 a study on new genomic techniques (NGTs) applied to plants, animals and micro-organisms</w:t>
      </w:r>
      <w:r w:rsidR="003152A6">
        <w:rPr>
          <w:rStyle w:val="FootnoteReference"/>
          <w:rFonts w:eastAsia="Times New Roman"/>
        </w:rPr>
        <w:footnoteReference w:id="143"/>
      </w:r>
      <w:r w:rsidRPr="41BEE9DA">
        <w:rPr>
          <w:rFonts w:eastAsia="Times New Roman"/>
        </w:rPr>
        <w:t>, which identified significant developments in all three areas. NGTs are techniques that are capable of altering the genetic material of an organism and that have emerged or have been developed since 2001, when the current legislation on genetically modified organisms (GMOs) – namely Directive 2001/18/EC - was adopted. Following up on this report, the Commission adopted a legislative proposal for a Regulation on plants developed with certain NGTs</w:t>
      </w:r>
      <w:r w:rsidR="002D69F1">
        <w:rPr>
          <w:rStyle w:val="FootnoteReference"/>
          <w:rFonts w:eastAsia="Times New Roman"/>
        </w:rPr>
        <w:footnoteReference w:id="144"/>
      </w:r>
      <w:r w:rsidRPr="41BEE9DA">
        <w:rPr>
          <w:rFonts w:eastAsia="Times New Roman"/>
        </w:rPr>
        <w:t>. In the area of micro-organisms, the study, however, concluded that data, especially as regards safety aspects, were still limited and did not provide an adequate basis for taking any policy action in this area. The Commission indicated it intended to continue building up the required scientific knowledge, in view of possible further policy actions.</w:t>
      </w:r>
    </w:p>
    <w:p w14:paraId="113658CC" w14:textId="2A3E27E7" w:rsidR="55032AB3" w:rsidRDefault="42D606C0" w:rsidP="004570F2">
      <w:r w:rsidRPr="41BEE9DA">
        <w:rPr>
          <w:rFonts w:eastAsia="Times New Roman"/>
        </w:rPr>
        <w:t xml:space="preserve">As a follow-up, the Commission mandated EFSA to prepare a </w:t>
      </w:r>
      <w:r w:rsidRPr="168353BF">
        <w:rPr>
          <w:rFonts w:eastAsia="Times New Roman"/>
          <w:b/>
          <w:bCs/>
        </w:rPr>
        <w:t>scientific opinion on new developments in biotechnology applied to micro-organisms</w:t>
      </w:r>
      <w:r w:rsidR="00F11C20">
        <w:rPr>
          <w:rStyle w:val="FootnoteReference"/>
          <w:rFonts w:eastAsia="Times New Roman"/>
        </w:rPr>
        <w:footnoteReference w:id="145"/>
      </w:r>
      <w:r w:rsidRPr="41BEE9DA">
        <w:rPr>
          <w:rFonts w:eastAsia="Times New Roman"/>
        </w:rPr>
        <w:t xml:space="preserve"> that covered products containing or consisting of GMMs for environmental release as well as food and feed products containing, consisting of or produced from such GMMs. EFSA adopted the opinion in 2024. While the focus of this opinion is on new developments in biotechnology, notably NGTs, EFSA also draws conclusions that are relevant for GMMs or micro-organisms in general. </w:t>
      </w:r>
      <w:r w:rsidR="397BA41F" w:rsidRPr="00181F1A">
        <w:rPr>
          <w:rFonts w:eastAsia="Times New Roman"/>
          <w:u w:val="single"/>
        </w:rPr>
        <w:t>E</w:t>
      </w:r>
      <w:r w:rsidR="397BA41F" w:rsidRPr="00181F1A">
        <w:rPr>
          <w:rFonts w:eastAsia="Times New Roman"/>
        </w:rPr>
        <w:t>FSA considers that any new possible hazard relates to genotypic and phenotypic changes introduced in the micro-organism and not to the method used for the modification. In other words, this means</w:t>
      </w:r>
      <w:r w:rsidRPr="41BEE9DA">
        <w:rPr>
          <w:rFonts w:eastAsia="Times New Roman"/>
        </w:rPr>
        <w:t xml:space="preserve"> that any new potential hazards of a GMM compared to the parental organism are related to new properties conferred to the micro-organism regardless of the method used to give rise to these changed properties. For this reason, EFSA recommends that “</w:t>
      </w:r>
      <w:r w:rsidRPr="4EC480EB">
        <w:rPr>
          <w:rFonts w:eastAsia="Times New Roman"/>
          <w:i/>
          <w:iCs/>
        </w:rPr>
        <w:t>the risk assessment approach of micro-organisms should be based on the strain/product itself, independently of the method used to alter the genotypic or phenotypic characteristics</w:t>
      </w:r>
      <w:r w:rsidRPr="41BEE9DA">
        <w:rPr>
          <w:rFonts w:eastAsia="Times New Roman"/>
        </w:rPr>
        <w:t>”, i.e. NGT, established genomic technique (i.e. genetic modification techniques developed before 2001) or conventional (random) mutagenesis (i.e. the application of chemical or physical mutagens).</w:t>
      </w:r>
    </w:p>
    <w:p w14:paraId="0464B897" w14:textId="56DE8EF6" w:rsidR="55032AB3" w:rsidRDefault="42D606C0" w:rsidP="004570F2">
      <w:r w:rsidRPr="08FDD09A">
        <w:rPr>
          <w:rFonts w:eastAsia="Times New Roman"/>
        </w:rPr>
        <w:lastRenderedPageBreak/>
        <w:t>Furthermore, the scientific opinion formulates some concrete recommendations for the risk assessment of GMMs and related products. In particular, EFSA asserts that, on a case-by-case basis, some data requirements may not be needed to assess the safety of the micro-organism or its products for humans, animals and the environment and gives concrete examples of some areas. Toxicology studies may not be necessary for certain GMMs, for example if the GMM qualifies for the Qualified Presumption of Safety (QPS) status (for a detailed explanation of QPS see below). The assessment of the possibility of horizontal gene transfer may be waived</w:t>
      </w:r>
      <w:r w:rsidR="25B5E578" w:rsidRPr="08FDD09A">
        <w:rPr>
          <w:rFonts w:eastAsia="Times New Roman"/>
        </w:rPr>
        <w:t xml:space="preserve">, </w:t>
      </w:r>
      <w:r w:rsidR="25B5E578" w:rsidRPr="00181F1A">
        <w:rPr>
          <w:rFonts w:eastAsia="Times New Roman"/>
        </w:rPr>
        <w:t>on a case-by-case basis,</w:t>
      </w:r>
      <w:r w:rsidRPr="08FDD09A">
        <w:rPr>
          <w:rFonts w:eastAsia="Times New Roman"/>
        </w:rPr>
        <w:t xml:space="preserve"> depending on the nature of the modification and the resulting new trait of the GMM, for example in cases where the GMM was only modified by introducing genes of the same or closely related species (so-called self-cloning)</w:t>
      </w:r>
      <w:r w:rsidR="7D566085" w:rsidRPr="08FDD09A">
        <w:rPr>
          <w:rFonts w:eastAsia="Times New Roman"/>
        </w:rPr>
        <w:t xml:space="preserve"> or </w:t>
      </w:r>
      <w:r w:rsidR="7D566085" w:rsidRPr="00181F1A">
        <w:rPr>
          <w:rFonts w:eastAsia="Times New Roman"/>
        </w:rPr>
        <w:t>site-specific changes (or edits) in the DNA sequence, or</w:t>
      </w:r>
      <w:r w:rsidRPr="08FDD09A">
        <w:rPr>
          <w:rFonts w:eastAsia="Times New Roman"/>
        </w:rPr>
        <w:t xml:space="preserve"> by introducing deletions</w:t>
      </w:r>
      <w:r w:rsidR="44AC3735" w:rsidRPr="08FDD09A">
        <w:rPr>
          <w:rFonts w:eastAsia="Times New Roman"/>
        </w:rPr>
        <w:t xml:space="preserve"> </w:t>
      </w:r>
      <w:r w:rsidR="44AC3735" w:rsidRPr="00181F1A">
        <w:rPr>
          <w:rFonts w:eastAsia="Times New Roman"/>
        </w:rPr>
        <w:t>of sequences to remove or inactivate genes</w:t>
      </w:r>
      <w:r w:rsidRPr="08FDD09A">
        <w:rPr>
          <w:rFonts w:eastAsia="Times New Roman"/>
        </w:rPr>
        <w:t xml:space="preserve">. Likewise, post-market environmental monitoring may not be needed for certain GMMs, especially those modified by self-cloning, by introducing deletions or by introducing </w:t>
      </w:r>
      <w:r w:rsidR="1B78EE35" w:rsidRPr="08FDD09A">
        <w:rPr>
          <w:rFonts w:eastAsia="Times New Roman"/>
        </w:rPr>
        <w:t>edits</w:t>
      </w:r>
      <w:r w:rsidRPr="08FDD09A">
        <w:rPr>
          <w:rFonts w:eastAsia="Times New Roman"/>
        </w:rPr>
        <w:t>.</w:t>
      </w:r>
    </w:p>
    <w:p w14:paraId="402BBAEA" w14:textId="331F4BEF" w:rsidR="55032AB3" w:rsidRDefault="42D606C0" w:rsidP="004570F2">
      <w:r w:rsidRPr="41BEE9DA">
        <w:rPr>
          <w:rFonts w:eastAsia="Times New Roman"/>
        </w:rPr>
        <w:t xml:space="preserve">In addition, EFSA published in 2025 a new </w:t>
      </w:r>
      <w:r w:rsidRPr="168353BF">
        <w:rPr>
          <w:rFonts w:eastAsia="Times New Roman"/>
          <w:b/>
          <w:bCs/>
        </w:rPr>
        <w:t>guidance on the characterisation of micro-organisms</w:t>
      </w:r>
      <w:r w:rsidR="00160041">
        <w:rPr>
          <w:rStyle w:val="FootnoteReference"/>
          <w:rFonts w:eastAsia="Times New Roman"/>
          <w:b/>
          <w:bCs/>
        </w:rPr>
        <w:footnoteReference w:id="146"/>
      </w:r>
      <w:r w:rsidRPr="41BEE9DA">
        <w:rPr>
          <w:rFonts w:eastAsia="Times New Roman"/>
        </w:rPr>
        <w:t xml:space="preserve"> in support of the risk assessment of micro-organisms in products under the remit of EFSA. It addresses both genetically modified as well as not genetically modified micro-organisms, reflecting the key recommendation of the above scientific opinion that the approach to risk assessment for micro-organisms should be governed by the properties of the micro-organism or product irrespective of the technique used for its modification. In this respect, wherever product-specific legal obligations allow, the guidance provides a uni</w:t>
      </w:r>
      <w:r w:rsidR="3BCA37BF" w:rsidRPr="4EC480EB">
        <w:rPr>
          <w:rFonts w:eastAsia="Times New Roman"/>
        </w:rPr>
        <w:t>form</w:t>
      </w:r>
      <w:r w:rsidRPr="41BEE9DA">
        <w:rPr>
          <w:rFonts w:eastAsia="Times New Roman"/>
        </w:rPr>
        <w:t xml:space="preserve"> approach to risk assessment of micro-organisms regardless of any potential use of genetic modification techniques.</w:t>
      </w:r>
    </w:p>
    <w:p w14:paraId="2638839E" w14:textId="0B5BD523" w:rsidR="55032AB3" w:rsidRDefault="55032AB3" w:rsidP="004570F2">
      <w:r w:rsidRPr="41BEE9DA">
        <w:rPr>
          <w:rFonts w:eastAsia="Times New Roman"/>
        </w:rPr>
        <w:t xml:space="preserve">The micro-organisms covered are bacteria, yeasts, filamentous fungi, microalgae and other protists, and viruses, including bacteriophages. The guidance addresses aspects regarding the taxonomic identification of a micro-organism, particularly in view of fulfilling the requirements originating from the assignments of a potential QPS status, the presence of genes of concern in the micro-organism’s genome, the presence of viable cells, genetic material or substances of concern in the final product, and the possible impacts of products containing living micro-organisms on the environment. </w:t>
      </w:r>
    </w:p>
    <w:p w14:paraId="4135DB87" w14:textId="30B8D231" w:rsidR="55032AB3" w:rsidRDefault="42D606C0" w:rsidP="004570F2">
      <w:r w:rsidRPr="08FDD09A">
        <w:rPr>
          <w:rFonts w:eastAsia="Times New Roman"/>
        </w:rPr>
        <w:t>As the above-mentioned opinion, this guidance asserts that</w:t>
      </w:r>
      <w:r w:rsidR="1FE018C0" w:rsidRPr="00181F1A">
        <w:rPr>
          <w:rFonts w:eastAsia="Times New Roman"/>
        </w:rPr>
        <w:t>, in principle,</w:t>
      </w:r>
      <w:r w:rsidRPr="08FDD09A">
        <w:rPr>
          <w:rFonts w:eastAsia="Times New Roman"/>
        </w:rPr>
        <w:t xml:space="preserve"> for micro-organisms </w:t>
      </w:r>
      <w:r w:rsidR="27AD88C1" w:rsidRPr="00181F1A">
        <w:rPr>
          <w:rFonts w:eastAsia="Times New Roman"/>
        </w:rPr>
        <w:t>belonging to taxonomic units listed in</w:t>
      </w:r>
      <w:r w:rsidRPr="08FDD09A">
        <w:rPr>
          <w:rFonts w:eastAsia="Times New Roman"/>
        </w:rPr>
        <w:t xml:space="preserve"> the QPS</w:t>
      </w:r>
      <w:r w:rsidR="6B915B06" w:rsidRPr="08FDD09A">
        <w:rPr>
          <w:rFonts w:eastAsia="Times New Roman"/>
        </w:rPr>
        <w:t xml:space="preserve"> list</w:t>
      </w:r>
      <w:r w:rsidRPr="08FDD09A">
        <w:rPr>
          <w:rFonts w:eastAsia="Times New Roman"/>
        </w:rPr>
        <w:t>, information regarding toxigenicity, pathogenicity, infectivity and history of use do</w:t>
      </w:r>
      <w:r w:rsidR="227D67CA" w:rsidRPr="08FDD09A">
        <w:rPr>
          <w:rFonts w:eastAsia="Times New Roman"/>
        </w:rPr>
        <w:t>es</w:t>
      </w:r>
      <w:r w:rsidRPr="08FDD09A">
        <w:rPr>
          <w:rFonts w:eastAsia="Times New Roman"/>
        </w:rPr>
        <w:t xml:space="preserve"> not need to be provided by the applicant for the purpose of risk assessment. Similarly, for micro-organisms having obtained the QPS status no further assessment of environmental safety is required unless genetic modifications have been introduced, which may lead to potential adverse environmental effects.</w:t>
      </w:r>
    </w:p>
    <w:p w14:paraId="4851ABB6" w14:textId="44C4DFCC" w:rsidR="55032AB3" w:rsidRDefault="42D606C0" w:rsidP="004570F2">
      <w:r w:rsidRPr="08FDD09A">
        <w:rPr>
          <w:rFonts w:eastAsia="Times New Roman"/>
        </w:rPr>
        <w:lastRenderedPageBreak/>
        <w:t xml:space="preserve">Concretely, for the areas of risk that must be addressed in an environmental risk assessment of a GMM in accordance with Annex II to Directive 2001/18/EC, EFSA indicates some possible simplifications and flexibility in data requirements. Persistence, invasiveness and selective advantage may not need to be assessed if the GMM qualifies for QPS or belongs to a species commonly found in the microbiome of the receiving environment and its genetic modification leads to a trait </w:t>
      </w:r>
      <w:r w:rsidR="0CE8D5B1" w:rsidRPr="08FDD09A">
        <w:rPr>
          <w:rFonts w:eastAsia="Times New Roman"/>
        </w:rPr>
        <w:t>known to be</w:t>
      </w:r>
      <w:r w:rsidRPr="08FDD09A">
        <w:rPr>
          <w:rFonts w:eastAsia="Times New Roman"/>
        </w:rPr>
        <w:t xml:space="preserve"> present in the microbiome of the receiving environment. Horizontal gene transfer may not need to be assessed if the genetic modification only results in deletions or insertions of sequences conferring traits that are already present in the microbiome of the receiving environment. Effects on non-target organisms, including on humans or animals may not need to be assessed if the GMM </w:t>
      </w:r>
      <w:r w:rsidR="2712D651" w:rsidRPr="08FDD09A">
        <w:rPr>
          <w:rFonts w:eastAsia="Times New Roman"/>
        </w:rPr>
        <w:t>can</w:t>
      </w:r>
      <w:r w:rsidRPr="08FDD09A">
        <w:rPr>
          <w:rFonts w:eastAsia="Times New Roman"/>
        </w:rPr>
        <w:t xml:space="preserve">not produce new compounds or metabolites or higher quantities of endogenous compounds or metabolites compared to the unmodified parental strain or if the non-target organisms, including humans or animals would already naturally be exposed to those compounds or metabolites. Similarly, the effect on geochemical processes should only be assessed if the genetic modification </w:t>
      </w:r>
      <w:r w:rsidR="6CFB1615" w:rsidRPr="00181F1A">
        <w:rPr>
          <w:rFonts w:eastAsia="Times New Roman"/>
          <w:strike/>
        </w:rPr>
        <w:t xml:space="preserve"> </w:t>
      </w:r>
      <w:r w:rsidR="6CFB1615" w:rsidRPr="00181F1A">
        <w:rPr>
          <w:rFonts w:eastAsia="Times New Roman"/>
        </w:rPr>
        <w:t>may cause higher expression of endogenous compounds or metabolites of concern, may lead to the expression of new compounds or metabolites not known to be naturally present in the microbiome of the receiving environment</w:t>
      </w:r>
      <w:r w:rsidR="6CFB1615" w:rsidRPr="00181F1A">
        <w:rPr>
          <w:rFonts w:eastAsia="Times New Roman"/>
          <w:u w:val="single"/>
        </w:rPr>
        <w:t>,</w:t>
      </w:r>
      <w:r w:rsidRPr="08FDD09A">
        <w:rPr>
          <w:rFonts w:eastAsia="Times New Roman"/>
        </w:rPr>
        <w:t xml:space="preserve"> or introduces metabolic pathways that would be new to the microbiome of the receiving environment.</w:t>
      </w:r>
    </w:p>
    <w:p w14:paraId="455524D7" w14:textId="4A8A5C6F" w:rsidR="55032AB3" w:rsidRDefault="55032AB3" w:rsidP="004570F2">
      <w:r w:rsidRPr="41BEE9DA">
        <w:rPr>
          <w:rFonts w:eastAsia="Times New Roman"/>
        </w:rPr>
        <w:t>The above findings and conclusions of EFSA’s 2024 scientific opinion on new developments in biotechnology applied to micro-organisms and its 2025 new guidance on the characterisation of micro-organisms have been relied on to propose the adaptation of the data requirements for the environmental risk assessment of GMMs (new Article 24b in Directive 2001/18/EC), to propose the use of the QPS status as one criterion to determine GMMs which could profit from a streamlined consent procedure (new Article 24e in Directive 2001/18/EC) and, finally, to propose greater flexibility in the requirement of post-market environmental monitoring for certain GMMs (new Article 24f in Directive 2001/18/EC). In addition, EFSA’s conclusion that risks of a GMM relate to the properties introduced rather than the method used for the genetic modification inform the choice to adapt current rules to the specificity of GMMs regardless of the (new or established) technique used for their modification.</w:t>
      </w:r>
    </w:p>
    <w:p w14:paraId="2A82D547" w14:textId="2A06A1D7" w:rsidR="55032AB3" w:rsidRDefault="55032AB3" w:rsidP="00AB5640">
      <w:pPr>
        <w:pStyle w:val="Heading3"/>
      </w:pPr>
      <w:bookmarkStart w:id="289" w:name="_Toc225969808"/>
      <w:bookmarkStart w:id="290" w:name="_Toc225979140"/>
      <w:r w:rsidRPr="41BEE9DA">
        <w:t>The QPS approach</w:t>
      </w:r>
      <w:bookmarkEnd w:id="289"/>
      <w:bookmarkEnd w:id="290"/>
    </w:p>
    <w:p w14:paraId="5680F023" w14:textId="1BB0699F" w:rsidR="55032AB3" w:rsidRDefault="55032AB3" w:rsidP="004570F2">
      <w:r w:rsidRPr="41BEE9DA">
        <w:rPr>
          <w:rFonts w:eastAsia="Times New Roman"/>
        </w:rPr>
        <w:t>To provide background to and further rationale for the use of the QPS approach in the proposal (new Article 24e in Directive 2001/18/EC), this section summarises how the approach was developed, its evolution and implications as well as the use in the context of risk assessments.</w:t>
      </w:r>
    </w:p>
    <w:p w14:paraId="2E988340" w14:textId="2220C832" w:rsidR="55032AB3" w:rsidRDefault="42D606C0" w:rsidP="004570F2">
      <w:r w:rsidRPr="41BEE9DA">
        <w:rPr>
          <w:rFonts w:eastAsia="Times New Roman"/>
        </w:rPr>
        <w:t xml:space="preserve">In 2002, a working group consisting of members of the Scientific Committee on Animal Nutrition, the Scientific Committee on Food and the Scientific Committee on Plants of the European Commission (predecessors of EFSA) started developing a working paper on a generic approach </w:t>
      </w:r>
      <w:r w:rsidR="716DCCB9" w:rsidRPr="4EC480EB">
        <w:rPr>
          <w:rFonts w:eastAsia="Times New Roman"/>
        </w:rPr>
        <w:t>for the safety</w:t>
      </w:r>
      <w:r w:rsidRPr="41BEE9DA">
        <w:rPr>
          <w:rFonts w:eastAsia="Times New Roman"/>
        </w:rPr>
        <w:t xml:space="preserve"> assessment of micro-organisms used in food and feed or in their production. In this Commission working paper</w:t>
      </w:r>
      <w:r w:rsidR="00160041">
        <w:rPr>
          <w:rStyle w:val="FootnoteReference"/>
          <w:rFonts w:eastAsia="Times New Roman"/>
        </w:rPr>
        <w:footnoteReference w:id="147"/>
      </w:r>
      <w:r w:rsidRPr="41BEE9DA">
        <w:rPr>
          <w:rFonts w:eastAsia="Times New Roman"/>
        </w:rPr>
        <w:t>, a process was</w:t>
      </w:r>
      <w:r w:rsidR="669AF2A6" w:rsidRPr="4EC480EB">
        <w:rPr>
          <w:rFonts w:eastAsia="Times New Roman"/>
        </w:rPr>
        <w:t xml:space="preserve"> initially</w:t>
      </w:r>
      <w:r w:rsidRPr="41BEE9DA">
        <w:rPr>
          <w:rFonts w:eastAsia="Times New Roman"/>
        </w:rPr>
        <w:t xml:space="preserve"> envisaged </w:t>
      </w:r>
      <w:r w:rsidRPr="41BEE9DA">
        <w:rPr>
          <w:rFonts w:eastAsia="Times New Roman"/>
        </w:rPr>
        <w:lastRenderedPageBreak/>
        <w:t>that should, similarly to the concept and purpose of the Generally Recognised As Safe (GRAS) approach of the USA</w:t>
      </w:r>
      <w:r w:rsidR="00B01630">
        <w:rPr>
          <w:rStyle w:val="FootnoteReference"/>
          <w:rFonts w:eastAsia="Times New Roman"/>
        </w:rPr>
        <w:footnoteReference w:id="148"/>
      </w:r>
      <w:r w:rsidRPr="41BEE9DA">
        <w:rPr>
          <w:rFonts w:eastAsia="Times New Roman"/>
        </w:rPr>
        <w:t xml:space="preserve">, allow for a generic pre-assessment of the safety of micro-organisms used in food and feed and the wider food and feed chain, including plant protection products. The core of this system was the assignment of the status of so-called Qualified Presumption of Safety (QPS) to defined groups (taxonomic units, usually a species) of micro-organisms on the basis of available evidence on the safety </w:t>
      </w:r>
      <w:r w:rsidR="0DF3B738" w:rsidRPr="00181F1A">
        <w:rPr>
          <w:rFonts w:eastAsia="Times New Roman"/>
        </w:rPr>
        <w:t xml:space="preserve">(body of knowledge) </w:t>
      </w:r>
      <w:r w:rsidRPr="41BEE9DA">
        <w:rPr>
          <w:rFonts w:eastAsia="Times New Roman"/>
        </w:rPr>
        <w:t>of and familiarity</w:t>
      </w:r>
      <w:r w:rsidR="59C1CD1F" w:rsidRPr="4EC480EB">
        <w:rPr>
          <w:rFonts w:eastAsia="Times New Roman"/>
        </w:rPr>
        <w:t xml:space="preserve"> </w:t>
      </w:r>
      <w:r w:rsidR="59C1CD1F" w:rsidRPr="00181F1A">
        <w:rPr>
          <w:rFonts w:eastAsia="Times New Roman"/>
        </w:rPr>
        <w:t>(history of use)</w:t>
      </w:r>
      <w:r w:rsidRPr="41BEE9DA">
        <w:rPr>
          <w:rFonts w:eastAsia="Times New Roman"/>
        </w:rPr>
        <w:t xml:space="preserve"> with the micro-organism. The goal was to make the </w:t>
      </w:r>
      <w:r w:rsidR="6E7CCC2A" w:rsidRPr="4EC480EB">
        <w:rPr>
          <w:rFonts w:eastAsia="Times New Roman"/>
        </w:rPr>
        <w:t>safety</w:t>
      </w:r>
      <w:r w:rsidRPr="41BEE9DA">
        <w:rPr>
          <w:rFonts w:eastAsia="Times New Roman"/>
        </w:rPr>
        <w:t xml:space="preserve"> assessment of micro-organisms across the food and feed chain more consistent and make better use of resources without compromising safety. For taxonomic units of micro-organisms with QPS status, a complementary case-by-case risk assessment was then to focus on specific aspects relevant to the particular micro-organism or product type.</w:t>
      </w:r>
    </w:p>
    <w:p w14:paraId="3353E5CF" w14:textId="1DADE9A7" w:rsidR="55032AB3" w:rsidRDefault="42D606C0" w:rsidP="004570F2">
      <w:r w:rsidRPr="41BEE9DA">
        <w:rPr>
          <w:rFonts w:eastAsia="Times New Roman"/>
        </w:rPr>
        <w:t>This initial work was, after a public consultation on the concept, advanced by EFSA, who in 2007 published the first list of micro-organisms with QPS status and formally integrated it into its risk assessment procedures, initially only for products directly consumed as or in food or feed</w:t>
      </w:r>
      <w:r w:rsidR="00B01630">
        <w:rPr>
          <w:rStyle w:val="FootnoteReference"/>
          <w:rFonts w:eastAsia="Times New Roman"/>
        </w:rPr>
        <w:footnoteReference w:id="149"/>
      </w:r>
      <w:r w:rsidRPr="41BEE9DA">
        <w:rPr>
          <w:rFonts w:eastAsia="Times New Roman"/>
        </w:rPr>
        <w:t>. In 2009, the approach was extended to micro-organisms used as active substances in plant protection products. As in the initial Commission working paper</w:t>
      </w:r>
      <w:r w:rsidR="001B3311">
        <w:rPr>
          <w:rStyle w:val="FootnoteReference"/>
          <w:rFonts w:eastAsia="Times New Roman"/>
        </w:rPr>
        <w:footnoteReference w:id="150"/>
      </w:r>
      <w:r w:rsidRPr="41BEE9DA">
        <w:rPr>
          <w:rFonts w:eastAsia="Times New Roman"/>
        </w:rPr>
        <w:t xml:space="preserve"> referred to above, EFSA sees the QPS approach as a practical tool for building on available knowledge and experience, avoiding the reassessment of aspects known not to cause concern in relation to the specific micro-organism</w:t>
      </w:r>
      <w:r w:rsidR="068EF9E9" w:rsidRPr="4EC480EB">
        <w:rPr>
          <w:rFonts w:eastAsia="Times New Roman"/>
        </w:rPr>
        <w:t xml:space="preserve"> </w:t>
      </w:r>
      <w:r w:rsidR="068EF9E9" w:rsidRPr="00181F1A">
        <w:rPr>
          <w:rFonts w:eastAsia="Times New Roman"/>
        </w:rPr>
        <w:t>(at taxonomic unit level, usually the species)</w:t>
      </w:r>
      <w:r w:rsidRPr="41BEE9DA">
        <w:rPr>
          <w:rFonts w:eastAsia="Times New Roman"/>
        </w:rPr>
        <w:t xml:space="preserve"> and to concentrate the assessment where there is still uncertainty about potential risks</w:t>
      </w:r>
      <w:r w:rsidR="00B01630">
        <w:rPr>
          <w:rStyle w:val="FootnoteReference"/>
          <w:rFonts w:eastAsia="Times New Roman"/>
        </w:rPr>
        <w:footnoteReference w:id="151"/>
      </w:r>
      <w:r w:rsidRPr="41BEE9DA">
        <w:rPr>
          <w:rFonts w:eastAsia="Times New Roman"/>
        </w:rPr>
        <w:t>.</w:t>
      </w:r>
    </w:p>
    <w:p w14:paraId="287D7E62" w14:textId="2AD25B79" w:rsidR="55032AB3" w:rsidRDefault="42D606C0" w:rsidP="004570F2">
      <w:r w:rsidRPr="41BEE9DA">
        <w:rPr>
          <w:rFonts w:eastAsia="Times New Roman"/>
        </w:rPr>
        <w:t xml:space="preserve">Today, QPS assessments are conducted by the EFSA Biological Hazards (BIOHAZ) </w:t>
      </w:r>
      <w:r w:rsidR="67FF208F" w:rsidRPr="4EC480EB">
        <w:rPr>
          <w:rFonts w:eastAsia="Times New Roman"/>
        </w:rPr>
        <w:t>P</w:t>
      </w:r>
      <w:r w:rsidRPr="41BEE9DA">
        <w:rPr>
          <w:rFonts w:eastAsia="Times New Roman"/>
        </w:rPr>
        <w:t xml:space="preserve">anel with support of </w:t>
      </w:r>
      <w:r w:rsidR="6B7E89C1" w:rsidRPr="00181F1A">
        <w:rPr>
          <w:rFonts w:eastAsia="Times New Roman"/>
        </w:rPr>
        <w:t>the QPS working group and</w:t>
      </w:r>
      <w:r w:rsidR="6B7E89C1" w:rsidRPr="4EC480EB">
        <w:rPr>
          <w:rFonts w:eastAsia="Times New Roman"/>
        </w:rPr>
        <w:t xml:space="preserve"> </w:t>
      </w:r>
      <w:r w:rsidRPr="41BEE9DA">
        <w:rPr>
          <w:rFonts w:eastAsia="Times New Roman"/>
        </w:rPr>
        <w:t>EFSA staff when EFSA receives an application for authorisation of a regulated product or active substance under their remit that entails a micro-organism not yet granted QPS</w:t>
      </w:r>
      <w:r w:rsidR="15FF6E96" w:rsidRPr="4EC480EB">
        <w:rPr>
          <w:rFonts w:eastAsia="Times New Roman"/>
        </w:rPr>
        <w:t xml:space="preserve"> status</w:t>
      </w:r>
      <w:r w:rsidRPr="41BEE9DA">
        <w:rPr>
          <w:rFonts w:eastAsia="Times New Roman"/>
        </w:rPr>
        <w:t xml:space="preserve">. Micro-organisms previously excluded from the QPS process or that have recently been assessed are </w:t>
      </w:r>
      <w:r w:rsidR="776AFA49" w:rsidRPr="4EC480EB">
        <w:rPr>
          <w:rFonts w:eastAsia="Times New Roman"/>
        </w:rPr>
        <w:t xml:space="preserve">not subject to </w:t>
      </w:r>
      <w:r w:rsidRPr="41BEE9DA">
        <w:rPr>
          <w:rFonts w:eastAsia="Times New Roman"/>
        </w:rPr>
        <w:t>a renewed QPS assessment</w:t>
      </w:r>
      <w:r w:rsidR="00B01630">
        <w:rPr>
          <w:rStyle w:val="FootnoteReference"/>
          <w:rFonts w:eastAsia="Times New Roman"/>
        </w:rPr>
        <w:footnoteReference w:id="152"/>
      </w:r>
      <w:r w:rsidRPr="41BEE9DA">
        <w:rPr>
          <w:rFonts w:eastAsia="Times New Roman"/>
        </w:rPr>
        <w:t xml:space="preserve">. The </w:t>
      </w:r>
      <w:r w:rsidR="3E0F57F1" w:rsidRPr="4EC480EB">
        <w:rPr>
          <w:rFonts w:eastAsia="Times New Roman"/>
        </w:rPr>
        <w:t xml:space="preserve">QPS </w:t>
      </w:r>
      <w:r w:rsidRPr="41BEE9DA">
        <w:rPr>
          <w:rFonts w:eastAsia="Times New Roman"/>
        </w:rPr>
        <w:t>assessment is made independently of the legal framework under which the application for authorisation was made</w:t>
      </w:r>
      <w:r w:rsidR="1DD4269F" w:rsidRPr="4EC480EB">
        <w:rPr>
          <w:rFonts w:eastAsia="Times New Roman"/>
        </w:rPr>
        <w:t xml:space="preserve"> and </w:t>
      </w:r>
      <w:r w:rsidR="1DD4269F" w:rsidRPr="00181F1A">
        <w:rPr>
          <w:rFonts w:eastAsia="Times New Roman"/>
        </w:rPr>
        <w:t>the data contained in that application</w:t>
      </w:r>
      <w:r w:rsidRPr="41BEE9DA">
        <w:rPr>
          <w:rFonts w:eastAsia="Times New Roman"/>
        </w:rPr>
        <w:t xml:space="preserve"> and without prejudice to further assessment that might be needed under that framework.</w:t>
      </w:r>
    </w:p>
    <w:p w14:paraId="162AFFBB" w14:textId="208CD006" w:rsidR="55032AB3" w:rsidRDefault="55032AB3" w:rsidP="004570F2">
      <w:r w:rsidRPr="41BEE9DA">
        <w:rPr>
          <w:rFonts w:eastAsia="Times New Roman"/>
        </w:rPr>
        <w:t xml:space="preserve">The QPS approach is based on four pillars: </w:t>
      </w:r>
    </w:p>
    <w:p w14:paraId="4DC3C8B3" w14:textId="331CBAA6" w:rsidR="55032AB3" w:rsidRDefault="55032AB3" w:rsidP="41BEE9DA">
      <w:pPr>
        <w:pStyle w:val="ListParagraph"/>
        <w:numPr>
          <w:ilvl w:val="0"/>
          <w:numId w:val="429"/>
        </w:numPr>
        <w:spacing w:after="0" w:line="257" w:lineRule="auto"/>
        <w:rPr>
          <w:rFonts w:eastAsia="Times New Roman"/>
        </w:rPr>
      </w:pPr>
      <w:r w:rsidRPr="41BEE9DA">
        <w:rPr>
          <w:rFonts w:eastAsia="Times New Roman"/>
        </w:rPr>
        <w:lastRenderedPageBreak/>
        <w:t>establishing the taxonomic identity of the micro-organism under assessment;</w:t>
      </w:r>
    </w:p>
    <w:p w14:paraId="54E4F081" w14:textId="161B2235" w:rsidR="55032AB3" w:rsidRDefault="55032AB3" w:rsidP="41BEE9DA">
      <w:pPr>
        <w:pStyle w:val="ListParagraph"/>
        <w:numPr>
          <w:ilvl w:val="0"/>
          <w:numId w:val="429"/>
        </w:numPr>
        <w:spacing w:after="0" w:line="257" w:lineRule="auto"/>
        <w:rPr>
          <w:rFonts w:eastAsia="Times New Roman"/>
        </w:rPr>
      </w:pPr>
      <w:r w:rsidRPr="41BEE9DA">
        <w:rPr>
          <w:rFonts w:eastAsia="Times New Roman"/>
        </w:rPr>
        <w:t xml:space="preserve">identifying the existing body of knowledge about the micro-organism, including any history of use; </w:t>
      </w:r>
    </w:p>
    <w:p w14:paraId="66E7E572" w14:textId="595AB243" w:rsidR="55032AB3" w:rsidRDefault="55032AB3" w:rsidP="41BEE9DA">
      <w:pPr>
        <w:pStyle w:val="ListParagraph"/>
        <w:numPr>
          <w:ilvl w:val="0"/>
          <w:numId w:val="429"/>
        </w:numPr>
        <w:spacing w:after="0" w:line="257" w:lineRule="auto"/>
        <w:rPr>
          <w:rFonts w:eastAsia="Times New Roman"/>
        </w:rPr>
      </w:pPr>
      <w:r w:rsidRPr="41BEE9DA">
        <w:rPr>
          <w:rFonts w:eastAsia="Times New Roman"/>
        </w:rPr>
        <w:t xml:space="preserve">identifying any known safety concerns for humans, animals and the environment, primarily linked to pathogenicity and similar aspects; </w:t>
      </w:r>
    </w:p>
    <w:p w14:paraId="75433487" w14:textId="5CB42C0F" w:rsidR="55032AB3" w:rsidRDefault="42D606C0" w:rsidP="41BEE9DA">
      <w:pPr>
        <w:pStyle w:val="ListParagraph"/>
        <w:numPr>
          <w:ilvl w:val="0"/>
          <w:numId w:val="429"/>
        </w:numPr>
        <w:spacing w:after="0" w:line="257" w:lineRule="auto"/>
        <w:rPr>
          <w:rFonts w:eastAsia="Times New Roman"/>
        </w:rPr>
      </w:pPr>
      <w:r w:rsidRPr="41BEE9DA">
        <w:rPr>
          <w:rFonts w:eastAsia="Times New Roman"/>
        </w:rPr>
        <w:t>establishing the intended form of use of the micro-organism in products</w:t>
      </w:r>
      <w:r w:rsidR="774AC263" w:rsidRPr="4EC480EB">
        <w:rPr>
          <w:rFonts w:eastAsia="Times New Roman"/>
        </w:rPr>
        <w:t xml:space="preserve"> or in their manufacturing</w:t>
      </w:r>
      <w:r w:rsidRPr="41BEE9DA">
        <w:rPr>
          <w:rFonts w:eastAsia="Times New Roman"/>
        </w:rPr>
        <w:t>, i.e. as living micro-organism, as biomass or as production strain</w:t>
      </w:r>
      <w:r w:rsidR="00B01630">
        <w:rPr>
          <w:rStyle w:val="FootnoteReference"/>
          <w:rFonts w:eastAsia="Times New Roman"/>
        </w:rPr>
        <w:footnoteReference w:id="153"/>
      </w:r>
      <w:r w:rsidRPr="41BEE9DA">
        <w:rPr>
          <w:rFonts w:eastAsia="Times New Roman"/>
        </w:rPr>
        <w:t xml:space="preserve">. </w:t>
      </w:r>
    </w:p>
    <w:p w14:paraId="4762DE56" w14:textId="53DA678F" w:rsidR="55032AB3" w:rsidRDefault="42D606C0" w:rsidP="004570F2">
      <w:r w:rsidRPr="41BEE9DA">
        <w:rPr>
          <w:rFonts w:eastAsia="Times New Roman"/>
        </w:rPr>
        <w:t>The</w:t>
      </w:r>
      <w:r w:rsidR="6C4B3FC8" w:rsidRPr="004570F2">
        <w:rPr>
          <w:color w:val="008080"/>
        </w:rPr>
        <w:t xml:space="preserve"> </w:t>
      </w:r>
      <w:r w:rsidR="6C4B3FC8" w:rsidRPr="00322765">
        <w:rPr>
          <w:rFonts w:eastAsia="Times New Roman"/>
        </w:rPr>
        <w:t>maintenance of the QPS list</w:t>
      </w:r>
      <w:r w:rsidRPr="41BEE9DA">
        <w:rPr>
          <w:rFonts w:eastAsia="Times New Roman"/>
        </w:rPr>
        <w:t xml:space="preserve"> is based on extensive literature </w:t>
      </w:r>
      <w:r w:rsidR="2C51D5B9" w:rsidRPr="4EC480EB">
        <w:rPr>
          <w:rFonts w:eastAsia="Times New Roman"/>
        </w:rPr>
        <w:t>searches (ELS)</w:t>
      </w:r>
      <w:r w:rsidRPr="41BEE9DA">
        <w:rPr>
          <w:rFonts w:eastAsia="Times New Roman"/>
        </w:rPr>
        <w:t>. To accommodate any advancement in knowledge, in particular any arising safety concerns, this</w:t>
      </w:r>
      <w:r w:rsidR="4C41622F" w:rsidRPr="4EC480EB">
        <w:rPr>
          <w:rFonts w:eastAsia="Times New Roman"/>
        </w:rPr>
        <w:t xml:space="preserve"> literature</w:t>
      </w:r>
      <w:r w:rsidRPr="41BEE9DA">
        <w:rPr>
          <w:rFonts w:eastAsia="Times New Roman"/>
        </w:rPr>
        <w:t xml:space="preserve"> review is updated every 6 months. Any new additions to the QPS list</w:t>
      </w:r>
      <w:r w:rsidR="00B01630">
        <w:rPr>
          <w:rStyle w:val="FootnoteReference"/>
          <w:rFonts w:eastAsia="Times New Roman"/>
        </w:rPr>
        <w:footnoteReference w:id="154"/>
      </w:r>
      <w:r w:rsidRPr="41BEE9DA">
        <w:rPr>
          <w:rFonts w:eastAsia="Times New Roman"/>
        </w:rPr>
        <w:t xml:space="preserve"> and micro-organisms notified for QPS assessment</w:t>
      </w:r>
      <w:r w:rsidR="003308E2">
        <w:rPr>
          <w:rStyle w:val="FootnoteReference"/>
          <w:rFonts w:eastAsia="Times New Roman"/>
        </w:rPr>
        <w:footnoteReference w:id="155"/>
      </w:r>
      <w:r w:rsidRPr="41BEE9DA">
        <w:rPr>
          <w:rFonts w:eastAsia="Times New Roman"/>
        </w:rPr>
        <w:t xml:space="preserve"> are published every 6 months by EFSA, together with the detailed protocol for the literature review</w:t>
      </w:r>
      <w:r w:rsidR="003308E2">
        <w:rPr>
          <w:rStyle w:val="FootnoteReference"/>
          <w:rFonts w:eastAsia="Times New Roman"/>
        </w:rPr>
        <w:footnoteReference w:id="156"/>
      </w:r>
      <w:r w:rsidRPr="41BEE9DA">
        <w:rPr>
          <w:rFonts w:eastAsia="Times New Roman"/>
        </w:rPr>
        <w:t xml:space="preserve"> and used search terms</w:t>
      </w:r>
      <w:r w:rsidR="003308E2">
        <w:rPr>
          <w:rStyle w:val="FootnoteReference"/>
          <w:rFonts w:eastAsia="Times New Roman"/>
        </w:rPr>
        <w:footnoteReference w:id="157"/>
      </w:r>
      <w:r w:rsidRPr="41BEE9DA">
        <w:rPr>
          <w:rFonts w:eastAsia="Times New Roman"/>
        </w:rPr>
        <w:t>. In addition, every 3 years EFSA publishes a scientific opinion summarising the evolution of the list over the last 3-year period and announcing any updates to the approach considering developments regarding established methodologies in microbiology, new scientific insights and new applications of micro-organisms in the food and feed chain</w:t>
      </w:r>
      <w:r w:rsidR="003308E2">
        <w:rPr>
          <w:rStyle w:val="FootnoteReference"/>
          <w:rFonts w:eastAsia="Times New Roman"/>
        </w:rPr>
        <w:footnoteReference w:id="158"/>
      </w:r>
      <w:r w:rsidRPr="41BEE9DA">
        <w:rPr>
          <w:rFonts w:eastAsia="Times New Roman"/>
        </w:rPr>
        <w:t>. Micro-organisms having obtained QPS status are listed in a public database</w:t>
      </w:r>
      <w:r w:rsidR="003308E2">
        <w:rPr>
          <w:rStyle w:val="FootnoteReference"/>
          <w:rFonts w:eastAsia="Times New Roman"/>
        </w:rPr>
        <w:footnoteReference w:id="159"/>
      </w:r>
      <w:r w:rsidRPr="41BEE9DA">
        <w:rPr>
          <w:rFonts w:eastAsia="Times New Roman"/>
        </w:rPr>
        <w:t>.</w:t>
      </w:r>
    </w:p>
    <w:p w14:paraId="5C87B4A3" w14:textId="792212E6" w:rsidR="55032AB3" w:rsidRDefault="42D606C0" w:rsidP="004570F2">
      <w:pPr>
        <w:rPr>
          <w:rFonts w:eastAsia="Times New Roman"/>
        </w:rPr>
      </w:pPr>
      <w:r w:rsidRPr="41BEE9DA">
        <w:rPr>
          <w:rFonts w:eastAsia="Times New Roman"/>
        </w:rPr>
        <w:t xml:space="preserve">When assigning QPS status to a </w:t>
      </w:r>
      <w:r w:rsidR="2B75C7F3" w:rsidRPr="4EC480EB">
        <w:rPr>
          <w:rFonts w:eastAsia="Times New Roman"/>
        </w:rPr>
        <w:t xml:space="preserve">certain </w:t>
      </w:r>
      <w:r w:rsidRPr="41BEE9DA">
        <w:rPr>
          <w:rFonts w:eastAsia="Times New Roman"/>
        </w:rPr>
        <w:t>taxonomic unit, EFSA is satisfied that the available knowledge documented in the literature</w:t>
      </w:r>
      <w:r w:rsidR="532C78E5" w:rsidRPr="00181F1A">
        <w:rPr>
          <w:rFonts w:eastAsia="Times New Roman"/>
        </w:rPr>
        <w:t>, expert knowledge</w:t>
      </w:r>
      <w:r w:rsidRPr="41BEE9DA">
        <w:rPr>
          <w:rFonts w:eastAsia="Times New Roman"/>
        </w:rPr>
        <w:t xml:space="preserve"> and the experience from previous use are sufficient to exclude certain potential adverse effects on human and animal health and the environment and that the same degree of confidence is achieved as would be the case with a case-by-case assessment. In this evaluation, the available scientific evidence indicating an exposure of humans and animals through food and feed, the distribution of the micro-organism in natural environments and their routes of dispersal, as well as the history of use in agricultural and food manufacturing systems and for biotechnological and medical purposes are considered. In addition, with increasing availability of whole genome sequencing data the screening for the presence of any virulence factors and other genes of concern has been incorporated</w:t>
      </w:r>
      <w:r w:rsidR="55032AB3" w:rsidRPr="66E94B6C">
        <w:rPr>
          <w:rFonts w:eastAsia="Times New Roman"/>
          <w:vertAlign w:val="superscript"/>
        </w:rPr>
        <w:footnoteReference w:id="160"/>
      </w:r>
      <w:r w:rsidR="43334DFF" w:rsidRPr="08FDD09A">
        <w:rPr>
          <w:rFonts w:eastAsia="Times New Roman"/>
        </w:rPr>
        <w:t xml:space="preserve">. </w:t>
      </w:r>
    </w:p>
    <w:p w14:paraId="05661F7B" w14:textId="154E465F" w:rsidR="55032AB3" w:rsidRDefault="42D606C0" w:rsidP="08FDD09A">
      <w:pPr>
        <w:spacing w:after="160" w:line="257" w:lineRule="auto"/>
        <w:rPr>
          <w:rFonts w:eastAsia="Times New Roman"/>
        </w:rPr>
      </w:pPr>
      <w:r w:rsidRPr="00DE34EC">
        <w:t xml:space="preserve">If a specific safety concern is identified that is applicable to a defined sub-group of the species or specific uses, a condition to applying the QPS status, a so-called ”qualification“, is formulated to exclude the identified </w:t>
      </w:r>
      <w:r w:rsidR="26670799">
        <w:t>safety concern</w:t>
      </w:r>
      <w:r w:rsidRPr="00DE34EC">
        <w:t xml:space="preserve">. In that case, the QPS </w:t>
      </w:r>
      <w:r w:rsidR="461261AB">
        <w:t xml:space="preserve">status </w:t>
      </w:r>
      <w:r w:rsidRPr="00DE34EC">
        <w:t xml:space="preserve">is only </w:t>
      </w:r>
      <w:r w:rsidRPr="00DE34EC">
        <w:lastRenderedPageBreak/>
        <w:t>valid if the specific microbial strain used in a product</w:t>
      </w:r>
      <w:r w:rsidR="4C588DB7">
        <w:t xml:space="preserve"> or in its manufacturing</w:t>
      </w:r>
      <w:r w:rsidRPr="00DE34EC">
        <w:t xml:space="preserve"> fulfils the qualification. Currently established qualifications are</w:t>
      </w:r>
      <w:r w:rsidR="2548891D">
        <w:t>, e.g.</w:t>
      </w:r>
      <w:r w:rsidRPr="00DE34EC">
        <w:t xml:space="preserve"> the </w:t>
      </w:r>
      <w:r w:rsidR="6A001224">
        <w:t>“</w:t>
      </w:r>
      <w:r w:rsidRPr="003F05D9">
        <w:t xml:space="preserve">absence of </w:t>
      </w:r>
      <w:r w:rsidR="07DA8D0A">
        <w:t>acquired</w:t>
      </w:r>
      <w:r w:rsidRPr="003F05D9">
        <w:t xml:space="preserve"> resistance genes</w:t>
      </w:r>
      <w:r w:rsidR="7856FD55">
        <w:t xml:space="preserve"> </w:t>
      </w:r>
      <w:r w:rsidR="7856FD55" w:rsidRPr="00181F1A">
        <w:rPr>
          <w:rFonts w:eastAsia="Times New Roman"/>
        </w:rPr>
        <w:t>to therapeutic antimicrobials”</w:t>
      </w:r>
      <w:r w:rsidRPr="003F05D9">
        <w:t xml:space="preserve">, the </w:t>
      </w:r>
      <w:r w:rsidR="4008C29A">
        <w:t>“</w:t>
      </w:r>
      <w:r w:rsidRPr="003F05D9">
        <w:t>absence of toxigenic activity</w:t>
      </w:r>
      <w:r w:rsidR="4479EF88">
        <w:t>”</w:t>
      </w:r>
      <w:r w:rsidRPr="003F05D9">
        <w:t xml:space="preserve">and “for production purposes only”. Any micro-organism requiring assessment by EFSA that can be unambiguously assigned to a taxonomic unit with QPS status and that fulfils any potential qualifications </w:t>
      </w:r>
      <w:r w:rsidR="59853094">
        <w:t>linked with</w:t>
      </w:r>
      <w:r w:rsidRPr="003F05D9">
        <w:t xml:space="preserve"> this status does not require assessment of certain aspects of safety already addressed in the QPS assessment</w:t>
      </w:r>
      <w:r w:rsidR="55032AB3" w:rsidRPr="008E6AD3">
        <w:rPr>
          <w:vertAlign w:val="superscript"/>
        </w:rPr>
        <w:footnoteReference w:id="161"/>
      </w:r>
      <w:r w:rsidR="46B58A4E">
        <w:t xml:space="preserve">. </w:t>
      </w:r>
    </w:p>
    <w:p w14:paraId="30DA263F" w14:textId="1C1225C9" w:rsidR="55032AB3" w:rsidRDefault="42D606C0">
      <w:pPr>
        <w:spacing w:after="160" w:line="257" w:lineRule="auto"/>
        <w:rPr>
          <w:rFonts w:eastAsia="Times New Roman"/>
        </w:rPr>
      </w:pPr>
      <w:r w:rsidRPr="4AD2C402">
        <w:rPr>
          <w:rFonts w:eastAsia="Times New Roman"/>
        </w:rPr>
        <w:t xml:space="preserve">As indicated above, the main focus of the QPS assessment </w:t>
      </w:r>
      <w:r w:rsidR="2971864E" w:rsidRPr="00181F1A">
        <w:rPr>
          <w:rFonts w:eastAsia="Times New Roman"/>
        </w:rPr>
        <w:t>is to identify possible</w:t>
      </w:r>
      <w:r w:rsidR="2971864E" w:rsidRPr="4EC480EB">
        <w:rPr>
          <w:rFonts w:eastAsia="Times New Roman"/>
        </w:rPr>
        <w:t xml:space="preserve"> </w:t>
      </w:r>
      <w:r w:rsidRPr="4AD2C402">
        <w:rPr>
          <w:rFonts w:eastAsia="Times New Roman"/>
        </w:rPr>
        <w:t>safety concerns linked to pathogenicity, virulence and toxigenicity for humans and animals, which will need to be excluded for all regulated products assessed by EFSA, including for GMMs. To some degree these aspects are also addressed in respect to plant health</w:t>
      </w:r>
      <w:r w:rsidR="55032AB3" w:rsidRPr="2DE306CA">
        <w:rPr>
          <w:rFonts w:eastAsia="Times New Roman"/>
          <w:vertAlign w:val="superscript"/>
        </w:rPr>
        <w:footnoteReference w:id="162"/>
      </w:r>
      <w:r w:rsidR="43334DFF" w:rsidRPr="08FDD09A">
        <w:rPr>
          <w:rFonts w:eastAsia="Times New Roman"/>
        </w:rPr>
        <w:t xml:space="preserve">. </w:t>
      </w:r>
      <w:r w:rsidRPr="4AD2C402">
        <w:rPr>
          <w:rFonts w:eastAsia="Times New Roman"/>
        </w:rPr>
        <w:t xml:space="preserve"> </w:t>
      </w:r>
      <w:r w:rsidR="337FA1D7" w:rsidRPr="00181F1A">
        <w:rPr>
          <w:rFonts w:eastAsia="Times New Roman"/>
        </w:rPr>
        <w:t xml:space="preserve"> A taxonomic unit is included in</w:t>
      </w:r>
      <w:r w:rsidR="3A788093" w:rsidRPr="00181F1A">
        <w:rPr>
          <w:rFonts w:eastAsia="Times New Roman"/>
        </w:rPr>
        <w:t xml:space="preserve"> the</w:t>
      </w:r>
      <w:r w:rsidRPr="4AD2C402">
        <w:rPr>
          <w:rFonts w:eastAsia="Times New Roman"/>
        </w:rPr>
        <w:t xml:space="preserve"> QPS </w:t>
      </w:r>
      <w:r w:rsidR="3EEE9C7E" w:rsidRPr="4EC480EB">
        <w:rPr>
          <w:rFonts w:eastAsia="Times New Roman"/>
        </w:rPr>
        <w:t>list when</w:t>
      </w:r>
      <w:r w:rsidRPr="4AD2C402">
        <w:rPr>
          <w:rFonts w:eastAsia="Times New Roman"/>
        </w:rPr>
        <w:t xml:space="preserve"> certain </w:t>
      </w:r>
      <w:r w:rsidR="1791C6B7" w:rsidRPr="4EC480EB">
        <w:rPr>
          <w:rFonts w:eastAsia="Times New Roman"/>
        </w:rPr>
        <w:t>risks</w:t>
      </w:r>
      <w:r w:rsidRPr="4AD2C402">
        <w:rPr>
          <w:rFonts w:eastAsia="Times New Roman"/>
        </w:rPr>
        <w:t xml:space="preserve"> for human and animal health </w:t>
      </w:r>
      <w:r w:rsidR="34EF2884" w:rsidRPr="00181F1A">
        <w:rPr>
          <w:rFonts w:eastAsia="Times New Roman"/>
        </w:rPr>
        <w:t xml:space="preserve"> have been excluded allowing</w:t>
      </w:r>
      <w:r w:rsidRPr="4AD2C402">
        <w:rPr>
          <w:rFonts w:eastAsia="Times New Roman"/>
        </w:rPr>
        <w:t xml:space="preserve"> for a simplified assessment </w:t>
      </w:r>
      <w:r w:rsidR="75E0D562" w:rsidRPr="00181F1A">
        <w:rPr>
          <w:rFonts w:eastAsia="Times New Roman"/>
          <w:strike/>
        </w:rPr>
        <w:t xml:space="preserve"> </w:t>
      </w:r>
      <w:r w:rsidR="75E0D562" w:rsidRPr="00181F1A">
        <w:rPr>
          <w:rFonts w:eastAsia="Times New Roman"/>
        </w:rPr>
        <w:t>of a product containing a</w:t>
      </w:r>
      <w:r w:rsidRPr="4AD2C402">
        <w:rPr>
          <w:rFonts w:eastAsia="Times New Roman"/>
        </w:rPr>
        <w:t xml:space="preserve"> specific </w:t>
      </w:r>
      <w:r w:rsidR="450278B1" w:rsidRPr="00181F1A">
        <w:rPr>
          <w:rFonts w:eastAsia="Times New Roman"/>
        </w:rPr>
        <w:t xml:space="preserve"> strain of this taxonomic unit. Therefore, for strains belonging to that taxonomic unit and complying with the existing qualifications, specific</w:t>
      </w:r>
      <w:r w:rsidRPr="4AD2C402">
        <w:rPr>
          <w:rFonts w:eastAsia="Times New Roman"/>
        </w:rPr>
        <w:t xml:space="preserve"> data, e.g. on antimicrobial production, toxigenicity and pathogenicity, are generally not required</w:t>
      </w:r>
      <w:r w:rsidR="55032AB3" w:rsidRPr="693E819E">
        <w:rPr>
          <w:rFonts w:eastAsia="Times New Roman"/>
          <w:vertAlign w:val="superscript"/>
        </w:rPr>
        <w:footnoteReference w:id="163"/>
      </w:r>
      <w:r w:rsidR="43334DFF" w:rsidRPr="08FDD09A">
        <w:rPr>
          <w:rFonts w:eastAsia="Times New Roman"/>
        </w:rPr>
        <w:t xml:space="preserve">. </w:t>
      </w:r>
    </w:p>
    <w:p w14:paraId="63510A77" w14:textId="294D77AA" w:rsidR="55032AB3" w:rsidRDefault="55032AB3" w:rsidP="41BEE9DA">
      <w:pPr>
        <w:spacing w:after="160" w:line="257" w:lineRule="auto"/>
      </w:pPr>
      <w:r w:rsidRPr="41BEE9DA">
        <w:rPr>
          <w:rFonts w:eastAsia="Times New Roman"/>
        </w:rPr>
        <w:t>At the same time, the QPS approach does not cover the entire spectrum of potential safety concerns that may arise in relation to microbial products. For this reason, the QPS approach was from its conception envisaged as a tool to simplify the assessment of certain recurring safety concerns, while being complemented by a product-specific risk assessment to address remaining specific safety concerns. As a consequence, safety concerns that are relevant only for specific regulated products under EFSA remit, for example those regarding the wider environment in case of plant protection products or GMMs, will not be fully addressed by the generic QPS assessment but require a product-specific risk assessment on a case-by-case basis.</w:t>
      </w:r>
    </w:p>
    <w:p w14:paraId="37520B77" w14:textId="6A6CD819" w:rsidR="55032AB3" w:rsidRDefault="42D606C0" w:rsidP="41BEE9DA">
      <w:pPr>
        <w:spacing w:after="160" w:line="257" w:lineRule="auto"/>
        <w:rPr>
          <w:rFonts w:eastAsia="Times New Roman"/>
        </w:rPr>
      </w:pPr>
      <w:r w:rsidRPr="41BEE9DA">
        <w:rPr>
          <w:rFonts w:eastAsia="Times New Roman"/>
        </w:rPr>
        <w:t>The concept of QPS is now relied upon in several areas of EU legislation. In the areas of plant protection products</w:t>
      </w:r>
      <w:r w:rsidR="55032AB3" w:rsidRPr="6B67B1E1">
        <w:rPr>
          <w:rFonts w:eastAsia="Times New Roman"/>
          <w:vertAlign w:val="superscript"/>
        </w:rPr>
        <w:footnoteReference w:id="164"/>
      </w:r>
      <w:r w:rsidRPr="6B67B1E1">
        <w:rPr>
          <w:rFonts w:eastAsia="Times New Roman"/>
          <w:vertAlign w:val="superscript"/>
        </w:rPr>
        <w:t xml:space="preserve"> </w:t>
      </w:r>
      <w:r w:rsidRPr="41BEE9DA">
        <w:rPr>
          <w:rFonts w:eastAsia="Times New Roman"/>
        </w:rPr>
        <w:t>and food enzymes</w:t>
      </w:r>
      <w:r w:rsidR="55032AB3" w:rsidRPr="53FD4F72">
        <w:rPr>
          <w:rFonts w:eastAsia="Times New Roman"/>
          <w:vertAlign w:val="superscript"/>
        </w:rPr>
        <w:footnoteReference w:id="165"/>
      </w:r>
      <w:r w:rsidRPr="53FD4F72">
        <w:rPr>
          <w:rFonts w:eastAsia="Times New Roman"/>
        </w:rPr>
        <w:t xml:space="preserve">, applicants can refer to the QPS status of the micro-organism in the product to justify not providing certain data during the respective </w:t>
      </w:r>
      <w:r w:rsidRPr="53FD4F72">
        <w:rPr>
          <w:rFonts w:eastAsia="Times New Roman"/>
        </w:rPr>
        <w:lastRenderedPageBreak/>
        <w:t xml:space="preserve">authorisation procedures. </w:t>
      </w:r>
      <w:r w:rsidRPr="41BEE9DA">
        <w:rPr>
          <w:rFonts w:eastAsia="Times New Roman"/>
        </w:rPr>
        <w:t>In the area of fertilising products</w:t>
      </w:r>
      <w:r w:rsidR="55032AB3" w:rsidRPr="70FE308E">
        <w:rPr>
          <w:rFonts w:eastAsia="Times New Roman"/>
          <w:vertAlign w:val="superscript"/>
        </w:rPr>
        <w:footnoteReference w:id="166"/>
      </w:r>
      <w:r w:rsidRPr="53FD4F72">
        <w:rPr>
          <w:rFonts w:eastAsia="Times New Roman"/>
        </w:rPr>
        <w:t xml:space="preserve">, having QPS status is used as one criterion on the basis of which a microbial species may be allowed as a component of fertilising products. </w:t>
      </w:r>
      <w:r w:rsidRPr="41BEE9DA">
        <w:rPr>
          <w:rFonts w:eastAsia="Times New Roman"/>
        </w:rPr>
        <w:t>QPS is also a determining criterion for assigning the Ecolabel</w:t>
      </w:r>
      <w:r w:rsidR="55032AB3" w:rsidRPr="61A077BC">
        <w:rPr>
          <w:rFonts w:eastAsia="Times New Roman"/>
          <w:vertAlign w:val="superscript"/>
        </w:rPr>
        <w:footnoteReference w:id="167"/>
      </w:r>
      <w:r w:rsidR="482A1E70" w:rsidRPr="07BDA7F7">
        <w:rPr>
          <w:rFonts w:eastAsia="Times New Roman"/>
          <w:vertAlign w:val="superscript"/>
        </w:rPr>
        <w:t xml:space="preserve"> </w:t>
      </w:r>
      <w:r w:rsidRPr="41BEE9DA">
        <w:rPr>
          <w:rFonts w:eastAsia="Times New Roman"/>
        </w:rPr>
        <w:t xml:space="preserve">to detergents containing a micro-organism. </w:t>
      </w:r>
    </w:p>
    <w:p w14:paraId="6A57E73E" w14:textId="78886618" w:rsidR="55032AB3" w:rsidRDefault="55032AB3" w:rsidP="00AB5640">
      <w:pPr>
        <w:pStyle w:val="Heading3"/>
      </w:pPr>
      <w:bookmarkStart w:id="291" w:name="_Toc225969809"/>
      <w:bookmarkStart w:id="292" w:name="_Toc225979141"/>
      <w:r w:rsidRPr="41BEE9DA">
        <w:t>ENGL report on detection of micro-organisms obtained with NGTs</w:t>
      </w:r>
      <w:bookmarkEnd w:id="291"/>
      <w:bookmarkEnd w:id="292"/>
    </w:p>
    <w:p w14:paraId="7EE0C0D5" w14:textId="6CAB2D3E" w:rsidR="55032AB3" w:rsidRDefault="42D606C0" w:rsidP="41BEE9DA">
      <w:pPr>
        <w:spacing w:after="160" w:line="257" w:lineRule="auto"/>
      </w:pPr>
      <w:r w:rsidRPr="08FDD09A">
        <w:rPr>
          <w:rFonts w:eastAsia="Times New Roman"/>
        </w:rPr>
        <w:t>The provision in the proposal that the modalities to comply with analytical method requirements may be adapted if compliance may otherwise not be feasible (new Article 24d in Directive 2001/18/EC) takes into account the work of the ENGL on detection methods for GMMs.</w:t>
      </w:r>
    </w:p>
    <w:p w14:paraId="73DB3156" w14:textId="03AF6CD8" w:rsidR="55032AB3" w:rsidRDefault="42D606C0" w:rsidP="41BEE9DA">
      <w:pPr>
        <w:spacing w:after="160" w:line="257" w:lineRule="auto"/>
      </w:pPr>
      <w:r w:rsidRPr="08FDD09A">
        <w:rPr>
          <w:rFonts w:eastAsia="Times New Roman"/>
        </w:rPr>
        <w:t>To implement and enforce traceability and labelling requirements in accordance with Directive 2001/18/EC, notifiers under Part C of that Directive need, as part of the information required for notifications defined in its Annex III, to present a detection method that is suitable to detect (i.e. pro</w:t>
      </w:r>
      <w:r w:rsidR="304ED1C7" w:rsidRPr="08FDD09A">
        <w:rPr>
          <w:rFonts w:eastAsia="Times New Roman"/>
        </w:rPr>
        <w:t>ve</w:t>
      </w:r>
      <w:r w:rsidRPr="08FDD09A">
        <w:rPr>
          <w:rFonts w:eastAsia="Times New Roman"/>
        </w:rPr>
        <w:t xml:space="preserve"> the presence of a known genetic modification), identify (i.e. pro</w:t>
      </w:r>
      <w:r w:rsidR="3C2D5549" w:rsidRPr="08FDD09A">
        <w:rPr>
          <w:rFonts w:eastAsia="Times New Roman"/>
        </w:rPr>
        <w:t>ve</w:t>
      </w:r>
      <w:r w:rsidRPr="08FDD09A">
        <w:rPr>
          <w:rFonts w:eastAsia="Times New Roman"/>
        </w:rPr>
        <w:t xml:space="preserve"> that the detected genetic modification is attributable to the presence of a particular regulated GMO or its product) and quantify (i.e. measure the relative quantity of the identified GMO or its product in a given sample). Providing such a detection method is a mandatory prerequisite for the granting of consent for placing on the market of a GMO, including GMMs, as or in products in the EU.</w:t>
      </w:r>
    </w:p>
    <w:p w14:paraId="23842D24" w14:textId="25405B26" w:rsidR="55032AB3" w:rsidRDefault="55032AB3" w:rsidP="41BEE9DA">
      <w:pPr>
        <w:spacing w:after="160" w:line="257" w:lineRule="auto"/>
        <w:rPr>
          <w:rFonts w:eastAsia="Times New Roman"/>
        </w:rPr>
      </w:pPr>
      <w:r w:rsidRPr="41BEE9DA">
        <w:rPr>
          <w:rFonts w:eastAsia="Times New Roman"/>
        </w:rPr>
        <w:t xml:space="preserve">The Commission requested from the European Network of GMO laboratories (ENGL) a technical </w:t>
      </w:r>
      <w:r w:rsidRPr="41BEE9DA">
        <w:rPr>
          <w:rFonts w:eastAsia="Times New Roman"/>
          <w:b/>
          <w:bCs/>
        </w:rPr>
        <w:t>report on the detection of micro-organisms obtained by NGTs in food and feed products</w:t>
      </w:r>
      <w:r w:rsidRPr="07F919A1">
        <w:rPr>
          <w:rFonts w:eastAsia="Times New Roman"/>
          <w:vertAlign w:val="superscript"/>
        </w:rPr>
        <w:footnoteReference w:id="168"/>
      </w:r>
      <w:r w:rsidRPr="41BEE9DA">
        <w:rPr>
          <w:rFonts w:eastAsia="Times New Roman"/>
        </w:rPr>
        <w:t xml:space="preserve"> to address knowledge gaps regarding GMMs identified in the 2021 Commission study on NGTs applied to plants, animals and micro-organisms</w:t>
      </w:r>
      <w:r w:rsidRPr="4BC983F6">
        <w:rPr>
          <w:rFonts w:eastAsia="Times New Roman"/>
          <w:vertAlign w:val="superscript"/>
        </w:rPr>
        <w:footnoteReference w:id="169"/>
      </w:r>
      <w:r w:rsidR="00A963C9" w:rsidRPr="168353BF">
        <w:rPr>
          <w:rFonts w:eastAsia="Times New Roman"/>
        </w:rPr>
        <w:t xml:space="preserve">. </w:t>
      </w:r>
      <w:r w:rsidRPr="41BEE9DA">
        <w:rPr>
          <w:rFonts w:eastAsia="Times New Roman"/>
        </w:rPr>
        <w:t xml:space="preserve"> A similar report was previously published on plant-based food and feed in 2019</w:t>
      </w:r>
      <w:r w:rsidRPr="7B2BDC9F">
        <w:rPr>
          <w:rFonts w:eastAsia="Times New Roman"/>
          <w:vertAlign w:val="superscript"/>
        </w:rPr>
        <w:footnoteReference w:id="170"/>
      </w:r>
      <w:r w:rsidRPr="41BEE9DA">
        <w:rPr>
          <w:rFonts w:eastAsia="Times New Roman"/>
        </w:rPr>
        <w:t xml:space="preserve"> and updated in 2023</w:t>
      </w:r>
      <w:r w:rsidRPr="37CDFCA9">
        <w:rPr>
          <w:rFonts w:eastAsia="Times New Roman"/>
          <w:vertAlign w:val="superscript"/>
        </w:rPr>
        <w:footnoteReference w:id="171"/>
      </w:r>
      <w:r w:rsidRPr="41BEE9DA">
        <w:rPr>
          <w:rFonts w:eastAsia="Times New Roman"/>
        </w:rPr>
        <w:t>.</w:t>
      </w:r>
    </w:p>
    <w:p w14:paraId="6545E245" w14:textId="58A6E22E" w:rsidR="55032AB3" w:rsidRDefault="55032AB3" w:rsidP="41BEE9DA">
      <w:pPr>
        <w:spacing w:after="160" w:line="257" w:lineRule="auto"/>
      </w:pPr>
      <w:r w:rsidRPr="41BEE9DA">
        <w:rPr>
          <w:rFonts w:eastAsia="Times New Roman"/>
        </w:rPr>
        <w:t xml:space="preserve">The ENGL’s report on GMMs published in 2025 investigates the analytical possibilities and challenges linked to the detection of micro-organisms obtained with NGTs that do not entail the insertion of foreign genetic material. It concludes that detecting certain GMMs obtained with NGTs poses considerable analytical challenges as certain genetic modifications obtained with NGTs may be indistinguishable from those that can arise in </w:t>
      </w:r>
      <w:r w:rsidRPr="41BEE9DA">
        <w:rPr>
          <w:rFonts w:eastAsia="Times New Roman"/>
        </w:rPr>
        <w:lastRenderedPageBreak/>
        <w:t>nature or by using conventional mutagenesis techniques. This problem may be exacerbated, compared to plants, by the high genetic diversity of micro-organisms. Tracing back such modifications to the use of NGTs for genetic modification of a GMM or its product will not be possible through analytical means, i.e. identification and quantification may not be possible in those cases. According to the ENGL, technical advancement, such as high-throughput sequencing technologies, may further support enforcement in the future but will be unlikely to resolve the particular problem of identification.</w:t>
      </w:r>
    </w:p>
    <w:p w14:paraId="5C963780" w14:textId="36051D2C" w:rsidR="55032AB3" w:rsidRPr="00DE6B0B" w:rsidRDefault="55032AB3" w:rsidP="00DE6B0B">
      <w:pPr>
        <w:pStyle w:val="Heading2"/>
      </w:pPr>
      <w:bookmarkStart w:id="293" w:name="_Toc225969810"/>
      <w:bookmarkStart w:id="294" w:name="_Toc225979142"/>
      <w:r w:rsidRPr="00DE6B0B">
        <w:t>Applications of GMMs As or In Products</w:t>
      </w:r>
      <w:bookmarkEnd w:id="293"/>
      <w:bookmarkEnd w:id="294"/>
    </w:p>
    <w:p w14:paraId="33C76C20" w14:textId="27EADCC4" w:rsidR="55032AB3" w:rsidRDefault="55032AB3" w:rsidP="00AB5640">
      <w:pPr>
        <w:pStyle w:val="Heading3"/>
      </w:pPr>
      <w:bookmarkStart w:id="295" w:name="_Toc225969811"/>
      <w:bookmarkStart w:id="296" w:name="_Toc225979143"/>
      <w:r w:rsidRPr="41BEE9DA">
        <w:t>Overview of Applications</w:t>
      </w:r>
      <w:bookmarkEnd w:id="295"/>
      <w:bookmarkEnd w:id="296"/>
    </w:p>
    <w:p w14:paraId="0E660B38" w14:textId="3F71ED88" w:rsidR="55032AB3" w:rsidRPr="00AB5640" w:rsidRDefault="42D606C0" w:rsidP="41BEE9DA">
      <w:pPr>
        <w:spacing w:after="120" w:line="257" w:lineRule="auto"/>
        <w:rPr>
          <w:rFonts w:eastAsia="Times New Roman"/>
        </w:rPr>
      </w:pPr>
      <w:r w:rsidRPr="10F49840">
        <w:rPr>
          <w:rFonts w:eastAsia="Times New Roman"/>
        </w:rPr>
        <w:t>The Commission’s Joint Research Centre (JRC) has conducted in 2026 an up-to-date analysis of GMM products for environmental release in development around the world to supplement this staff working document</w:t>
      </w:r>
      <w:r w:rsidR="55032AB3" w:rsidRPr="01BC0FDB">
        <w:rPr>
          <w:rFonts w:eastAsia="Times New Roman"/>
          <w:vertAlign w:val="superscript"/>
        </w:rPr>
        <w:footnoteReference w:id="172"/>
      </w:r>
      <w:r w:rsidRPr="10F49840">
        <w:rPr>
          <w:rFonts w:eastAsia="Times New Roman"/>
        </w:rPr>
        <w:t>. It complements</w:t>
      </w:r>
      <w:r w:rsidRPr="10F49840">
        <w:rPr>
          <w:rFonts w:eastAsia="Times New Roman"/>
          <w:vertAlign w:val="superscript"/>
        </w:rPr>
        <w:t xml:space="preserve"> </w:t>
      </w:r>
      <w:r w:rsidRPr="10F49840">
        <w:rPr>
          <w:rFonts w:eastAsia="Times New Roman"/>
        </w:rPr>
        <w:t>previous work by the JRC on current and future market applications of NGTs, including when applied to micro-organisms, which supported the Commission’s 2021 NGT study</w:t>
      </w:r>
      <w:r w:rsidR="55032AB3" w:rsidRPr="01BC0FDB">
        <w:rPr>
          <w:rFonts w:eastAsia="Times New Roman"/>
          <w:vertAlign w:val="superscript"/>
        </w:rPr>
        <w:footnoteReference w:id="173"/>
      </w:r>
      <w:r w:rsidRPr="10F49840">
        <w:rPr>
          <w:rFonts w:eastAsia="Times New Roman"/>
        </w:rPr>
        <w:t>.</w:t>
      </w:r>
      <w:r w:rsidRPr="41BEE9DA">
        <w:rPr>
          <w:rFonts w:eastAsia="Times New Roman"/>
        </w:rPr>
        <w:t xml:space="preserve"> An external study on the assessment of policy scenarios in the area of biotechnology conducted to support this staff </w:t>
      </w:r>
      <w:r w:rsidRPr="00AB5640">
        <w:rPr>
          <w:rFonts w:eastAsia="Times New Roman"/>
        </w:rPr>
        <w:t>working document provided in addition estimates on the global market sizes for some areas of microbial products</w:t>
      </w:r>
      <w:r w:rsidR="55032AB3" w:rsidRPr="00AB5640">
        <w:rPr>
          <w:rFonts w:eastAsia="Times New Roman"/>
          <w:vertAlign w:val="superscript"/>
        </w:rPr>
        <w:footnoteReference w:id="174"/>
      </w:r>
      <w:r w:rsidRPr="00AB5640">
        <w:rPr>
          <w:rFonts w:eastAsia="Times New Roman"/>
        </w:rPr>
        <w:t>.</w:t>
      </w:r>
    </w:p>
    <w:p w14:paraId="6049DA0D" w14:textId="611F9D62" w:rsidR="55032AB3" w:rsidRDefault="0A9E6BE7" w:rsidP="41BEE9DA">
      <w:pPr>
        <w:pStyle w:val="NoSpacing"/>
        <w:spacing w:after="120"/>
        <w:jc w:val="both"/>
        <w:rPr>
          <w:rFonts w:ascii="Times New Roman" w:eastAsia="Times New Roman" w:hAnsi="Times New Roman" w:cs="Times New Roman"/>
          <w:sz w:val="24"/>
          <w:szCs w:val="24"/>
        </w:rPr>
      </w:pPr>
      <w:r w:rsidRPr="00AB5640">
        <w:rPr>
          <w:rFonts w:ascii="Times New Roman" w:eastAsia="Times New Roman" w:hAnsi="Times New Roman" w:cs="Times New Roman"/>
          <w:sz w:val="24"/>
          <w:szCs w:val="24"/>
        </w:rPr>
        <w:t xml:space="preserve">The </w:t>
      </w:r>
      <w:r w:rsidRPr="00AB5640">
        <w:rPr>
          <w:rFonts w:ascii="Times New Roman" w:eastAsia="Times New Roman" w:hAnsi="Times New Roman" w:cs="Times New Roman"/>
          <w:b/>
          <w:bCs/>
          <w:sz w:val="24"/>
          <w:szCs w:val="24"/>
        </w:rPr>
        <w:t>JRC report on current and future applications of GMMs for environmental releases</w:t>
      </w:r>
      <w:r w:rsidR="55032AB3" w:rsidRPr="00AB5640">
        <w:rPr>
          <w:rFonts w:ascii="Times New Roman" w:eastAsia="Times New Roman" w:hAnsi="Times New Roman" w:cs="Times New Roman"/>
          <w:sz w:val="24"/>
          <w:szCs w:val="24"/>
          <w:vertAlign w:val="superscript"/>
        </w:rPr>
        <w:footnoteReference w:id="175"/>
      </w:r>
      <w:r w:rsidRPr="00AB5640">
        <w:rPr>
          <w:rFonts w:ascii="Times New Roman" w:eastAsia="Times New Roman" w:hAnsi="Times New Roman" w:cs="Times New Roman"/>
          <w:sz w:val="24"/>
          <w:szCs w:val="24"/>
        </w:rPr>
        <w:t xml:space="preserve"> referenced above found that there is a growing interest to leverage GMMs for applications involving environmental releases. These applications span a wide variety</w:t>
      </w:r>
      <w:r w:rsidRPr="41BEE9DA">
        <w:rPr>
          <w:rFonts w:ascii="Times New Roman" w:eastAsia="Times New Roman" w:hAnsi="Times New Roman" w:cs="Times New Roman"/>
          <w:sz w:val="24"/>
          <w:szCs w:val="24"/>
        </w:rPr>
        <w:t xml:space="preserve"> of product types and sectors. The following product types and applications (for uses other than food and feed which are outside the scope of this proposal) have been identified in the JRC report. Where available, the sections below also include data on market sizes from the mentioned external study.</w:t>
      </w:r>
    </w:p>
    <w:p w14:paraId="1AFE1171" w14:textId="7BD1A2F3" w:rsidR="55032AB3" w:rsidRDefault="55032AB3" w:rsidP="41BEE9DA">
      <w:pPr>
        <w:spacing w:before="240" w:after="120"/>
      </w:pPr>
      <w:r w:rsidRPr="41BEE9DA">
        <w:rPr>
          <w:rFonts w:eastAsia="Times New Roman"/>
          <w:i/>
          <w:iCs/>
          <w:u w:val="single"/>
        </w:rPr>
        <w:t>Agriculture</w:t>
      </w:r>
    </w:p>
    <w:p w14:paraId="1FD4A4F5" w14:textId="7B1DAD39" w:rsidR="55032AB3" w:rsidRDefault="42D606C0" w:rsidP="41BEE9DA">
      <w:pPr>
        <w:spacing w:after="120"/>
      </w:pPr>
      <w:r w:rsidRPr="08FDD09A">
        <w:rPr>
          <w:rFonts w:eastAsia="Times New Roman"/>
        </w:rPr>
        <w:t>The use of microbial solutions is not new in the agricultural sector to maintain or increase productivity, while reducing environmental impact. However, conventional microbial strains do not always provide equally efficient alternatives to the wide range of applications for chemical agricultural inputs. GMMs as biofertilisers, biopesticides and biostimulants can provide improved functionality and reliability compared to conventional microbial and chemical products. The first GM biofertilisers and GM biopesticide</w:t>
      </w:r>
      <w:r w:rsidR="1D35595A" w:rsidRPr="08FDD09A">
        <w:rPr>
          <w:rFonts w:eastAsia="Times New Roman"/>
        </w:rPr>
        <w:t>s</w:t>
      </w:r>
      <w:r w:rsidRPr="08FDD09A">
        <w:rPr>
          <w:rFonts w:eastAsia="Times New Roman"/>
        </w:rPr>
        <w:t xml:space="preserve"> are already on the market in the U.S. </w:t>
      </w:r>
    </w:p>
    <w:p w14:paraId="7E38EBD5" w14:textId="1161D7C7" w:rsidR="55032AB3" w:rsidRDefault="42D606C0" w:rsidP="41BEE9DA">
      <w:pPr>
        <w:spacing w:after="120"/>
        <w:rPr>
          <w:rFonts w:eastAsia="Times New Roman"/>
        </w:rPr>
      </w:pPr>
      <w:r w:rsidRPr="5516F0C9">
        <w:rPr>
          <w:rFonts w:eastAsia="Times New Roman"/>
        </w:rPr>
        <w:t xml:space="preserve">The external study referred to above reported one estimate of the global biofertilisers sector at </w:t>
      </w:r>
      <w:r w:rsidR="6BAA4A11" w:rsidRPr="4EC480EB">
        <w:rPr>
          <w:rFonts w:eastAsia="Times New Roman"/>
        </w:rPr>
        <w:t xml:space="preserve">EUR </w:t>
      </w:r>
      <w:r w:rsidRPr="4EC480EB" w:rsidDel="42D606C0">
        <w:rPr>
          <w:rFonts w:eastAsia="Times New Roman"/>
        </w:rPr>
        <w:t>1</w:t>
      </w:r>
      <w:r w:rsidR="6BAA4A11" w:rsidRPr="4EC480EB">
        <w:rPr>
          <w:rFonts w:eastAsia="Times New Roman"/>
        </w:rPr>
        <w:t>.18</w:t>
      </w:r>
      <w:r w:rsidRPr="5516F0C9">
        <w:rPr>
          <w:rFonts w:eastAsia="Times New Roman"/>
        </w:rPr>
        <w:t xml:space="preserve"> </w:t>
      </w:r>
      <w:r w:rsidR="6BAA4A11" w:rsidRPr="4EC480EB">
        <w:rPr>
          <w:rFonts w:eastAsia="Times New Roman"/>
        </w:rPr>
        <w:t>b</w:t>
      </w:r>
      <w:r w:rsidRPr="5516F0C9">
        <w:rPr>
          <w:rFonts w:eastAsia="Times New Roman"/>
        </w:rPr>
        <w:t xml:space="preserve">illion in 2024 with a projection to reach </w:t>
      </w:r>
      <w:r w:rsidR="2668FB13" w:rsidRPr="4EC480EB">
        <w:rPr>
          <w:rFonts w:eastAsia="Times New Roman"/>
        </w:rPr>
        <w:t xml:space="preserve">EUR </w:t>
      </w:r>
      <w:r w:rsidRPr="4EC480EB" w:rsidDel="42D606C0">
        <w:rPr>
          <w:rFonts w:eastAsia="Times New Roman"/>
        </w:rPr>
        <w:t>2.</w:t>
      </w:r>
      <w:r w:rsidR="2668FB13" w:rsidRPr="4EC480EB">
        <w:rPr>
          <w:rFonts w:eastAsia="Times New Roman"/>
        </w:rPr>
        <w:t>42</w:t>
      </w:r>
      <w:r w:rsidRPr="5516F0C9">
        <w:rPr>
          <w:rFonts w:eastAsia="Times New Roman"/>
        </w:rPr>
        <w:t xml:space="preserve"> </w:t>
      </w:r>
      <w:r w:rsidR="2668FB13" w:rsidRPr="4EC480EB">
        <w:rPr>
          <w:rFonts w:eastAsia="Times New Roman"/>
        </w:rPr>
        <w:t>b</w:t>
      </w:r>
      <w:r w:rsidRPr="5516F0C9">
        <w:rPr>
          <w:rFonts w:eastAsia="Times New Roman"/>
        </w:rPr>
        <w:t xml:space="preserve">illion by 2030, growing </w:t>
      </w:r>
      <w:r w:rsidRPr="5516F0C9">
        <w:rPr>
          <w:rFonts w:eastAsia="Times New Roman"/>
        </w:rPr>
        <w:lastRenderedPageBreak/>
        <w:t>at a Compound Annual Growth Rate (CAGR) of 12.8</w:t>
      </w:r>
      <w:r w:rsidR="006856C2">
        <w:rPr>
          <w:rFonts w:eastAsia="Times New Roman"/>
        </w:rPr>
        <w:t>%</w:t>
      </w:r>
      <w:r w:rsidRPr="5516F0C9">
        <w:rPr>
          <w:rFonts w:eastAsia="Times New Roman"/>
        </w:rPr>
        <w:t xml:space="preserve"> from 2025 to 2030</w:t>
      </w:r>
      <w:r w:rsidR="55032AB3" w:rsidRPr="5516F0C9">
        <w:rPr>
          <w:rFonts w:eastAsia="Times New Roman"/>
          <w:vertAlign w:val="superscript"/>
        </w:rPr>
        <w:footnoteReference w:id="176"/>
      </w:r>
      <w:r w:rsidRPr="5516F0C9">
        <w:rPr>
          <w:rFonts w:eastAsia="Times New Roman"/>
        </w:rPr>
        <w:t xml:space="preserve">.  Another estimate from this study reported the global market size even at </w:t>
      </w:r>
      <w:r w:rsidR="400A0E0E" w:rsidRPr="4EC480EB">
        <w:rPr>
          <w:rFonts w:eastAsia="Times New Roman"/>
        </w:rPr>
        <w:t xml:space="preserve">EUR </w:t>
      </w:r>
      <w:r w:rsidR="591EC3F9" w:rsidRPr="4EC480EB">
        <w:rPr>
          <w:rFonts w:eastAsia="Times New Roman"/>
        </w:rPr>
        <w:t>2.65</w:t>
      </w:r>
      <w:r w:rsidRPr="5516F0C9">
        <w:rPr>
          <w:rFonts w:eastAsia="Times New Roman"/>
        </w:rPr>
        <w:t xml:space="preserve"> </w:t>
      </w:r>
      <w:r w:rsidR="400A0E0E" w:rsidRPr="4EC480EB">
        <w:rPr>
          <w:rFonts w:eastAsia="Times New Roman"/>
        </w:rPr>
        <w:t>b</w:t>
      </w:r>
      <w:r w:rsidRPr="5516F0C9">
        <w:rPr>
          <w:rFonts w:eastAsia="Times New Roman"/>
        </w:rPr>
        <w:t xml:space="preserve">illion in 2023, projected to reach </w:t>
      </w:r>
      <w:r w:rsidR="16A9881E" w:rsidRPr="4EC480EB">
        <w:rPr>
          <w:rFonts w:eastAsia="Times New Roman"/>
        </w:rPr>
        <w:t>EUR 4.45</w:t>
      </w:r>
      <w:r w:rsidRPr="5516F0C9">
        <w:rPr>
          <w:rFonts w:eastAsia="Times New Roman"/>
        </w:rPr>
        <w:t xml:space="preserve"> </w:t>
      </w:r>
      <w:r w:rsidR="3B292FE7" w:rsidRPr="5516F0C9">
        <w:rPr>
          <w:rFonts w:eastAsia="Times New Roman"/>
        </w:rPr>
        <w:t>b</w:t>
      </w:r>
      <w:r w:rsidRPr="5516F0C9">
        <w:rPr>
          <w:rFonts w:eastAsia="Times New Roman"/>
        </w:rPr>
        <w:t>illion by 2028 with a CAGR of 10.9</w:t>
      </w:r>
      <w:r w:rsidR="006856C2">
        <w:rPr>
          <w:rFonts w:eastAsia="Times New Roman"/>
        </w:rPr>
        <w:t>%</w:t>
      </w:r>
      <w:r w:rsidR="55032AB3" w:rsidRPr="5ABDCD38">
        <w:rPr>
          <w:rFonts w:eastAsia="Times New Roman"/>
          <w:vertAlign w:val="superscript"/>
        </w:rPr>
        <w:footnoteReference w:id="177"/>
      </w:r>
      <w:r w:rsidRPr="41BEE9DA">
        <w:rPr>
          <w:rFonts w:eastAsia="Times New Roman"/>
        </w:rPr>
        <w:t>. However, both these estimates relate to microbial fertilisers in general and only a part will be attributable to GMMs. So far, commercial biofertiliser products are mostly not genetically modified, yet various GMMs are in a research and development phase. For  commercially available GMM biofertiliser product</w:t>
      </w:r>
      <w:r w:rsidR="1101B8AD" w:rsidRPr="4EC480EB">
        <w:rPr>
          <w:rFonts w:eastAsia="Times New Roman"/>
        </w:rPr>
        <w:t>s</w:t>
      </w:r>
      <w:r w:rsidRPr="41BEE9DA">
        <w:rPr>
          <w:rFonts w:eastAsia="Times New Roman"/>
        </w:rPr>
        <w:t xml:space="preserve">, see the case study below in section 3.  </w:t>
      </w:r>
    </w:p>
    <w:p w14:paraId="62F43423" w14:textId="0F62FD53" w:rsidR="55032AB3" w:rsidRDefault="55032AB3" w:rsidP="41BEE9DA">
      <w:pPr>
        <w:spacing w:after="120"/>
        <w:rPr>
          <w:rFonts w:eastAsia="Times New Roman"/>
        </w:rPr>
      </w:pPr>
      <w:r w:rsidRPr="034EAC18">
        <w:rPr>
          <w:rFonts w:eastAsia="Times New Roman"/>
        </w:rPr>
        <w:t xml:space="preserve">With regard to the microbial biocontrol sector, including microbial biopesticides, the above-mentioned study reports an estimated market size of </w:t>
      </w:r>
      <w:r w:rsidR="004C6C5D" w:rsidRPr="4EC480EB">
        <w:rPr>
          <w:rFonts w:eastAsia="Times New Roman"/>
        </w:rPr>
        <w:t>EUR</w:t>
      </w:r>
      <w:r w:rsidRPr="034EAC18">
        <w:rPr>
          <w:rFonts w:eastAsia="Times New Roman"/>
        </w:rPr>
        <w:t xml:space="preserve"> </w:t>
      </w:r>
      <w:r w:rsidR="00CD757D" w:rsidRPr="4EC480EB">
        <w:rPr>
          <w:rFonts w:eastAsia="Times New Roman"/>
        </w:rPr>
        <w:t>5.56</w:t>
      </w:r>
      <w:r w:rsidRPr="034EAC18">
        <w:rPr>
          <w:rFonts w:eastAsia="Times New Roman"/>
        </w:rPr>
        <w:t xml:space="preserve"> </w:t>
      </w:r>
      <w:r w:rsidR="004C6C5D" w:rsidRPr="4EC480EB">
        <w:rPr>
          <w:rFonts w:eastAsia="Times New Roman"/>
        </w:rPr>
        <w:t>b</w:t>
      </w:r>
      <w:r w:rsidRPr="034EAC18">
        <w:rPr>
          <w:rFonts w:eastAsia="Times New Roman"/>
        </w:rPr>
        <w:t xml:space="preserve">illion in the year 2025, which is expected to increase to </w:t>
      </w:r>
      <w:r w:rsidR="00C45037" w:rsidRPr="4EC480EB">
        <w:rPr>
          <w:rFonts w:eastAsia="Times New Roman"/>
        </w:rPr>
        <w:t>EUR 14.2</w:t>
      </w:r>
      <w:r w:rsidRPr="034EAC18">
        <w:rPr>
          <w:rFonts w:eastAsia="Times New Roman"/>
        </w:rPr>
        <w:t xml:space="preserve"> </w:t>
      </w:r>
      <w:r w:rsidR="749F3E51" w:rsidRPr="6C86371F">
        <w:rPr>
          <w:rFonts w:eastAsia="Times New Roman"/>
        </w:rPr>
        <w:t>b</w:t>
      </w:r>
      <w:r w:rsidRPr="034EAC18">
        <w:rPr>
          <w:rFonts w:eastAsia="Times New Roman"/>
        </w:rPr>
        <w:t xml:space="preserve">illion by 2032, growing at a CAGR of </w:t>
      </w:r>
      <w:bookmarkStart w:id="297" w:name="_Hlk230629830"/>
      <w:r w:rsidRPr="034EAC18">
        <w:rPr>
          <w:rFonts w:eastAsia="Times New Roman"/>
        </w:rPr>
        <w:t>14.3</w:t>
      </w:r>
      <w:r w:rsidR="006856C2">
        <w:rPr>
          <w:rFonts w:eastAsia="Times New Roman"/>
        </w:rPr>
        <w:t>%</w:t>
      </w:r>
      <w:r w:rsidRPr="00AB5640">
        <w:rPr>
          <w:rFonts w:eastAsia="Times New Roman"/>
          <w:vertAlign w:val="superscript"/>
        </w:rPr>
        <w:footnoteReference w:id="178"/>
      </w:r>
      <w:r w:rsidRPr="034EAC18">
        <w:rPr>
          <w:rFonts w:eastAsia="Times New Roman"/>
        </w:rPr>
        <w:t>.</w:t>
      </w:r>
      <w:bookmarkEnd w:id="297"/>
      <w:r w:rsidRPr="034EAC18">
        <w:rPr>
          <w:rFonts w:eastAsia="Times New Roman"/>
        </w:rPr>
        <w:t xml:space="preserve"> In 2024, microbial solutions (bacteria, fungi, viruses) comprised over 58</w:t>
      </w:r>
      <w:r w:rsidR="006856C2">
        <w:rPr>
          <w:rFonts w:eastAsia="Times New Roman"/>
        </w:rPr>
        <w:t>%</w:t>
      </w:r>
      <w:r w:rsidRPr="034EAC18">
        <w:rPr>
          <w:rFonts w:eastAsia="Times New Roman"/>
        </w:rPr>
        <w:t xml:space="preserve"> of all biocontrol agent units globally</w:t>
      </w:r>
      <w:r w:rsidRPr="259F1228">
        <w:rPr>
          <w:rFonts w:eastAsia="Times New Roman"/>
          <w:vertAlign w:val="superscript"/>
        </w:rPr>
        <w:footnoteReference w:id="179"/>
      </w:r>
      <w:r w:rsidRPr="034EAC18">
        <w:rPr>
          <w:rFonts w:eastAsia="Times New Roman"/>
        </w:rPr>
        <w:t>. However, the study reports that there are no estimates available specifically for GMMs and of the part of the market that will be attributable to GMM-based products.</w:t>
      </w:r>
    </w:p>
    <w:p w14:paraId="4C6DF1B3" w14:textId="3364A607" w:rsidR="55032AB3" w:rsidRDefault="55032AB3" w:rsidP="41BEE9DA">
      <w:pPr>
        <w:spacing w:before="240" w:after="120"/>
      </w:pPr>
      <w:r w:rsidRPr="41BEE9DA">
        <w:rPr>
          <w:rFonts w:eastAsia="Times New Roman"/>
          <w:i/>
          <w:iCs/>
          <w:u w:val="single"/>
        </w:rPr>
        <w:t>Bioremediation</w:t>
      </w:r>
    </w:p>
    <w:p w14:paraId="48C54326" w14:textId="42D55AC7" w:rsidR="55032AB3" w:rsidRDefault="55032AB3" w:rsidP="41BEE9DA">
      <w:pPr>
        <w:spacing w:after="120"/>
      </w:pPr>
      <w:r w:rsidRPr="41BEE9DA">
        <w:rPr>
          <w:rFonts w:eastAsia="Times New Roman"/>
        </w:rPr>
        <w:t>Bioremediation is the use of living organisms, such as bacteria, fungi, or plants, to remove, neutralise, or degrade pollutants (e.g., heavy metals, oil, pesticides) from contaminated soil, water, or air.</w:t>
      </w:r>
    </w:p>
    <w:p w14:paraId="50D0A7CD" w14:textId="4315F465" w:rsidR="55032AB3" w:rsidRDefault="42D606C0" w:rsidP="41BEE9DA">
      <w:pPr>
        <w:spacing w:after="120"/>
        <w:rPr>
          <w:rFonts w:eastAsia="Times New Roman"/>
        </w:rPr>
      </w:pPr>
      <w:r w:rsidRPr="41BEE9DA">
        <w:rPr>
          <w:rFonts w:eastAsia="Times New Roman"/>
        </w:rPr>
        <w:t>GMMs can improve bioremediation by providing enhanced functionalities compared to non-genetically modified microbes. They can be used to degrade pollutants such as oil, plastics, heavy metals and persistent chemicals (e.g. per- and polyfluoroalkyl compounds (PFAS)). So far, many genetically modified strains have been developed for bioremediation purposes, and further progress promises to enable wider deployment beyond field trials</w:t>
      </w:r>
      <w:r w:rsidR="55032AB3" w:rsidRPr="259F1228">
        <w:rPr>
          <w:rFonts w:eastAsia="Times New Roman"/>
          <w:vertAlign w:val="superscript"/>
        </w:rPr>
        <w:footnoteReference w:id="180"/>
      </w:r>
      <w:r w:rsidRPr="004570F2">
        <w:rPr>
          <w:vertAlign w:val="superscript"/>
        </w:rPr>
        <w:t>.</w:t>
      </w:r>
    </w:p>
    <w:p w14:paraId="1B34A2FE" w14:textId="334B32CA" w:rsidR="55032AB3" w:rsidRDefault="42D606C0" w:rsidP="41BEE9DA">
      <w:pPr>
        <w:spacing w:after="120"/>
      </w:pPr>
      <w:r w:rsidRPr="60D3DE5A">
        <w:rPr>
          <w:rFonts w:eastAsia="Times New Roman"/>
        </w:rPr>
        <w:t>One U.S. start-up, for example, offers tailored genetically modified micro-organisms to address chemical pollution of industrial sites. The GMMs are engineered to improve and combine natural abilities of certain micro-organisms to degrade chemicals, for example PFAS, into less or non-toxic compounds</w:t>
      </w:r>
      <w:r w:rsidR="55032AB3" w:rsidRPr="60D3DE5A">
        <w:rPr>
          <w:rFonts w:eastAsia="Times New Roman"/>
          <w:vertAlign w:val="superscript"/>
        </w:rPr>
        <w:footnoteReference w:id="181"/>
      </w:r>
      <w:r w:rsidRPr="60D3DE5A">
        <w:rPr>
          <w:rFonts w:eastAsia="Times New Roman"/>
        </w:rPr>
        <w:t>.</w:t>
      </w:r>
    </w:p>
    <w:p w14:paraId="4FD76BB5" w14:textId="0AD4E86B" w:rsidR="55032AB3" w:rsidRDefault="42D606C0" w:rsidP="41BEE9DA">
      <w:pPr>
        <w:spacing w:after="160" w:line="257" w:lineRule="auto"/>
        <w:rPr>
          <w:rFonts w:eastAsia="Times New Roman"/>
        </w:rPr>
      </w:pPr>
      <w:r w:rsidRPr="41BEE9DA">
        <w:rPr>
          <w:rFonts w:eastAsia="Times New Roman"/>
        </w:rPr>
        <w:t xml:space="preserve">The above-mentioned external study reports that the global bioremediation market size was valued at </w:t>
      </w:r>
      <w:r w:rsidR="5AA8B596" w:rsidRPr="4EC480EB">
        <w:rPr>
          <w:rFonts w:eastAsia="Times New Roman"/>
        </w:rPr>
        <w:t>EUR 14.1</w:t>
      </w:r>
      <w:r w:rsidRPr="41BEE9DA">
        <w:rPr>
          <w:rFonts w:eastAsia="Times New Roman"/>
        </w:rPr>
        <w:t xml:space="preserve"> </w:t>
      </w:r>
      <w:r w:rsidR="25AA8B2F" w:rsidRPr="03588E93">
        <w:rPr>
          <w:rFonts w:eastAsia="Times New Roman"/>
        </w:rPr>
        <w:t>b</w:t>
      </w:r>
      <w:r w:rsidRPr="41BEE9DA">
        <w:rPr>
          <w:rFonts w:eastAsia="Times New Roman"/>
        </w:rPr>
        <w:t xml:space="preserve">illion in 2024 and is projected to grow from </w:t>
      </w:r>
      <w:r w:rsidR="0CAC5DF1" w:rsidRPr="4EC480EB">
        <w:rPr>
          <w:rFonts w:eastAsia="Times New Roman"/>
        </w:rPr>
        <w:t>EUR 15.5</w:t>
      </w:r>
      <w:r w:rsidRPr="41BEE9DA">
        <w:rPr>
          <w:rFonts w:eastAsia="Times New Roman"/>
        </w:rPr>
        <w:t xml:space="preserve"> </w:t>
      </w:r>
      <w:r w:rsidR="0C1D3EB1" w:rsidRPr="03588E93">
        <w:rPr>
          <w:rFonts w:eastAsia="Times New Roman"/>
        </w:rPr>
        <w:t>b</w:t>
      </w:r>
      <w:r w:rsidRPr="41BEE9DA">
        <w:rPr>
          <w:rFonts w:eastAsia="Times New Roman"/>
        </w:rPr>
        <w:t xml:space="preserve">illion in 2025 to </w:t>
      </w:r>
      <w:r w:rsidR="6BC4BCCD" w:rsidRPr="4EC480EB">
        <w:rPr>
          <w:rFonts w:eastAsia="Times New Roman"/>
        </w:rPr>
        <w:t>EUR 32.9</w:t>
      </w:r>
      <w:r w:rsidRPr="41BEE9DA">
        <w:rPr>
          <w:rFonts w:eastAsia="Times New Roman"/>
        </w:rPr>
        <w:t xml:space="preserve"> </w:t>
      </w:r>
      <w:r w:rsidR="705B119C" w:rsidRPr="03588E93">
        <w:rPr>
          <w:rFonts w:eastAsia="Times New Roman"/>
        </w:rPr>
        <w:t>b</w:t>
      </w:r>
      <w:r w:rsidRPr="41BEE9DA">
        <w:rPr>
          <w:rFonts w:eastAsia="Times New Roman"/>
        </w:rPr>
        <w:t>illion by 2033, growing at a CAGR of 9.93</w:t>
      </w:r>
      <w:r w:rsidR="006856C2">
        <w:rPr>
          <w:rFonts w:eastAsia="Times New Roman"/>
        </w:rPr>
        <w:t>%</w:t>
      </w:r>
      <w:r w:rsidRPr="41BEE9DA">
        <w:rPr>
          <w:rFonts w:eastAsia="Times New Roman"/>
        </w:rPr>
        <w:t xml:space="preserve"> during the forecast period </w:t>
      </w:r>
      <w:r w:rsidRPr="41BEE9DA">
        <w:rPr>
          <w:rFonts w:eastAsia="Times New Roman"/>
        </w:rPr>
        <w:lastRenderedPageBreak/>
        <w:t>(2026 – 2033)</w:t>
      </w:r>
      <w:r w:rsidR="55032AB3" w:rsidRPr="13C2C24E">
        <w:rPr>
          <w:rFonts w:eastAsia="Times New Roman"/>
          <w:vertAlign w:val="superscript"/>
        </w:rPr>
        <w:footnoteReference w:id="182"/>
      </w:r>
      <w:r w:rsidRPr="41BEE9DA">
        <w:rPr>
          <w:rFonts w:eastAsia="Times New Roman"/>
        </w:rPr>
        <w:t>. Other estimates even expect a CAGR of 13.0</w:t>
      </w:r>
      <w:r w:rsidR="006856C2">
        <w:rPr>
          <w:rFonts w:eastAsia="Times New Roman"/>
        </w:rPr>
        <w:t>%</w:t>
      </w:r>
      <w:r w:rsidRPr="41BEE9DA">
        <w:rPr>
          <w:rFonts w:eastAsia="Times New Roman"/>
        </w:rPr>
        <w:t xml:space="preserve"> from 2025 to 2034</w:t>
      </w:r>
      <w:r w:rsidR="55032AB3" w:rsidRPr="6986A5FB">
        <w:rPr>
          <w:rFonts w:eastAsia="Times New Roman"/>
          <w:vertAlign w:val="superscript"/>
        </w:rPr>
        <w:footnoteReference w:id="183"/>
      </w:r>
      <w:r w:rsidRPr="41BEE9DA">
        <w:rPr>
          <w:rFonts w:eastAsia="Times New Roman"/>
        </w:rPr>
        <w:t>. Although there are no specific data for a GMM bioremediation market available, the use of GMMs is marked as a “key market trend”</w:t>
      </w:r>
      <w:r w:rsidR="55032AB3" w:rsidRPr="25A2997B">
        <w:rPr>
          <w:rFonts w:eastAsia="Times New Roman"/>
          <w:vertAlign w:val="superscript"/>
        </w:rPr>
        <w:footnoteReference w:id="184"/>
      </w:r>
      <w:r w:rsidRPr="41BEE9DA">
        <w:rPr>
          <w:rFonts w:eastAsia="Times New Roman"/>
        </w:rPr>
        <w:t>.</w:t>
      </w:r>
    </w:p>
    <w:p w14:paraId="1C4AB9F1" w14:textId="4925A657" w:rsidR="55032AB3" w:rsidRDefault="55032AB3" w:rsidP="41BEE9DA">
      <w:pPr>
        <w:spacing w:before="240" w:after="120"/>
      </w:pPr>
      <w:r w:rsidRPr="41BEE9DA">
        <w:rPr>
          <w:rFonts w:eastAsia="Times New Roman"/>
          <w:i/>
          <w:iCs/>
          <w:u w:val="single"/>
        </w:rPr>
        <w:t>Wastewater treatment &amp; pollution control</w:t>
      </w:r>
    </w:p>
    <w:p w14:paraId="6815C091" w14:textId="243A14C3" w:rsidR="55032AB3" w:rsidRDefault="42D606C0" w:rsidP="41BEE9DA">
      <w:pPr>
        <w:spacing w:after="120"/>
        <w:rPr>
          <w:rFonts w:eastAsia="Times New Roman"/>
        </w:rPr>
      </w:pPr>
      <w:r w:rsidRPr="41BEE9DA">
        <w:rPr>
          <w:rFonts w:eastAsia="Times New Roman"/>
        </w:rPr>
        <w:t>Water pollution through industrial releases such as agricultural, mining and industrial wastes and domestic effluents and its subsequent treatments have become major global concerns. GMMs can offer tailored solutions for wastewater treatment by enhancing the removal of a multitude of pollutants and making treatment more efficient, cost-effective and eco-friendly. Large scale release of these solutions is so far limited although they are frequently used in contained settings</w:t>
      </w:r>
      <w:r w:rsidR="55032AB3" w:rsidRPr="7259540C">
        <w:rPr>
          <w:rFonts w:eastAsia="Times New Roman"/>
          <w:vertAlign w:val="superscript"/>
        </w:rPr>
        <w:footnoteReference w:id="185"/>
      </w:r>
      <w:r w:rsidRPr="41BEE9DA">
        <w:rPr>
          <w:rFonts w:eastAsia="Times New Roman"/>
        </w:rPr>
        <w:t xml:space="preserve">. </w:t>
      </w:r>
    </w:p>
    <w:p w14:paraId="69E678FD" w14:textId="22CD7E06" w:rsidR="55032AB3" w:rsidRDefault="55032AB3" w:rsidP="41BEE9DA">
      <w:pPr>
        <w:spacing w:before="240" w:after="120"/>
      </w:pPr>
      <w:r w:rsidRPr="41BEE9DA">
        <w:rPr>
          <w:rFonts w:eastAsia="Times New Roman"/>
          <w:i/>
          <w:iCs/>
          <w:u w:val="single"/>
        </w:rPr>
        <w:t>Biomining, bioleaching and bioaccumulation</w:t>
      </w:r>
    </w:p>
    <w:p w14:paraId="1F8D9417" w14:textId="413ECF22" w:rsidR="55032AB3" w:rsidRDefault="55032AB3" w:rsidP="41BEE9DA">
      <w:pPr>
        <w:spacing w:after="120"/>
      </w:pPr>
      <w:r w:rsidRPr="41BEE9DA">
        <w:rPr>
          <w:rFonts w:eastAsia="Times New Roman"/>
        </w:rPr>
        <w:t>Biomining uses micro-organisms to extract metals from ores, while bioleaching specifically employs bacteria to dissolve metals via acidic solutions, and bioaccumulation describes how micro-organisms absorb and concentrate substances (e.g. metals) from their environment.</w:t>
      </w:r>
    </w:p>
    <w:p w14:paraId="6D8F5732" w14:textId="3F841896" w:rsidR="55032AB3" w:rsidRDefault="42D606C0" w:rsidP="41BEE9DA">
      <w:pPr>
        <w:spacing w:after="120"/>
        <w:rPr>
          <w:rFonts w:eastAsia="Times New Roman"/>
        </w:rPr>
      </w:pPr>
      <w:r w:rsidRPr="41BEE9DA">
        <w:rPr>
          <w:rFonts w:eastAsia="Times New Roman"/>
        </w:rPr>
        <w:t>At present, there are no GMMs used in global commercial scale biomining operations, but this is an active area of research to enhance the efficiency, speed and environmental sustainability of metal recovery via bioleaching, bio-oxidation and bioaccumulation</w:t>
      </w:r>
      <w:r w:rsidR="55032AB3" w:rsidRPr="639D733E">
        <w:rPr>
          <w:rFonts w:eastAsia="Times New Roman"/>
          <w:vertAlign w:val="superscript"/>
        </w:rPr>
        <w:footnoteReference w:id="186"/>
      </w:r>
      <w:r w:rsidR="084838F0" w:rsidRPr="4EC480EB">
        <w:rPr>
          <w:rFonts w:eastAsia="Times New Roman"/>
          <w:vertAlign w:val="superscript"/>
        </w:rPr>
        <w:t>,</w:t>
      </w:r>
      <w:r w:rsidRPr="001E3952">
        <w:rPr>
          <w:vertAlign w:val="superscript"/>
        </w:rPr>
        <w:footnoteReference w:id="187"/>
      </w:r>
      <w:r w:rsidRPr="41BEE9DA">
        <w:rPr>
          <w:rFonts w:eastAsia="Times New Roman"/>
        </w:rPr>
        <w:t>. Bioleaching is employed in two separate scenarios which differ in scale: urban waste streams containing critical metals</w:t>
      </w:r>
      <w:r w:rsidR="1EF60F88" w:rsidRPr="4EC480EB">
        <w:rPr>
          <w:rFonts w:eastAsia="Times New Roman"/>
        </w:rPr>
        <w:t>, which</w:t>
      </w:r>
      <w:r w:rsidRPr="41BEE9DA">
        <w:rPr>
          <w:rFonts w:eastAsia="Times New Roman"/>
        </w:rPr>
        <w:t xml:space="preserve"> is mostly done in contained environments but may also be used in environmental release scenarios; and natural ore processing at scale using environmental releases directly within the geographical locations. Conventional microbes have been used in ore bioleaching. However, GMMs are now being developed to overcome limitations of conventional microbes, such as slow process times and sensitivity to fluctuating site conditions like temperature, pH and metal concentrations. GMMs provide, for example, unique opportunities for biomining rare earth elements, </w:t>
      </w:r>
      <w:r w:rsidRPr="41BEE9DA">
        <w:rPr>
          <w:rFonts w:eastAsia="Times New Roman"/>
        </w:rPr>
        <w:lastRenderedPageBreak/>
        <w:t>which are critical elements for renewable energy, military equipment, electric vehicles</w:t>
      </w:r>
      <w:r w:rsidRPr="08FDD09A">
        <w:rPr>
          <w:rFonts w:eastAsia="Times New Roman"/>
        </w:rPr>
        <w:t xml:space="preserve"> and other products of advanced engineering.</w:t>
      </w:r>
    </w:p>
    <w:p w14:paraId="657A1E2C" w14:textId="06428830" w:rsidR="55032AB3" w:rsidRDefault="42D606C0" w:rsidP="41BEE9DA">
      <w:pPr>
        <w:spacing w:after="120"/>
        <w:rPr>
          <w:rFonts w:eastAsia="Times New Roman"/>
        </w:rPr>
      </w:pPr>
      <w:r w:rsidRPr="41BEE9DA">
        <w:rPr>
          <w:rFonts w:eastAsia="Times New Roman"/>
        </w:rPr>
        <w:t>One concrete example comes from a U.S. start-up developing a genetically modified yeast that binds cobalt in wastewater streams from mining operations. This approach aims, on the one hand, to prevent ecological damages stemming from heavy metal contamination of water sources and, on the other hand, to retain the valuable metal, while being more cost effective than the conventional method of membrane filtration and avoiding the use of chemicals for precipitation. The company claims that their use of the GMM enables the recovery of 97</w:t>
      </w:r>
      <w:r w:rsidR="006856C2">
        <w:rPr>
          <w:rFonts w:eastAsia="Times New Roman"/>
        </w:rPr>
        <w:t>%</w:t>
      </w:r>
      <w:r w:rsidRPr="41BEE9DA">
        <w:rPr>
          <w:rFonts w:eastAsia="Times New Roman"/>
        </w:rPr>
        <w:t xml:space="preserve"> of the cobalt contained, also cleaning the wastewater to fulfil the U.S. Environmental Protection Agency’s wastewater standards, and that it can save 50</w:t>
      </w:r>
      <w:r w:rsidR="006856C2">
        <w:rPr>
          <w:rFonts w:eastAsia="Times New Roman"/>
        </w:rPr>
        <w:t>%</w:t>
      </w:r>
      <w:r w:rsidRPr="41BEE9DA">
        <w:rPr>
          <w:rFonts w:eastAsia="Times New Roman"/>
        </w:rPr>
        <w:t xml:space="preserve"> of energy compared to conventional methods</w:t>
      </w:r>
      <w:r w:rsidR="55032AB3" w:rsidRPr="1A24D3E9">
        <w:rPr>
          <w:rFonts w:eastAsia="Times New Roman"/>
          <w:vertAlign w:val="superscript"/>
        </w:rPr>
        <w:footnoteReference w:id="188"/>
      </w:r>
      <w:r w:rsidRPr="1A24D3E9">
        <w:rPr>
          <w:rFonts w:eastAsia="Times New Roman"/>
        </w:rPr>
        <w:t>.</w:t>
      </w:r>
    </w:p>
    <w:p w14:paraId="1372C240" w14:textId="6C3FE7BD" w:rsidR="55032AB3" w:rsidRDefault="42D606C0" w:rsidP="41BEE9DA">
      <w:pPr>
        <w:spacing w:after="160" w:line="257" w:lineRule="auto"/>
        <w:rPr>
          <w:rFonts w:eastAsia="Times New Roman"/>
        </w:rPr>
      </w:pPr>
      <w:r w:rsidRPr="3AD20C0A">
        <w:rPr>
          <w:rFonts w:eastAsia="Times New Roman"/>
        </w:rPr>
        <w:t xml:space="preserve">The above-named external study reports the market size estimate at </w:t>
      </w:r>
      <w:r w:rsidR="0C417C95" w:rsidRPr="4EC480EB">
        <w:rPr>
          <w:rFonts w:eastAsia="Times New Roman"/>
        </w:rPr>
        <w:t>EUR 8.70</w:t>
      </w:r>
      <w:r w:rsidRPr="3AD20C0A">
        <w:rPr>
          <w:rFonts w:eastAsia="Times New Roman"/>
        </w:rPr>
        <w:t xml:space="preserve"> </w:t>
      </w:r>
      <w:r w:rsidR="0C417C95" w:rsidRPr="4EC480EB">
        <w:rPr>
          <w:rFonts w:eastAsia="Times New Roman"/>
        </w:rPr>
        <w:t>b</w:t>
      </w:r>
      <w:r w:rsidRPr="3AD20C0A">
        <w:rPr>
          <w:rFonts w:eastAsia="Times New Roman"/>
        </w:rPr>
        <w:t xml:space="preserve">illion in 2024, with a projection to reach </w:t>
      </w:r>
      <w:r w:rsidR="5F0EE1E9" w:rsidRPr="4EC480EB">
        <w:rPr>
          <w:rFonts w:eastAsia="Times New Roman"/>
        </w:rPr>
        <w:t>EUR</w:t>
      </w:r>
      <w:r w:rsidRPr="3AD20C0A">
        <w:rPr>
          <w:rFonts w:eastAsia="Times New Roman"/>
        </w:rPr>
        <w:t xml:space="preserve"> </w:t>
      </w:r>
      <w:r w:rsidR="5F0EE1E9" w:rsidRPr="4EC480EB">
        <w:rPr>
          <w:rFonts w:eastAsia="Times New Roman"/>
        </w:rPr>
        <w:t>18.3</w:t>
      </w:r>
      <w:r w:rsidRPr="3AD20C0A">
        <w:rPr>
          <w:rFonts w:eastAsia="Times New Roman"/>
        </w:rPr>
        <w:t xml:space="preserve"> </w:t>
      </w:r>
      <w:r w:rsidR="27E9AC94" w:rsidRPr="52B5BD3C">
        <w:rPr>
          <w:rFonts w:eastAsia="Times New Roman"/>
        </w:rPr>
        <w:t>b</w:t>
      </w:r>
      <w:r w:rsidRPr="3AD20C0A">
        <w:rPr>
          <w:rFonts w:eastAsia="Times New Roman"/>
        </w:rPr>
        <w:t>illion by 2033, growing at a CAGR of 8.9</w:t>
      </w:r>
      <w:r w:rsidR="006856C2">
        <w:rPr>
          <w:rFonts w:eastAsia="Times New Roman"/>
        </w:rPr>
        <w:t>%</w:t>
      </w:r>
      <w:r w:rsidRPr="3AD20C0A">
        <w:rPr>
          <w:rFonts w:eastAsia="Times New Roman"/>
        </w:rPr>
        <w:t xml:space="preserve"> from 2025 to 2033</w:t>
      </w:r>
      <w:r w:rsidR="55032AB3" w:rsidRPr="378CA0DB">
        <w:rPr>
          <w:rFonts w:eastAsia="Times New Roman"/>
          <w:vertAlign w:val="superscript"/>
        </w:rPr>
        <w:footnoteReference w:id="189"/>
      </w:r>
      <w:r w:rsidRPr="3AD20C0A">
        <w:rPr>
          <w:rFonts w:eastAsia="Times New Roman"/>
        </w:rPr>
        <w:t xml:space="preserve">. Another reported estimate values the market size at </w:t>
      </w:r>
      <w:r w:rsidR="78EE3787" w:rsidRPr="4EC480EB">
        <w:rPr>
          <w:rFonts w:eastAsia="Times New Roman"/>
        </w:rPr>
        <w:t xml:space="preserve">EUR </w:t>
      </w:r>
      <w:r w:rsidR="4D8E2CF2" w:rsidRPr="4EC480EB">
        <w:rPr>
          <w:rFonts w:eastAsia="Times New Roman"/>
        </w:rPr>
        <w:t>9.58</w:t>
      </w:r>
      <w:r w:rsidRPr="3AD20C0A">
        <w:rPr>
          <w:rFonts w:eastAsia="Times New Roman"/>
        </w:rPr>
        <w:t xml:space="preserve"> </w:t>
      </w:r>
      <w:r w:rsidR="78EE3787" w:rsidRPr="4EC480EB">
        <w:rPr>
          <w:rFonts w:eastAsia="Times New Roman"/>
        </w:rPr>
        <w:t>b</w:t>
      </w:r>
      <w:r w:rsidRPr="3AD20C0A">
        <w:rPr>
          <w:rFonts w:eastAsia="Times New Roman"/>
        </w:rPr>
        <w:t xml:space="preserve">illion in 2025 and projects it to grow from </w:t>
      </w:r>
      <w:r w:rsidR="07A858EE" w:rsidRPr="4EC480EB">
        <w:rPr>
          <w:rFonts w:eastAsia="Times New Roman"/>
        </w:rPr>
        <w:t>EUR 10.4</w:t>
      </w:r>
      <w:r w:rsidRPr="3AD20C0A">
        <w:rPr>
          <w:rFonts w:eastAsia="Times New Roman"/>
        </w:rPr>
        <w:t xml:space="preserve"> </w:t>
      </w:r>
      <w:r w:rsidR="1611BFBC" w:rsidRPr="52B5BD3C">
        <w:rPr>
          <w:rFonts w:eastAsia="Times New Roman"/>
        </w:rPr>
        <w:t>b</w:t>
      </w:r>
      <w:r w:rsidRPr="3AD20C0A">
        <w:rPr>
          <w:rFonts w:eastAsia="Times New Roman"/>
        </w:rPr>
        <w:t xml:space="preserve">illion in 2026 to </w:t>
      </w:r>
      <w:r w:rsidR="156B8BC2" w:rsidRPr="4EC480EB">
        <w:rPr>
          <w:rFonts w:eastAsia="Times New Roman"/>
        </w:rPr>
        <w:t>EUR 20.9</w:t>
      </w:r>
      <w:r w:rsidRPr="3AD20C0A">
        <w:rPr>
          <w:rFonts w:eastAsia="Times New Roman"/>
        </w:rPr>
        <w:t xml:space="preserve"> billion by 2034, exhibiting a CAGR of 9.06</w:t>
      </w:r>
      <w:r w:rsidR="006856C2">
        <w:rPr>
          <w:rFonts w:eastAsia="Times New Roman"/>
        </w:rPr>
        <w:t>%</w:t>
      </w:r>
      <w:r w:rsidRPr="3AD20C0A">
        <w:rPr>
          <w:rFonts w:eastAsia="Times New Roman"/>
        </w:rPr>
        <w:t xml:space="preserve"> during the forecast period</w:t>
      </w:r>
      <w:r w:rsidR="55032AB3" w:rsidRPr="14804479">
        <w:rPr>
          <w:rFonts w:eastAsia="Times New Roman"/>
          <w:vertAlign w:val="superscript"/>
        </w:rPr>
        <w:footnoteReference w:id="190"/>
      </w:r>
      <w:r w:rsidRPr="41BEE9DA">
        <w:rPr>
          <w:rFonts w:eastAsia="Times New Roman"/>
        </w:rPr>
        <w:t>. Specific GMM-related data are not available, but GMMs are mentioned as future opportunity and potential field of innovation</w:t>
      </w:r>
      <w:r w:rsidR="55032AB3" w:rsidRPr="00AB5640">
        <w:rPr>
          <w:rFonts w:eastAsia="Times New Roman"/>
          <w:vertAlign w:val="superscript"/>
        </w:rPr>
        <w:footnoteReference w:id="191"/>
      </w:r>
      <w:r w:rsidRPr="41BEE9DA">
        <w:rPr>
          <w:rFonts w:eastAsia="Times New Roman"/>
        </w:rPr>
        <w:t>.</w:t>
      </w:r>
    </w:p>
    <w:p w14:paraId="079CFE8E" w14:textId="5CBF1F1E" w:rsidR="55032AB3" w:rsidRDefault="55032AB3" w:rsidP="41BEE9DA">
      <w:pPr>
        <w:spacing w:before="240" w:after="120"/>
      </w:pPr>
      <w:r w:rsidRPr="41BEE9DA">
        <w:rPr>
          <w:rFonts w:eastAsia="Times New Roman"/>
          <w:i/>
          <w:iCs/>
          <w:u w:val="single"/>
        </w:rPr>
        <w:t>Construction materials</w:t>
      </w:r>
    </w:p>
    <w:p w14:paraId="70C62DEB" w14:textId="4F6C0398" w:rsidR="55032AB3" w:rsidRDefault="42D606C0" w:rsidP="41BEE9DA">
      <w:pPr>
        <w:spacing w:after="120"/>
        <w:rPr>
          <w:rFonts w:eastAsia="Times New Roman"/>
        </w:rPr>
      </w:pPr>
      <w:r w:rsidRPr="41BEE9DA">
        <w:rPr>
          <w:rFonts w:eastAsia="Times New Roman"/>
        </w:rPr>
        <w:t>Biomaterials have been proposed as a sustainable alternative to e.g., plastics and concrete in the construction and infrastructure sectors. Engineered Living Materials (ELMs)</w:t>
      </w:r>
      <w:r w:rsidR="55032AB3" w:rsidRPr="011DE1F4">
        <w:rPr>
          <w:rFonts w:eastAsia="Times New Roman"/>
          <w:vertAlign w:val="superscript"/>
        </w:rPr>
        <w:footnoteReference w:id="192"/>
      </w:r>
      <w:r w:rsidRPr="00AB5640">
        <w:rPr>
          <w:rFonts w:eastAsia="Times New Roman"/>
          <w:vertAlign w:val="superscript"/>
        </w:rPr>
        <w:t xml:space="preserve"> </w:t>
      </w:r>
      <w:r w:rsidRPr="41BEE9DA">
        <w:rPr>
          <w:rFonts w:eastAsia="Times New Roman"/>
        </w:rPr>
        <w:t xml:space="preserve">applied to the construction industry provide a new class of sustainable biomaterials that can be grown from living organisms or incorporate living cells to furnish entirely unique capabilities such as self-healing and carbon sequestration. Their deployment requires environmental release of the GMM. The leading-edge of construction biotechnology could leverage GMMs as biosensors i.e., to detect environmental cues, such as moisture, pH shifts or mechanical stress. The GMMs can then initiate selective responses, including carbonate precipitation, polymer secretion or the release of “healing compounds”. Such ELMs could lead to the development of adaptive, intelligent self-regulating infrastructure capable of sensing environmental changes via real-time monitoring and stress-responsive functions. </w:t>
      </w:r>
    </w:p>
    <w:p w14:paraId="04168360" w14:textId="26F069F3" w:rsidR="55032AB3" w:rsidRDefault="42D606C0" w:rsidP="41BEE9DA">
      <w:pPr>
        <w:spacing w:after="120"/>
        <w:rPr>
          <w:rFonts w:eastAsia="Times New Roman"/>
        </w:rPr>
      </w:pPr>
      <w:r w:rsidRPr="41BEE9DA">
        <w:rPr>
          <w:rFonts w:eastAsia="Times New Roman"/>
        </w:rPr>
        <w:lastRenderedPageBreak/>
        <w:t>Cutting edge research and development on ELMs is funded by the European Innovation Council</w:t>
      </w:r>
      <w:r w:rsidR="55032AB3" w:rsidRPr="4C33C66D">
        <w:rPr>
          <w:rFonts w:eastAsia="Times New Roman"/>
          <w:vertAlign w:val="superscript"/>
        </w:rPr>
        <w:footnoteReference w:id="193"/>
      </w:r>
      <w:r w:rsidRPr="4C33C66D">
        <w:rPr>
          <w:rFonts w:eastAsia="Times New Roman"/>
        </w:rPr>
        <w:t>.</w:t>
      </w:r>
      <w:r w:rsidRPr="41BEE9DA">
        <w:rPr>
          <w:rFonts w:eastAsia="Times New Roman"/>
        </w:rPr>
        <w:t xml:space="preserve"> One of the funded projects, the REMEDY Consortium entailing partners from Austria, the Netherlands, Slovakia and Slovenia, aims to develop substances containing mixtures of micro-organisms that can be printed onto surfaces of buildings. This “microbial ink” is intended to improve local air quality in built-up areas by producing oxygen, sequestering carbon dioxide and degrading pollutants</w:t>
      </w:r>
      <w:r w:rsidR="55032AB3" w:rsidRPr="00AB5640">
        <w:rPr>
          <w:rFonts w:eastAsia="Times New Roman"/>
          <w:vertAlign w:val="superscript"/>
        </w:rPr>
        <w:footnoteReference w:id="194"/>
      </w:r>
      <w:r w:rsidRPr="41BEE9DA">
        <w:rPr>
          <w:rFonts w:eastAsia="Times New Roman"/>
        </w:rPr>
        <w:t xml:space="preserve">. </w:t>
      </w:r>
    </w:p>
    <w:p w14:paraId="52DA258D" w14:textId="14602D4B" w:rsidR="55032AB3" w:rsidRDefault="55032AB3" w:rsidP="41BEE9DA">
      <w:pPr>
        <w:spacing w:before="240" w:after="120"/>
      </w:pPr>
      <w:r w:rsidRPr="41BEE9DA">
        <w:rPr>
          <w:rFonts w:eastAsia="Times New Roman"/>
          <w:i/>
          <w:iCs/>
          <w:u w:val="single"/>
        </w:rPr>
        <w:t>Defence</w:t>
      </w:r>
    </w:p>
    <w:p w14:paraId="6B002507" w14:textId="28780D76" w:rsidR="55032AB3" w:rsidRDefault="42D606C0" w:rsidP="41BEE9DA">
      <w:pPr>
        <w:spacing w:after="120"/>
        <w:rPr>
          <w:rFonts w:eastAsia="Times New Roman"/>
        </w:rPr>
      </w:pPr>
      <w:r w:rsidRPr="41BEE9DA">
        <w:rPr>
          <w:rFonts w:eastAsia="Times New Roman"/>
        </w:rPr>
        <w:t>Recent developments in genetic engineering are creating new paradigms for biodefense, national security, medical countermeasures and advanced materials. Examples of key defence applications of GMMs in research and development include submarine detection with marine bacteria that react to emissions from submarines, GMMs able to detect explosives in e.g., landmines, advanced protective and responsive garments and self-healing ELMs for camouflage, construction, ships and aircraft (also see “construction materials” above</w:t>
      </w:r>
      <w:r w:rsidRPr="1E1188AF">
        <w:rPr>
          <w:rFonts w:eastAsia="Times New Roman"/>
        </w:rPr>
        <w:t>)</w:t>
      </w:r>
      <w:r w:rsidR="55032AB3" w:rsidRPr="1E1188AF">
        <w:rPr>
          <w:rFonts w:eastAsia="Times New Roman"/>
          <w:vertAlign w:val="superscript"/>
        </w:rPr>
        <w:footnoteReference w:id="195"/>
      </w:r>
      <w:r w:rsidRPr="1E1188AF">
        <w:rPr>
          <w:rFonts w:eastAsia="Times New Roman"/>
        </w:rPr>
        <w:t>.</w:t>
      </w:r>
      <w:r w:rsidRPr="41BEE9DA">
        <w:rPr>
          <w:rFonts w:eastAsia="Times New Roman"/>
        </w:rPr>
        <w:t xml:space="preserve"> Most of these applications would entail the environmental release of the GMM. </w:t>
      </w:r>
    </w:p>
    <w:p w14:paraId="0B234913" w14:textId="1BCB30FE" w:rsidR="55032AB3" w:rsidRDefault="55032AB3" w:rsidP="41BEE9DA">
      <w:pPr>
        <w:spacing w:before="240" w:after="120"/>
      </w:pPr>
      <w:r w:rsidRPr="41BEE9DA">
        <w:rPr>
          <w:rFonts w:eastAsia="Times New Roman"/>
          <w:i/>
          <w:iCs/>
          <w:u w:val="single"/>
        </w:rPr>
        <w:t>Carbon capture</w:t>
      </w:r>
    </w:p>
    <w:p w14:paraId="58D988C8" w14:textId="701D587B" w:rsidR="55032AB3" w:rsidRDefault="42D606C0" w:rsidP="41BEE9DA">
      <w:pPr>
        <w:spacing w:after="120"/>
        <w:rPr>
          <w:rFonts w:eastAsia="Times New Roman"/>
        </w:rPr>
      </w:pPr>
      <w:r w:rsidRPr="41BEE9DA">
        <w:rPr>
          <w:rFonts w:eastAsia="Times New Roman"/>
        </w:rPr>
        <w:t>Advances in biotech now enable the optimisation of carbon capture with more precision by tailoring GMMs to boost their photosynthetic capacity and absorb greater amounts of CO</w:t>
      </w:r>
      <w:r w:rsidRPr="41BEE9DA">
        <w:rPr>
          <w:rFonts w:eastAsia="Times New Roman"/>
          <w:vertAlign w:val="subscript"/>
        </w:rPr>
        <w:t>2</w:t>
      </w:r>
      <w:r w:rsidRPr="41BEE9DA">
        <w:rPr>
          <w:rFonts w:eastAsia="Times New Roman"/>
        </w:rPr>
        <w:t xml:space="preserve"> from the atmosphere. In addition, GMMs are being used to sequester carbon in a stable form that prevents its release into the atmosphere, whilst the stable carbon-rich compounds can either be stored long-term</w:t>
      </w:r>
      <w:r w:rsidR="55032AB3" w:rsidRPr="08FDD09A">
        <w:rPr>
          <w:rFonts w:eastAsia="Times New Roman"/>
          <w:vertAlign w:val="superscript"/>
        </w:rPr>
        <w:footnoteReference w:id="196"/>
      </w:r>
      <w:r w:rsidRPr="41BEE9DA">
        <w:rPr>
          <w:rFonts w:eastAsia="Times New Roman"/>
        </w:rPr>
        <w:t xml:space="preserve"> or used to generate renewable energy</w:t>
      </w:r>
      <w:r w:rsidR="55032AB3" w:rsidRPr="08FDD09A">
        <w:rPr>
          <w:rFonts w:eastAsia="Times New Roman"/>
          <w:vertAlign w:val="superscript"/>
        </w:rPr>
        <w:footnoteReference w:id="197"/>
      </w:r>
      <w:r w:rsidRPr="41BEE9DA">
        <w:rPr>
          <w:rFonts w:eastAsia="Times New Roman"/>
        </w:rPr>
        <w:t xml:space="preserve"> or act as substrates for biomanufacturing of higher value products in contained systems</w:t>
      </w:r>
      <w:r w:rsidR="55032AB3" w:rsidRPr="08FDD09A">
        <w:rPr>
          <w:rFonts w:eastAsia="Times New Roman"/>
          <w:vertAlign w:val="superscript"/>
        </w:rPr>
        <w:footnoteReference w:id="198"/>
      </w:r>
      <w:r w:rsidRPr="41BEE9DA">
        <w:rPr>
          <w:rFonts w:eastAsia="Times New Roman"/>
        </w:rPr>
        <w:t>. While most of the applications are currently limited to contained use, the scale of what is needed to effectively capture and store enough carbon to mitigate climate change would require strategies including environmental releases in order to be viable</w:t>
      </w:r>
      <w:r w:rsidR="55032AB3" w:rsidRPr="1E1188AF">
        <w:rPr>
          <w:rFonts w:eastAsia="Times New Roman"/>
          <w:vertAlign w:val="superscript"/>
        </w:rPr>
        <w:footnoteReference w:id="199"/>
      </w:r>
      <w:r w:rsidRPr="41BEE9DA">
        <w:rPr>
          <w:rFonts w:eastAsia="Times New Roman"/>
        </w:rPr>
        <w:t>.</w:t>
      </w:r>
    </w:p>
    <w:p w14:paraId="6E1B999D" w14:textId="110DEDAA" w:rsidR="55032AB3" w:rsidRDefault="55032AB3" w:rsidP="41BEE9DA">
      <w:pPr>
        <w:spacing w:before="240" w:after="120"/>
      </w:pPr>
      <w:r w:rsidRPr="41BEE9DA">
        <w:rPr>
          <w:rFonts w:eastAsia="Times New Roman"/>
          <w:i/>
          <w:iCs/>
          <w:u w:val="single"/>
        </w:rPr>
        <w:t>Cosmetic products and personal care</w:t>
      </w:r>
    </w:p>
    <w:p w14:paraId="6DE9749A" w14:textId="6733AF9F" w:rsidR="55032AB3" w:rsidRDefault="42D606C0" w:rsidP="08FDD09A">
      <w:pPr>
        <w:spacing w:after="120"/>
        <w:rPr>
          <w:rFonts w:eastAsia="Times New Roman"/>
        </w:rPr>
      </w:pPr>
      <w:r w:rsidRPr="41BEE9DA">
        <w:rPr>
          <w:rFonts w:eastAsia="Times New Roman"/>
        </w:rPr>
        <w:t xml:space="preserve">Currently, the use of GMMs in the cosmetics and personal care industry is mostly limited to contained use, through the production of key compounds and ingredients through industrial fermentation. However, they </w:t>
      </w:r>
      <w:r w:rsidR="0288E89D" w:rsidRPr="4EC480EB">
        <w:rPr>
          <w:rFonts w:eastAsia="Times New Roman"/>
        </w:rPr>
        <w:t>are</w:t>
      </w:r>
      <w:r w:rsidRPr="41BEE9DA">
        <w:rPr>
          <w:rFonts w:eastAsia="Times New Roman"/>
        </w:rPr>
        <w:t xml:space="preserve"> also</w:t>
      </w:r>
      <w:r w:rsidRPr="4EC480EB" w:rsidDel="42D606C0">
        <w:rPr>
          <w:rFonts w:eastAsia="Times New Roman"/>
        </w:rPr>
        <w:t xml:space="preserve"> </w:t>
      </w:r>
      <w:r w:rsidR="51A3A672" w:rsidRPr="00A0144A">
        <w:rPr>
          <w:rFonts w:eastAsia="Times New Roman"/>
        </w:rPr>
        <w:t>increasingly being developed for direct use</w:t>
      </w:r>
      <w:r w:rsidR="51A3A672" w:rsidRPr="4EC480EB">
        <w:rPr>
          <w:rFonts w:eastAsia="Times New Roman"/>
        </w:rPr>
        <w:t xml:space="preserve"> </w:t>
      </w:r>
      <w:r w:rsidRPr="41BEE9DA">
        <w:rPr>
          <w:rFonts w:eastAsia="Times New Roman"/>
        </w:rPr>
        <w:lastRenderedPageBreak/>
        <w:t>in cosmetic products and personal care products</w:t>
      </w:r>
      <w:r w:rsidR="55032AB3" w:rsidRPr="08FDD09A">
        <w:rPr>
          <w:rFonts w:eastAsia="Times New Roman"/>
          <w:vertAlign w:val="superscript"/>
        </w:rPr>
        <w:footnoteReference w:id="200"/>
      </w:r>
      <w:r w:rsidR="11127F04" w:rsidRPr="00F82ABA">
        <w:rPr>
          <w:rFonts w:eastAsia="Times New Roman"/>
          <w:vertAlign w:val="superscript"/>
        </w:rPr>
        <w:t>,</w:t>
      </w:r>
      <w:r w:rsidR="55032AB3" w:rsidRPr="08FDD09A">
        <w:rPr>
          <w:rFonts w:eastAsia="Times New Roman"/>
          <w:vertAlign w:val="superscript"/>
        </w:rPr>
        <w:footnoteReference w:id="201"/>
      </w:r>
      <w:r w:rsidR="1C84D9EB" w:rsidRPr="4EC480EB">
        <w:rPr>
          <w:rFonts w:eastAsia="Times New Roman"/>
        </w:rPr>
        <w:t>. Currently, one</w:t>
      </w:r>
      <w:r w:rsidRPr="08FDD09A">
        <w:rPr>
          <w:rFonts w:eastAsia="Times New Roman"/>
        </w:rPr>
        <w:t xml:space="preserve"> GMM probiotic</w:t>
      </w:r>
      <w:r w:rsidR="586B1674" w:rsidRPr="4EC480EB">
        <w:rPr>
          <w:rFonts w:eastAsia="Times New Roman"/>
        </w:rPr>
        <w:t>,</w:t>
      </w:r>
      <w:r w:rsidRPr="08FDD09A">
        <w:rPr>
          <w:rFonts w:eastAsia="Times New Roman"/>
        </w:rPr>
        <w:t xml:space="preserve"> developed to improve dental health by reducing the build-up of lactic acid</w:t>
      </w:r>
      <w:r w:rsidR="085D34E8" w:rsidRPr="4EC480EB">
        <w:rPr>
          <w:rFonts w:eastAsia="Times New Roman"/>
        </w:rPr>
        <w:t>,</w:t>
      </w:r>
      <w:r w:rsidR="42C0772C" w:rsidRPr="4EC480EB">
        <w:rPr>
          <w:rFonts w:eastAsia="Times New Roman"/>
        </w:rPr>
        <w:t xml:space="preserve"> is commercially available in the USA since 2023</w:t>
      </w:r>
      <w:r w:rsidR="55032AB3" w:rsidRPr="255785C7">
        <w:rPr>
          <w:rFonts w:eastAsia="Times New Roman"/>
          <w:vertAlign w:val="superscript"/>
        </w:rPr>
        <w:footnoteReference w:id="202"/>
      </w:r>
      <w:r w:rsidRPr="08FDD09A">
        <w:rPr>
          <w:rFonts w:eastAsia="Times New Roman"/>
        </w:rPr>
        <w:t>.</w:t>
      </w:r>
    </w:p>
    <w:p w14:paraId="55D34F00" w14:textId="77777777" w:rsidR="00BB3429" w:rsidRDefault="00BB3429" w:rsidP="08FDD09A">
      <w:pPr>
        <w:spacing w:after="120"/>
        <w:rPr>
          <w:rFonts w:eastAsia="Times New Roman"/>
        </w:rPr>
      </w:pPr>
    </w:p>
    <w:p w14:paraId="7C4CA64D" w14:textId="0984084B" w:rsidR="55032AB3" w:rsidRPr="002D46AD" w:rsidRDefault="42D606C0" w:rsidP="08FDD09A">
      <w:pPr>
        <w:spacing w:before="240" w:after="120"/>
        <w:rPr>
          <w:b/>
          <w:bCs/>
        </w:rPr>
      </w:pPr>
      <w:r w:rsidRPr="08FDD09A">
        <w:rPr>
          <w:rFonts w:eastAsia="Times New Roman"/>
          <w:b/>
          <w:bCs/>
        </w:rPr>
        <w:t xml:space="preserve">Table </w:t>
      </w:r>
      <w:r w:rsidR="005D0BB6">
        <w:rPr>
          <w:rFonts w:eastAsia="Times New Roman"/>
          <w:b/>
          <w:bCs/>
        </w:rPr>
        <w:t>4</w:t>
      </w:r>
      <w:r w:rsidR="67EC40B3" w:rsidRPr="08FDD09A">
        <w:rPr>
          <w:rFonts w:eastAsia="Times New Roman"/>
          <w:b/>
          <w:bCs/>
        </w:rPr>
        <w:t>.</w:t>
      </w:r>
      <w:r w:rsidRPr="08FDD09A">
        <w:rPr>
          <w:rFonts w:eastAsia="Times New Roman"/>
          <w:b/>
          <w:bCs/>
        </w:rPr>
        <w:t xml:space="preserve"> Examples of GMM products</w:t>
      </w:r>
      <w:r w:rsidR="55032AB3" w:rsidRPr="08FDD09A">
        <w:rPr>
          <w:rFonts w:eastAsia="Times New Roman"/>
          <w:b/>
          <w:bCs/>
          <w:vertAlign w:val="superscript"/>
        </w:rPr>
        <w:footnoteReference w:id="203"/>
      </w:r>
      <w:r w:rsidRPr="08FDD09A">
        <w:rPr>
          <w:rFonts w:eastAsia="Times New Roman"/>
          <w:b/>
          <w:bCs/>
        </w:rPr>
        <w:t xml:space="preserve"> for environmental release in various stages of development</w:t>
      </w:r>
    </w:p>
    <w:tbl>
      <w:tblPr>
        <w:tblStyle w:val="TableGrid"/>
        <w:tblW w:w="8528" w:type="dxa"/>
        <w:tblLook w:val="04A0" w:firstRow="1" w:lastRow="0" w:firstColumn="1" w:lastColumn="0" w:noHBand="0" w:noVBand="1"/>
      </w:tblPr>
      <w:tblGrid>
        <w:gridCol w:w="1380"/>
        <w:gridCol w:w="1110"/>
        <w:gridCol w:w="1278"/>
        <w:gridCol w:w="1602"/>
        <w:gridCol w:w="1220"/>
        <w:gridCol w:w="943"/>
        <w:gridCol w:w="995"/>
      </w:tblGrid>
      <w:tr w:rsidR="00BB182A" w14:paraId="4F052F4B" w14:textId="77777777" w:rsidTr="001E7EC7">
        <w:tc>
          <w:tcPr>
            <w:tcW w:w="1380" w:type="dxa"/>
            <w:tcBorders>
              <w:top w:val="single" w:sz="36" w:space="0" w:color="303F9C"/>
              <w:left w:val="single" w:sz="36" w:space="0" w:color="303F9C"/>
              <w:bottom w:val="single" w:sz="36" w:space="0" w:color="303F9C"/>
              <w:right w:val="single" w:sz="8" w:space="0" w:color="FFFFFF" w:themeColor="background1"/>
            </w:tcBorders>
            <w:shd w:val="clear" w:color="auto" w:fill="303F9C"/>
            <w:tcMar>
              <w:top w:w="28" w:type="dxa"/>
              <w:left w:w="57" w:type="dxa"/>
              <w:bottom w:w="28" w:type="dxa"/>
              <w:right w:w="57" w:type="dxa"/>
            </w:tcMar>
            <w:vAlign w:val="center"/>
          </w:tcPr>
          <w:p w14:paraId="73C08F73" w14:textId="436C5ADF" w:rsidR="3E6A54AC" w:rsidRPr="004570F2" w:rsidRDefault="3E6A54AC" w:rsidP="004570F2">
            <w:pPr>
              <w:spacing w:after="120"/>
              <w:jc w:val="center"/>
              <w:rPr>
                <w:b/>
                <w:color w:val="FFFFFF" w:themeColor="background1"/>
                <w:sz w:val="18"/>
              </w:rPr>
            </w:pPr>
            <w:r w:rsidRPr="004570F2">
              <w:rPr>
                <w:b/>
                <w:color w:val="FFFFFF" w:themeColor="background1"/>
                <w:sz w:val="18"/>
              </w:rPr>
              <w:t>Micro-organism</w:t>
            </w:r>
          </w:p>
        </w:tc>
        <w:tc>
          <w:tcPr>
            <w:tcW w:w="1110" w:type="dxa"/>
            <w:tcBorders>
              <w:top w:val="single" w:sz="36" w:space="0" w:color="303F9C"/>
              <w:left w:val="single" w:sz="8" w:space="0" w:color="FFFFFF" w:themeColor="background1"/>
              <w:bottom w:val="single" w:sz="36" w:space="0" w:color="303F9C"/>
              <w:right w:val="single" w:sz="8" w:space="0" w:color="FFFFFF" w:themeColor="background1"/>
            </w:tcBorders>
            <w:shd w:val="clear" w:color="auto" w:fill="303F9C"/>
            <w:tcMar>
              <w:top w:w="28" w:type="dxa"/>
              <w:left w:w="57" w:type="dxa"/>
              <w:bottom w:w="28" w:type="dxa"/>
              <w:right w:w="57" w:type="dxa"/>
            </w:tcMar>
            <w:vAlign w:val="center"/>
          </w:tcPr>
          <w:p w14:paraId="6C30F1F0" w14:textId="083CFF28" w:rsidR="3E6A54AC" w:rsidRPr="004570F2" w:rsidRDefault="3E6A54AC" w:rsidP="004570F2">
            <w:pPr>
              <w:spacing w:after="120"/>
              <w:jc w:val="center"/>
              <w:rPr>
                <w:b/>
                <w:color w:val="FFFFFF" w:themeColor="background1"/>
                <w:sz w:val="18"/>
              </w:rPr>
            </w:pPr>
            <w:r w:rsidRPr="004570F2">
              <w:rPr>
                <w:b/>
                <w:color w:val="FFFFFF" w:themeColor="background1"/>
                <w:sz w:val="18"/>
              </w:rPr>
              <w:t>Application</w:t>
            </w:r>
          </w:p>
        </w:tc>
        <w:tc>
          <w:tcPr>
            <w:tcW w:w="1278" w:type="dxa"/>
            <w:tcBorders>
              <w:top w:val="single" w:sz="36" w:space="0" w:color="303F9C"/>
              <w:left w:val="single" w:sz="8" w:space="0" w:color="FFFFFF" w:themeColor="background1"/>
              <w:bottom w:val="single" w:sz="36" w:space="0" w:color="303F9C"/>
              <w:right w:val="single" w:sz="8" w:space="0" w:color="FFFFFF" w:themeColor="background1"/>
            </w:tcBorders>
            <w:shd w:val="clear" w:color="auto" w:fill="303F9C"/>
            <w:tcMar>
              <w:top w:w="28" w:type="dxa"/>
              <w:left w:w="57" w:type="dxa"/>
              <w:bottom w:w="28" w:type="dxa"/>
              <w:right w:w="57" w:type="dxa"/>
            </w:tcMar>
            <w:vAlign w:val="center"/>
          </w:tcPr>
          <w:p w14:paraId="3030FED9" w14:textId="05E669BD" w:rsidR="3E6A54AC" w:rsidRPr="004570F2" w:rsidRDefault="3E6A54AC" w:rsidP="004570F2">
            <w:pPr>
              <w:spacing w:after="120"/>
              <w:jc w:val="center"/>
              <w:rPr>
                <w:b/>
                <w:color w:val="FFFFFF" w:themeColor="background1"/>
                <w:sz w:val="18"/>
              </w:rPr>
            </w:pPr>
            <w:r w:rsidRPr="004570F2">
              <w:rPr>
                <w:b/>
                <w:color w:val="FFFFFF" w:themeColor="background1"/>
                <w:sz w:val="18"/>
              </w:rPr>
              <w:t>Trait</w:t>
            </w:r>
          </w:p>
        </w:tc>
        <w:tc>
          <w:tcPr>
            <w:tcW w:w="1602" w:type="dxa"/>
            <w:tcBorders>
              <w:top w:val="single" w:sz="36" w:space="0" w:color="303F9C"/>
              <w:left w:val="single" w:sz="8" w:space="0" w:color="FFFFFF" w:themeColor="background1"/>
              <w:bottom w:val="single" w:sz="36" w:space="0" w:color="303F9C"/>
              <w:right w:val="single" w:sz="8" w:space="0" w:color="FFFFFF" w:themeColor="background1"/>
            </w:tcBorders>
            <w:shd w:val="clear" w:color="auto" w:fill="303F9C"/>
            <w:tcMar>
              <w:top w:w="28" w:type="dxa"/>
              <w:left w:w="57" w:type="dxa"/>
              <w:bottom w:w="28" w:type="dxa"/>
              <w:right w:w="57" w:type="dxa"/>
            </w:tcMar>
            <w:vAlign w:val="center"/>
          </w:tcPr>
          <w:p w14:paraId="1CC2FD1A" w14:textId="437698C9" w:rsidR="3E6A54AC" w:rsidRPr="004570F2" w:rsidRDefault="3E6A54AC" w:rsidP="004570F2">
            <w:pPr>
              <w:spacing w:after="120"/>
              <w:jc w:val="center"/>
              <w:rPr>
                <w:b/>
                <w:color w:val="FFFFFF" w:themeColor="background1"/>
                <w:sz w:val="18"/>
              </w:rPr>
            </w:pPr>
            <w:r w:rsidRPr="004570F2">
              <w:rPr>
                <w:b/>
                <w:color w:val="FFFFFF" w:themeColor="background1"/>
                <w:sz w:val="18"/>
              </w:rPr>
              <w:t>Issue addressed</w:t>
            </w:r>
          </w:p>
        </w:tc>
        <w:tc>
          <w:tcPr>
            <w:tcW w:w="1220" w:type="dxa"/>
            <w:tcBorders>
              <w:top w:val="single" w:sz="36" w:space="0" w:color="303F9C"/>
              <w:left w:val="single" w:sz="8" w:space="0" w:color="FFFFFF" w:themeColor="background1"/>
              <w:bottom w:val="single" w:sz="36" w:space="0" w:color="303F9C"/>
              <w:right w:val="single" w:sz="8" w:space="0" w:color="FFFFFF" w:themeColor="background1"/>
            </w:tcBorders>
            <w:shd w:val="clear" w:color="auto" w:fill="303F9C"/>
            <w:tcMar>
              <w:top w:w="28" w:type="dxa"/>
              <w:left w:w="57" w:type="dxa"/>
              <w:bottom w:w="28" w:type="dxa"/>
              <w:right w:w="57" w:type="dxa"/>
            </w:tcMar>
            <w:vAlign w:val="center"/>
          </w:tcPr>
          <w:p w14:paraId="371F745E" w14:textId="610A600F" w:rsidR="3E6A54AC" w:rsidRPr="004570F2" w:rsidRDefault="3E6A54AC" w:rsidP="004570F2">
            <w:pPr>
              <w:spacing w:after="120"/>
              <w:jc w:val="center"/>
              <w:rPr>
                <w:b/>
                <w:color w:val="FFFFFF" w:themeColor="background1"/>
                <w:sz w:val="18"/>
              </w:rPr>
            </w:pPr>
            <w:r w:rsidRPr="004570F2">
              <w:rPr>
                <w:b/>
                <w:color w:val="FFFFFF" w:themeColor="background1"/>
                <w:sz w:val="18"/>
              </w:rPr>
              <w:t>Development stage</w:t>
            </w:r>
          </w:p>
        </w:tc>
        <w:tc>
          <w:tcPr>
            <w:tcW w:w="943" w:type="dxa"/>
            <w:tcBorders>
              <w:top w:val="single" w:sz="36" w:space="0" w:color="303F9C"/>
              <w:left w:val="single" w:sz="8" w:space="0" w:color="FFFFFF" w:themeColor="background1"/>
              <w:bottom w:val="single" w:sz="36" w:space="0" w:color="303F9C"/>
              <w:right w:val="single" w:sz="8" w:space="0" w:color="FFFFFF" w:themeColor="background1"/>
            </w:tcBorders>
            <w:shd w:val="clear" w:color="auto" w:fill="303F9C"/>
            <w:tcMar>
              <w:top w:w="28" w:type="dxa"/>
              <w:left w:w="57" w:type="dxa"/>
              <w:bottom w:w="28" w:type="dxa"/>
              <w:right w:w="57" w:type="dxa"/>
            </w:tcMar>
            <w:vAlign w:val="center"/>
          </w:tcPr>
          <w:p w14:paraId="2CEEAD59" w14:textId="741C30DB" w:rsidR="3E6A54AC" w:rsidRPr="004570F2" w:rsidRDefault="3E6A54AC" w:rsidP="004570F2">
            <w:pPr>
              <w:spacing w:after="120"/>
              <w:jc w:val="center"/>
              <w:rPr>
                <w:b/>
                <w:color w:val="FFFFFF" w:themeColor="background1"/>
                <w:sz w:val="18"/>
              </w:rPr>
            </w:pPr>
            <w:r w:rsidRPr="004570F2">
              <w:rPr>
                <w:b/>
                <w:color w:val="FFFFFF" w:themeColor="background1"/>
                <w:sz w:val="18"/>
              </w:rPr>
              <w:t>Country</w:t>
            </w:r>
          </w:p>
        </w:tc>
        <w:tc>
          <w:tcPr>
            <w:tcW w:w="995" w:type="dxa"/>
            <w:tcBorders>
              <w:top w:val="single" w:sz="36" w:space="0" w:color="303F9C"/>
              <w:left w:val="single" w:sz="8" w:space="0" w:color="FFFFFF" w:themeColor="background1"/>
              <w:bottom w:val="single" w:sz="36" w:space="0" w:color="303F9C"/>
              <w:right w:val="single" w:sz="36" w:space="0" w:color="303F9C"/>
            </w:tcBorders>
            <w:shd w:val="clear" w:color="auto" w:fill="303F9C"/>
            <w:tcMar>
              <w:top w:w="28" w:type="dxa"/>
              <w:left w:w="57" w:type="dxa"/>
              <w:bottom w:w="28" w:type="dxa"/>
              <w:right w:w="57" w:type="dxa"/>
            </w:tcMar>
            <w:vAlign w:val="center"/>
          </w:tcPr>
          <w:p w14:paraId="62EEAD88" w14:textId="0E6729C5" w:rsidR="3E6A54AC" w:rsidRPr="004570F2" w:rsidRDefault="3E6A54AC" w:rsidP="004570F2">
            <w:pPr>
              <w:spacing w:after="120"/>
              <w:jc w:val="center"/>
              <w:rPr>
                <w:b/>
                <w:color w:val="FFFFFF" w:themeColor="background1"/>
                <w:sz w:val="18"/>
              </w:rPr>
            </w:pPr>
            <w:r w:rsidRPr="004570F2">
              <w:rPr>
                <w:b/>
                <w:color w:val="FFFFFF" w:themeColor="background1"/>
                <w:sz w:val="18"/>
              </w:rPr>
              <w:t>Reference</w:t>
            </w:r>
          </w:p>
        </w:tc>
      </w:tr>
      <w:tr w:rsidR="00BB182A" w14:paraId="1916A9FA" w14:textId="77777777" w:rsidTr="00F82ABA">
        <w:trPr>
          <w:trHeight w:val="720"/>
        </w:trPr>
        <w:tc>
          <w:tcPr>
            <w:tcW w:w="1380" w:type="dxa"/>
            <w:tcBorders>
              <w:top w:val="single" w:sz="36" w:space="0" w:color="303F9C"/>
              <w:left w:val="single" w:sz="36" w:space="0" w:color="303F9C"/>
              <w:bottom w:val="single" w:sz="8" w:space="0" w:color="283583"/>
              <w:right w:val="single" w:sz="8" w:space="0" w:color="283583"/>
            </w:tcBorders>
            <w:shd w:val="clear" w:color="auto" w:fill="C1E4F5"/>
            <w:tcMar>
              <w:top w:w="28" w:type="dxa"/>
              <w:left w:w="57" w:type="dxa"/>
              <w:bottom w:w="28" w:type="dxa"/>
              <w:right w:w="57" w:type="dxa"/>
            </w:tcMar>
            <w:vAlign w:val="center"/>
          </w:tcPr>
          <w:p w14:paraId="73ADB48A" w14:textId="293EDDAB" w:rsidR="3E6A54AC" w:rsidRPr="004570F2" w:rsidRDefault="3E6A54AC" w:rsidP="004570F2">
            <w:pPr>
              <w:spacing w:after="0"/>
              <w:jc w:val="center"/>
              <w:rPr>
                <w:i/>
                <w:color w:val="000000" w:themeColor="text1"/>
                <w:sz w:val="18"/>
                <w:lang w:val="it-IT"/>
              </w:rPr>
            </w:pPr>
            <w:r w:rsidRPr="0C6BB572">
              <w:rPr>
                <w:color w:val="000000" w:themeColor="text1"/>
                <w:sz w:val="18"/>
                <w:szCs w:val="18"/>
                <w:lang w:val="it-IT"/>
              </w:rPr>
              <w:t>Bacteria</w:t>
            </w:r>
            <w:r w:rsidRPr="004570F2">
              <w:rPr>
                <w:color w:val="000000" w:themeColor="text1"/>
                <w:sz w:val="18"/>
                <w:lang w:val="it-IT"/>
              </w:rPr>
              <w:t xml:space="preserve"> </w:t>
            </w:r>
            <w:r w:rsidRPr="004570F2">
              <w:rPr>
                <w:i/>
                <w:color w:val="000000" w:themeColor="text1"/>
                <w:sz w:val="18"/>
                <w:lang w:val="it-IT"/>
              </w:rPr>
              <w:t>(Klebsiella variicola</w:t>
            </w:r>
            <w:r w:rsidRPr="0C6BB572">
              <w:rPr>
                <w:i/>
                <w:iCs/>
                <w:color w:val="000000" w:themeColor="text1"/>
                <w:sz w:val="18"/>
                <w:szCs w:val="18"/>
                <w:lang w:val="it-IT"/>
              </w:rPr>
              <w:t xml:space="preserve"> </w:t>
            </w:r>
            <w:r w:rsidRPr="0C6BB572">
              <w:rPr>
                <w:color w:val="000000" w:themeColor="text1"/>
                <w:sz w:val="18"/>
                <w:szCs w:val="18"/>
                <w:lang w:val="it-IT"/>
              </w:rPr>
              <w:t xml:space="preserve">and </w:t>
            </w:r>
            <w:r w:rsidRPr="0C6BB572">
              <w:rPr>
                <w:i/>
                <w:iCs/>
                <w:color w:val="000000" w:themeColor="text1"/>
                <w:sz w:val="18"/>
                <w:szCs w:val="18"/>
                <w:lang w:val="it-IT"/>
              </w:rPr>
              <w:t>Kosakonia sacchari</w:t>
            </w:r>
            <w:r w:rsidRPr="004570F2">
              <w:rPr>
                <w:i/>
                <w:color w:val="000000" w:themeColor="text1"/>
                <w:sz w:val="18"/>
                <w:lang w:val="it-IT"/>
              </w:rPr>
              <w:t>)</w:t>
            </w:r>
          </w:p>
        </w:tc>
        <w:tc>
          <w:tcPr>
            <w:tcW w:w="1110" w:type="dxa"/>
            <w:tcBorders>
              <w:top w:val="single" w:sz="36" w:space="0" w:color="303F9C"/>
              <w:left w:val="single" w:sz="8" w:space="0" w:color="283583"/>
              <w:bottom w:val="single" w:sz="8" w:space="0" w:color="283583"/>
              <w:right w:val="single" w:sz="8" w:space="0" w:color="283583"/>
            </w:tcBorders>
            <w:tcMar>
              <w:top w:w="28" w:type="dxa"/>
              <w:left w:w="57" w:type="dxa"/>
              <w:bottom w:w="28" w:type="dxa"/>
              <w:right w:w="57" w:type="dxa"/>
            </w:tcMar>
            <w:vAlign w:val="center"/>
          </w:tcPr>
          <w:p w14:paraId="291810D7" w14:textId="67FE1D45" w:rsidR="3E6A54AC" w:rsidRPr="004570F2" w:rsidRDefault="3E6A54AC" w:rsidP="004570F2">
            <w:pPr>
              <w:spacing w:after="0"/>
              <w:jc w:val="center"/>
              <w:rPr>
                <w:sz w:val="18"/>
              </w:rPr>
            </w:pPr>
            <w:r w:rsidRPr="004570F2">
              <w:rPr>
                <w:sz w:val="18"/>
              </w:rPr>
              <w:t>Agriculture - biofertiliser</w:t>
            </w:r>
          </w:p>
        </w:tc>
        <w:tc>
          <w:tcPr>
            <w:tcW w:w="1278" w:type="dxa"/>
            <w:tcBorders>
              <w:top w:val="single" w:sz="36" w:space="0" w:color="303F9C"/>
              <w:left w:val="single" w:sz="8" w:space="0" w:color="283583"/>
              <w:bottom w:val="single" w:sz="8" w:space="0" w:color="283583"/>
              <w:right w:val="single" w:sz="8" w:space="0" w:color="283583"/>
            </w:tcBorders>
            <w:tcMar>
              <w:top w:w="28" w:type="dxa"/>
              <w:left w:w="57" w:type="dxa"/>
              <w:bottom w:w="28" w:type="dxa"/>
              <w:right w:w="57" w:type="dxa"/>
            </w:tcMar>
            <w:vAlign w:val="center"/>
          </w:tcPr>
          <w:p w14:paraId="47DC37D6" w14:textId="41402820" w:rsidR="3E6A54AC" w:rsidRPr="004570F2" w:rsidRDefault="3E6A54AC" w:rsidP="004570F2">
            <w:pPr>
              <w:spacing w:after="0"/>
              <w:jc w:val="center"/>
              <w:rPr>
                <w:sz w:val="18"/>
                <w:lang w:val="de-DE"/>
              </w:rPr>
            </w:pPr>
            <w:r w:rsidRPr="004570F2">
              <w:rPr>
                <w:sz w:val="18"/>
                <w:lang w:val="de-DE"/>
              </w:rPr>
              <w:t>Nitrogen fixation in soil/rhizosphere</w:t>
            </w:r>
          </w:p>
        </w:tc>
        <w:tc>
          <w:tcPr>
            <w:tcW w:w="1602" w:type="dxa"/>
            <w:tcBorders>
              <w:top w:val="single" w:sz="36" w:space="0" w:color="303F9C"/>
              <w:left w:val="single" w:sz="8" w:space="0" w:color="283583"/>
              <w:bottom w:val="single" w:sz="8" w:space="0" w:color="283583"/>
              <w:right w:val="single" w:sz="8" w:space="0" w:color="283583"/>
            </w:tcBorders>
            <w:tcMar>
              <w:top w:w="28" w:type="dxa"/>
              <w:left w:w="57" w:type="dxa"/>
              <w:bottom w:w="28" w:type="dxa"/>
              <w:right w:w="57" w:type="dxa"/>
            </w:tcMar>
            <w:vAlign w:val="center"/>
          </w:tcPr>
          <w:p w14:paraId="73667A2A" w14:textId="32852F92" w:rsidR="3E6A54AC" w:rsidRPr="004570F2" w:rsidRDefault="3E6A54AC" w:rsidP="004570F2">
            <w:pPr>
              <w:spacing w:after="0"/>
              <w:jc w:val="center"/>
              <w:rPr>
                <w:sz w:val="18"/>
              </w:rPr>
            </w:pPr>
            <w:r w:rsidRPr="004570F2">
              <w:rPr>
                <w:sz w:val="18"/>
              </w:rPr>
              <w:t>Dependency on synthetic fertiliser;</w:t>
            </w:r>
          </w:p>
          <w:p w14:paraId="50E99A42" w14:textId="57DB90D4" w:rsidR="3E6A54AC" w:rsidRPr="004570F2" w:rsidRDefault="3E6A54AC" w:rsidP="004570F2">
            <w:pPr>
              <w:spacing w:after="0"/>
              <w:jc w:val="center"/>
              <w:rPr>
                <w:sz w:val="18"/>
              </w:rPr>
            </w:pPr>
            <w:r w:rsidRPr="004570F2">
              <w:rPr>
                <w:sz w:val="18"/>
              </w:rPr>
              <w:t>Negative environmental impacts of excessive fertiliser use</w:t>
            </w:r>
          </w:p>
        </w:tc>
        <w:tc>
          <w:tcPr>
            <w:tcW w:w="1220" w:type="dxa"/>
            <w:tcBorders>
              <w:top w:val="single" w:sz="36" w:space="0" w:color="303F9C"/>
              <w:left w:val="single" w:sz="8" w:space="0" w:color="283583"/>
              <w:bottom w:val="single" w:sz="8" w:space="0" w:color="283583"/>
              <w:right w:val="single" w:sz="8" w:space="0" w:color="283583"/>
            </w:tcBorders>
            <w:tcMar>
              <w:top w:w="28" w:type="dxa"/>
              <w:left w:w="57" w:type="dxa"/>
              <w:bottom w:w="28" w:type="dxa"/>
              <w:right w:w="57" w:type="dxa"/>
            </w:tcMar>
            <w:vAlign w:val="center"/>
          </w:tcPr>
          <w:p w14:paraId="2A0C8509" w14:textId="0409A104" w:rsidR="3E6A54AC" w:rsidRPr="004570F2" w:rsidRDefault="3E6A54AC" w:rsidP="004570F2">
            <w:pPr>
              <w:spacing w:after="0"/>
              <w:jc w:val="center"/>
              <w:rPr>
                <w:color w:val="000000" w:themeColor="text1"/>
                <w:sz w:val="18"/>
              </w:rPr>
            </w:pPr>
            <w:r w:rsidRPr="004570F2">
              <w:rPr>
                <w:color w:val="000000" w:themeColor="text1"/>
                <w:sz w:val="18"/>
              </w:rPr>
              <w:t>Commercial;</w:t>
            </w:r>
          </w:p>
          <w:p w14:paraId="59D8A23E" w14:textId="5B5B97E9" w:rsidR="3E6A54AC" w:rsidRPr="004570F2" w:rsidRDefault="3E6A54AC" w:rsidP="004570F2">
            <w:pPr>
              <w:spacing w:after="0"/>
              <w:jc w:val="center"/>
              <w:rPr>
                <w:color w:val="000000" w:themeColor="text1"/>
                <w:sz w:val="18"/>
              </w:rPr>
            </w:pPr>
            <w:r w:rsidRPr="004570F2">
              <w:rPr>
                <w:color w:val="000000" w:themeColor="text1"/>
                <w:sz w:val="18"/>
              </w:rPr>
              <w:t>Pre-commercial</w:t>
            </w:r>
          </w:p>
        </w:tc>
        <w:tc>
          <w:tcPr>
            <w:tcW w:w="943" w:type="dxa"/>
            <w:tcBorders>
              <w:top w:val="single" w:sz="36" w:space="0" w:color="303F9C"/>
              <w:left w:val="single" w:sz="8" w:space="0" w:color="283583"/>
              <w:bottom w:val="single" w:sz="8" w:space="0" w:color="283583"/>
              <w:right w:val="single" w:sz="8" w:space="0" w:color="283583"/>
            </w:tcBorders>
            <w:tcMar>
              <w:top w:w="28" w:type="dxa"/>
              <w:left w:w="57" w:type="dxa"/>
              <w:bottom w:w="28" w:type="dxa"/>
              <w:right w:w="57" w:type="dxa"/>
            </w:tcMar>
            <w:vAlign w:val="center"/>
          </w:tcPr>
          <w:p w14:paraId="4F68CDFA" w14:textId="7BE72562" w:rsidR="3E6A54AC" w:rsidRPr="004570F2" w:rsidRDefault="3E6A54AC" w:rsidP="004570F2">
            <w:pPr>
              <w:spacing w:after="0"/>
              <w:jc w:val="center"/>
              <w:rPr>
                <w:color w:val="000000" w:themeColor="text1"/>
                <w:sz w:val="18"/>
              </w:rPr>
            </w:pPr>
            <w:r w:rsidRPr="004570F2">
              <w:rPr>
                <w:color w:val="000000" w:themeColor="text1"/>
                <w:sz w:val="18"/>
              </w:rPr>
              <w:t>USA;</w:t>
            </w:r>
          </w:p>
          <w:p w14:paraId="201448C1" w14:textId="58444485" w:rsidR="3E6A54AC" w:rsidRPr="004570F2" w:rsidRDefault="3E6A54AC" w:rsidP="004570F2">
            <w:pPr>
              <w:spacing w:after="0"/>
              <w:jc w:val="center"/>
              <w:rPr>
                <w:color w:val="000000" w:themeColor="text1"/>
                <w:sz w:val="18"/>
              </w:rPr>
            </w:pPr>
            <w:r w:rsidRPr="004570F2">
              <w:rPr>
                <w:color w:val="000000" w:themeColor="text1"/>
                <w:sz w:val="18"/>
              </w:rPr>
              <w:t>Brazil</w:t>
            </w:r>
          </w:p>
        </w:tc>
        <w:tc>
          <w:tcPr>
            <w:tcW w:w="995" w:type="dxa"/>
            <w:tcBorders>
              <w:top w:val="single" w:sz="36" w:space="0" w:color="303F9C"/>
              <w:left w:val="single" w:sz="8" w:space="0" w:color="283583"/>
              <w:bottom w:val="single" w:sz="8" w:space="0" w:color="283583"/>
              <w:right w:val="single" w:sz="36" w:space="0" w:color="303F9C"/>
            </w:tcBorders>
            <w:tcMar>
              <w:top w:w="28" w:type="dxa"/>
              <w:left w:w="57" w:type="dxa"/>
              <w:bottom w:w="28" w:type="dxa"/>
              <w:right w:w="57" w:type="dxa"/>
            </w:tcMar>
            <w:vAlign w:val="center"/>
          </w:tcPr>
          <w:p w14:paraId="5D1F2E60" w14:textId="7EC5819B" w:rsidR="3E6A54AC" w:rsidRPr="004570F2" w:rsidRDefault="37D18846" w:rsidP="004570F2">
            <w:pPr>
              <w:spacing w:after="0"/>
              <w:jc w:val="center"/>
              <w:rPr>
                <w:sz w:val="18"/>
                <w:vertAlign w:val="superscript"/>
              </w:rPr>
            </w:pPr>
            <w:r w:rsidRPr="0C6BB572">
              <w:rPr>
                <w:sz w:val="18"/>
                <w:szCs w:val="18"/>
                <w:vertAlign w:val="superscript"/>
              </w:rPr>
              <w:t xml:space="preserve"> </w:t>
            </w:r>
            <w:r w:rsidR="3E6A54AC" w:rsidRPr="0C6BB572">
              <w:rPr>
                <w:sz w:val="18"/>
                <w:szCs w:val="18"/>
                <w:vertAlign w:val="superscript"/>
              </w:rPr>
              <w:footnoteReference w:id="204"/>
            </w:r>
            <w:r w:rsidR="65DDC562" w:rsidRPr="0C6BB572">
              <w:rPr>
                <w:sz w:val="18"/>
                <w:szCs w:val="18"/>
                <w:vertAlign w:val="superscript"/>
              </w:rPr>
              <w:t xml:space="preserve">, </w:t>
            </w:r>
            <w:r w:rsidR="3E6A54AC" w:rsidRPr="0C6BB572">
              <w:rPr>
                <w:sz w:val="18"/>
                <w:szCs w:val="18"/>
                <w:vertAlign w:val="superscript"/>
              </w:rPr>
              <w:footnoteReference w:id="205"/>
            </w:r>
            <w:r w:rsidR="7DD292B8" w:rsidRPr="0C6BB572">
              <w:rPr>
                <w:sz w:val="18"/>
                <w:szCs w:val="18"/>
                <w:vertAlign w:val="superscript"/>
              </w:rPr>
              <w:t xml:space="preserve">, </w:t>
            </w:r>
            <w:r w:rsidR="3E6A54AC" w:rsidRPr="0C6BB572">
              <w:rPr>
                <w:sz w:val="18"/>
                <w:szCs w:val="18"/>
                <w:vertAlign w:val="superscript"/>
              </w:rPr>
              <w:footnoteReference w:id="206"/>
            </w:r>
            <w:r w:rsidR="03FB43F1" w:rsidRPr="0C6BB572">
              <w:rPr>
                <w:sz w:val="18"/>
                <w:szCs w:val="18"/>
                <w:vertAlign w:val="superscript"/>
              </w:rPr>
              <w:t xml:space="preserve">, </w:t>
            </w:r>
            <w:r w:rsidR="2A76E125" w:rsidRPr="0C6BB572">
              <w:rPr>
                <w:sz w:val="18"/>
                <w:szCs w:val="18"/>
                <w:vertAlign w:val="superscript"/>
              </w:rPr>
              <w:footnoteReference w:id="207"/>
            </w:r>
          </w:p>
        </w:tc>
      </w:tr>
      <w:tr w:rsidR="00BB182A" w14:paraId="249656B7" w14:textId="77777777" w:rsidTr="00F82ABA">
        <w:trPr>
          <w:trHeight w:val="720"/>
        </w:trPr>
        <w:tc>
          <w:tcPr>
            <w:tcW w:w="1380" w:type="dxa"/>
            <w:tcBorders>
              <w:top w:val="single" w:sz="8" w:space="0" w:color="283583"/>
              <w:left w:val="single" w:sz="36" w:space="0" w:color="303F9C"/>
              <w:bottom w:val="single" w:sz="8" w:space="0" w:color="283583"/>
              <w:right w:val="single" w:sz="8" w:space="0" w:color="283583"/>
            </w:tcBorders>
            <w:shd w:val="clear" w:color="auto" w:fill="C1E4F5"/>
            <w:tcMar>
              <w:top w:w="28" w:type="dxa"/>
              <w:left w:w="57" w:type="dxa"/>
              <w:bottom w:w="28" w:type="dxa"/>
              <w:right w:w="57" w:type="dxa"/>
            </w:tcMar>
            <w:vAlign w:val="center"/>
          </w:tcPr>
          <w:p w14:paraId="2ED1B0CA" w14:textId="784D0042" w:rsidR="3E6A54AC" w:rsidRPr="004570F2" w:rsidRDefault="3E6A54AC" w:rsidP="004570F2">
            <w:pPr>
              <w:spacing w:after="0"/>
              <w:jc w:val="center"/>
              <w:rPr>
                <w:i/>
                <w:color w:val="000000" w:themeColor="text1"/>
                <w:sz w:val="18"/>
                <w:lang w:val="it-IT"/>
              </w:rPr>
            </w:pPr>
            <w:r w:rsidRPr="004570F2">
              <w:rPr>
                <w:i/>
                <w:color w:val="000000" w:themeColor="text1"/>
                <w:sz w:val="18"/>
                <w:lang w:val="it-IT"/>
              </w:rPr>
              <w:t>Bacteria</w:t>
            </w:r>
          </w:p>
          <w:p w14:paraId="196B1759" w14:textId="7A0A084C" w:rsidR="3E6A54AC" w:rsidRPr="004570F2" w:rsidRDefault="3E6A54AC" w:rsidP="004570F2">
            <w:pPr>
              <w:spacing w:after="0"/>
              <w:jc w:val="center"/>
              <w:rPr>
                <w:i/>
                <w:color w:val="000000" w:themeColor="text1"/>
                <w:sz w:val="18"/>
                <w:lang w:val="it-IT"/>
              </w:rPr>
            </w:pPr>
            <w:r w:rsidRPr="004570F2">
              <w:rPr>
                <w:i/>
                <w:color w:val="000000" w:themeColor="text1"/>
                <w:sz w:val="18"/>
                <w:lang w:val="it-IT"/>
              </w:rPr>
              <w:t>(Paenibacillus polymyxa</w:t>
            </w:r>
            <w:r w:rsidRPr="0C6BB572">
              <w:rPr>
                <w:i/>
                <w:iCs/>
                <w:color w:val="000000" w:themeColor="text1"/>
                <w:sz w:val="18"/>
                <w:szCs w:val="18"/>
                <w:lang w:val="it-IT"/>
              </w:rPr>
              <w:t>,</w:t>
            </w:r>
          </w:p>
          <w:p w14:paraId="1A75A362" w14:textId="78A5B780" w:rsidR="3E6A54AC" w:rsidRPr="004570F2" w:rsidRDefault="3E6A54AC" w:rsidP="004570F2">
            <w:pPr>
              <w:spacing w:after="0"/>
              <w:jc w:val="center"/>
              <w:rPr>
                <w:color w:val="000000" w:themeColor="text1"/>
                <w:sz w:val="18"/>
                <w:lang w:val="it-IT"/>
              </w:rPr>
            </w:pPr>
            <w:r w:rsidRPr="004570F2">
              <w:rPr>
                <w:i/>
                <w:color w:val="000000" w:themeColor="text1"/>
                <w:sz w:val="18"/>
                <w:lang w:val="it-IT"/>
              </w:rPr>
              <w:t>P. odorifer</w:t>
            </w:r>
            <w:r w:rsidRPr="0C6BB572">
              <w:rPr>
                <w:color w:val="000000" w:themeColor="text1"/>
                <w:sz w:val="18"/>
                <w:szCs w:val="18"/>
                <w:lang w:val="it-IT"/>
              </w:rPr>
              <w:t>)</w:t>
            </w:r>
          </w:p>
        </w:tc>
        <w:tc>
          <w:tcPr>
            <w:tcW w:w="111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671E5533" w14:textId="22284E30" w:rsidR="3E6A54AC" w:rsidRPr="004570F2" w:rsidRDefault="3E6A54AC" w:rsidP="004570F2">
            <w:pPr>
              <w:spacing w:after="0"/>
              <w:jc w:val="center"/>
              <w:rPr>
                <w:sz w:val="18"/>
              </w:rPr>
            </w:pPr>
            <w:r w:rsidRPr="004570F2">
              <w:rPr>
                <w:sz w:val="18"/>
              </w:rPr>
              <w:t>Agriculture - biofertiliser</w:t>
            </w:r>
          </w:p>
        </w:tc>
        <w:tc>
          <w:tcPr>
            <w:tcW w:w="1278"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6B1BC5E2" w14:textId="050D318E" w:rsidR="3E6A54AC" w:rsidRPr="004570F2" w:rsidRDefault="3E6A54AC" w:rsidP="004570F2">
            <w:pPr>
              <w:spacing w:after="0"/>
              <w:jc w:val="center"/>
              <w:rPr>
                <w:sz w:val="18"/>
                <w:lang w:val="de-DE"/>
              </w:rPr>
            </w:pPr>
            <w:r w:rsidRPr="004570F2">
              <w:rPr>
                <w:sz w:val="18"/>
                <w:lang w:val="de-DE"/>
              </w:rPr>
              <w:t>Nitrogen fixation in soil/rhizosphere</w:t>
            </w:r>
          </w:p>
        </w:tc>
        <w:tc>
          <w:tcPr>
            <w:tcW w:w="1602"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712941FF" w14:textId="735DE149" w:rsidR="3E6A54AC" w:rsidRPr="004570F2" w:rsidRDefault="3E6A54AC" w:rsidP="004570F2">
            <w:pPr>
              <w:spacing w:after="0"/>
              <w:jc w:val="center"/>
              <w:rPr>
                <w:sz w:val="18"/>
              </w:rPr>
            </w:pPr>
            <w:r w:rsidRPr="004570F2">
              <w:rPr>
                <w:sz w:val="18"/>
              </w:rPr>
              <w:t>Dependency on synthetic fertiliser</w:t>
            </w:r>
          </w:p>
          <w:p w14:paraId="67AA3305" w14:textId="5571A342" w:rsidR="3E6A54AC" w:rsidRPr="004570F2" w:rsidRDefault="3E6A54AC" w:rsidP="004570F2">
            <w:pPr>
              <w:spacing w:after="0"/>
              <w:jc w:val="center"/>
              <w:rPr>
                <w:sz w:val="18"/>
              </w:rPr>
            </w:pPr>
            <w:r w:rsidRPr="004570F2">
              <w:rPr>
                <w:sz w:val="18"/>
              </w:rPr>
              <w:t>Negative environmental impacts of excessive fertiliser use</w:t>
            </w:r>
          </w:p>
        </w:tc>
        <w:tc>
          <w:tcPr>
            <w:tcW w:w="122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1C2E9D0E" w14:textId="79215F75" w:rsidR="3E6A54AC" w:rsidRPr="004570F2" w:rsidRDefault="3E6A54AC" w:rsidP="004570F2">
            <w:pPr>
              <w:spacing w:after="0"/>
              <w:jc w:val="center"/>
              <w:rPr>
                <w:sz w:val="18"/>
              </w:rPr>
            </w:pPr>
            <w:r w:rsidRPr="004570F2">
              <w:rPr>
                <w:sz w:val="18"/>
              </w:rPr>
              <w:t>Pre-commercial</w:t>
            </w:r>
          </w:p>
        </w:tc>
        <w:tc>
          <w:tcPr>
            <w:tcW w:w="943"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1FFD70EF" w14:textId="53AD3550" w:rsidR="3E6A54AC" w:rsidRDefault="3E6A54AC" w:rsidP="0C6BB572">
            <w:pPr>
              <w:spacing w:after="0"/>
              <w:jc w:val="center"/>
              <w:rPr>
                <w:color w:val="000000" w:themeColor="text1"/>
                <w:sz w:val="18"/>
                <w:szCs w:val="18"/>
              </w:rPr>
            </w:pPr>
            <w:r w:rsidRPr="004570F2">
              <w:rPr>
                <w:color w:val="000000" w:themeColor="text1"/>
                <w:sz w:val="18"/>
              </w:rPr>
              <w:t>Brazil</w:t>
            </w:r>
          </w:p>
          <w:p w14:paraId="0DD98829" w14:textId="0E9CEC62" w:rsidR="3E6A54AC" w:rsidRPr="004570F2" w:rsidRDefault="3E6A54AC" w:rsidP="004570F2">
            <w:pPr>
              <w:spacing w:after="0"/>
              <w:jc w:val="center"/>
              <w:rPr>
                <w:color w:val="000000" w:themeColor="text1"/>
                <w:sz w:val="18"/>
              </w:rPr>
            </w:pPr>
            <w:r w:rsidRPr="004570F2">
              <w:rPr>
                <w:color w:val="000000" w:themeColor="text1"/>
                <w:sz w:val="18"/>
              </w:rPr>
              <w:t>USA</w:t>
            </w:r>
          </w:p>
        </w:tc>
        <w:tc>
          <w:tcPr>
            <w:tcW w:w="995" w:type="dxa"/>
            <w:tcBorders>
              <w:top w:val="single" w:sz="8" w:space="0" w:color="283583"/>
              <w:left w:val="single" w:sz="8" w:space="0" w:color="283583"/>
              <w:bottom w:val="single" w:sz="8" w:space="0" w:color="283583"/>
              <w:right w:val="single" w:sz="36" w:space="0" w:color="303F9C"/>
            </w:tcBorders>
            <w:tcMar>
              <w:top w:w="28" w:type="dxa"/>
              <w:left w:w="57" w:type="dxa"/>
              <w:bottom w:w="28" w:type="dxa"/>
              <w:right w:w="57" w:type="dxa"/>
            </w:tcMar>
            <w:vAlign w:val="center"/>
          </w:tcPr>
          <w:p w14:paraId="10CF972E" w14:textId="2E002C47" w:rsidR="3E6A54AC" w:rsidRPr="004570F2" w:rsidRDefault="29F63E85" w:rsidP="004570F2">
            <w:pPr>
              <w:spacing w:after="0"/>
              <w:jc w:val="center"/>
              <w:rPr>
                <w:sz w:val="18"/>
                <w:vertAlign w:val="superscript"/>
              </w:rPr>
            </w:pPr>
            <w:r w:rsidRPr="0C6BB572">
              <w:rPr>
                <w:sz w:val="18"/>
                <w:szCs w:val="18"/>
                <w:vertAlign w:val="superscript"/>
              </w:rPr>
              <w:t xml:space="preserve"> </w:t>
            </w:r>
            <w:r w:rsidR="3E6A54AC" w:rsidRPr="004570F2">
              <w:rPr>
                <w:sz w:val="18"/>
                <w:vertAlign w:val="superscript"/>
              </w:rPr>
              <w:footnoteReference w:id="208"/>
            </w:r>
            <w:r w:rsidR="08F82464" w:rsidRPr="004570F2">
              <w:rPr>
                <w:sz w:val="18"/>
                <w:vertAlign w:val="superscript"/>
              </w:rPr>
              <w:t>,</w:t>
            </w:r>
            <w:r w:rsidR="08F82464" w:rsidRPr="0C6BB572">
              <w:rPr>
                <w:sz w:val="18"/>
                <w:szCs w:val="18"/>
                <w:vertAlign w:val="superscript"/>
              </w:rPr>
              <w:t xml:space="preserve"> </w:t>
            </w:r>
            <w:r w:rsidR="3E6A54AC" w:rsidRPr="004570F2">
              <w:rPr>
                <w:sz w:val="18"/>
                <w:vertAlign w:val="superscript"/>
              </w:rPr>
              <w:footnoteReference w:id="209"/>
            </w:r>
            <w:r w:rsidR="430C61D6" w:rsidRPr="004570F2">
              <w:rPr>
                <w:sz w:val="18"/>
                <w:vertAlign w:val="superscript"/>
              </w:rPr>
              <w:t>,</w:t>
            </w:r>
            <w:r w:rsidR="430C61D6" w:rsidRPr="0C6BB572">
              <w:rPr>
                <w:sz w:val="18"/>
                <w:szCs w:val="18"/>
                <w:vertAlign w:val="superscript"/>
              </w:rPr>
              <w:t xml:space="preserve"> </w:t>
            </w:r>
            <w:r w:rsidR="3E6A54AC" w:rsidRPr="004570F2">
              <w:rPr>
                <w:sz w:val="18"/>
                <w:vertAlign w:val="superscript"/>
              </w:rPr>
              <w:footnoteReference w:id="210"/>
            </w:r>
            <w:r w:rsidR="6A49D8FA" w:rsidRPr="004570F2">
              <w:rPr>
                <w:sz w:val="18"/>
                <w:vertAlign w:val="superscript"/>
              </w:rPr>
              <w:t>,</w:t>
            </w:r>
            <w:r w:rsidR="6A49D8FA" w:rsidRPr="0C6BB572">
              <w:rPr>
                <w:sz w:val="18"/>
                <w:szCs w:val="18"/>
                <w:vertAlign w:val="superscript"/>
              </w:rPr>
              <w:t xml:space="preserve"> </w:t>
            </w:r>
            <w:r w:rsidR="3E6A54AC" w:rsidRPr="004570F2">
              <w:rPr>
                <w:sz w:val="18"/>
                <w:vertAlign w:val="superscript"/>
              </w:rPr>
              <w:footnoteReference w:id="211"/>
            </w:r>
            <w:r w:rsidR="5F6F2B3A" w:rsidRPr="004570F2">
              <w:rPr>
                <w:sz w:val="18"/>
                <w:vertAlign w:val="superscript"/>
              </w:rPr>
              <w:t>,</w:t>
            </w:r>
            <w:r w:rsidR="5F6F2B3A" w:rsidRPr="0C6BB572">
              <w:rPr>
                <w:sz w:val="18"/>
                <w:szCs w:val="18"/>
                <w:vertAlign w:val="superscript"/>
              </w:rPr>
              <w:t xml:space="preserve"> </w:t>
            </w:r>
            <w:r w:rsidR="3E6A54AC" w:rsidRPr="004570F2">
              <w:rPr>
                <w:sz w:val="18"/>
                <w:vertAlign w:val="superscript"/>
              </w:rPr>
              <w:footnoteReference w:id="212"/>
            </w:r>
            <w:r w:rsidR="23D3309C" w:rsidRPr="004570F2">
              <w:rPr>
                <w:sz w:val="18"/>
                <w:vertAlign w:val="superscript"/>
              </w:rPr>
              <w:t>,</w:t>
            </w:r>
            <w:r w:rsidR="23D3309C" w:rsidRPr="0C6BB572">
              <w:rPr>
                <w:sz w:val="18"/>
                <w:szCs w:val="18"/>
                <w:vertAlign w:val="superscript"/>
              </w:rPr>
              <w:t xml:space="preserve"> </w:t>
            </w:r>
            <w:r w:rsidR="3E6A54AC" w:rsidRPr="004570F2">
              <w:rPr>
                <w:sz w:val="18"/>
                <w:vertAlign w:val="superscript"/>
              </w:rPr>
              <w:footnoteReference w:id="213"/>
            </w:r>
            <w:r w:rsidR="69F8B549" w:rsidRPr="0C6BB572">
              <w:rPr>
                <w:sz w:val="18"/>
                <w:szCs w:val="18"/>
                <w:vertAlign w:val="superscript"/>
              </w:rPr>
              <w:t xml:space="preserve">, </w:t>
            </w:r>
            <w:r w:rsidR="3E6A54AC" w:rsidRPr="0C6BB572">
              <w:rPr>
                <w:sz w:val="18"/>
                <w:szCs w:val="18"/>
                <w:vertAlign w:val="superscript"/>
              </w:rPr>
              <w:footnoteReference w:id="214"/>
            </w:r>
          </w:p>
        </w:tc>
      </w:tr>
      <w:tr w:rsidR="00BB182A" w14:paraId="588A759A" w14:textId="77777777" w:rsidTr="00F82ABA">
        <w:trPr>
          <w:trHeight w:val="720"/>
        </w:trPr>
        <w:tc>
          <w:tcPr>
            <w:tcW w:w="1380" w:type="dxa"/>
            <w:tcBorders>
              <w:top w:val="single" w:sz="8" w:space="0" w:color="283583"/>
              <w:left w:val="single" w:sz="36" w:space="0" w:color="303F9C"/>
              <w:bottom w:val="single" w:sz="8" w:space="0" w:color="283583"/>
              <w:right w:val="single" w:sz="8" w:space="0" w:color="283583"/>
            </w:tcBorders>
            <w:shd w:val="clear" w:color="auto" w:fill="C1E4F5"/>
            <w:tcMar>
              <w:top w:w="28" w:type="dxa"/>
              <w:left w:w="57" w:type="dxa"/>
              <w:bottom w:w="28" w:type="dxa"/>
              <w:right w:w="57" w:type="dxa"/>
            </w:tcMar>
            <w:vAlign w:val="center"/>
          </w:tcPr>
          <w:p w14:paraId="47CD4D38" w14:textId="6F8950CD" w:rsidR="3E6A54AC" w:rsidRPr="004570F2" w:rsidRDefault="3E6A54AC" w:rsidP="004570F2">
            <w:pPr>
              <w:spacing w:after="0"/>
              <w:jc w:val="center"/>
              <w:rPr>
                <w:color w:val="000000" w:themeColor="text1"/>
                <w:sz w:val="18"/>
              </w:rPr>
            </w:pPr>
            <w:r w:rsidRPr="004570F2">
              <w:rPr>
                <w:color w:val="000000" w:themeColor="text1"/>
                <w:sz w:val="18"/>
              </w:rPr>
              <w:t>Bacteria (</w:t>
            </w:r>
            <w:r w:rsidRPr="004570F2">
              <w:rPr>
                <w:i/>
                <w:color w:val="000000" w:themeColor="text1"/>
                <w:sz w:val="18"/>
              </w:rPr>
              <w:t xml:space="preserve">Pseudomonas </w:t>
            </w:r>
            <w:r w:rsidRPr="004570F2">
              <w:rPr>
                <w:color w:val="000000" w:themeColor="text1"/>
                <w:sz w:val="18"/>
              </w:rPr>
              <w:t>species)</w:t>
            </w:r>
          </w:p>
        </w:tc>
        <w:tc>
          <w:tcPr>
            <w:tcW w:w="111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5BE10EC5" w14:textId="7584EC0A" w:rsidR="3E6A54AC" w:rsidRPr="004570F2" w:rsidRDefault="3E6A54AC" w:rsidP="004570F2">
            <w:pPr>
              <w:spacing w:after="0"/>
              <w:jc w:val="center"/>
              <w:rPr>
                <w:color w:val="000000" w:themeColor="text1"/>
                <w:sz w:val="18"/>
              </w:rPr>
            </w:pPr>
            <w:r w:rsidRPr="004570F2">
              <w:rPr>
                <w:color w:val="000000" w:themeColor="text1"/>
                <w:sz w:val="18"/>
              </w:rPr>
              <w:t>Agriculture - food safety</w:t>
            </w:r>
          </w:p>
        </w:tc>
        <w:tc>
          <w:tcPr>
            <w:tcW w:w="1278"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02A00EF6" w14:textId="57AF7416" w:rsidR="3E6A54AC" w:rsidRPr="004570F2" w:rsidRDefault="3E6A54AC" w:rsidP="004570F2">
            <w:pPr>
              <w:spacing w:after="0"/>
              <w:jc w:val="center"/>
              <w:rPr>
                <w:sz w:val="18"/>
              </w:rPr>
            </w:pPr>
            <w:r w:rsidRPr="0C6BB572">
              <w:rPr>
                <w:sz w:val="18"/>
                <w:szCs w:val="18"/>
              </w:rPr>
              <w:t>Removal</w:t>
            </w:r>
            <w:r w:rsidRPr="004570F2">
              <w:rPr>
                <w:sz w:val="18"/>
              </w:rPr>
              <w:t xml:space="preserve"> of arsenic from the environment</w:t>
            </w:r>
          </w:p>
        </w:tc>
        <w:tc>
          <w:tcPr>
            <w:tcW w:w="1602"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1F48FF27" w14:textId="1628E0A5" w:rsidR="3E6A54AC" w:rsidRPr="004570F2" w:rsidRDefault="3E6A54AC" w:rsidP="004570F2">
            <w:pPr>
              <w:spacing w:after="0"/>
              <w:jc w:val="center"/>
              <w:rPr>
                <w:sz w:val="18"/>
              </w:rPr>
            </w:pPr>
            <w:r w:rsidRPr="004570F2">
              <w:rPr>
                <w:sz w:val="18"/>
              </w:rPr>
              <w:t>Arsenic accumulation in agricultural produce for human consumption</w:t>
            </w:r>
          </w:p>
        </w:tc>
        <w:tc>
          <w:tcPr>
            <w:tcW w:w="122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18782766" w14:textId="4A1046FB" w:rsidR="3E6A54AC" w:rsidRPr="004570F2" w:rsidRDefault="3E6A54AC" w:rsidP="004570F2">
            <w:pPr>
              <w:spacing w:after="0"/>
              <w:jc w:val="center"/>
              <w:rPr>
                <w:sz w:val="18"/>
              </w:rPr>
            </w:pPr>
            <w:r w:rsidRPr="004570F2">
              <w:rPr>
                <w:sz w:val="18"/>
              </w:rPr>
              <w:t>R&amp;D stage</w:t>
            </w:r>
          </w:p>
        </w:tc>
        <w:tc>
          <w:tcPr>
            <w:tcW w:w="943"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4B691FDE" w14:textId="52682270" w:rsidR="3E6A54AC" w:rsidRPr="004570F2" w:rsidRDefault="3E6A54AC" w:rsidP="004570F2">
            <w:pPr>
              <w:spacing w:after="0"/>
              <w:jc w:val="center"/>
              <w:rPr>
                <w:color w:val="000000" w:themeColor="text1"/>
                <w:sz w:val="18"/>
              </w:rPr>
            </w:pPr>
            <w:r w:rsidRPr="004570F2">
              <w:rPr>
                <w:color w:val="000000" w:themeColor="text1"/>
                <w:sz w:val="18"/>
              </w:rPr>
              <w:t>India</w:t>
            </w:r>
          </w:p>
        </w:tc>
        <w:tc>
          <w:tcPr>
            <w:tcW w:w="995" w:type="dxa"/>
            <w:tcBorders>
              <w:top w:val="single" w:sz="8" w:space="0" w:color="283583"/>
              <w:left w:val="single" w:sz="8" w:space="0" w:color="283583"/>
              <w:bottom w:val="single" w:sz="8" w:space="0" w:color="283583"/>
              <w:right w:val="single" w:sz="36" w:space="0" w:color="303F9C"/>
            </w:tcBorders>
            <w:tcMar>
              <w:top w:w="28" w:type="dxa"/>
              <w:left w:w="57" w:type="dxa"/>
              <w:bottom w:w="28" w:type="dxa"/>
              <w:right w:w="57" w:type="dxa"/>
            </w:tcMar>
            <w:vAlign w:val="center"/>
          </w:tcPr>
          <w:p w14:paraId="5E12CC88" w14:textId="4A66FD1E" w:rsidR="3E6A54AC" w:rsidRPr="004570F2" w:rsidRDefault="29F63E85" w:rsidP="004570F2">
            <w:pPr>
              <w:spacing w:after="0"/>
              <w:jc w:val="center"/>
              <w:rPr>
                <w:sz w:val="18"/>
                <w:vertAlign w:val="superscript"/>
              </w:rPr>
            </w:pPr>
            <w:r w:rsidRPr="0C6BB572">
              <w:rPr>
                <w:sz w:val="18"/>
                <w:szCs w:val="18"/>
                <w:vertAlign w:val="superscript"/>
              </w:rPr>
              <w:t xml:space="preserve"> </w:t>
            </w:r>
            <w:r w:rsidR="3E6A54AC" w:rsidRPr="0C6BB572">
              <w:rPr>
                <w:sz w:val="18"/>
                <w:szCs w:val="18"/>
                <w:vertAlign w:val="superscript"/>
              </w:rPr>
              <w:footnoteReference w:id="215"/>
            </w:r>
            <w:r w:rsidR="18A0085E" w:rsidRPr="0C6BB572">
              <w:rPr>
                <w:sz w:val="18"/>
                <w:szCs w:val="18"/>
                <w:vertAlign w:val="superscript"/>
              </w:rPr>
              <w:t xml:space="preserve">, </w:t>
            </w:r>
            <w:r w:rsidR="3E6A54AC" w:rsidRPr="0C6BB572">
              <w:rPr>
                <w:sz w:val="18"/>
                <w:szCs w:val="18"/>
                <w:vertAlign w:val="superscript"/>
              </w:rPr>
              <w:footnoteReference w:id="216"/>
            </w:r>
          </w:p>
        </w:tc>
      </w:tr>
      <w:tr w:rsidR="00BB182A" w14:paraId="0730B568" w14:textId="77777777" w:rsidTr="00F82ABA">
        <w:trPr>
          <w:trHeight w:val="720"/>
        </w:trPr>
        <w:tc>
          <w:tcPr>
            <w:tcW w:w="1380" w:type="dxa"/>
            <w:tcBorders>
              <w:top w:val="single" w:sz="8" w:space="0" w:color="283583"/>
              <w:left w:val="single" w:sz="36" w:space="0" w:color="303F9C"/>
              <w:bottom w:val="single" w:sz="8" w:space="0" w:color="283583"/>
              <w:right w:val="single" w:sz="8" w:space="0" w:color="283583"/>
            </w:tcBorders>
            <w:shd w:val="clear" w:color="auto" w:fill="C1E4F5"/>
            <w:tcMar>
              <w:top w:w="28" w:type="dxa"/>
              <w:left w:w="57" w:type="dxa"/>
              <w:bottom w:w="28" w:type="dxa"/>
              <w:right w:w="57" w:type="dxa"/>
            </w:tcMar>
            <w:vAlign w:val="center"/>
          </w:tcPr>
          <w:p w14:paraId="22B37B0E" w14:textId="69A23FC2" w:rsidR="3E6A54AC" w:rsidRPr="00E5568D" w:rsidRDefault="3E6A54AC" w:rsidP="004570F2">
            <w:pPr>
              <w:spacing w:after="0"/>
              <w:jc w:val="center"/>
              <w:rPr>
                <w:color w:val="000000" w:themeColor="text1"/>
                <w:sz w:val="18"/>
                <w:lang w:val="es-ES"/>
              </w:rPr>
            </w:pPr>
            <w:r w:rsidRPr="00E5568D">
              <w:rPr>
                <w:color w:val="000000" w:themeColor="text1"/>
                <w:sz w:val="18"/>
                <w:lang w:val="es-ES"/>
              </w:rPr>
              <w:lastRenderedPageBreak/>
              <w:t>Bacteria (</w:t>
            </w:r>
            <w:r w:rsidRPr="00E5568D">
              <w:rPr>
                <w:i/>
                <w:color w:val="000000" w:themeColor="text1"/>
                <w:sz w:val="18"/>
                <w:lang w:val="es-ES"/>
              </w:rPr>
              <w:t xml:space="preserve">Acetobacter, Sarcina ventriculi </w:t>
            </w:r>
            <w:r w:rsidRPr="00E5568D">
              <w:rPr>
                <w:color w:val="000000" w:themeColor="text1"/>
                <w:sz w:val="18"/>
                <w:lang w:val="es-ES"/>
              </w:rPr>
              <w:t xml:space="preserve">and </w:t>
            </w:r>
            <w:r w:rsidRPr="00E5568D">
              <w:rPr>
                <w:lang w:val="es-ES"/>
              </w:rPr>
              <w:br/>
            </w:r>
            <w:r w:rsidRPr="00E5568D">
              <w:rPr>
                <w:color w:val="000000" w:themeColor="text1"/>
                <w:sz w:val="18"/>
                <w:lang w:val="es-ES"/>
              </w:rPr>
              <w:t xml:space="preserve"> </w:t>
            </w:r>
            <w:r w:rsidRPr="00E5568D">
              <w:rPr>
                <w:i/>
                <w:color w:val="000000" w:themeColor="text1"/>
                <w:sz w:val="18"/>
                <w:lang w:val="es-ES"/>
              </w:rPr>
              <w:t>Agrobacterium</w:t>
            </w:r>
            <w:r w:rsidRPr="00E5568D">
              <w:rPr>
                <w:color w:val="000000" w:themeColor="text1"/>
                <w:sz w:val="18"/>
                <w:lang w:val="es-ES"/>
              </w:rPr>
              <w:t>)</w:t>
            </w:r>
          </w:p>
        </w:tc>
        <w:tc>
          <w:tcPr>
            <w:tcW w:w="111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47DEA67D" w14:textId="1D9F3A22" w:rsidR="3E6A54AC" w:rsidRPr="004570F2" w:rsidRDefault="3E6A54AC" w:rsidP="004570F2">
            <w:pPr>
              <w:spacing w:after="0"/>
              <w:jc w:val="center"/>
              <w:rPr>
                <w:sz w:val="18"/>
              </w:rPr>
            </w:pPr>
            <w:r w:rsidRPr="004570F2">
              <w:rPr>
                <w:sz w:val="18"/>
              </w:rPr>
              <w:t>Agriculture - drought resilience</w:t>
            </w:r>
          </w:p>
        </w:tc>
        <w:tc>
          <w:tcPr>
            <w:tcW w:w="1278"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6B0FEFC4" w14:textId="6C0946E8" w:rsidR="3E6A54AC" w:rsidRPr="004570F2" w:rsidRDefault="3E6A54AC" w:rsidP="004570F2">
            <w:pPr>
              <w:spacing w:after="0"/>
              <w:jc w:val="center"/>
              <w:rPr>
                <w:sz w:val="18"/>
              </w:rPr>
            </w:pPr>
            <w:r w:rsidRPr="0C6BB572">
              <w:rPr>
                <w:sz w:val="18"/>
                <w:szCs w:val="18"/>
              </w:rPr>
              <w:t>Excretion</w:t>
            </w:r>
            <w:r w:rsidRPr="004570F2">
              <w:rPr>
                <w:sz w:val="18"/>
              </w:rPr>
              <w:t xml:space="preserve"> of water-retaining compounds</w:t>
            </w:r>
          </w:p>
        </w:tc>
        <w:tc>
          <w:tcPr>
            <w:tcW w:w="1602"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212FE037" w14:textId="749F3DCC" w:rsidR="3E6A54AC" w:rsidRPr="004570F2" w:rsidRDefault="3E6A54AC" w:rsidP="004570F2">
            <w:pPr>
              <w:spacing w:after="0"/>
              <w:jc w:val="center"/>
              <w:rPr>
                <w:sz w:val="18"/>
              </w:rPr>
            </w:pPr>
            <w:r w:rsidRPr="004570F2">
              <w:rPr>
                <w:sz w:val="18"/>
              </w:rPr>
              <w:t>Drought resilience</w:t>
            </w:r>
          </w:p>
        </w:tc>
        <w:tc>
          <w:tcPr>
            <w:tcW w:w="122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0F41C73A" w14:textId="7FC03793" w:rsidR="3E6A54AC" w:rsidRPr="004570F2" w:rsidRDefault="3E6A54AC" w:rsidP="004570F2">
            <w:pPr>
              <w:spacing w:after="0"/>
              <w:jc w:val="center"/>
              <w:rPr>
                <w:color w:val="000000" w:themeColor="text1"/>
                <w:sz w:val="18"/>
              </w:rPr>
            </w:pPr>
            <w:r w:rsidRPr="004570F2">
              <w:rPr>
                <w:color w:val="000000" w:themeColor="text1"/>
                <w:sz w:val="18"/>
              </w:rPr>
              <w:t>R&amp;D stage</w:t>
            </w:r>
          </w:p>
        </w:tc>
        <w:tc>
          <w:tcPr>
            <w:tcW w:w="943"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740DEAB3" w14:textId="13167B81" w:rsidR="3E6A54AC" w:rsidRPr="004570F2" w:rsidRDefault="3E6A54AC" w:rsidP="004570F2">
            <w:pPr>
              <w:spacing w:after="0"/>
              <w:jc w:val="center"/>
              <w:rPr>
                <w:sz w:val="18"/>
              </w:rPr>
            </w:pPr>
            <w:r w:rsidRPr="004570F2">
              <w:rPr>
                <w:sz w:val="18"/>
              </w:rPr>
              <w:t>UK</w:t>
            </w:r>
          </w:p>
        </w:tc>
        <w:tc>
          <w:tcPr>
            <w:tcW w:w="995" w:type="dxa"/>
            <w:tcBorders>
              <w:top w:val="single" w:sz="8" w:space="0" w:color="283583"/>
              <w:left w:val="single" w:sz="8" w:space="0" w:color="283583"/>
              <w:bottom w:val="single" w:sz="8" w:space="0" w:color="283583"/>
              <w:right w:val="single" w:sz="36" w:space="0" w:color="303F9C"/>
            </w:tcBorders>
            <w:tcMar>
              <w:top w:w="28" w:type="dxa"/>
              <w:left w:w="57" w:type="dxa"/>
              <w:bottom w:w="28" w:type="dxa"/>
              <w:right w:w="57" w:type="dxa"/>
            </w:tcMar>
            <w:vAlign w:val="center"/>
          </w:tcPr>
          <w:p w14:paraId="6FABC20E" w14:textId="0669F33C" w:rsidR="3E6A54AC" w:rsidRPr="004570F2" w:rsidRDefault="3E6A54AC" w:rsidP="004570F2">
            <w:pPr>
              <w:spacing w:after="0"/>
              <w:jc w:val="center"/>
              <w:rPr>
                <w:sz w:val="18"/>
                <w:vertAlign w:val="superscript"/>
              </w:rPr>
            </w:pPr>
            <w:r w:rsidRPr="0C6BB572">
              <w:rPr>
                <w:sz w:val="18"/>
                <w:szCs w:val="18"/>
                <w:vertAlign w:val="superscript"/>
              </w:rPr>
              <w:footnoteReference w:id="217"/>
            </w:r>
            <w:r w:rsidR="36641FFC" w:rsidRPr="0C6BB572">
              <w:rPr>
                <w:sz w:val="18"/>
                <w:szCs w:val="18"/>
                <w:vertAlign w:val="superscript"/>
              </w:rPr>
              <w:t xml:space="preserve">, </w:t>
            </w:r>
            <w:r w:rsidRPr="0C6BB572">
              <w:rPr>
                <w:sz w:val="18"/>
                <w:szCs w:val="18"/>
                <w:vertAlign w:val="superscript"/>
              </w:rPr>
              <w:footnoteReference w:id="218"/>
            </w:r>
            <w:r w:rsidR="29F63E85" w:rsidRPr="0C6BB572">
              <w:rPr>
                <w:sz w:val="18"/>
                <w:szCs w:val="18"/>
                <w:vertAlign w:val="superscript"/>
              </w:rPr>
              <w:t xml:space="preserve"> </w:t>
            </w:r>
          </w:p>
        </w:tc>
      </w:tr>
      <w:tr w:rsidR="00BB182A" w14:paraId="6FC4105E" w14:textId="77777777" w:rsidTr="00F82ABA">
        <w:trPr>
          <w:trHeight w:val="720"/>
        </w:trPr>
        <w:tc>
          <w:tcPr>
            <w:tcW w:w="1380" w:type="dxa"/>
            <w:tcBorders>
              <w:top w:val="single" w:sz="8" w:space="0" w:color="283583"/>
              <w:left w:val="single" w:sz="36" w:space="0" w:color="303F9C"/>
              <w:bottom w:val="single" w:sz="8" w:space="0" w:color="283583"/>
              <w:right w:val="single" w:sz="8" w:space="0" w:color="283583"/>
            </w:tcBorders>
            <w:shd w:val="clear" w:color="auto" w:fill="C1E4F5"/>
            <w:tcMar>
              <w:top w:w="28" w:type="dxa"/>
              <w:left w:w="57" w:type="dxa"/>
              <w:bottom w:w="28" w:type="dxa"/>
              <w:right w:w="57" w:type="dxa"/>
            </w:tcMar>
            <w:vAlign w:val="center"/>
          </w:tcPr>
          <w:p w14:paraId="735E50E0" w14:textId="405A301F" w:rsidR="3E6A54AC" w:rsidRPr="004570F2" w:rsidRDefault="3E6A54AC" w:rsidP="004570F2">
            <w:pPr>
              <w:spacing w:after="0"/>
              <w:jc w:val="center"/>
              <w:rPr>
                <w:color w:val="000000" w:themeColor="text1"/>
                <w:sz w:val="18"/>
              </w:rPr>
            </w:pPr>
            <w:r w:rsidRPr="004570F2">
              <w:rPr>
                <w:color w:val="000000" w:themeColor="text1"/>
                <w:sz w:val="18"/>
              </w:rPr>
              <w:t>Bacterium (</w:t>
            </w:r>
            <w:r w:rsidRPr="004570F2">
              <w:rPr>
                <w:i/>
                <w:color w:val="000000" w:themeColor="text1"/>
                <w:sz w:val="18"/>
              </w:rPr>
              <w:t>Bacillus thuringiensis</w:t>
            </w:r>
            <w:r w:rsidRPr="004570F2">
              <w:rPr>
                <w:color w:val="000000" w:themeColor="text1"/>
                <w:sz w:val="18"/>
              </w:rPr>
              <w:t>)</w:t>
            </w:r>
            <w:r w:rsidRPr="0C6BB572">
              <w:rPr>
                <w:color w:val="000000" w:themeColor="text1"/>
                <w:sz w:val="18"/>
                <w:szCs w:val="18"/>
              </w:rPr>
              <w:t xml:space="preserve"> (multiple strains)</w:t>
            </w:r>
          </w:p>
        </w:tc>
        <w:tc>
          <w:tcPr>
            <w:tcW w:w="111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24C24E5E" w14:textId="2E764FA2" w:rsidR="3E6A54AC" w:rsidRPr="004570F2" w:rsidRDefault="3E6A54AC" w:rsidP="004570F2">
            <w:pPr>
              <w:spacing w:after="0"/>
              <w:jc w:val="center"/>
              <w:rPr>
                <w:sz w:val="18"/>
              </w:rPr>
            </w:pPr>
            <w:r w:rsidRPr="004570F2">
              <w:rPr>
                <w:sz w:val="18"/>
              </w:rPr>
              <w:t>Agriculture - biopesticide</w:t>
            </w:r>
          </w:p>
        </w:tc>
        <w:tc>
          <w:tcPr>
            <w:tcW w:w="1278"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131C37F8" w14:textId="7DB3DBE0" w:rsidR="3E6A54AC" w:rsidRPr="004570F2" w:rsidRDefault="3E6A54AC" w:rsidP="004570F2">
            <w:pPr>
              <w:spacing w:after="0"/>
              <w:jc w:val="center"/>
              <w:rPr>
                <w:sz w:val="18"/>
              </w:rPr>
            </w:pPr>
            <w:r w:rsidRPr="0C6BB572">
              <w:rPr>
                <w:sz w:val="18"/>
                <w:szCs w:val="18"/>
              </w:rPr>
              <w:t>Expression</w:t>
            </w:r>
            <w:r w:rsidRPr="004570F2">
              <w:rPr>
                <w:sz w:val="18"/>
              </w:rPr>
              <w:t xml:space="preserve"> of toxins active against lepidopterous larvae</w:t>
            </w:r>
          </w:p>
        </w:tc>
        <w:tc>
          <w:tcPr>
            <w:tcW w:w="1602"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021C76FB" w14:textId="2B8E6837" w:rsidR="3E6A54AC" w:rsidRPr="004570F2" w:rsidRDefault="3E6A54AC" w:rsidP="004570F2">
            <w:pPr>
              <w:spacing w:after="0"/>
              <w:jc w:val="center"/>
              <w:rPr>
                <w:sz w:val="18"/>
              </w:rPr>
            </w:pPr>
            <w:r w:rsidRPr="004570F2">
              <w:rPr>
                <w:sz w:val="18"/>
              </w:rPr>
              <w:t>Economic losses due to various plant pests</w:t>
            </w:r>
          </w:p>
        </w:tc>
        <w:tc>
          <w:tcPr>
            <w:tcW w:w="122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3148DE8F" w14:textId="54E61ED9" w:rsidR="3E6A54AC" w:rsidRDefault="3E6A54AC" w:rsidP="0C6BB572">
            <w:pPr>
              <w:spacing w:after="0"/>
              <w:jc w:val="center"/>
              <w:rPr>
                <w:color w:val="000000" w:themeColor="text1"/>
                <w:sz w:val="18"/>
                <w:szCs w:val="18"/>
              </w:rPr>
            </w:pPr>
            <w:r w:rsidRPr="004570F2">
              <w:rPr>
                <w:color w:val="000000" w:themeColor="text1"/>
                <w:sz w:val="18"/>
              </w:rPr>
              <w:t>Commercial</w:t>
            </w:r>
            <w:r w:rsidRPr="0C6BB572">
              <w:rPr>
                <w:color w:val="000000" w:themeColor="text1"/>
                <w:sz w:val="18"/>
                <w:szCs w:val="18"/>
              </w:rPr>
              <w:t>;</w:t>
            </w:r>
          </w:p>
          <w:p w14:paraId="463363A2" w14:textId="558D4351" w:rsidR="3E6A54AC" w:rsidRDefault="3E6A54AC" w:rsidP="0C6BB572">
            <w:pPr>
              <w:spacing w:after="0"/>
              <w:jc w:val="center"/>
              <w:rPr>
                <w:color w:val="000000" w:themeColor="text1"/>
                <w:sz w:val="18"/>
                <w:szCs w:val="18"/>
              </w:rPr>
            </w:pPr>
            <w:r w:rsidRPr="0C6BB572">
              <w:rPr>
                <w:color w:val="000000" w:themeColor="text1"/>
                <w:sz w:val="18"/>
                <w:szCs w:val="18"/>
              </w:rPr>
              <w:t xml:space="preserve"> </w:t>
            </w:r>
          </w:p>
          <w:p w14:paraId="56E8866B" w14:textId="719EA52F" w:rsidR="3E6A54AC" w:rsidRPr="004570F2" w:rsidRDefault="3E6A54AC" w:rsidP="004570F2">
            <w:pPr>
              <w:spacing w:after="0"/>
              <w:jc w:val="center"/>
              <w:rPr>
                <w:color w:val="000000" w:themeColor="text1"/>
                <w:sz w:val="18"/>
              </w:rPr>
            </w:pPr>
            <w:r w:rsidRPr="0C6BB572">
              <w:rPr>
                <w:color w:val="000000" w:themeColor="text1"/>
                <w:sz w:val="18"/>
                <w:szCs w:val="18"/>
              </w:rPr>
              <w:t>Pre-commercial</w:t>
            </w:r>
          </w:p>
        </w:tc>
        <w:tc>
          <w:tcPr>
            <w:tcW w:w="943"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26304111" w14:textId="1E2EE636" w:rsidR="3E6A54AC" w:rsidRDefault="3E6A54AC" w:rsidP="0C6BB572">
            <w:pPr>
              <w:spacing w:after="0"/>
              <w:jc w:val="center"/>
              <w:rPr>
                <w:sz w:val="18"/>
                <w:szCs w:val="18"/>
              </w:rPr>
            </w:pPr>
            <w:r w:rsidRPr="0C6BB572">
              <w:rPr>
                <w:sz w:val="18"/>
                <w:szCs w:val="18"/>
              </w:rPr>
              <w:t>China</w:t>
            </w:r>
          </w:p>
          <w:p w14:paraId="070EA3ED" w14:textId="0037A10E" w:rsidR="3E6A54AC" w:rsidRDefault="3E6A54AC" w:rsidP="0C6BB572">
            <w:pPr>
              <w:spacing w:after="0"/>
              <w:jc w:val="center"/>
              <w:rPr>
                <w:sz w:val="18"/>
                <w:szCs w:val="18"/>
              </w:rPr>
            </w:pPr>
            <w:r w:rsidRPr="004570F2">
              <w:rPr>
                <w:sz w:val="18"/>
              </w:rPr>
              <w:t>USA</w:t>
            </w:r>
            <w:r w:rsidRPr="0C6BB572">
              <w:rPr>
                <w:sz w:val="18"/>
                <w:szCs w:val="18"/>
              </w:rPr>
              <w:t>;</w:t>
            </w:r>
          </w:p>
          <w:p w14:paraId="7C0BD482" w14:textId="47730B7E" w:rsidR="3E6A54AC" w:rsidRPr="004570F2" w:rsidRDefault="3E6A54AC" w:rsidP="004570F2">
            <w:pPr>
              <w:spacing w:after="0"/>
              <w:jc w:val="center"/>
              <w:rPr>
                <w:sz w:val="18"/>
              </w:rPr>
            </w:pPr>
            <w:r w:rsidRPr="0C6BB572">
              <w:rPr>
                <w:sz w:val="18"/>
                <w:szCs w:val="18"/>
              </w:rPr>
              <w:t>Brazil</w:t>
            </w:r>
          </w:p>
        </w:tc>
        <w:tc>
          <w:tcPr>
            <w:tcW w:w="995" w:type="dxa"/>
            <w:tcBorders>
              <w:top w:val="single" w:sz="8" w:space="0" w:color="283583"/>
              <w:left w:val="single" w:sz="8" w:space="0" w:color="283583"/>
              <w:bottom w:val="single" w:sz="8" w:space="0" w:color="283583"/>
              <w:right w:val="single" w:sz="36" w:space="0" w:color="303F9C"/>
            </w:tcBorders>
            <w:tcMar>
              <w:top w:w="28" w:type="dxa"/>
              <w:left w:w="57" w:type="dxa"/>
              <w:bottom w:w="28" w:type="dxa"/>
              <w:right w:w="57" w:type="dxa"/>
            </w:tcMar>
            <w:vAlign w:val="center"/>
          </w:tcPr>
          <w:p w14:paraId="7E839CEE" w14:textId="46680945" w:rsidR="3E6A54AC" w:rsidRPr="004570F2" w:rsidRDefault="3E6A54AC" w:rsidP="004570F2">
            <w:pPr>
              <w:spacing w:after="0"/>
              <w:jc w:val="center"/>
              <w:rPr>
                <w:sz w:val="18"/>
                <w:vertAlign w:val="superscript"/>
              </w:rPr>
            </w:pPr>
            <w:r w:rsidRPr="1D56086E">
              <w:rPr>
                <w:sz w:val="18"/>
                <w:szCs w:val="18"/>
                <w:vertAlign w:val="superscript"/>
              </w:rPr>
              <w:footnoteReference w:id="219"/>
            </w:r>
            <w:r w:rsidR="7A4C637D" w:rsidRPr="1D56086E">
              <w:rPr>
                <w:sz w:val="18"/>
                <w:szCs w:val="18"/>
                <w:vertAlign w:val="superscript"/>
              </w:rPr>
              <w:t xml:space="preserve">, </w:t>
            </w:r>
            <w:r w:rsidRPr="1D56086E">
              <w:rPr>
                <w:sz w:val="18"/>
                <w:szCs w:val="18"/>
                <w:vertAlign w:val="superscript"/>
              </w:rPr>
              <w:footnoteReference w:id="220"/>
            </w:r>
            <w:r w:rsidR="301B2EF2" w:rsidRPr="1D56086E">
              <w:rPr>
                <w:sz w:val="18"/>
                <w:szCs w:val="18"/>
                <w:vertAlign w:val="superscript"/>
              </w:rPr>
              <w:t xml:space="preserve">, </w:t>
            </w:r>
            <w:r w:rsidRPr="1D56086E">
              <w:rPr>
                <w:sz w:val="18"/>
                <w:szCs w:val="18"/>
                <w:vertAlign w:val="superscript"/>
              </w:rPr>
              <w:footnoteReference w:id="221"/>
            </w:r>
            <w:r w:rsidR="29F63E85" w:rsidRPr="1D56086E">
              <w:rPr>
                <w:sz w:val="18"/>
                <w:szCs w:val="18"/>
                <w:vertAlign w:val="superscript"/>
              </w:rPr>
              <w:t xml:space="preserve"> </w:t>
            </w:r>
          </w:p>
        </w:tc>
      </w:tr>
      <w:tr w:rsidR="00F32838" w14:paraId="0002B812" w14:textId="77777777" w:rsidTr="00F82ABA">
        <w:trPr>
          <w:trHeight w:val="720"/>
        </w:trPr>
        <w:tc>
          <w:tcPr>
            <w:tcW w:w="1380" w:type="dxa"/>
            <w:tcBorders>
              <w:top w:val="single" w:sz="8" w:space="0" w:color="283583"/>
              <w:left w:val="single" w:sz="36" w:space="0" w:color="303F9C"/>
              <w:bottom w:val="single" w:sz="8" w:space="0" w:color="283583"/>
              <w:right w:val="single" w:sz="8" w:space="0" w:color="283583"/>
            </w:tcBorders>
            <w:shd w:val="clear" w:color="auto" w:fill="C1E4F5"/>
            <w:tcMar>
              <w:top w:w="28" w:type="dxa"/>
              <w:left w:w="57" w:type="dxa"/>
              <w:bottom w:w="28" w:type="dxa"/>
              <w:right w:w="57" w:type="dxa"/>
            </w:tcMar>
            <w:vAlign w:val="center"/>
          </w:tcPr>
          <w:p w14:paraId="39065A72" w14:textId="5A0A5A1E" w:rsidR="3E6A54AC" w:rsidRPr="0068211C" w:rsidRDefault="3E6A54AC" w:rsidP="5DA36055">
            <w:pPr>
              <w:spacing w:after="0"/>
              <w:jc w:val="center"/>
              <w:rPr>
                <w:i/>
                <w:iCs/>
                <w:color w:val="000000" w:themeColor="text1"/>
                <w:sz w:val="18"/>
                <w:szCs w:val="18"/>
                <w:lang w:val="de-DE"/>
              </w:rPr>
            </w:pPr>
            <w:r w:rsidRPr="0068211C">
              <w:rPr>
                <w:color w:val="000000" w:themeColor="text1"/>
                <w:sz w:val="18"/>
                <w:szCs w:val="18"/>
                <w:lang w:val="de-DE"/>
              </w:rPr>
              <w:t>Bacterium (</w:t>
            </w:r>
            <w:r w:rsidRPr="0068211C">
              <w:rPr>
                <w:i/>
                <w:iCs/>
                <w:color w:val="000000" w:themeColor="text1"/>
                <w:sz w:val="18"/>
                <w:szCs w:val="18"/>
                <w:lang w:val="de-DE"/>
              </w:rPr>
              <w:t>Agrobacterium radiobacter/</w:t>
            </w:r>
          </w:p>
          <w:p w14:paraId="2CD0D1D1" w14:textId="373C3857" w:rsidR="3E6A54AC" w:rsidRPr="0068211C" w:rsidRDefault="3E6A54AC" w:rsidP="5DA36055">
            <w:pPr>
              <w:spacing w:after="0"/>
              <w:jc w:val="center"/>
              <w:rPr>
                <w:color w:val="000000" w:themeColor="text1"/>
                <w:sz w:val="18"/>
                <w:szCs w:val="18"/>
                <w:lang w:val="de-DE"/>
              </w:rPr>
            </w:pPr>
            <w:r w:rsidRPr="0068211C">
              <w:rPr>
                <w:i/>
                <w:iCs/>
                <w:color w:val="000000" w:themeColor="text1"/>
                <w:sz w:val="18"/>
                <w:szCs w:val="18"/>
                <w:lang w:val="de-DE"/>
              </w:rPr>
              <w:t>Rhizobium rhizogenes</w:t>
            </w:r>
            <w:r w:rsidRPr="0068211C">
              <w:rPr>
                <w:color w:val="000000" w:themeColor="text1"/>
                <w:sz w:val="18"/>
                <w:szCs w:val="18"/>
                <w:lang w:val="de-DE"/>
              </w:rPr>
              <w:t>)</w:t>
            </w:r>
          </w:p>
        </w:tc>
        <w:tc>
          <w:tcPr>
            <w:tcW w:w="111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4F262ECA" w14:textId="27364D2D" w:rsidR="3E6A54AC" w:rsidRDefault="3E6A54AC" w:rsidP="0C6BB572">
            <w:pPr>
              <w:spacing w:after="0"/>
              <w:jc w:val="center"/>
              <w:rPr>
                <w:sz w:val="18"/>
                <w:szCs w:val="18"/>
              </w:rPr>
            </w:pPr>
            <w:r w:rsidRPr="0C6BB572">
              <w:rPr>
                <w:sz w:val="18"/>
                <w:szCs w:val="18"/>
              </w:rPr>
              <w:t>Agriculture - biopesticide</w:t>
            </w:r>
          </w:p>
        </w:tc>
        <w:tc>
          <w:tcPr>
            <w:tcW w:w="1278"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00FB53EA" w14:textId="1C3605DA" w:rsidR="3E6A54AC" w:rsidRDefault="3E6A54AC" w:rsidP="0C6BB572">
            <w:pPr>
              <w:spacing w:after="0"/>
              <w:jc w:val="center"/>
              <w:rPr>
                <w:sz w:val="18"/>
                <w:szCs w:val="18"/>
              </w:rPr>
            </w:pPr>
            <w:r w:rsidRPr="0C6BB572">
              <w:rPr>
                <w:sz w:val="18"/>
                <w:szCs w:val="18"/>
              </w:rPr>
              <w:t>Production of antibiotic compound</w:t>
            </w:r>
          </w:p>
        </w:tc>
        <w:tc>
          <w:tcPr>
            <w:tcW w:w="1602"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4E03A920" w14:textId="2CDCBA59" w:rsidR="3E6A54AC" w:rsidRDefault="3E6A54AC" w:rsidP="0C6BB572">
            <w:pPr>
              <w:spacing w:after="0"/>
              <w:jc w:val="center"/>
              <w:rPr>
                <w:sz w:val="18"/>
                <w:szCs w:val="18"/>
              </w:rPr>
            </w:pPr>
            <w:r w:rsidRPr="0C6BB572">
              <w:rPr>
                <w:sz w:val="18"/>
                <w:szCs w:val="18"/>
              </w:rPr>
              <w:t>Economic losses due to crown gall disease</w:t>
            </w:r>
          </w:p>
        </w:tc>
        <w:tc>
          <w:tcPr>
            <w:tcW w:w="122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70460C0C" w14:textId="3E54736D" w:rsidR="3E6A54AC" w:rsidRDefault="3E6A54AC" w:rsidP="0C6BB572">
            <w:pPr>
              <w:spacing w:after="0"/>
              <w:jc w:val="center"/>
              <w:rPr>
                <w:color w:val="000000" w:themeColor="text1"/>
                <w:sz w:val="18"/>
                <w:szCs w:val="18"/>
              </w:rPr>
            </w:pPr>
            <w:r w:rsidRPr="0C6BB572">
              <w:rPr>
                <w:color w:val="000000" w:themeColor="text1"/>
                <w:sz w:val="18"/>
                <w:szCs w:val="18"/>
              </w:rPr>
              <w:t>Commercial</w:t>
            </w:r>
          </w:p>
        </w:tc>
        <w:tc>
          <w:tcPr>
            <w:tcW w:w="943"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729070DD" w14:textId="1C3DB624" w:rsidR="3E6A54AC" w:rsidRDefault="3E6A54AC" w:rsidP="0C6BB572">
            <w:pPr>
              <w:spacing w:after="0"/>
              <w:jc w:val="center"/>
              <w:rPr>
                <w:sz w:val="18"/>
                <w:szCs w:val="18"/>
              </w:rPr>
            </w:pPr>
            <w:r w:rsidRPr="0C6BB572">
              <w:rPr>
                <w:sz w:val="18"/>
                <w:szCs w:val="18"/>
              </w:rPr>
              <w:t>Australia</w:t>
            </w:r>
          </w:p>
          <w:p w14:paraId="1D3E1625" w14:textId="5C266CEA" w:rsidR="3E6A54AC" w:rsidRDefault="3E6A54AC" w:rsidP="0C6BB572">
            <w:pPr>
              <w:spacing w:after="0"/>
              <w:jc w:val="center"/>
              <w:rPr>
                <w:sz w:val="18"/>
                <w:szCs w:val="18"/>
              </w:rPr>
            </w:pPr>
            <w:r w:rsidRPr="0C6BB572">
              <w:rPr>
                <w:sz w:val="18"/>
                <w:szCs w:val="18"/>
              </w:rPr>
              <w:t>Türkiye</w:t>
            </w:r>
          </w:p>
          <w:p w14:paraId="6ECA900E" w14:textId="3FF586A5" w:rsidR="3E6A54AC" w:rsidRDefault="3E6A54AC" w:rsidP="0C6BB572">
            <w:pPr>
              <w:spacing w:after="0"/>
              <w:jc w:val="center"/>
              <w:rPr>
                <w:sz w:val="18"/>
                <w:szCs w:val="18"/>
              </w:rPr>
            </w:pPr>
            <w:r w:rsidRPr="0C6BB572">
              <w:rPr>
                <w:sz w:val="18"/>
                <w:szCs w:val="18"/>
              </w:rPr>
              <w:t>USA</w:t>
            </w:r>
          </w:p>
        </w:tc>
        <w:tc>
          <w:tcPr>
            <w:tcW w:w="995" w:type="dxa"/>
            <w:tcBorders>
              <w:top w:val="single" w:sz="8" w:space="0" w:color="283583"/>
              <w:left w:val="single" w:sz="8" w:space="0" w:color="283583"/>
              <w:bottom w:val="single" w:sz="8" w:space="0" w:color="283583"/>
              <w:right w:val="single" w:sz="36" w:space="0" w:color="303F9C"/>
            </w:tcBorders>
            <w:tcMar>
              <w:top w:w="28" w:type="dxa"/>
              <w:left w:w="57" w:type="dxa"/>
              <w:bottom w:w="28" w:type="dxa"/>
              <w:right w:w="57" w:type="dxa"/>
            </w:tcMar>
            <w:vAlign w:val="center"/>
          </w:tcPr>
          <w:p w14:paraId="5364E18D" w14:textId="112FDE55" w:rsidR="3E6A54AC" w:rsidRDefault="3E6A54AC" w:rsidP="0C6BB572">
            <w:pPr>
              <w:spacing w:after="0"/>
              <w:jc w:val="center"/>
              <w:rPr>
                <w:sz w:val="18"/>
                <w:szCs w:val="18"/>
                <w:vertAlign w:val="superscript"/>
              </w:rPr>
            </w:pPr>
            <w:r w:rsidRPr="1D56086E">
              <w:rPr>
                <w:sz w:val="18"/>
                <w:szCs w:val="18"/>
                <w:vertAlign w:val="superscript"/>
              </w:rPr>
              <w:footnoteReference w:id="222"/>
            </w:r>
            <w:r w:rsidR="55A5D30F" w:rsidRPr="1D56086E">
              <w:rPr>
                <w:sz w:val="18"/>
                <w:szCs w:val="18"/>
                <w:vertAlign w:val="superscript"/>
              </w:rPr>
              <w:t xml:space="preserve">, </w:t>
            </w:r>
            <w:r w:rsidRPr="1D56086E">
              <w:rPr>
                <w:sz w:val="18"/>
                <w:szCs w:val="18"/>
                <w:vertAlign w:val="superscript"/>
              </w:rPr>
              <w:footnoteReference w:id="223"/>
            </w:r>
            <w:r w:rsidR="75323602" w:rsidRPr="1D56086E">
              <w:rPr>
                <w:sz w:val="18"/>
                <w:szCs w:val="18"/>
                <w:vertAlign w:val="superscript"/>
              </w:rPr>
              <w:t xml:space="preserve">, </w:t>
            </w:r>
            <w:r w:rsidRPr="1D56086E">
              <w:rPr>
                <w:sz w:val="18"/>
                <w:szCs w:val="18"/>
                <w:vertAlign w:val="superscript"/>
              </w:rPr>
              <w:footnoteReference w:id="224"/>
            </w:r>
            <w:r w:rsidR="29F63E85" w:rsidRPr="1D56086E">
              <w:rPr>
                <w:sz w:val="18"/>
                <w:szCs w:val="18"/>
                <w:vertAlign w:val="superscript"/>
              </w:rPr>
              <w:t xml:space="preserve"> </w:t>
            </w:r>
          </w:p>
        </w:tc>
      </w:tr>
      <w:tr w:rsidR="00BB182A" w14:paraId="45549796" w14:textId="77777777" w:rsidTr="00F82ABA">
        <w:trPr>
          <w:trHeight w:val="720"/>
        </w:trPr>
        <w:tc>
          <w:tcPr>
            <w:tcW w:w="1380" w:type="dxa"/>
            <w:tcBorders>
              <w:top w:val="single" w:sz="8" w:space="0" w:color="283583"/>
              <w:left w:val="single" w:sz="36" w:space="0" w:color="303F9C"/>
              <w:bottom w:val="single" w:sz="8" w:space="0" w:color="283583"/>
              <w:right w:val="single" w:sz="8" w:space="0" w:color="283583"/>
            </w:tcBorders>
            <w:shd w:val="clear" w:color="auto" w:fill="C1E4F5"/>
            <w:tcMar>
              <w:top w:w="28" w:type="dxa"/>
              <w:left w:w="57" w:type="dxa"/>
              <w:bottom w:w="28" w:type="dxa"/>
              <w:right w:w="57" w:type="dxa"/>
            </w:tcMar>
            <w:vAlign w:val="center"/>
          </w:tcPr>
          <w:p w14:paraId="30268E3E" w14:textId="5E6EF8A3" w:rsidR="3E6A54AC" w:rsidRPr="004570F2" w:rsidRDefault="3E6A54AC" w:rsidP="004570F2">
            <w:pPr>
              <w:spacing w:after="0"/>
              <w:jc w:val="center"/>
              <w:rPr>
                <w:color w:val="000000" w:themeColor="text1"/>
                <w:sz w:val="18"/>
              </w:rPr>
            </w:pPr>
            <w:r w:rsidRPr="004570F2">
              <w:rPr>
                <w:color w:val="000000" w:themeColor="text1"/>
                <w:sz w:val="18"/>
              </w:rPr>
              <w:t>Bacteria, Fungi</w:t>
            </w:r>
          </w:p>
        </w:tc>
        <w:tc>
          <w:tcPr>
            <w:tcW w:w="111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34CD092D" w14:textId="20386A38" w:rsidR="3E6A54AC" w:rsidRPr="004570F2" w:rsidRDefault="3E6A54AC" w:rsidP="004570F2">
            <w:pPr>
              <w:spacing w:after="0"/>
              <w:jc w:val="center"/>
              <w:rPr>
                <w:sz w:val="18"/>
              </w:rPr>
            </w:pPr>
            <w:r w:rsidRPr="0C6BB572">
              <w:rPr>
                <w:sz w:val="18"/>
                <w:szCs w:val="18"/>
              </w:rPr>
              <w:t>Bio-remediation</w:t>
            </w:r>
          </w:p>
        </w:tc>
        <w:tc>
          <w:tcPr>
            <w:tcW w:w="1278"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1CAD2BCD" w14:textId="2F4FAB21" w:rsidR="3E6A54AC" w:rsidRPr="004570F2" w:rsidRDefault="3E6A54AC" w:rsidP="004570F2">
            <w:pPr>
              <w:spacing w:after="0"/>
              <w:jc w:val="center"/>
              <w:rPr>
                <w:sz w:val="18"/>
              </w:rPr>
            </w:pPr>
            <w:r w:rsidRPr="0C6BB572">
              <w:rPr>
                <w:sz w:val="18"/>
                <w:szCs w:val="18"/>
              </w:rPr>
              <w:t>Degradation</w:t>
            </w:r>
            <w:r w:rsidRPr="004570F2">
              <w:rPr>
                <w:sz w:val="18"/>
              </w:rPr>
              <w:t xml:space="preserve"> of harmful chemicals</w:t>
            </w:r>
          </w:p>
        </w:tc>
        <w:tc>
          <w:tcPr>
            <w:tcW w:w="1602"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686B6939" w14:textId="6AE8C004" w:rsidR="3E6A54AC" w:rsidRPr="004570F2" w:rsidRDefault="3E6A54AC" w:rsidP="004570F2">
            <w:pPr>
              <w:spacing w:after="0"/>
              <w:jc w:val="center"/>
              <w:rPr>
                <w:sz w:val="18"/>
              </w:rPr>
            </w:pPr>
            <w:r w:rsidRPr="004570F2">
              <w:rPr>
                <w:sz w:val="18"/>
              </w:rPr>
              <w:t>Chemical pollution of industrial sites</w:t>
            </w:r>
          </w:p>
        </w:tc>
        <w:tc>
          <w:tcPr>
            <w:tcW w:w="122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33FAFF99" w14:textId="3B75E4BF" w:rsidR="3E6A54AC" w:rsidRPr="004570F2" w:rsidRDefault="3E6A54AC" w:rsidP="004570F2">
            <w:pPr>
              <w:spacing w:after="0"/>
              <w:jc w:val="center"/>
              <w:rPr>
                <w:sz w:val="18"/>
              </w:rPr>
            </w:pPr>
            <w:r w:rsidRPr="004570F2">
              <w:rPr>
                <w:sz w:val="18"/>
              </w:rPr>
              <w:t>R&amp;D stage</w:t>
            </w:r>
          </w:p>
        </w:tc>
        <w:tc>
          <w:tcPr>
            <w:tcW w:w="943"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022DE71C" w14:textId="4B2A9321" w:rsidR="3E6A54AC" w:rsidRPr="004570F2" w:rsidRDefault="3E6A54AC" w:rsidP="004570F2">
            <w:pPr>
              <w:spacing w:after="0"/>
              <w:jc w:val="center"/>
              <w:rPr>
                <w:sz w:val="18"/>
                <w:lang w:val="en-US"/>
              </w:rPr>
            </w:pPr>
            <w:r w:rsidRPr="004570F2">
              <w:rPr>
                <w:sz w:val="18"/>
                <w:lang w:val="en-US"/>
              </w:rPr>
              <w:t>USA</w:t>
            </w:r>
          </w:p>
        </w:tc>
        <w:tc>
          <w:tcPr>
            <w:tcW w:w="995" w:type="dxa"/>
            <w:tcBorders>
              <w:top w:val="single" w:sz="8" w:space="0" w:color="283583"/>
              <w:left w:val="single" w:sz="8" w:space="0" w:color="283583"/>
              <w:bottom w:val="single" w:sz="8" w:space="0" w:color="283583"/>
              <w:right w:val="single" w:sz="36" w:space="0" w:color="303F9C"/>
            </w:tcBorders>
            <w:tcMar>
              <w:top w:w="28" w:type="dxa"/>
              <w:left w:w="57" w:type="dxa"/>
              <w:bottom w:w="28" w:type="dxa"/>
              <w:right w:w="57" w:type="dxa"/>
            </w:tcMar>
            <w:vAlign w:val="center"/>
          </w:tcPr>
          <w:p w14:paraId="1363F36F" w14:textId="5E4D2578" w:rsidR="3E6A54AC" w:rsidRPr="00495051" w:rsidRDefault="3E6A54AC" w:rsidP="004570F2">
            <w:pPr>
              <w:spacing w:after="0"/>
              <w:jc w:val="center"/>
              <w:rPr>
                <w:sz w:val="18"/>
                <w:vertAlign w:val="superscript"/>
              </w:rPr>
            </w:pPr>
            <w:r w:rsidRPr="00495051">
              <w:rPr>
                <w:sz w:val="18"/>
                <w:vertAlign w:val="superscript"/>
              </w:rPr>
              <w:footnoteReference w:id="225"/>
            </w:r>
            <w:r w:rsidR="29F63E85" w:rsidRPr="00495051">
              <w:rPr>
                <w:sz w:val="18"/>
                <w:szCs w:val="18"/>
                <w:vertAlign w:val="superscript"/>
              </w:rPr>
              <w:t xml:space="preserve"> </w:t>
            </w:r>
          </w:p>
        </w:tc>
      </w:tr>
      <w:tr w:rsidR="00BB182A" w14:paraId="205C323A" w14:textId="77777777" w:rsidTr="00F82ABA">
        <w:trPr>
          <w:trHeight w:val="720"/>
        </w:trPr>
        <w:tc>
          <w:tcPr>
            <w:tcW w:w="1380" w:type="dxa"/>
            <w:tcBorders>
              <w:top w:val="single" w:sz="8" w:space="0" w:color="283583"/>
              <w:left w:val="single" w:sz="36" w:space="0" w:color="303F9C"/>
              <w:bottom w:val="single" w:sz="8" w:space="0" w:color="283583"/>
              <w:right w:val="single" w:sz="8" w:space="0" w:color="283583"/>
            </w:tcBorders>
            <w:shd w:val="clear" w:color="auto" w:fill="C1E4F5"/>
            <w:tcMar>
              <w:top w:w="28" w:type="dxa"/>
              <w:left w:w="57" w:type="dxa"/>
              <w:bottom w:w="28" w:type="dxa"/>
              <w:right w:w="57" w:type="dxa"/>
            </w:tcMar>
            <w:vAlign w:val="center"/>
          </w:tcPr>
          <w:p w14:paraId="1C09E7A0" w14:textId="5D8FF3F5" w:rsidR="3E6A54AC" w:rsidRPr="004570F2" w:rsidRDefault="3E6A54AC" w:rsidP="004570F2">
            <w:pPr>
              <w:spacing w:after="0"/>
              <w:jc w:val="center"/>
              <w:rPr>
                <w:color w:val="000000" w:themeColor="text1"/>
                <w:sz w:val="18"/>
              </w:rPr>
            </w:pPr>
            <w:r w:rsidRPr="004570F2">
              <w:rPr>
                <w:color w:val="000000" w:themeColor="text1"/>
                <w:sz w:val="18"/>
              </w:rPr>
              <w:t>Bacterium (</w:t>
            </w:r>
            <w:r w:rsidRPr="004570F2">
              <w:rPr>
                <w:i/>
                <w:color w:val="000000" w:themeColor="text1"/>
                <w:sz w:val="18"/>
              </w:rPr>
              <w:t>Shewanella oneidensis</w:t>
            </w:r>
            <w:r w:rsidRPr="004570F2">
              <w:rPr>
                <w:color w:val="000000" w:themeColor="text1"/>
                <w:sz w:val="18"/>
              </w:rPr>
              <w:t>)</w:t>
            </w:r>
          </w:p>
        </w:tc>
        <w:tc>
          <w:tcPr>
            <w:tcW w:w="111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1F3C96D7" w14:textId="1E64E117" w:rsidR="3E6A54AC" w:rsidRPr="004570F2" w:rsidRDefault="3E6A54AC" w:rsidP="004570F2">
            <w:pPr>
              <w:spacing w:after="0"/>
              <w:jc w:val="center"/>
              <w:rPr>
                <w:sz w:val="18"/>
              </w:rPr>
            </w:pPr>
            <w:r w:rsidRPr="0C6BB572">
              <w:rPr>
                <w:sz w:val="18"/>
                <w:szCs w:val="18"/>
              </w:rPr>
              <w:t>Bio-remediation</w:t>
            </w:r>
          </w:p>
        </w:tc>
        <w:tc>
          <w:tcPr>
            <w:tcW w:w="1278"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6F03D2BF" w14:textId="0CD9AB8B" w:rsidR="3E6A54AC" w:rsidRPr="004570F2" w:rsidRDefault="3E6A54AC" w:rsidP="004570F2">
            <w:pPr>
              <w:spacing w:after="0"/>
              <w:jc w:val="center"/>
              <w:rPr>
                <w:sz w:val="18"/>
              </w:rPr>
            </w:pPr>
            <w:r w:rsidRPr="0C6BB572">
              <w:rPr>
                <w:sz w:val="18"/>
                <w:szCs w:val="18"/>
              </w:rPr>
              <w:t>Degradation</w:t>
            </w:r>
            <w:r w:rsidRPr="004570F2">
              <w:rPr>
                <w:sz w:val="18"/>
              </w:rPr>
              <w:t xml:space="preserve"> of DNA conferring antibiotic resistance</w:t>
            </w:r>
          </w:p>
        </w:tc>
        <w:tc>
          <w:tcPr>
            <w:tcW w:w="1602"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49424D7E" w14:textId="5D4E0267" w:rsidR="3E6A54AC" w:rsidRPr="004570F2" w:rsidRDefault="3E6A54AC" w:rsidP="004570F2">
            <w:pPr>
              <w:spacing w:after="0"/>
              <w:jc w:val="center"/>
              <w:rPr>
                <w:sz w:val="18"/>
              </w:rPr>
            </w:pPr>
            <w:r w:rsidRPr="004570F2">
              <w:rPr>
                <w:sz w:val="18"/>
              </w:rPr>
              <w:t>Antibiotic resistance gene reservoirs in wastewater</w:t>
            </w:r>
          </w:p>
        </w:tc>
        <w:tc>
          <w:tcPr>
            <w:tcW w:w="122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30190298" w14:textId="702512F1" w:rsidR="3E6A54AC" w:rsidRPr="004570F2" w:rsidRDefault="3E6A54AC" w:rsidP="004570F2">
            <w:pPr>
              <w:spacing w:after="0"/>
              <w:jc w:val="center"/>
              <w:rPr>
                <w:sz w:val="18"/>
              </w:rPr>
            </w:pPr>
            <w:r w:rsidRPr="004570F2">
              <w:rPr>
                <w:sz w:val="18"/>
              </w:rPr>
              <w:t>R&amp;D stage</w:t>
            </w:r>
          </w:p>
        </w:tc>
        <w:tc>
          <w:tcPr>
            <w:tcW w:w="943"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74D34390" w14:textId="1596B762" w:rsidR="3E6A54AC" w:rsidRDefault="3E6A54AC" w:rsidP="0C6BB572">
            <w:pPr>
              <w:spacing w:after="0"/>
              <w:jc w:val="center"/>
              <w:rPr>
                <w:sz w:val="18"/>
                <w:szCs w:val="18"/>
                <w:lang w:val="en-US"/>
              </w:rPr>
            </w:pPr>
            <w:r w:rsidRPr="004570F2">
              <w:rPr>
                <w:sz w:val="18"/>
                <w:lang w:val="en-US"/>
              </w:rPr>
              <w:t>China</w:t>
            </w:r>
          </w:p>
          <w:p w14:paraId="6513BA91" w14:textId="780BD49B" w:rsidR="3E6A54AC" w:rsidRPr="004570F2" w:rsidRDefault="3E6A54AC" w:rsidP="004570F2">
            <w:pPr>
              <w:spacing w:after="0"/>
              <w:jc w:val="center"/>
              <w:rPr>
                <w:sz w:val="18"/>
                <w:lang w:val="en-US"/>
              </w:rPr>
            </w:pPr>
            <w:r w:rsidRPr="004570F2">
              <w:rPr>
                <w:sz w:val="18"/>
                <w:lang w:val="en-US"/>
              </w:rPr>
              <w:t>USA</w:t>
            </w:r>
          </w:p>
        </w:tc>
        <w:tc>
          <w:tcPr>
            <w:tcW w:w="995" w:type="dxa"/>
            <w:tcBorders>
              <w:top w:val="single" w:sz="8" w:space="0" w:color="283583"/>
              <w:left w:val="single" w:sz="8" w:space="0" w:color="283583"/>
              <w:bottom w:val="single" w:sz="8" w:space="0" w:color="283583"/>
              <w:right w:val="single" w:sz="36" w:space="0" w:color="303F9C"/>
            </w:tcBorders>
            <w:tcMar>
              <w:top w:w="28" w:type="dxa"/>
              <w:left w:w="57" w:type="dxa"/>
              <w:bottom w:w="28" w:type="dxa"/>
              <w:right w:w="57" w:type="dxa"/>
            </w:tcMar>
            <w:vAlign w:val="center"/>
          </w:tcPr>
          <w:p w14:paraId="4C97533B" w14:textId="3F99D382" w:rsidR="3E6A54AC" w:rsidRPr="00495051" w:rsidRDefault="29F63E85" w:rsidP="004570F2">
            <w:pPr>
              <w:spacing w:after="0"/>
              <w:jc w:val="center"/>
              <w:rPr>
                <w:sz w:val="18"/>
                <w:vertAlign w:val="superscript"/>
              </w:rPr>
            </w:pPr>
            <w:r w:rsidRPr="0C6BB572">
              <w:rPr>
                <w:sz w:val="18"/>
                <w:szCs w:val="18"/>
                <w:vertAlign w:val="superscript"/>
              </w:rPr>
              <w:t xml:space="preserve"> </w:t>
            </w:r>
            <w:r w:rsidR="3E6A54AC" w:rsidRPr="00495051">
              <w:rPr>
                <w:sz w:val="18"/>
                <w:vertAlign w:val="superscript"/>
              </w:rPr>
              <w:footnoteReference w:id="226"/>
            </w:r>
          </w:p>
        </w:tc>
      </w:tr>
      <w:tr w:rsidR="00BB182A" w14:paraId="050F4E34" w14:textId="77777777" w:rsidTr="00F82ABA">
        <w:trPr>
          <w:trHeight w:val="720"/>
        </w:trPr>
        <w:tc>
          <w:tcPr>
            <w:tcW w:w="1380" w:type="dxa"/>
            <w:tcBorders>
              <w:top w:val="single" w:sz="8" w:space="0" w:color="283583"/>
              <w:left w:val="single" w:sz="36" w:space="0" w:color="303F9C"/>
              <w:bottom w:val="single" w:sz="8" w:space="0" w:color="283583"/>
              <w:right w:val="single" w:sz="8" w:space="0" w:color="283583"/>
            </w:tcBorders>
            <w:shd w:val="clear" w:color="auto" w:fill="C1E4F5"/>
            <w:tcMar>
              <w:top w:w="28" w:type="dxa"/>
              <w:left w:w="57" w:type="dxa"/>
              <w:bottom w:w="28" w:type="dxa"/>
              <w:right w:w="57" w:type="dxa"/>
            </w:tcMar>
            <w:vAlign w:val="center"/>
          </w:tcPr>
          <w:p w14:paraId="48359FAC" w14:textId="08D63CBD" w:rsidR="3E6A54AC" w:rsidRPr="004570F2" w:rsidRDefault="3E6A54AC" w:rsidP="004570F2">
            <w:pPr>
              <w:spacing w:after="0"/>
              <w:jc w:val="center"/>
              <w:rPr>
                <w:color w:val="000000" w:themeColor="text1"/>
                <w:sz w:val="18"/>
              </w:rPr>
            </w:pPr>
            <w:r w:rsidRPr="004570F2">
              <w:rPr>
                <w:color w:val="000000" w:themeColor="text1"/>
                <w:sz w:val="18"/>
              </w:rPr>
              <w:t>Yeast</w:t>
            </w:r>
          </w:p>
          <w:p w14:paraId="177BD644" w14:textId="499DA3F8" w:rsidR="3E6A54AC" w:rsidRPr="004570F2" w:rsidRDefault="3E6A54AC" w:rsidP="004570F2">
            <w:pPr>
              <w:spacing w:after="0"/>
              <w:jc w:val="center"/>
              <w:rPr>
                <w:color w:val="000000" w:themeColor="text1"/>
                <w:sz w:val="18"/>
              </w:rPr>
            </w:pPr>
            <w:r w:rsidRPr="004570F2">
              <w:rPr>
                <w:color w:val="000000" w:themeColor="text1"/>
                <w:sz w:val="18"/>
              </w:rPr>
              <w:t>(</w:t>
            </w:r>
            <w:r w:rsidRPr="004570F2">
              <w:rPr>
                <w:i/>
                <w:color w:val="000000" w:themeColor="text1"/>
                <w:sz w:val="18"/>
              </w:rPr>
              <w:t>Saccharomyces cerevisiae</w:t>
            </w:r>
            <w:r w:rsidRPr="004570F2">
              <w:rPr>
                <w:color w:val="000000" w:themeColor="text1"/>
                <w:sz w:val="18"/>
              </w:rPr>
              <w:t>)</w:t>
            </w:r>
          </w:p>
        </w:tc>
        <w:tc>
          <w:tcPr>
            <w:tcW w:w="111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26EDD7D6" w14:textId="2FE28E3E" w:rsidR="3E6A54AC" w:rsidRPr="004570F2" w:rsidRDefault="3E6A54AC" w:rsidP="004570F2">
            <w:pPr>
              <w:spacing w:after="0"/>
              <w:jc w:val="center"/>
              <w:rPr>
                <w:color w:val="000000" w:themeColor="text1"/>
                <w:sz w:val="18"/>
              </w:rPr>
            </w:pPr>
            <w:r w:rsidRPr="004570F2">
              <w:rPr>
                <w:color w:val="000000" w:themeColor="text1"/>
                <w:sz w:val="18"/>
              </w:rPr>
              <w:t>Biomining - wastewater treatment</w:t>
            </w:r>
          </w:p>
        </w:tc>
        <w:tc>
          <w:tcPr>
            <w:tcW w:w="1278"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02D5C6FB" w14:textId="3FC03DA1" w:rsidR="3E6A54AC" w:rsidRPr="004570F2" w:rsidRDefault="3E6A54AC" w:rsidP="004570F2">
            <w:pPr>
              <w:spacing w:after="0"/>
              <w:jc w:val="center"/>
              <w:rPr>
                <w:sz w:val="18"/>
              </w:rPr>
            </w:pPr>
            <w:r w:rsidRPr="004570F2">
              <w:rPr>
                <w:sz w:val="18"/>
              </w:rPr>
              <w:t>Binding of cobalt</w:t>
            </w:r>
          </w:p>
        </w:tc>
        <w:tc>
          <w:tcPr>
            <w:tcW w:w="1602"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6BF65DD3" w14:textId="05D4D2EA" w:rsidR="3E6A54AC" w:rsidRPr="004570F2" w:rsidRDefault="3E6A54AC" w:rsidP="004570F2">
            <w:pPr>
              <w:spacing w:after="0"/>
              <w:jc w:val="center"/>
              <w:rPr>
                <w:sz w:val="18"/>
              </w:rPr>
            </w:pPr>
            <w:r w:rsidRPr="004570F2">
              <w:rPr>
                <w:sz w:val="18"/>
              </w:rPr>
              <w:t>Cobalt contamination in wastewater from mining operations</w:t>
            </w:r>
          </w:p>
        </w:tc>
        <w:tc>
          <w:tcPr>
            <w:tcW w:w="122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0F166A63" w14:textId="3578C6F6" w:rsidR="3E6A54AC" w:rsidRPr="004570F2" w:rsidRDefault="3E6A54AC" w:rsidP="004570F2">
            <w:pPr>
              <w:spacing w:after="0"/>
              <w:jc w:val="center"/>
              <w:rPr>
                <w:sz w:val="18"/>
              </w:rPr>
            </w:pPr>
            <w:r w:rsidRPr="004570F2">
              <w:rPr>
                <w:sz w:val="18"/>
              </w:rPr>
              <w:t>R&amp;D stage</w:t>
            </w:r>
          </w:p>
        </w:tc>
        <w:tc>
          <w:tcPr>
            <w:tcW w:w="943"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34194BBF" w14:textId="22783D2D" w:rsidR="3E6A54AC" w:rsidRPr="004570F2" w:rsidRDefault="3E6A54AC" w:rsidP="004570F2">
            <w:pPr>
              <w:spacing w:after="0"/>
              <w:jc w:val="center"/>
              <w:rPr>
                <w:color w:val="000000" w:themeColor="text1"/>
                <w:sz w:val="18"/>
              </w:rPr>
            </w:pPr>
            <w:r w:rsidRPr="004570F2">
              <w:rPr>
                <w:color w:val="000000" w:themeColor="text1"/>
                <w:sz w:val="18"/>
              </w:rPr>
              <w:t>USA</w:t>
            </w:r>
          </w:p>
        </w:tc>
        <w:tc>
          <w:tcPr>
            <w:tcW w:w="995" w:type="dxa"/>
            <w:tcBorders>
              <w:top w:val="single" w:sz="8" w:space="0" w:color="283583"/>
              <w:left w:val="single" w:sz="8" w:space="0" w:color="283583"/>
              <w:bottom w:val="single" w:sz="8" w:space="0" w:color="283583"/>
              <w:right w:val="single" w:sz="36" w:space="0" w:color="303F9C"/>
            </w:tcBorders>
            <w:tcMar>
              <w:top w:w="28" w:type="dxa"/>
              <w:left w:w="57" w:type="dxa"/>
              <w:bottom w:w="28" w:type="dxa"/>
              <w:right w:w="57" w:type="dxa"/>
            </w:tcMar>
            <w:vAlign w:val="center"/>
          </w:tcPr>
          <w:p w14:paraId="01730261" w14:textId="3C708103" w:rsidR="3E6A54AC" w:rsidRPr="00495051" w:rsidRDefault="29F63E85" w:rsidP="004570F2">
            <w:pPr>
              <w:spacing w:after="0"/>
              <w:jc w:val="center"/>
              <w:rPr>
                <w:sz w:val="18"/>
                <w:vertAlign w:val="superscript"/>
              </w:rPr>
            </w:pPr>
            <w:r w:rsidRPr="0C6BB572">
              <w:rPr>
                <w:sz w:val="18"/>
                <w:szCs w:val="18"/>
                <w:vertAlign w:val="superscript"/>
              </w:rPr>
              <w:t xml:space="preserve"> </w:t>
            </w:r>
            <w:r w:rsidR="3E6A54AC" w:rsidRPr="00495051">
              <w:rPr>
                <w:sz w:val="18"/>
                <w:vertAlign w:val="superscript"/>
              </w:rPr>
              <w:footnoteReference w:id="227"/>
            </w:r>
          </w:p>
        </w:tc>
      </w:tr>
      <w:tr w:rsidR="00BB182A" w14:paraId="0CAAC990" w14:textId="77777777" w:rsidTr="00F82ABA">
        <w:trPr>
          <w:trHeight w:val="720"/>
        </w:trPr>
        <w:tc>
          <w:tcPr>
            <w:tcW w:w="1380" w:type="dxa"/>
            <w:tcBorders>
              <w:top w:val="single" w:sz="8" w:space="0" w:color="283583"/>
              <w:left w:val="single" w:sz="36" w:space="0" w:color="303F9C"/>
              <w:bottom w:val="single" w:sz="8" w:space="0" w:color="283583"/>
              <w:right w:val="single" w:sz="8" w:space="0" w:color="283583"/>
            </w:tcBorders>
            <w:shd w:val="clear" w:color="auto" w:fill="C1E4F5"/>
            <w:tcMar>
              <w:top w:w="28" w:type="dxa"/>
              <w:left w:w="57" w:type="dxa"/>
              <w:bottom w:w="28" w:type="dxa"/>
              <w:right w:w="57" w:type="dxa"/>
            </w:tcMar>
            <w:vAlign w:val="center"/>
          </w:tcPr>
          <w:p w14:paraId="27786DB0" w14:textId="36C65DC2" w:rsidR="3E6A54AC" w:rsidRPr="004570F2" w:rsidRDefault="3E6A54AC" w:rsidP="004570F2">
            <w:pPr>
              <w:spacing w:after="0"/>
              <w:jc w:val="center"/>
              <w:rPr>
                <w:color w:val="000000" w:themeColor="text1"/>
                <w:sz w:val="18"/>
              </w:rPr>
            </w:pPr>
            <w:r w:rsidRPr="004570F2">
              <w:rPr>
                <w:color w:val="000000" w:themeColor="text1"/>
                <w:sz w:val="18"/>
              </w:rPr>
              <w:t>Microbial consortia</w:t>
            </w:r>
          </w:p>
        </w:tc>
        <w:tc>
          <w:tcPr>
            <w:tcW w:w="111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3FFCD345" w14:textId="27427520" w:rsidR="3E6A54AC" w:rsidRPr="004570F2" w:rsidRDefault="3E6A54AC" w:rsidP="004570F2">
            <w:pPr>
              <w:spacing w:after="0"/>
              <w:jc w:val="center"/>
              <w:rPr>
                <w:color w:val="000000" w:themeColor="text1"/>
                <w:sz w:val="18"/>
              </w:rPr>
            </w:pPr>
            <w:r w:rsidRPr="004570F2">
              <w:rPr>
                <w:color w:val="000000" w:themeColor="text1"/>
                <w:sz w:val="18"/>
              </w:rPr>
              <w:t>Construction materials – ink</w:t>
            </w:r>
          </w:p>
        </w:tc>
        <w:tc>
          <w:tcPr>
            <w:tcW w:w="1278"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3CED961D" w14:textId="5205F3CE" w:rsidR="3E6A54AC" w:rsidRPr="004570F2" w:rsidRDefault="3E6A54AC" w:rsidP="004570F2">
            <w:pPr>
              <w:spacing w:after="0"/>
              <w:jc w:val="center"/>
              <w:rPr>
                <w:sz w:val="18"/>
              </w:rPr>
            </w:pPr>
            <w:r w:rsidRPr="0C6BB572">
              <w:rPr>
                <w:sz w:val="18"/>
                <w:szCs w:val="18"/>
              </w:rPr>
              <w:t>Sequestration</w:t>
            </w:r>
            <w:r w:rsidRPr="004570F2">
              <w:rPr>
                <w:sz w:val="18"/>
              </w:rPr>
              <w:t xml:space="preserve"> of carbon, production of oxygen or degradation of pollutants</w:t>
            </w:r>
          </w:p>
        </w:tc>
        <w:tc>
          <w:tcPr>
            <w:tcW w:w="1602"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70AE03FF" w14:textId="4967116F" w:rsidR="3E6A54AC" w:rsidRPr="004570F2" w:rsidRDefault="3E6A54AC" w:rsidP="004570F2">
            <w:pPr>
              <w:spacing w:after="0"/>
              <w:jc w:val="center"/>
              <w:rPr>
                <w:sz w:val="18"/>
              </w:rPr>
            </w:pPr>
            <w:r w:rsidRPr="0C6BB572">
              <w:rPr>
                <w:sz w:val="18"/>
                <w:szCs w:val="18"/>
              </w:rPr>
              <w:t>Poor</w:t>
            </w:r>
            <w:r w:rsidRPr="004570F2">
              <w:rPr>
                <w:sz w:val="18"/>
              </w:rPr>
              <w:t xml:space="preserve"> air quality in built areas</w:t>
            </w:r>
          </w:p>
        </w:tc>
        <w:tc>
          <w:tcPr>
            <w:tcW w:w="1220"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378721D1" w14:textId="36DE0077" w:rsidR="3E6A54AC" w:rsidRPr="004570F2" w:rsidRDefault="3E6A54AC" w:rsidP="004570F2">
            <w:pPr>
              <w:spacing w:after="0"/>
              <w:jc w:val="center"/>
              <w:rPr>
                <w:sz w:val="18"/>
              </w:rPr>
            </w:pPr>
            <w:r w:rsidRPr="004570F2">
              <w:rPr>
                <w:sz w:val="18"/>
              </w:rPr>
              <w:t>R&amp;D stage</w:t>
            </w:r>
          </w:p>
        </w:tc>
        <w:tc>
          <w:tcPr>
            <w:tcW w:w="943" w:type="dxa"/>
            <w:tcBorders>
              <w:top w:val="single" w:sz="8" w:space="0" w:color="283583"/>
              <w:left w:val="single" w:sz="8" w:space="0" w:color="283583"/>
              <w:bottom w:val="single" w:sz="8" w:space="0" w:color="283583"/>
              <w:right w:val="single" w:sz="8" w:space="0" w:color="283583"/>
            </w:tcBorders>
            <w:tcMar>
              <w:top w:w="28" w:type="dxa"/>
              <w:left w:w="57" w:type="dxa"/>
              <w:bottom w:w="28" w:type="dxa"/>
              <w:right w:w="57" w:type="dxa"/>
            </w:tcMar>
            <w:vAlign w:val="center"/>
          </w:tcPr>
          <w:p w14:paraId="12DC2B07" w14:textId="7A96FD6B" w:rsidR="3E6A54AC" w:rsidRPr="004570F2" w:rsidRDefault="3E6A54AC" w:rsidP="004570F2">
            <w:pPr>
              <w:spacing w:after="0"/>
              <w:jc w:val="center"/>
              <w:rPr>
                <w:color w:val="000000" w:themeColor="text1"/>
                <w:sz w:val="18"/>
              </w:rPr>
            </w:pPr>
            <w:r w:rsidRPr="004570F2">
              <w:rPr>
                <w:color w:val="000000" w:themeColor="text1"/>
                <w:sz w:val="18"/>
              </w:rPr>
              <w:t>EU</w:t>
            </w:r>
          </w:p>
        </w:tc>
        <w:tc>
          <w:tcPr>
            <w:tcW w:w="995" w:type="dxa"/>
            <w:tcBorders>
              <w:top w:val="single" w:sz="8" w:space="0" w:color="283583"/>
              <w:left w:val="single" w:sz="8" w:space="0" w:color="283583"/>
              <w:bottom w:val="single" w:sz="8" w:space="0" w:color="283583"/>
              <w:right w:val="single" w:sz="36" w:space="0" w:color="303F9C"/>
            </w:tcBorders>
            <w:tcMar>
              <w:top w:w="28" w:type="dxa"/>
              <w:left w:w="57" w:type="dxa"/>
              <w:bottom w:w="28" w:type="dxa"/>
              <w:right w:w="57" w:type="dxa"/>
            </w:tcMar>
            <w:vAlign w:val="center"/>
          </w:tcPr>
          <w:p w14:paraId="3951419E" w14:textId="0D64E4E6" w:rsidR="3E6A54AC" w:rsidRPr="004570F2" w:rsidRDefault="3E6A54AC" w:rsidP="004570F2">
            <w:pPr>
              <w:spacing w:after="0"/>
              <w:jc w:val="center"/>
              <w:rPr>
                <w:sz w:val="18"/>
                <w:vertAlign w:val="superscript"/>
              </w:rPr>
            </w:pPr>
            <w:r w:rsidRPr="00495051">
              <w:rPr>
                <w:sz w:val="18"/>
                <w:vertAlign w:val="superscript"/>
              </w:rPr>
              <w:footnoteReference w:id="228"/>
            </w:r>
            <w:r w:rsidR="197E8378" w:rsidRPr="004570F2">
              <w:rPr>
                <w:sz w:val="18"/>
                <w:vertAlign w:val="superscript"/>
              </w:rPr>
              <w:t>,</w:t>
            </w:r>
            <w:r w:rsidR="197E8378" w:rsidRPr="0C6BB572">
              <w:rPr>
                <w:sz w:val="18"/>
                <w:szCs w:val="18"/>
                <w:vertAlign w:val="superscript"/>
              </w:rPr>
              <w:t xml:space="preserve"> </w:t>
            </w:r>
            <w:r w:rsidRPr="00495051">
              <w:rPr>
                <w:sz w:val="18"/>
                <w:vertAlign w:val="superscript"/>
              </w:rPr>
              <w:footnoteReference w:id="229"/>
            </w:r>
            <w:r w:rsidR="29F63E85" w:rsidRPr="0C6BB572">
              <w:rPr>
                <w:sz w:val="18"/>
                <w:szCs w:val="18"/>
                <w:vertAlign w:val="superscript"/>
              </w:rPr>
              <w:t xml:space="preserve"> </w:t>
            </w:r>
          </w:p>
        </w:tc>
      </w:tr>
      <w:tr w:rsidR="00BB182A" w14:paraId="46D19D81" w14:textId="77777777" w:rsidTr="00F82ABA">
        <w:trPr>
          <w:trHeight w:val="720"/>
        </w:trPr>
        <w:tc>
          <w:tcPr>
            <w:tcW w:w="1380" w:type="dxa"/>
            <w:tcBorders>
              <w:top w:val="single" w:sz="8" w:space="0" w:color="283583"/>
              <w:left w:val="single" w:sz="36" w:space="0" w:color="303F9C"/>
              <w:bottom w:val="single" w:sz="36" w:space="0" w:color="303F9C"/>
              <w:right w:val="single" w:sz="8" w:space="0" w:color="283583"/>
            </w:tcBorders>
            <w:shd w:val="clear" w:color="auto" w:fill="C1E4F5"/>
            <w:tcMar>
              <w:top w:w="28" w:type="dxa"/>
              <w:left w:w="57" w:type="dxa"/>
              <w:bottom w:w="28" w:type="dxa"/>
              <w:right w:w="57" w:type="dxa"/>
            </w:tcMar>
            <w:vAlign w:val="center"/>
          </w:tcPr>
          <w:p w14:paraId="625FF310" w14:textId="4950F322" w:rsidR="3E6A54AC" w:rsidRPr="004570F2" w:rsidRDefault="3E6A54AC" w:rsidP="004570F2">
            <w:pPr>
              <w:spacing w:after="0"/>
              <w:jc w:val="center"/>
              <w:rPr>
                <w:i/>
                <w:color w:val="000000" w:themeColor="text1"/>
                <w:sz w:val="18"/>
              </w:rPr>
            </w:pPr>
            <w:r w:rsidRPr="004570F2">
              <w:rPr>
                <w:color w:val="000000" w:themeColor="text1"/>
                <w:sz w:val="18"/>
              </w:rPr>
              <w:t>Bacteria (</w:t>
            </w:r>
            <w:r w:rsidRPr="004570F2">
              <w:rPr>
                <w:i/>
                <w:color w:val="000000" w:themeColor="text1"/>
                <w:sz w:val="18"/>
              </w:rPr>
              <w:t>Streptococcus mutans)</w:t>
            </w:r>
          </w:p>
        </w:tc>
        <w:tc>
          <w:tcPr>
            <w:tcW w:w="1110" w:type="dxa"/>
            <w:tcBorders>
              <w:top w:val="single" w:sz="8" w:space="0" w:color="283583"/>
              <w:left w:val="single" w:sz="8" w:space="0" w:color="283583"/>
              <w:bottom w:val="single" w:sz="36" w:space="0" w:color="303F9C"/>
              <w:right w:val="single" w:sz="8" w:space="0" w:color="283583"/>
            </w:tcBorders>
            <w:tcMar>
              <w:top w:w="28" w:type="dxa"/>
              <w:left w:w="57" w:type="dxa"/>
              <w:bottom w:w="28" w:type="dxa"/>
              <w:right w:w="57" w:type="dxa"/>
            </w:tcMar>
            <w:vAlign w:val="center"/>
          </w:tcPr>
          <w:p w14:paraId="2B50B518" w14:textId="1214A2DF" w:rsidR="3E6A54AC" w:rsidRPr="004570F2" w:rsidRDefault="3E6A54AC" w:rsidP="004570F2">
            <w:pPr>
              <w:spacing w:after="0"/>
              <w:jc w:val="center"/>
              <w:rPr>
                <w:sz w:val="18"/>
              </w:rPr>
            </w:pPr>
            <w:r w:rsidRPr="004570F2">
              <w:rPr>
                <w:sz w:val="18"/>
              </w:rPr>
              <w:t xml:space="preserve">Cosmetics – </w:t>
            </w:r>
            <w:r w:rsidRPr="0C6BB572">
              <w:rPr>
                <w:sz w:val="18"/>
                <w:szCs w:val="18"/>
              </w:rPr>
              <w:t>dental</w:t>
            </w:r>
            <w:r w:rsidRPr="004570F2">
              <w:rPr>
                <w:sz w:val="18"/>
              </w:rPr>
              <w:t xml:space="preserve"> care</w:t>
            </w:r>
          </w:p>
        </w:tc>
        <w:tc>
          <w:tcPr>
            <w:tcW w:w="1278" w:type="dxa"/>
            <w:tcBorders>
              <w:top w:val="single" w:sz="8" w:space="0" w:color="283583"/>
              <w:left w:val="single" w:sz="8" w:space="0" w:color="283583"/>
              <w:bottom w:val="single" w:sz="36" w:space="0" w:color="303F9C"/>
              <w:right w:val="single" w:sz="8" w:space="0" w:color="283583"/>
            </w:tcBorders>
            <w:tcMar>
              <w:top w:w="28" w:type="dxa"/>
              <w:left w:w="57" w:type="dxa"/>
              <w:bottom w:w="28" w:type="dxa"/>
              <w:right w:w="57" w:type="dxa"/>
            </w:tcMar>
            <w:vAlign w:val="center"/>
          </w:tcPr>
          <w:p w14:paraId="23ACCBAA" w14:textId="222CA209" w:rsidR="3E6A54AC" w:rsidRPr="004570F2" w:rsidRDefault="3E6A54AC" w:rsidP="004570F2">
            <w:pPr>
              <w:spacing w:after="0"/>
              <w:jc w:val="center"/>
              <w:rPr>
                <w:sz w:val="18"/>
              </w:rPr>
            </w:pPr>
            <w:r w:rsidRPr="0C6BB572">
              <w:rPr>
                <w:sz w:val="18"/>
                <w:szCs w:val="18"/>
              </w:rPr>
              <w:t>Conversion of sugar</w:t>
            </w:r>
            <w:r w:rsidRPr="004570F2">
              <w:rPr>
                <w:sz w:val="18"/>
              </w:rPr>
              <w:t xml:space="preserve"> into alcohol instead of lactic acid</w:t>
            </w:r>
          </w:p>
        </w:tc>
        <w:tc>
          <w:tcPr>
            <w:tcW w:w="1602" w:type="dxa"/>
            <w:tcBorders>
              <w:top w:val="single" w:sz="8" w:space="0" w:color="283583"/>
              <w:left w:val="single" w:sz="8" w:space="0" w:color="283583"/>
              <w:bottom w:val="single" w:sz="36" w:space="0" w:color="303F9C"/>
              <w:right w:val="single" w:sz="8" w:space="0" w:color="283583"/>
            </w:tcBorders>
            <w:tcMar>
              <w:top w:w="28" w:type="dxa"/>
              <w:left w:w="57" w:type="dxa"/>
              <w:bottom w:w="28" w:type="dxa"/>
              <w:right w:w="57" w:type="dxa"/>
            </w:tcMar>
            <w:vAlign w:val="center"/>
          </w:tcPr>
          <w:p w14:paraId="0B35A7AF" w14:textId="25510864" w:rsidR="3E6A54AC" w:rsidRPr="004570F2" w:rsidRDefault="3E6A54AC" w:rsidP="004570F2">
            <w:pPr>
              <w:spacing w:after="0"/>
              <w:jc w:val="center"/>
              <w:rPr>
                <w:sz w:val="18"/>
              </w:rPr>
            </w:pPr>
            <w:r w:rsidRPr="004570F2">
              <w:rPr>
                <w:sz w:val="18"/>
              </w:rPr>
              <w:t>Tooth decay</w:t>
            </w:r>
          </w:p>
        </w:tc>
        <w:tc>
          <w:tcPr>
            <w:tcW w:w="1220" w:type="dxa"/>
            <w:tcBorders>
              <w:top w:val="single" w:sz="8" w:space="0" w:color="283583"/>
              <w:left w:val="single" w:sz="8" w:space="0" w:color="283583"/>
              <w:bottom w:val="single" w:sz="36" w:space="0" w:color="303F9C"/>
              <w:right w:val="single" w:sz="8" w:space="0" w:color="283583"/>
            </w:tcBorders>
            <w:tcMar>
              <w:top w:w="28" w:type="dxa"/>
              <w:left w:w="57" w:type="dxa"/>
              <w:bottom w:w="28" w:type="dxa"/>
              <w:right w:w="57" w:type="dxa"/>
            </w:tcMar>
            <w:vAlign w:val="center"/>
          </w:tcPr>
          <w:p w14:paraId="3A21DFE5" w14:textId="30BBA4FE" w:rsidR="3E6A54AC" w:rsidRPr="004570F2" w:rsidRDefault="3E6A54AC" w:rsidP="004570F2">
            <w:pPr>
              <w:spacing w:after="0"/>
              <w:jc w:val="center"/>
              <w:rPr>
                <w:color w:val="000000" w:themeColor="text1"/>
                <w:sz w:val="18"/>
              </w:rPr>
            </w:pPr>
            <w:r w:rsidRPr="004570F2">
              <w:rPr>
                <w:color w:val="000000" w:themeColor="text1"/>
                <w:sz w:val="18"/>
              </w:rPr>
              <w:t>Commercial</w:t>
            </w:r>
          </w:p>
        </w:tc>
        <w:tc>
          <w:tcPr>
            <w:tcW w:w="943" w:type="dxa"/>
            <w:tcBorders>
              <w:top w:val="single" w:sz="8" w:space="0" w:color="283583"/>
              <w:left w:val="single" w:sz="8" w:space="0" w:color="283583"/>
              <w:bottom w:val="single" w:sz="36" w:space="0" w:color="303F9C"/>
              <w:right w:val="single" w:sz="8" w:space="0" w:color="283583"/>
            </w:tcBorders>
            <w:tcMar>
              <w:top w:w="28" w:type="dxa"/>
              <w:left w:w="57" w:type="dxa"/>
              <w:bottom w:w="28" w:type="dxa"/>
              <w:right w:w="57" w:type="dxa"/>
            </w:tcMar>
            <w:vAlign w:val="center"/>
          </w:tcPr>
          <w:p w14:paraId="024F9FD7" w14:textId="3BBC23BA" w:rsidR="3E6A54AC" w:rsidRPr="004570F2" w:rsidRDefault="3E6A54AC" w:rsidP="004570F2">
            <w:pPr>
              <w:spacing w:after="0"/>
              <w:jc w:val="center"/>
              <w:rPr>
                <w:sz w:val="18"/>
              </w:rPr>
            </w:pPr>
            <w:r w:rsidRPr="004570F2">
              <w:rPr>
                <w:sz w:val="18"/>
              </w:rPr>
              <w:t>USA</w:t>
            </w:r>
          </w:p>
        </w:tc>
        <w:tc>
          <w:tcPr>
            <w:tcW w:w="995" w:type="dxa"/>
            <w:tcBorders>
              <w:top w:val="single" w:sz="8" w:space="0" w:color="283583"/>
              <w:left w:val="single" w:sz="8" w:space="0" w:color="283583"/>
              <w:bottom w:val="single" w:sz="36" w:space="0" w:color="303F9C"/>
              <w:right w:val="single" w:sz="36" w:space="0" w:color="303F9C"/>
            </w:tcBorders>
            <w:tcMar>
              <w:top w:w="28" w:type="dxa"/>
              <w:left w:w="57" w:type="dxa"/>
              <w:bottom w:w="28" w:type="dxa"/>
              <w:right w:w="57" w:type="dxa"/>
            </w:tcMar>
            <w:vAlign w:val="center"/>
          </w:tcPr>
          <w:p w14:paraId="207DDC88" w14:textId="29B574C0" w:rsidR="3E6A54AC" w:rsidRPr="004570F2" w:rsidRDefault="3E6A54AC" w:rsidP="004570F2">
            <w:pPr>
              <w:spacing w:after="0"/>
              <w:jc w:val="center"/>
              <w:rPr>
                <w:sz w:val="18"/>
                <w:vertAlign w:val="superscript"/>
              </w:rPr>
            </w:pPr>
            <w:r w:rsidRPr="004570F2">
              <w:rPr>
                <w:sz w:val="18"/>
                <w:vertAlign w:val="superscript"/>
              </w:rPr>
              <w:footnoteReference w:id="230"/>
            </w:r>
            <w:r w:rsidR="3B67A473" w:rsidRPr="004570F2">
              <w:rPr>
                <w:sz w:val="18"/>
                <w:vertAlign w:val="superscript"/>
              </w:rPr>
              <w:t xml:space="preserve">, </w:t>
            </w:r>
            <w:r w:rsidRPr="004570F2">
              <w:rPr>
                <w:sz w:val="18"/>
                <w:vertAlign w:val="superscript"/>
              </w:rPr>
              <w:footnoteReference w:id="231"/>
            </w:r>
            <w:r w:rsidR="677949C2" w:rsidRPr="0C6BB572">
              <w:rPr>
                <w:sz w:val="18"/>
                <w:szCs w:val="18"/>
                <w:vertAlign w:val="superscript"/>
              </w:rPr>
              <w:t xml:space="preserve">, </w:t>
            </w:r>
            <w:r w:rsidRPr="0C6BB572">
              <w:rPr>
                <w:sz w:val="18"/>
                <w:szCs w:val="18"/>
                <w:vertAlign w:val="superscript"/>
              </w:rPr>
              <w:footnoteReference w:id="232"/>
            </w:r>
          </w:p>
        </w:tc>
      </w:tr>
    </w:tbl>
    <w:p w14:paraId="0900701E" w14:textId="314CA060" w:rsidR="55032AB3" w:rsidRDefault="42D606C0" w:rsidP="004570F2">
      <w:pPr>
        <w:spacing w:before="240" w:after="120" w:line="257" w:lineRule="auto"/>
        <w:rPr>
          <w:rFonts w:eastAsia="Times New Roman"/>
        </w:rPr>
      </w:pPr>
      <w:r w:rsidRPr="41BEE9DA">
        <w:rPr>
          <w:rFonts w:eastAsia="Times New Roman"/>
        </w:rPr>
        <w:lastRenderedPageBreak/>
        <w:t>In addition, the Commission asked EFSA, in the context of its scientific opinion on new developments in biotechnology applied to micro-organisms</w:t>
      </w:r>
      <w:r w:rsidR="00515917">
        <w:rPr>
          <w:rStyle w:val="FootnoteReference"/>
          <w:rFonts w:eastAsia="Times New Roman"/>
        </w:rPr>
        <w:footnoteReference w:id="233"/>
      </w:r>
      <w:r w:rsidRPr="41BEE9DA">
        <w:rPr>
          <w:rFonts w:eastAsia="Times New Roman"/>
        </w:rPr>
        <w:t>, to produce a horizon scan on micro-organisms and their products obtained by new developments in biotechnology</w:t>
      </w:r>
      <w:r w:rsidR="00515917">
        <w:rPr>
          <w:rStyle w:val="FootnoteReference"/>
          <w:rFonts w:eastAsia="Times New Roman"/>
        </w:rPr>
        <w:footnoteReference w:id="234"/>
      </w:r>
      <w:r w:rsidRPr="41BEE9DA">
        <w:rPr>
          <w:rFonts w:eastAsia="Times New Roman"/>
        </w:rPr>
        <w:t xml:space="preserve">. The </w:t>
      </w:r>
      <w:r w:rsidRPr="41BEE9DA">
        <w:rPr>
          <w:rFonts w:eastAsia="Times New Roman"/>
          <w:b/>
          <w:bCs/>
        </w:rPr>
        <w:t>EFSA horizon scan</w:t>
      </w:r>
      <w:r w:rsidRPr="41BEE9DA">
        <w:rPr>
          <w:rFonts w:eastAsia="Times New Roman"/>
        </w:rPr>
        <w:t xml:space="preserve"> found that there is significant activity in the development of innovative GMMs by both private and public/academic entities but noted that the majority of the identified GMMs originated from the USA or China, while only a limited number were developed within the EU. EFSA identified 35 products making use of GMMs obtained by NGTs, which was the focus of the horizon scan, and primarily in the food and feed area, that are currently on the market in third countries or expected to come to the market within the next 10 years. About half of these products would contain the living micro-organism (and would therefore fall in the scope of Directive 2001/18/EC), while the other half would be derived from the GMM without containing living cells. The used micro-organisms included yeasts, bacteria, fungi and microalgae. About a quarter of the identified products were developed using a combination of NGTs and established genomic techniques. </w:t>
      </w:r>
    </w:p>
    <w:p w14:paraId="4CCA5811" w14:textId="2F6C81D6" w:rsidR="55032AB3" w:rsidRDefault="55032AB3" w:rsidP="41BEE9DA">
      <w:pPr>
        <w:spacing w:after="160" w:line="257" w:lineRule="auto"/>
        <w:rPr>
          <w:rFonts w:eastAsia="Times New Roman"/>
        </w:rPr>
      </w:pPr>
      <w:r w:rsidRPr="41BEE9DA">
        <w:rPr>
          <w:rFonts w:eastAsia="Times New Roman"/>
        </w:rPr>
        <w:t>To complement this horizon scan, EFSA conducted an online call for data in March/April 2023. The results of this call are presented in the above-named scientific opinion. This call largely confirmed the trends identified in the horizon scan, while a higher proportion (75%) of the reported products in development made use of a combination of NGTs and established genomic techniques.</w:t>
      </w:r>
    </w:p>
    <w:p w14:paraId="43F8B23E" w14:textId="70BDC4AF" w:rsidR="55032AB3" w:rsidRDefault="55032AB3" w:rsidP="00BB711A">
      <w:pPr>
        <w:pStyle w:val="Heading3"/>
      </w:pPr>
      <w:bookmarkStart w:id="298" w:name="_Toc225969812"/>
      <w:bookmarkStart w:id="299" w:name="_Toc225979144"/>
      <w:r w:rsidRPr="41BEE9DA">
        <w:t>Case Study: GMMs for Biological Nitrogen Fixation</w:t>
      </w:r>
      <w:bookmarkEnd w:id="298"/>
      <w:bookmarkEnd w:id="299"/>
    </w:p>
    <w:p w14:paraId="59EED46E" w14:textId="71EB03B4" w:rsidR="55032AB3" w:rsidRDefault="42D606C0" w:rsidP="41BEE9DA">
      <w:pPr>
        <w:spacing w:after="160" w:line="257" w:lineRule="auto"/>
      </w:pPr>
      <w:r w:rsidRPr="41BEE9DA">
        <w:rPr>
          <w:rFonts w:eastAsia="Times New Roman"/>
        </w:rPr>
        <w:t>The most advanced application of GMMs for environmental release are biofertilisers. A practical approach to reducing dependency on synthetic fertilisers is through biological nitrogen fixation (BNF) by genetically modifying nitrogen-fixing bacteria to enhance their ability to supply crops with sufficient nitrogen. This specific use is investigated by the JRC with a case study explained below</w:t>
      </w:r>
      <w:r w:rsidR="00515917">
        <w:rPr>
          <w:rStyle w:val="FootnoteReference"/>
          <w:rFonts w:eastAsia="Times New Roman"/>
        </w:rPr>
        <w:footnoteReference w:id="235"/>
      </w:r>
      <w:r w:rsidRPr="41BEE9DA">
        <w:rPr>
          <w:rFonts w:eastAsia="Times New Roman"/>
        </w:rPr>
        <w:t>.</w:t>
      </w:r>
    </w:p>
    <w:p w14:paraId="5C92AC35" w14:textId="48A098AE" w:rsidR="55032AB3" w:rsidRDefault="55032AB3" w:rsidP="41BEE9DA">
      <w:pPr>
        <w:spacing w:after="160" w:line="257" w:lineRule="auto"/>
      </w:pPr>
      <w:r w:rsidRPr="41BEE9DA">
        <w:rPr>
          <w:rFonts w:eastAsia="Times New Roman"/>
        </w:rPr>
        <w:t xml:space="preserve">While synthetic fertilisers have driven unprecedented increases in crop yields, the dependence on them raises farmers’ production costs, increases energy demand, and harms the environment, contributing to greenhouse gas emissions and water contamination. A key solution to mitigate these economic and ecological impacts is replacing synthetic nitrogen inputs with nitrogen from BNF, a natural process in which soil micro-organisms convert atmospheric nitrogen into plant-available ammonia. One approach to reducing fertiliser dependency through BNF is by genetically modifying nitrogen-fixing bacteria to </w:t>
      </w:r>
      <w:r w:rsidRPr="41BEE9DA">
        <w:rPr>
          <w:rFonts w:eastAsia="Times New Roman"/>
        </w:rPr>
        <w:lastRenderedPageBreak/>
        <w:t>enhance their ability to supply crops with sufficient nitrogen while ensuring the GMMs remain competitive and thrive in soil conditions.</w:t>
      </w:r>
    </w:p>
    <w:p w14:paraId="16664F75" w14:textId="32D75531" w:rsidR="55032AB3" w:rsidRDefault="2D50D883" w:rsidP="08FDD09A">
      <w:pPr>
        <w:spacing w:after="160" w:line="257" w:lineRule="auto"/>
      </w:pPr>
      <w:r w:rsidRPr="0040766D">
        <w:rPr>
          <w:rFonts w:eastAsia="Times New Roman"/>
        </w:rPr>
        <w:t xml:space="preserve"> At present, at least four companies are developing GMM products to address BNF in crops. The most advanced of these companies in terms of market readiness recently launched their third generation of a GMM-based nitrogen-fixation solution in the USA, building on their first- and second-generation products introduced to the U.S. market in 2019 and 2021, respectively. In addition, this company is preparing the market entry in Brazil awaiting the approval of their commercial registration of their products. The products are</w:t>
      </w:r>
      <w:r w:rsidR="42D606C0" w:rsidRPr="08FDD09A">
        <w:rPr>
          <w:rFonts w:eastAsia="Times New Roman"/>
        </w:rPr>
        <w:t xml:space="preserve"> designed to enhance BNF in nitrogen-rich agricultural soils – a situation typical for European agriculture. The GMM</w:t>
      </w:r>
      <w:r w:rsidR="4AA55B6B" w:rsidRPr="08FDD09A">
        <w:rPr>
          <w:rFonts w:eastAsia="Times New Roman"/>
        </w:rPr>
        <w:t>s</w:t>
      </w:r>
      <w:r w:rsidR="42D606C0" w:rsidRPr="08FDD09A">
        <w:rPr>
          <w:rFonts w:eastAsia="Times New Roman"/>
        </w:rPr>
        <w:t xml:space="preserve"> </w:t>
      </w:r>
      <w:r w:rsidR="2AAEB92F" w:rsidRPr="08FDD09A">
        <w:rPr>
          <w:rFonts w:eastAsia="Times New Roman"/>
        </w:rPr>
        <w:t>are</w:t>
      </w:r>
      <w:r w:rsidR="42D606C0" w:rsidRPr="08FDD09A">
        <w:rPr>
          <w:rFonts w:eastAsia="Times New Roman"/>
        </w:rPr>
        <w:t xml:space="preserve"> modified through targeted mutagenesis to convert nitrogen to ammonia, which in turn can readily be taken up and used by plants. Beyond the most used </w:t>
      </w:r>
      <w:r w:rsidR="2C232BC7" w:rsidRPr="08FDD09A">
        <w:rPr>
          <w:rFonts w:eastAsia="Times New Roman"/>
        </w:rPr>
        <w:t>products</w:t>
      </w:r>
      <w:r w:rsidR="42D606C0" w:rsidRPr="08FDD09A">
        <w:rPr>
          <w:rFonts w:eastAsia="Times New Roman"/>
        </w:rPr>
        <w:t xml:space="preserve"> to support the cultivation of maize, related formulations are marketed for cotton, sorghum and millet, and for small grains and oilseeds including wheat, oats, barley, rye,  and sunflower. After commercial launch of the </w:t>
      </w:r>
      <w:r w:rsidR="37D34358" w:rsidRPr="08FDD09A">
        <w:rPr>
          <w:rFonts w:eastAsia="Times New Roman"/>
        </w:rPr>
        <w:t xml:space="preserve">first-generation </w:t>
      </w:r>
      <w:r w:rsidR="42D606C0" w:rsidRPr="08FDD09A">
        <w:rPr>
          <w:rFonts w:eastAsia="Times New Roman"/>
        </w:rPr>
        <w:t xml:space="preserve">GMM in 2019, </w:t>
      </w:r>
      <w:r w:rsidR="791B460A" w:rsidRPr="08FDD09A">
        <w:rPr>
          <w:rFonts w:eastAsia="Times New Roman"/>
        </w:rPr>
        <w:t>the products have</w:t>
      </w:r>
      <w:r w:rsidR="42D606C0" w:rsidRPr="08FDD09A">
        <w:rPr>
          <w:rFonts w:eastAsia="Times New Roman"/>
        </w:rPr>
        <w:t xml:space="preserve"> been used on </w:t>
      </w:r>
      <w:r w:rsidR="1074EE89" w:rsidRPr="08FDD09A">
        <w:rPr>
          <w:rFonts w:eastAsia="Times New Roman"/>
        </w:rPr>
        <w:t>at least</w:t>
      </w:r>
      <w:r w:rsidR="42D606C0" w:rsidRPr="08FDD09A">
        <w:rPr>
          <w:rFonts w:eastAsia="Times New Roman"/>
        </w:rPr>
        <w:t xml:space="preserve"> 2 million hectares</w:t>
      </w:r>
      <w:r w:rsidR="2E520346" w:rsidRPr="08FDD09A">
        <w:rPr>
          <w:rFonts w:eastAsia="Times New Roman"/>
        </w:rPr>
        <w:t xml:space="preserve"> of maize</w:t>
      </w:r>
      <w:r w:rsidR="42D606C0" w:rsidRPr="08FDD09A">
        <w:rPr>
          <w:rFonts w:eastAsia="Times New Roman"/>
        </w:rPr>
        <w:t xml:space="preserve"> across the U.S.</w:t>
      </w:r>
    </w:p>
    <w:p w14:paraId="1FC9E260" w14:textId="3D9751A7" w:rsidR="55032AB3" w:rsidRDefault="42D606C0" w:rsidP="08FDD09A">
      <w:pPr>
        <w:spacing w:after="160" w:line="257" w:lineRule="auto"/>
        <w:rPr>
          <w:rFonts w:eastAsia="Times New Roman"/>
          <w:u w:val="single"/>
        </w:rPr>
      </w:pPr>
      <w:r w:rsidRPr="08FDD09A">
        <w:rPr>
          <w:rFonts w:eastAsia="Times New Roman"/>
        </w:rPr>
        <w:t>The GMM product</w:t>
      </w:r>
      <w:r w:rsidR="6F6F5465" w:rsidRPr="08FDD09A">
        <w:rPr>
          <w:rFonts w:eastAsia="Times New Roman"/>
        </w:rPr>
        <w:t>s</w:t>
      </w:r>
      <w:r w:rsidRPr="08FDD09A">
        <w:rPr>
          <w:rFonts w:eastAsia="Times New Roman"/>
        </w:rPr>
        <w:t xml:space="preserve"> ha</w:t>
      </w:r>
      <w:r w:rsidR="17914E5B" w:rsidRPr="08FDD09A">
        <w:rPr>
          <w:rFonts w:eastAsia="Times New Roman"/>
        </w:rPr>
        <w:t>ve</w:t>
      </w:r>
      <w:r w:rsidRPr="08FDD09A">
        <w:rPr>
          <w:rFonts w:eastAsia="Times New Roman"/>
        </w:rPr>
        <w:t xml:space="preserve"> been tested in multiple academic trials, third-party substitution trials, and more than 3,000 commercial farm fields, primarily in maize under U.S. agronomic conditions. </w:t>
      </w:r>
      <w:r w:rsidR="5BAC84B1" w:rsidRPr="08FDD09A">
        <w:rPr>
          <w:rFonts w:eastAsia="Times New Roman"/>
        </w:rPr>
        <w:t xml:space="preserve"> </w:t>
      </w:r>
      <w:r w:rsidR="5BAC84B1" w:rsidRPr="00B20264">
        <w:rPr>
          <w:rFonts w:eastAsia="Times New Roman"/>
        </w:rPr>
        <w:t>Across different sources (peer</w:t>
      </w:r>
      <w:r w:rsidR="55032AB3">
        <w:noBreakHyphen/>
      </w:r>
      <w:r w:rsidR="5BAC84B1" w:rsidRPr="00B20264">
        <w:rPr>
          <w:rFonts w:eastAsia="Times New Roman"/>
        </w:rPr>
        <w:t>reviewed studies, commercial on</w:t>
      </w:r>
      <w:r w:rsidR="55032AB3">
        <w:noBreakHyphen/>
      </w:r>
      <w:r w:rsidR="5BAC84B1" w:rsidRPr="00B20264">
        <w:rPr>
          <w:rFonts w:eastAsia="Times New Roman"/>
        </w:rPr>
        <w:t xml:space="preserve">farm trials, university field trials, company reports and independent research organisations) the reported nitrogen (N) replacement values ranged from roughly 10 kg N/ha up to 50 kg N/ha. Corresponding yield increases over the use of traditional fertilisers varied between 0.10 and 0.80 t/ha resulting in income gains for farmers of typically between €20 and €60/ha per harvest. Disregarding any potential yield gains and considering the price of the product calculated by the company, traditional nitrogen sources can be replaced by the biofertiliser at no greater costs for farmers if nitrogen costs range between €0.94 per kg N (assuming 50 kg N/ha replacement) and €4.70 per kg N (assuming 10 kg N/ha replacement). Lower product costs, higher nitrogen prices or greater nitrogen placement would render the biofertiliser more cost effective than traditional solutions. Based on the recorded prices of nitrogen, having fluctuated between €0.53 and €1.73 per kg N over the past five years and given that the latest geopolitical disruptions signal towards higher fertilizer prices in the short to midterm, using the biofertiliser appears to be economically viable in the majority of use scenarios and in some situations would be economically beneficial for farmers in comparison to the use of traditional nitrogen sources. The latter is further supported when taking into account the modest yield increases the GMM product can deliver over the use of traditional fertilisers. </w:t>
      </w:r>
    </w:p>
    <w:p w14:paraId="491411D4" w14:textId="71243CB8" w:rsidR="55032AB3" w:rsidRDefault="1896816A" w:rsidP="08FDD09A">
      <w:pPr>
        <w:spacing w:after="160" w:line="257" w:lineRule="auto"/>
        <w:rPr>
          <w:rFonts w:eastAsia="Times New Roman"/>
        </w:rPr>
      </w:pPr>
      <w:r w:rsidRPr="008C33C7">
        <w:rPr>
          <w:rFonts w:eastAsia="Times New Roman"/>
        </w:rPr>
        <w:t xml:space="preserve">In addition, this economic evaluation is not considering environmental benefits that may be considerable when broader adoption of biofertilisers occurs. For example, </w:t>
      </w:r>
      <w:r w:rsidR="5C99AAC2" w:rsidRPr="08FDD09A">
        <w:rPr>
          <w:rFonts w:eastAsia="Times New Roman"/>
        </w:rPr>
        <w:t>a</w:t>
      </w:r>
      <w:r w:rsidR="42D606C0" w:rsidRPr="08FDD09A">
        <w:rPr>
          <w:rFonts w:eastAsia="Times New Roman"/>
        </w:rPr>
        <w:t>ccording to company estimates, widespread adoption across the U.S. maize cultivation area could reduce synthetic nitrogen fertilizer use by approximately 12</w:t>
      </w:r>
      <w:r w:rsidR="006856C2">
        <w:rPr>
          <w:rFonts w:eastAsia="Times New Roman"/>
        </w:rPr>
        <w:t>%</w:t>
      </w:r>
      <w:r w:rsidR="42D606C0" w:rsidRPr="08FDD09A">
        <w:rPr>
          <w:rFonts w:eastAsia="Times New Roman"/>
        </w:rPr>
        <w:t>, with associated reductions in greenhouse gas emissions and nitrate losses. One study demonstrated that use of the GMM</w:t>
      </w:r>
      <w:r w:rsidR="29D93B90" w:rsidRPr="08FDD09A">
        <w:rPr>
          <w:rFonts w:eastAsia="Times New Roman"/>
        </w:rPr>
        <w:t xml:space="preserve"> product</w:t>
      </w:r>
      <w:r w:rsidR="42D606C0" w:rsidRPr="08FDD09A">
        <w:rPr>
          <w:rFonts w:eastAsia="Times New Roman"/>
        </w:rPr>
        <w:t xml:space="preserve"> reduced the average amount of nitrate washed out from soil into ground and surface water (so-called nitrate leaching) by approximately 10 kg/ha relative to untreated controls and so addresses one major concern arising from the use of synthetic nitrogen </w:t>
      </w:r>
      <w:r w:rsidR="42D606C0" w:rsidRPr="08FDD09A">
        <w:rPr>
          <w:rFonts w:eastAsia="Times New Roman"/>
        </w:rPr>
        <w:lastRenderedPageBreak/>
        <w:t>fertilisers.</w:t>
      </w:r>
      <w:r w:rsidR="53981C28" w:rsidRPr="08FDD09A">
        <w:rPr>
          <w:rFonts w:eastAsia="Times New Roman"/>
        </w:rPr>
        <w:t xml:space="preserve"> </w:t>
      </w:r>
      <w:r w:rsidR="53981C28" w:rsidRPr="008C33C7">
        <w:rPr>
          <w:rFonts w:eastAsia="Times New Roman"/>
        </w:rPr>
        <w:t>Taken together, the evidence suggests that BNF technologies can provide these environmental benefits at no additional costs for farmers compared to synthetic fertilisers and, if larger nitrogen</w:t>
      </w:r>
      <w:r w:rsidR="55032AB3">
        <w:noBreakHyphen/>
      </w:r>
      <w:r w:rsidR="53981C28" w:rsidRPr="008C33C7">
        <w:rPr>
          <w:rFonts w:eastAsia="Times New Roman"/>
        </w:rPr>
        <w:t>replacement rates are achieved, the price for nitrogen increases or any yield increases are realised, would lead to economic advantages to farmers over traditional nitrogen sources.</w:t>
      </w:r>
    </w:p>
    <w:p w14:paraId="4E814D48" w14:textId="77777777" w:rsidR="00BB3429" w:rsidRDefault="00BB3429" w:rsidP="00BB3429">
      <w:pPr>
        <w:spacing w:after="0" w:line="257" w:lineRule="auto"/>
        <w:rPr>
          <w:rFonts w:eastAsia="Times New Roman"/>
        </w:rPr>
      </w:pPr>
    </w:p>
    <w:p w14:paraId="265F74FA" w14:textId="4EBD12B5" w:rsidR="53981C28" w:rsidRDefault="53981C28" w:rsidP="08FDD09A">
      <w:pPr>
        <w:spacing w:after="160" w:line="257" w:lineRule="auto"/>
        <w:rPr>
          <w:rFonts w:eastAsia="Times New Roman"/>
        </w:rPr>
      </w:pPr>
      <w:r w:rsidRPr="08FDD09A">
        <w:rPr>
          <w:rFonts w:eastAsia="Times New Roman"/>
        </w:rPr>
        <w:t xml:space="preserve">Figure </w:t>
      </w:r>
      <w:r w:rsidR="005F05C1">
        <w:rPr>
          <w:rFonts w:eastAsia="Times New Roman"/>
        </w:rPr>
        <w:t>1</w:t>
      </w:r>
      <w:r w:rsidRPr="08FDD09A">
        <w:rPr>
          <w:rFonts w:eastAsia="Times New Roman"/>
        </w:rPr>
        <w:t xml:space="preserve">: </w:t>
      </w:r>
      <w:r w:rsidRPr="00812726">
        <w:rPr>
          <w:rFonts w:eastAsia="Times New Roman"/>
        </w:rPr>
        <w:t>case study: GMMs for biological nitrogen fixation</w:t>
      </w:r>
    </w:p>
    <w:p w14:paraId="05A5DF57" w14:textId="0DA5FCF7" w:rsidR="55032AB3" w:rsidRDefault="55032AB3" w:rsidP="41BEE9DA">
      <w:pPr>
        <w:spacing w:after="160" w:line="257" w:lineRule="auto"/>
      </w:pPr>
      <w:r w:rsidRPr="41BEE9DA">
        <w:rPr>
          <w:rFonts w:eastAsia="Times New Roman"/>
        </w:rPr>
        <w:t xml:space="preserve"> </w:t>
      </w:r>
      <w:r w:rsidR="1AADE145">
        <w:rPr>
          <w:noProof/>
        </w:rPr>
        <w:drawing>
          <wp:inline distT="0" distB="0" distL="0" distR="0" wp14:anchorId="1A9B5294" wp14:editId="734EBAC1">
            <wp:extent cx="5476875" cy="2952750"/>
            <wp:effectExtent l="0" t="0" r="0" b="0"/>
            <wp:docPr id="14560035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03566" name="Picture 1456003566"/>
                    <pic:cNvPicPr/>
                  </pic:nvPicPr>
                  <pic:blipFill>
                    <a:blip r:embed="rId66">
                      <a:extLst>
                        <a:ext uri="{28A0092B-C50C-407E-A947-70E740481C1C}">
                          <a14:useLocalDpi xmlns:a14="http://schemas.microsoft.com/office/drawing/2010/main"/>
                        </a:ext>
                      </a:extLst>
                    </a:blip>
                    <a:stretch>
                      <a:fillRect/>
                    </a:stretch>
                  </pic:blipFill>
                  <pic:spPr>
                    <a:xfrm>
                      <a:off x="0" y="0"/>
                      <a:ext cx="5476875" cy="2952750"/>
                    </a:xfrm>
                    <a:prstGeom prst="rect">
                      <a:avLst/>
                    </a:prstGeom>
                  </pic:spPr>
                </pic:pic>
              </a:graphicData>
            </a:graphic>
          </wp:inline>
        </w:drawing>
      </w:r>
    </w:p>
    <w:p w14:paraId="20469548" w14:textId="12CBC680" w:rsidR="41BEE9DA" w:rsidRDefault="41BEE9DA" w:rsidP="41BEE9DA">
      <w:pPr>
        <w:spacing w:after="0"/>
      </w:pPr>
    </w:p>
    <w:p w14:paraId="74A2276A" w14:textId="20C1A484" w:rsidR="00F025C5" w:rsidRPr="00A47A06" w:rsidRDefault="00601A67" w:rsidP="008151F9">
      <w:pPr>
        <w:pStyle w:val="Heading1"/>
      </w:pPr>
      <w:bookmarkStart w:id="300" w:name="_Toc225783210"/>
      <w:bookmarkStart w:id="301" w:name="_Toc225969813"/>
      <w:bookmarkStart w:id="302" w:name="_Toc225979145"/>
      <w:r w:rsidRPr="005E3671">
        <w:t xml:space="preserve">Intervention n°8: Targeted </w:t>
      </w:r>
      <w:r w:rsidR="00A85B7F" w:rsidRPr="005E3671">
        <w:t xml:space="preserve">legislative </w:t>
      </w:r>
      <w:r w:rsidRPr="005E3671">
        <w:t>reform of the Directive on human organs intended for transplantation</w:t>
      </w:r>
      <w:bookmarkEnd w:id="233"/>
      <w:bookmarkEnd w:id="234"/>
      <w:bookmarkEnd w:id="300"/>
      <w:bookmarkEnd w:id="301"/>
      <w:bookmarkEnd w:id="302"/>
    </w:p>
    <w:p w14:paraId="7421BBD4" w14:textId="064709B9" w:rsidR="005441AE" w:rsidRPr="009823DA" w:rsidRDefault="00CA4C30" w:rsidP="008151F9">
      <w:pPr>
        <w:pStyle w:val="Heading2"/>
      </w:pPr>
      <w:bookmarkStart w:id="303" w:name="_Toc224136204"/>
      <w:bookmarkStart w:id="304" w:name="_Toc225969814"/>
      <w:bookmarkStart w:id="305" w:name="_Toc225979146"/>
      <w:r>
        <w:t>Detailed description</w:t>
      </w:r>
      <w:r w:rsidRPr="009823DA">
        <w:t xml:space="preserve"> </w:t>
      </w:r>
      <w:r w:rsidR="005441AE" w:rsidRPr="009823DA">
        <w:t>of the proposed measures</w:t>
      </w:r>
      <w:bookmarkEnd w:id="303"/>
      <w:bookmarkEnd w:id="304"/>
      <w:bookmarkEnd w:id="305"/>
    </w:p>
    <w:p w14:paraId="5FEF2D16" w14:textId="77777777" w:rsidR="005441AE" w:rsidRPr="008151F9" w:rsidRDefault="005441AE" w:rsidP="0009748A">
      <w:pPr>
        <w:rPr>
          <w:u w:val="single"/>
        </w:rPr>
      </w:pPr>
      <w:bookmarkStart w:id="306" w:name="_Toc224136205"/>
      <w:r w:rsidRPr="008151F9">
        <w:rPr>
          <w:u w:val="single"/>
        </w:rPr>
        <w:t>Measure 1: Scope expansion</w:t>
      </w:r>
      <w:bookmarkEnd w:id="306"/>
    </w:p>
    <w:p w14:paraId="53FC01FA" w14:textId="548ED276" w:rsidR="005441AE" w:rsidRDefault="005441AE" w:rsidP="00AA289B">
      <w:r w:rsidRPr="005947D7">
        <w:t xml:space="preserve">The first measure amends Article 2(1) of the Directive to insert “processing” </w:t>
      </w:r>
      <w:r w:rsidR="00786EC5">
        <w:t xml:space="preserve">(replacing “preservation”) </w:t>
      </w:r>
      <w:r w:rsidRPr="005947D7">
        <w:t xml:space="preserve">into the list of activities to which the Directive applies, alongside donation, testing, characterisation, procurement, transport, and transplantation. </w:t>
      </w:r>
      <w:r w:rsidR="00786EC5">
        <w:t xml:space="preserve">Thus, </w:t>
      </w:r>
      <w:r>
        <w:t xml:space="preserve">preservation </w:t>
      </w:r>
      <w:r w:rsidR="000C3ACD">
        <w:t>becomes</w:t>
      </w:r>
      <w:r>
        <w:t xml:space="preserve"> legally subsumed as a specific type of processing, as established in the new definition of </w:t>
      </w:r>
      <w:r w:rsidR="00495DFF">
        <w:t>“</w:t>
      </w:r>
      <w:r>
        <w:t>processing</w:t>
      </w:r>
      <w:r w:rsidR="00495DFF">
        <w:t>”</w:t>
      </w:r>
      <w:r>
        <w:t xml:space="preserve"> under Article 3(ka).</w:t>
      </w:r>
      <w:r w:rsidRPr="005947D7">
        <w:t xml:space="preserve"> </w:t>
      </w:r>
      <w:r w:rsidR="00786EC5">
        <w:t>This change</w:t>
      </w:r>
      <w:r>
        <w:t xml:space="preserve"> establishes the prerequisite for the entire </w:t>
      </w:r>
      <w:r w:rsidR="00495DFF">
        <w:t xml:space="preserve">revision </w:t>
      </w:r>
      <w:r>
        <w:t xml:space="preserve">by bringing organ processing activities within the material scope of the Directive’s quality and safety framework. </w:t>
      </w:r>
    </w:p>
    <w:p w14:paraId="05E4AD37" w14:textId="71D88857" w:rsidR="005441AE" w:rsidRDefault="005441AE" w:rsidP="00AA289B">
      <w:r>
        <w:t>The measure also introduces a new definition of “processing”</w:t>
      </w:r>
      <w:r w:rsidR="009F5DE0">
        <w:t>,</w:t>
      </w:r>
      <w:r w:rsidR="000C3ACD">
        <w:t xml:space="preserve"> </w:t>
      </w:r>
      <w:r>
        <w:t xml:space="preserve">defined as any operation involving the handling of organs, including but not limited to preservation, application of chemotherapy, and surgery, performed to maintain or improve the functional status of an organ prior to transplantation. </w:t>
      </w:r>
      <w:r w:rsidR="00511CCB">
        <w:t>Although t</w:t>
      </w:r>
      <w:r>
        <w:t>he definition is deliberately broad</w:t>
      </w:r>
      <w:r w:rsidR="00511CCB">
        <w:t xml:space="preserve">, it </w:t>
      </w:r>
      <w:r>
        <w:t xml:space="preserve">draws three exclusions. First, it excludes the preparatory handling of the organ during the surgical </w:t>
      </w:r>
      <w:r>
        <w:lastRenderedPageBreak/>
        <w:t xml:space="preserve">transplantation intervention itself, </w:t>
      </w:r>
      <w:r w:rsidR="00495DFF">
        <w:t>as</w:t>
      </w:r>
      <w:r>
        <w:t xml:space="preserve"> routine surgical preparation in the operating room falls within Member State competence. Second, it excludes the repurposing of organs into tissues or cells, which falls under the SoHO Regulation (EU) 2024/1938. Third</w:t>
      </w:r>
      <w:r w:rsidDel="00F2558C">
        <w:t>,</w:t>
      </w:r>
      <w:r>
        <w:t xml:space="preserve"> it excludes the use of pharmacologically active substances where the primary aim is to treat or prevent a disease in the recipient rather than to process the organ</w:t>
      </w:r>
      <w:r w:rsidR="00311C7B">
        <w:t xml:space="preserve">, </w:t>
      </w:r>
      <w:r>
        <w:t>draw</w:t>
      </w:r>
      <w:r w:rsidR="00311C7B">
        <w:t>ing</w:t>
      </w:r>
      <w:r>
        <w:t xml:space="preserve"> a functional boundary between treating the organ (regulated under the new processing regime) and treating the patient (regulated under the standard medicinal products framework).</w:t>
      </w:r>
    </w:p>
    <w:p w14:paraId="30D5BED8" w14:textId="12DEA5BF" w:rsidR="005441AE" w:rsidRDefault="005441AE" w:rsidP="00AA289B">
      <w:r>
        <w:t>The definition of “transplantation” in Article 3(q) is also adjusted by removing “from a donor”, so that transplantation is now defined as a process intended to restore certain functions of the human body by transferring an organ to a recipient</w:t>
      </w:r>
      <w:r w:rsidR="00840139">
        <w:t xml:space="preserve"> covering</w:t>
      </w:r>
      <w:r w:rsidR="00785BFA" w:rsidRPr="00785BFA">
        <w:t xml:space="preserve"> the case where the recipient and the donor are the same person</w:t>
      </w:r>
      <w:r w:rsidR="00840139">
        <w:t>.</w:t>
      </w:r>
      <w:r w:rsidR="00785BFA" w:rsidRPr="00785BFA">
        <w:t xml:space="preserve"> </w:t>
      </w:r>
      <w:r>
        <w:t xml:space="preserve"> </w:t>
      </w:r>
    </w:p>
    <w:p w14:paraId="13073039" w14:textId="77777777" w:rsidR="005441AE" w:rsidRPr="00E42D46" w:rsidRDefault="005441AE" w:rsidP="008151F9">
      <w:bookmarkStart w:id="307" w:name="_Toc224136206"/>
      <w:r w:rsidRPr="008151F9">
        <w:rPr>
          <w:u w:val="single"/>
        </w:rPr>
        <w:t>Measure 2: Organ processing authorisation regime</w:t>
      </w:r>
      <w:bookmarkEnd w:id="307"/>
    </w:p>
    <w:p w14:paraId="16CAA13F" w14:textId="03FB16A5" w:rsidR="00F03B66" w:rsidRDefault="245FC665" w:rsidP="00AA289B">
      <w:r>
        <w:t xml:space="preserve">The </w:t>
      </w:r>
      <w:r w:rsidR="008C05AD">
        <w:t>proposed</w:t>
      </w:r>
      <w:r>
        <w:t xml:space="preserve"> new Article 6a</w:t>
      </w:r>
      <w:r w:rsidDel="00CA794B">
        <w:t xml:space="preserve"> </w:t>
      </w:r>
      <w:r w:rsidR="5E509ABC">
        <w:t xml:space="preserve">aims to </w:t>
      </w:r>
      <w:r>
        <w:t xml:space="preserve">establish a comprehensive regulatory regime for organ processing. </w:t>
      </w:r>
      <w:r w:rsidR="005441AE">
        <w:t>The foundational rule (Article 6a</w:t>
      </w:r>
      <w:r w:rsidR="54E01977">
        <w:t xml:space="preserve"> </w:t>
      </w:r>
      <w:r w:rsidR="005441AE">
        <w:t xml:space="preserve">(1)) prohibits transplantation centres from applying a processed organ to a recipient without prior authorisation of this specific processing technology/technique from the competent authority. The authorisation requirement applies per processing technology and per transplantation centre. This prior authorisation requirement shifts organ processing from an unregulated clinical activity to one that requires formal approval of the applied processing technology from the oversight authority before clinical application. </w:t>
      </w:r>
    </w:p>
    <w:p w14:paraId="2BC00875" w14:textId="0EA00DCE" w:rsidR="005441AE" w:rsidRDefault="00DA13A7" w:rsidP="00AA289B">
      <w:r>
        <w:t>T</w:t>
      </w:r>
      <w:r w:rsidR="005441AE">
        <w:t>he transplantation centre must conduct an upfront benefit–risk assessment of the processing technique, taking into account the intended clinical indication</w:t>
      </w:r>
      <w:r>
        <w:t xml:space="preserve"> (</w:t>
      </w:r>
      <w:r w:rsidRPr="005E3671">
        <w:t>Article 6a (2))</w:t>
      </w:r>
      <w:r w:rsidR="00A178FC" w:rsidRPr="005E3671">
        <w:t>.</w:t>
      </w:r>
      <w:r w:rsidR="00A178FC">
        <w:t xml:space="preserve"> Based on this </w:t>
      </w:r>
      <w:r w:rsidR="005441AE">
        <w:t>assessment</w:t>
      </w:r>
      <w:r w:rsidR="00A178FC">
        <w:t xml:space="preserve">, </w:t>
      </w:r>
      <w:r w:rsidR="005441AE">
        <w:t>the competent authority grant</w:t>
      </w:r>
      <w:r w:rsidR="00A178FC">
        <w:t>s</w:t>
      </w:r>
      <w:r w:rsidR="005441AE">
        <w:t xml:space="preserve"> an authorisation </w:t>
      </w:r>
      <w:r w:rsidR="001C1CB9">
        <w:t>(</w:t>
      </w:r>
      <w:r w:rsidR="005441AE">
        <w:t>implementing rules referred to in Article 6a</w:t>
      </w:r>
      <w:r w:rsidR="3D97780D">
        <w:t xml:space="preserve"> </w:t>
      </w:r>
      <w:r w:rsidR="005441AE">
        <w:t>(12</w:t>
      </w:r>
      <w:r w:rsidR="005441AE" w:rsidRPr="005E3671">
        <w:t>)</w:t>
      </w:r>
      <w:r w:rsidR="001C1CB9">
        <w:t>)</w:t>
      </w:r>
      <w:r w:rsidR="005441AE" w:rsidRPr="005E3671">
        <w:t>,</w:t>
      </w:r>
      <w:r w:rsidR="005441AE">
        <w:t xml:space="preserve"> considering the adequacy of the evidence base and whether the benefit–risk profile is favourable. </w:t>
      </w:r>
      <w:r w:rsidR="00A178FC">
        <w:t>W</w:t>
      </w:r>
      <w:r w:rsidR="005441AE">
        <w:t>here the available evidence is insufficient to support a benefit–risk assessment or where that assessment identifies a significant risk</w:t>
      </w:r>
      <w:r w:rsidR="00A178FC">
        <w:t xml:space="preserve"> (Article 6a(3))</w:t>
      </w:r>
      <w:r w:rsidR="005441AE">
        <w:t xml:space="preserve">, the transplantation centre must submit a proposal for a clinical-outcome monitoring plan for approval by the competent authority. The extent of the clinical outcome monitoring plan will be defined by the identified risk and the availability of data. This functions as a tailored approval pathway: initial clinical use of novel or higher-risk processing techniques will be permitted in a controlled setting. </w:t>
      </w:r>
    </w:p>
    <w:p w14:paraId="01114507" w14:textId="04DBA403" w:rsidR="005441AE" w:rsidRDefault="005441AE" w:rsidP="00AA289B">
      <w:r>
        <w:t>Article 6a</w:t>
      </w:r>
      <w:r w:rsidR="24F61B89">
        <w:t xml:space="preserve"> </w:t>
      </w:r>
      <w:r>
        <w:t xml:space="preserve">(9) introduces change control, prohibiting transplantation centres from making significant changes to authorised processing steps without prior written agreement from the competent authority. </w:t>
      </w:r>
      <w:r w:rsidR="005E3671">
        <w:t>C</w:t>
      </w:r>
      <w:r>
        <w:t xml:space="preserve">ompetent authorities </w:t>
      </w:r>
      <w:r w:rsidR="005E3671">
        <w:t>can</w:t>
      </w:r>
      <w:r>
        <w:t xml:space="preserve"> suspend authorisations where there is reasonable ground to suspect non-compliance</w:t>
      </w:r>
      <w:r w:rsidR="005E3671">
        <w:t xml:space="preserve"> (</w:t>
      </w:r>
      <w:r w:rsidR="005E3671" w:rsidRPr="005E3671">
        <w:t>Article 6a (10)</w:t>
      </w:r>
      <w:r w:rsidR="005E3671">
        <w:t>)</w:t>
      </w:r>
      <w:r w:rsidRPr="005E3671">
        <w:t>.</w:t>
      </w:r>
      <w:r>
        <w:t xml:space="preserve"> </w:t>
      </w:r>
      <w:r w:rsidR="005E3671">
        <w:t>T</w:t>
      </w:r>
      <w:r w:rsidRPr="005E3671">
        <w:t>he</w:t>
      </w:r>
      <w:r>
        <w:t xml:space="preserve"> Commission </w:t>
      </w:r>
      <w:r w:rsidR="005E3671">
        <w:t>will</w:t>
      </w:r>
      <w:r>
        <w:t xml:space="preserve"> publish a list of authorised organ processing operations/techniques, including any associated medicinal products, medical devices, or SoHO preparations</w:t>
      </w:r>
      <w:r w:rsidR="005E3671">
        <w:t xml:space="preserve"> (</w:t>
      </w:r>
      <w:r w:rsidR="005E3671" w:rsidRPr="005E3671">
        <w:t>Article 6a (11)</w:t>
      </w:r>
      <w:r w:rsidR="005E3671">
        <w:t>)</w:t>
      </w:r>
      <w:r w:rsidRPr="005E3671">
        <w:t>.</w:t>
      </w:r>
      <w:r>
        <w:t xml:space="preserve"> This mechanism serves a dual function: it provides a reference point for transplantation centres across the EU regarding the state of the art, and it creates the informational basis for a </w:t>
      </w:r>
      <w:r w:rsidRPr="0087455B">
        <w:rPr>
          <w:i/>
          <w:iCs/>
        </w:rPr>
        <w:t>de facto</w:t>
      </w:r>
      <w:r>
        <w:t xml:space="preserve"> convergence of practice that could facilitate cross-border organ exchange. </w:t>
      </w:r>
      <w:r w:rsidR="005E3671">
        <w:t>T</w:t>
      </w:r>
      <w:r>
        <w:t xml:space="preserve">he Commission </w:t>
      </w:r>
      <w:r w:rsidR="005E3671">
        <w:t>can also</w:t>
      </w:r>
      <w:r>
        <w:t xml:space="preserve"> adopt implementing acts laying down detailed rules for the authorisation of organ processing techniques</w:t>
      </w:r>
      <w:r w:rsidR="005E3671">
        <w:t xml:space="preserve"> (</w:t>
      </w:r>
      <w:r w:rsidR="005E3671" w:rsidRPr="005E3671">
        <w:t>Article 6a (12)</w:t>
      </w:r>
      <w:r w:rsidR="005E3671">
        <w:t>)</w:t>
      </w:r>
      <w:r w:rsidRPr="005E3671">
        <w:t>.</w:t>
      </w:r>
    </w:p>
    <w:p w14:paraId="0E91CCD3" w14:textId="70E0C70C" w:rsidR="005441AE" w:rsidRDefault="00E23414" w:rsidP="00AA289B">
      <w:r>
        <w:lastRenderedPageBreak/>
        <w:t>T</w:t>
      </w:r>
      <w:r w:rsidR="005441AE">
        <w:t xml:space="preserve">he complementary data set in Part B of the Annex is amended to add “Processing” as an information field covering processing steps applied to the organ with the aim of improving its functional status, with a potential impact on its quality and safety. </w:t>
      </w:r>
      <w:r w:rsidR="005D4B2B">
        <w:t xml:space="preserve">This </w:t>
      </w:r>
      <w:r w:rsidR="005441AE">
        <w:t>creates the data collection mechanism that will enable competent authorities, transplant registries, and the Commission to track which organs have been processed, by what method, and, when linked to outcome data, with what clinical result. The placement in Part B (complementary data) means that reporting is not strictly mandatory in all circumstances.</w:t>
      </w:r>
    </w:p>
    <w:p w14:paraId="0A6B85BC" w14:textId="77777777" w:rsidR="005441AE" w:rsidRPr="00E42D46" w:rsidRDefault="005441AE" w:rsidP="008151F9">
      <w:bookmarkStart w:id="308" w:name="_Toc224136207"/>
      <w:r w:rsidRPr="008151F9">
        <w:rPr>
          <w:u w:val="single"/>
        </w:rPr>
        <w:t>Measure 3: Cross-border and cross-framework coherence</w:t>
      </w:r>
      <w:bookmarkEnd w:id="308"/>
    </w:p>
    <w:p w14:paraId="59F63C6C" w14:textId="20E64E1A" w:rsidR="005441AE" w:rsidRPr="00AD3FA2" w:rsidRDefault="278261AA" w:rsidP="00AA289B">
      <w:r>
        <w:t>A defining feature of the regime is its cross-framework coordination mechanism (Articles 6a</w:t>
      </w:r>
      <w:r w:rsidR="1D3674BC">
        <w:t xml:space="preserve"> </w:t>
      </w:r>
      <w:r>
        <w:t>(4</w:t>
      </w:r>
      <w:r w:rsidR="57134728">
        <w:t>)</w:t>
      </w:r>
      <w:r w:rsidR="6326FC79">
        <w:t>– (</w:t>
      </w:r>
      <w:r>
        <w:t>8))</w:t>
      </w:r>
      <w:r w:rsidR="578D93B2">
        <w:t xml:space="preserve">, </w:t>
      </w:r>
      <w:r>
        <w:t>requir</w:t>
      </w:r>
      <w:r w:rsidR="578D93B2">
        <w:t>ing</w:t>
      </w:r>
      <w:r>
        <w:t xml:space="preserve"> competent authorities to verify that any such product or substance used in processing is duly authorised or certified under its respective EU legislative framework.</w:t>
      </w:r>
      <w:r w:rsidR="005441AE">
        <w:rPr>
          <w:rStyle w:val="FootnoteReference"/>
        </w:rPr>
        <w:footnoteReference w:id="236"/>
      </w:r>
      <w:r>
        <w:t xml:space="preserve"> </w:t>
      </w:r>
      <w:r w:rsidR="67B078D2">
        <w:t>C</w:t>
      </w:r>
      <w:r>
        <w:t>ompetent authorities under the organ Directive and those under the pharmaceutical, medical device, and SoHO frameworks collaborate in order to exchange clinical outcome data. To facilitate implementation, Article 6a</w:t>
      </w:r>
      <w:r w:rsidR="3B668F76">
        <w:t xml:space="preserve"> </w:t>
      </w:r>
      <w:r>
        <w:t>(5) lays down provisions on guidelines regarding the benefit risk-assessment and the management of the organ after the administration of a medicinal product.</w:t>
      </w:r>
    </w:p>
    <w:p w14:paraId="763E48E9" w14:textId="6E1D50D9" w:rsidR="00E37E25" w:rsidRDefault="00E37E25" w:rsidP="008151F9">
      <w:pPr>
        <w:pStyle w:val="Heading2"/>
      </w:pPr>
      <w:bookmarkStart w:id="309" w:name="_Toc224136214"/>
      <w:bookmarkStart w:id="310" w:name="_Toc225969815"/>
      <w:bookmarkStart w:id="311" w:name="_Toc225979147"/>
      <w:r w:rsidRPr="004F48D9">
        <w:t>Baseline description</w:t>
      </w:r>
      <w:bookmarkEnd w:id="309"/>
      <w:bookmarkEnd w:id="310"/>
      <w:bookmarkEnd w:id="311"/>
      <w:r w:rsidR="00DA24AE">
        <w:t xml:space="preserve"> </w:t>
      </w:r>
    </w:p>
    <w:p w14:paraId="4E800AAE" w14:textId="77777777" w:rsidR="00E37E25" w:rsidRPr="004570F2" w:rsidRDefault="00E37E25" w:rsidP="00E37E25">
      <w:pPr>
        <w:rPr>
          <w:b/>
        </w:rPr>
      </w:pPr>
      <w:r w:rsidRPr="004570F2">
        <w:rPr>
          <w:b/>
        </w:rPr>
        <w:t xml:space="preserve">Conduct of business </w:t>
      </w:r>
    </w:p>
    <w:p w14:paraId="7E3F8FE5" w14:textId="252BE42B" w:rsidR="00E37E25" w:rsidRPr="00E07153" w:rsidRDefault="7BAC4BBB" w:rsidP="00E37E25">
      <w:pPr>
        <w:rPr>
          <w:lang w:val="en-US"/>
        </w:rPr>
      </w:pPr>
      <w:r>
        <w:t>T</w:t>
      </w:r>
      <w:r w:rsidR="5D49E94A" w:rsidRPr="00295E0F">
        <w:rPr>
          <w:lang w:val="en-US"/>
        </w:rPr>
        <w:t>he total volume of organ transplants in the EU-27 is projected to continue growing at the structural CAGR of 1.54</w:t>
      </w:r>
      <w:r w:rsidR="006856C2">
        <w:rPr>
          <w:lang w:val="en-US"/>
        </w:rPr>
        <w:t>%</w:t>
      </w:r>
      <w:r w:rsidR="5D49E94A" w:rsidRPr="00295E0F">
        <w:rPr>
          <w:lang w:val="en-US"/>
        </w:rPr>
        <w:t xml:space="preserve"> per million population (pmp), the rate observed over the full post-transposition period of 2012–2024 following the implementation of Directive 2010/53/EU</w:t>
      </w:r>
      <w:r w:rsidR="00A17B1B">
        <w:rPr>
          <w:rStyle w:val="FootnoteReference"/>
          <w:lang w:val="en-US"/>
        </w:rPr>
        <w:footnoteReference w:id="237"/>
      </w:r>
      <w:r w:rsidR="5D49E94A" w:rsidRPr="00295E0F">
        <w:rPr>
          <w:lang w:val="en-US"/>
        </w:rPr>
        <w:t>.</w:t>
      </w:r>
      <w:r w:rsidR="5D49E94A" w:rsidRPr="00997F23">
        <w:rPr>
          <w:lang w:val="en-US"/>
        </w:rPr>
        <w:t xml:space="preserve"> Applying this rate forward from the 2024 observed anchor of 72.0 pmp</w:t>
      </w:r>
      <w:r w:rsidR="003640EA">
        <w:rPr>
          <w:rStyle w:val="FootnoteReference"/>
          <w:lang w:val="en-US"/>
        </w:rPr>
        <w:footnoteReference w:id="238"/>
      </w:r>
      <w:r w:rsidR="5D49E94A" w:rsidRPr="00997F23">
        <w:rPr>
          <w:lang w:val="en-US"/>
        </w:rPr>
        <w:t xml:space="preserve">, the </w:t>
      </w:r>
      <w:r w:rsidR="5D49E94A" w:rsidRPr="008151F9">
        <w:rPr>
          <w:b/>
          <w:bCs/>
          <w:lang w:val="en-US"/>
        </w:rPr>
        <w:t>baseline projects approximately 78.9 pmp (~35,350 transplants) by 2030, 85.2 pmp (~38,200 transplants) by 2035, and 92.0 pmp (~41,200 transplants) by 2040.</w:t>
      </w:r>
      <w:r w:rsidR="5D49E94A" w:rsidRPr="00997F23">
        <w:rPr>
          <w:lang w:val="en-US"/>
        </w:rPr>
        <w:t xml:space="preserve"> </w:t>
      </w:r>
    </w:p>
    <w:p w14:paraId="678038C7" w14:textId="7A41093F" w:rsidR="00E37E25" w:rsidRPr="00892258" w:rsidRDefault="00E37E25" w:rsidP="00E37E25">
      <w:pPr>
        <w:rPr>
          <w:lang w:val="en-US"/>
        </w:rPr>
      </w:pPr>
      <w:r w:rsidRPr="00E07153">
        <w:rPr>
          <w:lang w:val="en-US"/>
        </w:rPr>
        <w:t xml:space="preserve">Transplantation centres will continue to adopt machine perfusion and associated processing technologies through organic, centre-driven clinical channels, but </w:t>
      </w:r>
      <w:r w:rsidR="00F27A45">
        <w:rPr>
          <w:lang w:val="en-US"/>
        </w:rPr>
        <w:t xml:space="preserve">at a limited </w:t>
      </w:r>
      <w:r w:rsidRPr="00E07153">
        <w:rPr>
          <w:lang w:val="en-US"/>
        </w:rPr>
        <w:t xml:space="preserve">pace. </w:t>
      </w:r>
      <w:r w:rsidRPr="00E07153" w:rsidDel="003640EA">
        <w:rPr>
          <w:lang w:val="en-US"/>
        </w:rPr>
        <w:t>At T0</w:t>
      </w:r>
      <w:r w:rsidR="00753E3D">
        <w:rPr>
          <w:lang w:val="en-US"/>
        </w:rPr>
        <w:t>,</w:t>
      </w:r>
      <w:r w:rsidRPr="00E07153">
        <w:rPr>
          <w:lang w:val="en-US"/>
        </w:rPr>
        <w:t xml:space="preserve"> approximately 27</w:t>
      </w:r>
      <w:r w:rsidR="006856C2">
        <w:rPr>
          <w:lang w:val="en-US"/>
        </w:rPr>
        <w:t>%</w:t>
      </w:r>
      <w:r w:rsidRPr="00E07153">
        <w:rPr>
          <w:lang w:val="en-US"/>
        </w:rPr>
        <w:t xml:space="preserve"> of the EU’s 717 organ transplantation programmes (~195 programmes across an estimated 120–160 unique centres) have active organ processing capability, with adoption concentrated</w:t>
      </w:r>
      <w:r w:rsidRPr="00892258">
        <w:rPr>
          <w:lang w:val="en-US"/>
        </w:rPr>
        <w:t xml:space="preserve"> in </w:t>
      </w:r>
      <w:r w:rsidR="005545EE">
        <w:rPr>
          <w:lang w:val="en-US"/>
        </w:rPr>
        <w:t>7</w:t>
      </w:r>
      <w:r w:rsidRPr="00892258">
        <w:rPr>
          <w:lang w:val="en-US"/>
        </w:rPr>
        <w:t xml:space="preserve"> Member States. </w:t>
      </w:r>
      <w:r w:rsidR="003D3E11">
        <w:rPr>
          <w:lang w:val="en-US"/>
        </w:rPr>
        <w:t>Finding from a</w:t>
      </w:r>
      <w:r w:rsidRPr="00892258">
        <w:rPr>
          <w:lang w:val="en-US"/>
        </w:rPr>
        <w:t xml:space="preserve"> national survey </w:t>
      </w:r>
      <w:r w:rsidR="003D3E11">
        <w:rPr>
          <w:lang w:val="en-US"/>
        </w:rPr>
        <w:t>shows</w:t>
      </w:r>
      <w:r w:rsidR="003D3E11" w:rsidRPr="00892258">
        <w:rPr>
          <w:lang w:val="en-US"/>
        </w:rPr>
        <w:t xml:space="preserve"> </w:t>
      </w:r>
      <w:r w:rsidRPr="00892258">
        <w:rPr>
          <w:lang w:val="en-US"/>
        </w:rPr>
        <w:t>that 85</w:t>
      </w:r>
      <w:r w:rsidR="006856C2">
        <w:rPr>
          <w:lang w:val="en-US"/>
        </w:rPr>
        <w:t>%</w:t>
      </w:r>
      <w:r w:rsidRPr="00892258">
        <w:rPr>
          <w:lang w:val="en-US"/>
        </w:rPr>
        <w:t xml:space="preserve"> of machine perfusion programmes were established between 2020 and 2024. </w:t>
      </w:r>
      <w:r w:rsidR="006164F3">
        <w:rPr>
          <w:b/>
          <w:bCs/>
          <w:lang w:val="en-US"/>
        </w:rPr>
        <w:t>W</w:t>
      </w:r>
      <w:r w:rsidRPr="008151F9">
        <w:rPr>
          <w:b/>
          <w:lang w:val="en-US"/>
        </w:rPr>
        <w:t>ithout regulatory clarity and a harmonised authorisation pathway, diffusion to the remaining 73</w:t>
      </w:r>
      <w:r w:rsidR="006856C2">
        <w:rPr>
          <w:b/>
          <w:lang w:val="en-US"/>
        </w:rPr>
        <w:t>%</w:t>
      </w:r>
      <w:r w:rsidRPr="008151F9">
        <w:rPr>
          <w:b/>
          <w:lang w:val="en-US"/>
        </w:rPr>
        <w:t xml:space="preserve"> of programmes, smaller multi-organ programmes, and centres in Member States with less developed regulatory infrastructure, is expected to proceed slowly and unevenly.</w:t>
      </w:r>
    </w:p>
    <w:p w14:paraId="3D0F1C69" w14:textId="7F3C5BE4" w:rsidR="00E37E25" w:rsidRDefault="005545EE" w:rsidP="00E37E25">
      <w:pPr>
        <w:rPr>
          <w:lang w:val="en-US"/>
        </w:rPr>
      </w:pPr>
      <w:r>
        <w:rPr>
          <w:lang w:val="en-US"/>
        </w:rPr>
        <w:t>The</w:t>
      </w:r>
      <w:r w:rsidR="00E37E25" w:rsidRPr="00892258">
        <w:rPr>
          <w:lang w:val="en-US"/>
        </w:rPr>
        <w:t xml:space="preserve"> share of </w:t>
      </w:r>
      <w:r w:rsidR="00E37E25" w:rsidRPr="00E07153">
        <w:rPr>
          <w:lang w:val="en-US"/>
        </w:rPr>
        <w:t>EU transplantation programmes with active processing capability will</w:t>
      </w:r>
      <w:r w:rsidR="00E37E25" w:rsidRPr="00892258">
        <w:rPr>
          <w:lang w:val="en-US"/>
        </w:rPr>
        <w:t xml:space="preserve"> rise to approximately 35–38</w:t>
      </w:r>
      <w:r w:rsidR="006856C2">
        <w:rPr>
          <w:lang w:val="en-US"/>
        </w:rPr>
        <w:t>%</w:t>
      </w:r>
      <w:r w:rsidR="00E37E25" w:rsidRPr="00892258">
        <w:rPr>
          <w:lang w:val="en-US"/>
        </w:rPr>
        <w:t xml:space="preserve"> by 2030 and 42</w:t>
      </w:r>
      <w:r w:rsidR="00E37E25">
        <w:rPr>
          <w:lang w:val="en-US"/>
        </w:rPr>
        <w:t>-</w:t>
      </w:r>
      <w:r w:rsidR="00E37E25" w:rsidRPr="00892258">
        <w:rPr>
          <w:lang w:val="en-US"/>
        </w:rPr>
        <w:t>48% by 2035, before plateauing at approximately 48–55</w:t>
      </w:r>
      <w:r w:rsidR="006856C2">
        <w:rPr>
          <w:lang w:val="en-US"/>
        </w:rPr>
        <w:t>%</w:t>
      </w:r>
      <w:r w:rsidR="00E37E25" w:rsidRPr="00892258">
        <w:rPr>
          <w:lang w:val="en-US"/>
        </w:rPr>
        <w:t xml:space="preserve"> by 2040. This plateau effect reflects the structural barrier that</w:t>
      </w:r>
      <w:r w:rsidR="00E37E25" w:rsidRPr="00892258" w:rsidDel="008C6BCB">
        <w:rPr>
          <w:lang w:val="en-US"/>
        </w:rPr>
        <w:t xml:space="preserve"> </w:t>
      </w:r>
      <w:r w:rsidR="00E37E25" w:rsidRPr="00892258">
        <w:rPr>
          <w:lang w:val="en-US"/>
        </w:rPr>
        <w:t xml:space="preserve">legal uncertainty </w:t>
      </w:r>
      <w:r w:rsidR="00E37E25" w:rsidRPr="00892258">
        <w:rPr>
          <w:lang w:val="en-US"/>
        </w:rPr>
        <w:lastRenderedPageBreak/>
        <w:t>discourages investment in new programmes, particularly in jurisdictions that have not developed national oversight arrangements</w:t>
      </w:r>
      <w:r w:rsidR="00E37E25">
        <w:rPr>
          <w:lang w:val="en-US"/>
        </w:rPr>
        <w:t xml:space="preserve">. </w:t>
      </w:r>
      <w:r w:rsidR="00F10A60" w:rsidRPr="008151F9">
        <w:rPr>
          <w:b/>
          <w:bCs/>
          <w:lang w:val="en-US"/>
        </w:rPr>
        <w:t>T</w:t>
      </w:r>
      <w:r w:rsidR="00E37E25" w:rsidRPr="008151F9">
        <w:rPr>
          <w:b/>
          <w:lang w:val="en-US"/>
        </w:rPr>
        <w:t>ransplantation centres in the EU will increasingly bifurcate into two tiers: a first tier of large, well-resourced centres performing routine advanced processing across multiple organ types</w:t>
      </w:r>
      <w:r w:rsidR="00E37E25" w:rsidRPr="00892258">
        <w:rPr>
          <w:lang w:val="en-US"/>
        </w:rPr>
        <w:t xml:space="preserve"> (concentrated in approximately 6–8 Member States), </w:t>
      </w:r>
      <w:r w:rsidR="00E37E25" w:rsidRPr="008151F9">
        <w:rPr>
          <w:b/>
          <w:lang w:val="en-US"/>
        </w:rPr>
        <w:t xml:space="preserve">and a second tier relying predominantly on SCS or basic hypothermic </w:t>
      </w:r>
      <w:r w:rsidR="00E37E25" w:rsidRPr="008151F9">
        <w:rPr>
          <w:b/>
        </w:rPr>
        <w:t>preservation</w:t>
      </w:r>
      <w:r w:rsidR="00E37E25" w:rsidRPr="008151F9">
        <w:rPr>
          <w:b/>
          <w:lang w:val="en-US"/>
        </w:rPr>
        <w:t>.</w:t>
      </w:r>
      <w:r w:rsidR="00E37E25" w:rsidRPr="00892258">
        <w:rPr>
          <w:lang w:val="en-US"/>
        </w:rPr>
        <w:t xml:space="preserve"> This bifurcation will be the defining feature of the conduct-of-business landscape under the baseline.</w:t>
      </w:r>
    </w:p>
    <w:p w14:paraId="07C1B420" w14:textId="77777777" w:rsidR="00E37E25" w:rsidRPr="004570F2" w:rsidRDefault="00E37E25" w:rsidP="00E37E25">
      <w:pPr>
        <w:rPr>
          <w:b/>
        </w:rPr>
      </w:pPr>
      <w:r w:rsidRPr="004570F2">
        <w:rPr>
          <w:b/>
        </w:rPr>
        <w:t>Administrative costs on businesses, including SMEs</w:t>
      </w:r>
    </w:p>
    <w:p w14:paraId="654FDE1D" w14:textId="2D5BD8F1" w:rsidR="001B4B92" w:rsidRDefault="00081166" w:rsidP="00E37E25">
      <w:r>
        <w:t>N</w:t>
      </w:r>
      <w:r w:rsidR="00E37E25">
        <w:t xml:space="preserve">o EU-level organ processing authorisation regime exists, and no formal, processing-specific administrative obligations stem from Union law. </w:t>
      </w:r>
      <w:r w:rsidR="0001102C">
        <w:t>The average</w:t>
      </w:r>
      <w:r w:rsidR="00E37E25">
        <w:t xml:space="preserve"> cost per organ processing authorisation application</w:t>
      </w:r>
      <w:r w:rsidR="001B4B92">
        <w:t xml:space="preserve"> stemming from </w:t>
      </w:r>
      <w:r w:rsidR="001B4B92" w:rsidRPr="008151F9">
        <w:rPr>
          <w:b/>
          <w:bCs/>
        </w:rPr>
        <w:t>EU level</w:t>
      </w:r>
      <w:r w:rsidR="001B4B92">
        <w:t xml:space="preserve"> legislation</w:t>
      </w:r>
      <w:r w:rsidR="00E37E25">
        <w:t xml:space="preserve"> remains at zero throughout the assessment period. </w:t>
      </w:r>
    </w:p>
    <w:p w14:paraId="3B9BFA7D" w14:textId="0AE6FF9E" w:rsidR="00E37E25" w:rsidRPr="008151F9" w:rsidRDefault="00E37E25" w:rsidP="00E37E25">
      <w:pPr>
        <w:rPr>
          <w:b/>
        </w:rPr>
      </w:pPr>
      <w:r>
        <w:t xml:space="preserve">However, those Member States that have developed or are developing national oversight arrangements will impose jurisdiction-specific documentation, reporting, and approval requirements on transplantation centres. Centres operating in these jurisdictions will bear the costs of preparing internal benefit-risk documentation, maintaining processing-specific quality records, and engaging with their national competent authority on an ad hoc basis. </w:t>
      </w:r>
      <w:r w:rsidRPr="008151F9">
        <w:rPr>
          <w:b/>
        </w:rPr>
        <w:t>This fragmentation generates duplicative effort and prevents the economies of standardisation that a harmonised framework would deliver.</w:t>
      </w:r>
    </w:p>
    <w:p w14:paraId="0739FE9D" w14:textId="48184D64" w:rsidR="00E37E25" w:rsidRPr="00892258" w:rsidRDefault="00E37E25" w:rsidP="00E37E25">
      <w:r>
        <w:t xml:space="preserve">Conversely, transplantation centres in Member States that have not established any national processing oversight regime will face no formal administrative cost related to processing but will instead bear the </w:t>
      </w:r>
      <w:r w:rsidRPr="008151F9">
        <w:rPr>
          <w:b/>
        </w:rPr>
        <w:t>hidden costs of legal uncertainty (e.g., ad hoc costs of seeking legal advice on the permissibility of specific processing operations).</w:t>
      </w:r>
      <w:r>
        <w:t xml:space="preserve"> Over the assessment period, the administrative cost landscape under the baseline is therefore expected to become progressively </w:t>
      </w:r>
      <w:r w:rsidRPr="008151F9">
        <w:rPr>
          <w:b/>
        </w:rPr>
        <w:t>more heterogeneous,</w:t>
      </w:r>
      <w:r>
        <w:t xml:space="preserve"> with total national-level compliance costs rising in aggregate as more Member States develop national arrangements but remaining inefficient.</w:t>
      </w:r>
    </w:p>
    <w:p w14:paraId="56E98BD3" w14:textId="77777777" w:rsidR="00E37E25" w:rsidRPr="004570F2" w:rsidRDefault="00E37E25" w:rsidP="00E37E25">
      <w:pPr>
        <w:rPr>
          <w:b/>
        </w:rPr>
      </w:pPr>
      <w:r w:rsidRPr="004570F2">
        <w:rPr>
          <w:b/>
        </w:rPr>
        <w:t>Functioning of the internal market and competition</w:t>
      </w:r>
    </w:p>
    <w:p w14:paraId="7E11DEA1" w14:textId="0BD5A2F6" w:rsidR="00E37E25" w:rsidRPr="00BC6A77" w:rsidRDefault="00172158" w:rsidP="00E37E25">
      <w:pPr>
        <w:rPr>
          <w:lang w:val="en-US"/>
        </w:rPr>
      </w:pPr>
      <w:r>
        <w:rPr>
          <w:lang w:val="en-US"/>
        </w:rPr>
        <w:t>Based on</w:t>
      </w:r>
      <w:r w:rsidRPr="00BC6A77">
        <w:rPr>
          <w:lang w:val="en-US"/>
        </w:rPr>
        <w:t xml:space="preserve"> </w:t>
      </w:r>
      <w:r w:rsidR="00E37E25" w:rsidRPr="00BC6A77">
        <w:rPr>
          <w:lang w:val="en-US"/>
        </w:rPr>
        <w:t xml:space="preserve">Eurotransplant </w:t>
      </w:r>
      <w:r w:rsidR="00E37E25">
        <w:rPr>
          <w:lang w:val="en-US"/>
        </w:rPr>
        <w:t>data</w:t>
      </w:r>
      <w:r>
        <w:rPr>
          <w:lang w:val="en-US"/>
        </w:rPr>
        <w:t>, o</w:t>
      </w:r>
      <w:r w:rsidR="00E37E25" w:rsidRPr="00BC6A77">
        <w:rPr>
          <w:lang w:val="en-US"/>
        </w:rPr>
        <w:t>ver th</w:t>
      </w:r>
      <w:r w:rsidR="00E37E25">
        <w:rPr>
          <w:lang w:val="en-US"/>
        </w:rPr>
        <w:t>e last three years</w:t>
      </w:r>
      <w:r w:rsidR="00E37E25" w:rsidRPr="00BC6A77">
        <w:rPr>
          <w:lang w:val="en-US"/>
        </w:rPr>
        <w:t xml:space="preserve">, the cross-border exchange rate fluctuated </w:t>
      </w:r>
      <w:r w:rsidR="00E37E25">
        <w:rPr>
          <w:lang w:val="en-US"/>
        </w:rPr>
        <w:t>between 22.2</w:t>
      </w:r>
      <w:r w:rsidR="006856C2">
        <w:rPr>
          <w:lang w:val="en-US"/>
        </w:rPr>
        <w:t>%</w:t>
      </w:r>
      <w:r w:rsidR="00E37E25">
        <w:rPr>
          <w:lang w:val="en-US"/>
        </w:rPr>
        <w:t xml:space="preserve"> in 2023, 22.5</w:t>
      </w:r>
      <w:r w:rsidR="006856C2">
        <w:rPr>
          <w:lang w:val="en-US"/>
        </w:rPr>
        <w:t>%</w:t>
      </w:r>
      <w:r w:rsidR="00E37E25">
        <w:rPr>
          <w:lang w:val="en-US"/>
        </w:rPr>
        <w:t xml:space="preserve"> in 2024, and 20.5</w:t>
      </w:r>
      <w:r w:rsidR="006856C2">
        <w:rPr>
          <w:lang w:val="en-US"/>
        </w:rPr>
        <w:t>%</w:t>
      </w:r>
      <w:r w:rsidR="00E37E25">
        <w:rPr>
          <w:lang w:val="en-US"/>
        </w:rPr>
        <w:t xml:space="preserve"> in 2025</w:t>
      </w:r>
      <w:r w:rsidR="00E37E25" w:rsidRPr="00BC6A77">
        <w:rPr>
          <w:lang w:val="en-US"/>
        </w:rPr>
        <w:t>.</w:t>
      </w:r>
    </w:p>
    <w:p w14:paraId="0E96D1DC" w14:textId="1DD96B4B" w:rsidR="00E37E25" w:rsidRDefault="004E1077" w:rsidP="00E37E25">
      <w:pPr>
        <w:rPr>
          <w:lang w:val="en-US"/>
        </w:rPr>
      </w:pPr>
      <w:r w:rsidRPr="008151F9">
        <w:rPr>
          <w:b/>
          <w:bCs/>
          <w:lang w:val="en-US"/>
        </w:rPr>
        <w:t>C</w:t>
      </w:r>
      <w:r w:rsidR="00E37E25" w:rsidRPr="008151F9">
        <w:rPr>
          <w:b/>
          <w:lang w:val="en-US"/>
        </w:rPr>
        <w:t>ross-border exchange rates</w:t>
      </w:r>
      <w:r w:rsidR="00E37E25" w:rsidRPr="00BC6A77">
        <w:rPr>
          <w:lang w:val="en-US"/>
        </w:rPr>
        <w:t xml:space="preserve"> within the major European organ exchange organisations </w:t>
      </w:r>
      <w:r w:rsidR="006F28AB">
        <w:rPr>
          <w:lang w:val="en-US"/>
        </w:rPr>
        <w:t>are</w:t>
      </w:r>
      <w:r>
        <w:rPr>
          <w:lang w:val="en-US"/>
        </w:rPr>
        <w:t xml:space="preserve"> expected to remain</w:t>
      </w:r>
      <w:r w:rsidR="00E37E25" w:rsidRPr="00BC6A77">
        <w:rPr>
          <w:lang w:val="en-US"/>
        </w:rPr>
        <w:t xml:space="preserve"> stable throughout the assessment period, continuing to fluctuate within the range of approximately 20–23</w:t>
      </w:r>
      <w:r w:rsidR="006856C2">
        <w:rPr>
          <w:lang w:val="en-US"/>
        </w:rPr>
        <w:t>%</w:t>
      </w:r>
      <w:r w:rsidR="00E37E25" w:rsidRPr="00BC6A77">
        <w:rPr>
          <w:lang w:val="en-US"/>
        </w:rPr>
        <w:t xml:space="preserve">. </w:t>
      </w:r>
      <w:r>
        <w:rPr>
          <w:lang w:val="en-US"/>
        </w:rPr>
        <w:t>In addition</w:t>
      </w:r>
      <w:r w:rsidR="00E37E25" w:rsidRPr="00BC6A77">
        <w:rPr>
          <w:lang w:val="en-US"/>
        </w:rPr>
        <w:t xml:space="preserve">, </w:t>
      </w:r>
      <w:r w:rsidR="00E37E25" w:rsidRPr="008151F9">
        <w:rPr>
          <w:b/>
          <w:lang w:val="en-US"/>
        </w:rPr>
        <w:t>bilateral exchanges and surplus-organ platforms</w:t>
      </w:r>
      <w:r w:rsidR="00E37E25" w:rsidRPr="00BC6A77">
        <w:rPr>
          <w:lang w:val="en-US"/>
        </w:rPr>
        <w:t xml:space="preserve"> will likewise remain at volumes comparable to current levels. The competitive landscape for </w:t>
      </w:r>
      <w:r w:rsidR="00E37E25" w:rsidRPr="008151F9">
        <w:rPr>
          <w:b/>
          <w:lang w:val="en-US"/>
        </w:rPr>
        <w:t>manufacturers of perfusion devices, perfusates, and therapeutic agents will remain fragmented</w:t>
      </w:r>
      <w:r w:rsidR="00E37E25" w:rsidRPr="00BC6A77">
        <w:rPr>
          <w:lang w:val="en-US"/>
        </w:rPr>
        <w:t xml:space="preserve">, as companies continue to face a patchwork of national regulatory environments with no harmonised EU authorisation pathway for organ processing technologies, </w:t>
      </w:r>
      <w:r w:rsidR="00E37E25">
        <w:rPr>
          <w:lang w:val="en-US"/>
        </w:rPr>
        <w:t>impacting</w:t>
      </w:r>
      <w:r w:rsidR="00E37E25" w:rsidRPr="00BC6A77">
        <w:rPr>
          <w:lang w:val="en-US"/>
        </w:rPr>
        <w:t xml:space="preserve"> market predictability and scale.</w:t>
      </w:r>
    </w:p>
    <w:p w14:paraId="43A57A5F" w14:textId="77777777" w:rsidR="001F0E58" w:rsidRDefault="001F0E58" w:rsidP="00E37E25">
      <w:pPr>
        <w:rPr>
          <w:lang w:val="en-US"/>
        </w:rPr>
      </w:pPr>
    </w:p>
    <w:p w14:paraId="63C71D2E" w14:textId="77777777" w:rsidR="001F0E58" w:rsidRPr="00BC6A77" w:rsidRDefault="001F0E58" w:rsidP="00E37E25">
      <w:pPr>
        <w:rPr>
          <w:lang w:val="en-US"/>
        </w:rPr>
      </w:pPr>
    </w:p>
    <w:p w14:paraId="4AFD92B4" w14:textId="77777777" w:rsidR="00E37E25" w:rsidRPr="004570F2" w:rsidRDefault="00E37E25" w:rsidP="00E37E25">
      <w:pPr>
        <w:rPr>
          <w:b/>
        </w:rPr>
      </w:pPr>
      <w:r w:rsidRPr="004570F2">
        <w:rPr>
          <w:b/>
        </w:rPr>
        <w:lastRenderedPageBreak/>
        <w:t>Innovation and research</w:t>
      </w:r>
    </w:p>
    <w:p w14:paraId="09BEA924" w14:textId="02CF08F2" w:rsidR="00E37E25" w:rsidRDefault="00C85090" w:rsidP="00E37E25">
      <w:r>
        <w:t>E</w:t>
      </w:r>
      <w:r w:rsidR="00E37E25">
        <w:t>stablished technologies, particularly hypothermic machine perfusion for livers and kidneys, and E</w:t>
      </w:r>
      <w:r w:rsidR="006B0D91">
        <w:t xml:space="preserve">x </w:t>
      </w:r>
      <w:r w:rsidR="00E37E25">
        <w:t>V</w:t>
      </w:r>
      <w:r w:rsidR="006B0D91">
        <w:t xml:space="preserve">ivo </w:t>
      </w:r>
      <w:r w:rsidR="00E37E25">
        <w:t>L</w:t>
      </w:r>
      <w:r w:rsidR="006B0D91">
        <w:t xml:space="preserve">ung </w:t>
      </w:r>
      <w:r w:rsidR="00E37E25">
        <w:t>P</w:t>
      </w:r>
      <w:r w:rsidR="006B0D91">
        <w:t>erfusion</w:t>
      </w:r>
      <w:r w:rsidR="00F60620">
        <w:t xml:space="preserve"> (EVLP)</w:t>
      </w:r>
      <w:r w:rsidR="0059061C">
        <w:t xml:space="preserve">, </w:t>
      </w:r>
      <w:r w:rsidR="00E37E25">
        <w:t xml:space="preserve">will </w:t>
      </w:r>
      <w:r>
        <w:t>likely</w:t>
      </w:r>
      <w:r w:rsidR="00E37E25">
        <w:t xml:space="preserve"> continue to diffuse to additional centres, driven by the growing clinical evidence base, declining equipment costs as the market matures, and peer-to-peer knowledge transfer within professional networks. </w:t>
      </w:r>
      <w:r w:rsidRPr="008151F9">
        <w:rPr>
          <w:b/>
        </w:rPr>
        <w:t>T</w:t>
      </w:r>
      <w:r w:rsidR="00E37E25" w:rsidRPr="008151F9">
        <w:rPr>
          <w:b/>
        </w:rPr>
        <w:t xml:space="preserve">he aggregate share of programmes with active processing capability </w:t>
      </w:r>
      <w:r w:rsidRPr="008151F9">
        <w:rPr>
          <w:b/>
        </w:rPr>
        <w:t xml:space="preserve">is expected to </w:t>
      </w:r>
      <w:r w:rsidR="00E37E25" w:rsidRPr="008151F9">
        <w:rPr>
          <w:b/>
        </w:rPr>
        <w:t>rise from approximately 27</w:t>
      </w:r>
      <w:r w:rsidR="006856C2">
        <w:rPr>
          <w:b/>
        </w:rPr>
        <w:t>%</w:t>
      </w:r>
      <w:r w:rsidR="00E37E25" w:rsidRPr="008151F9">
        <w:rPr>
          <w:b/>
        </w:rPr>
        <w:t xml:space="preserve"> </w:t>
      </w:r>
      <w:r w:rsidR="00E37E25" w:rsidRPr="00A425AA">
        <w:t xml:space="preserve">at T0 </w:t>
      </w:r>
      <w:r w:rsidR="00E37E25" w:rsidRPr="008151F9">
        <w:rPr>
          <w:b/>
        </w:rPr>
        <w:t>to approximately 42–48</w:t>
      </w:r>
      <w:r w:rsidR="006856C2">
        <w:rPr>
          <w:b/>
        </w:rPr>
        <w:t>%</w:t>
      </w:r>
      <w:r w:rsidR="00E37E25" w:rsidRPr="008151F9">
        <w:rPr>
          <w:b/>
        </w:rPr>
        <w:t xml:space="preserve"> by 2035, with the most pronounced gains in liver perfusion (potentially reaching 70–75</w:t>
      </w:r>
      <w:r w:rsidR="006856C2">
        <w:rPr>
          <w:b/>
        </w:rPr>
        <w:t>%</w:t>
      </w:r>
      <w:r w:rsidR="00E37E25" w:rsidRPr="008151F9">
        <w:rPr>
          <w:b/>
        </w:rPr>
        <w:t xml:space="preserve"> of programmes) and EVLP (60–65</w:t>
      </w:r>
      <w:r w:rsidR="006856C2">
        <w:rPr>
          <w:b/>
        </w:rPr>
        <w:t>%</w:t>
      </w:r>
      <w:r w:rsidR="00E37E25" w:rsidRPr="008151F9">
        <w:rPr>
          <w:b/>
        </w:rPr>
        <w:t>).</w:t>
      </w:r>
      <w:r w:rsidR="00E37E25">
        <w:t xml:space="preserve"> </w:t>
      </w:r>
      <w:r w:rsidR="00F60620">
        <w:t>K</w:t>
      </w:r>
      <w:r w:rsidR="00E37E25">
        <w:t xml:space="preserve">idney perfusion uptake will remain structurally limited by the fact that kidney-only centres, which account for a significant proportion of the 260 kidney programmes, typically lack the institutional infrastructure, volume, and capital to sustain a perfusion programme: </w:t>
      </w:r>
      <w:r w:rsidR="00E37E25" w:rsidRPr="008151F9">
        <w:rPr>
          <w:b/>
        </w:rPr>
        <w:t>0 of 7 kidney-only centres had adopted machine perfusion is likely to persist as a structural feature.</w:t>
      </w:r>
    </w:p>
    <w:p w14:paraId="726B76A8" w14:textId="69E6ADDF" w:rsidR="00E37E25" w:rsidRDefault="00F60620" w:rsidP="00E37E25">
      <w:r>
        <w:t>The</w:t>
      </w:r>
      <w:r w:rsidR="00E37E25">
        <w:t xml:space="preserve"> unfavourable environment for next-generation and experimental processing technologies</w:t>
      </w:r>
      <w:r>
        <w:t xml:space="preserve"> will remain</w:t>
      </w:r>
      <w:r w:rsidR="00E37E25">
        <w:t xml:space="preserve">. Without an EU-level authorisation framework that provides both legal certainty and a structured route from conditional (monitored) use to full clinical deployment, </w:t>
      </w:r>
      <w:r w:rsidR="00E37E25" w:rsidRPr="008151F9">
        <w:rPr>
          <w:b/>
        </w:rPr>
        <w:t xml:space="preserve">developers </w:t>
      </w:r>
      <w:r w:rsidR="00FC46BB" w:rsidRPr="008151F9">
        <w:rPr>
          <w:b/>
          <w:bCs/>
        </w:rPr>
        <w:t>of technologies</w:t>
      </w:r>
      <w:r w:rsidR="00E37E25" w:rsidRPr="008151F9">
        <w:rPr>
          <w:b/>
          <w:bCs/>
        </w:rPr>
        <w:t xml:space="preserve"> </w:t>
      </w:r>
      <w:r w:rsidR="00E37E25" w:rsidRPr="008151F9">
        <w:rPr>
          <w:b/>
        </w:rPr>
        <w:t>will face an uncertain and fragmented market. The clinical evidence base for organ processing will also remain nationally siloed and methodologically inconsistent</w:t>
      </w:r>
      <w:r w:rsidR="00E37E25">
        <w:t>.</w:t>
      </w:r>
    </w:p>
    <w:p w14:paraId="1FB40E28" w14:textId="77777777" w:rsidR="00E37E25" w:rsidRPr="004570F2" w:rsidRDefault="00E37E25" w:rsidP="00E37E25">
      <w:pPr>
        <w:rPr>
          <w:b/>
        </w:rPr>
      </w:pPr>
      <w:r w:rsidRPr="004570F2">
        <w:rPr>
          <w:b/>
        </w:rPr>
        <w:t>Public authorities</w:t>
      </w:r>
    </w:p>
    <w:p w14:paraId="0663E918" w14:textId="2AA1B06B" w:rsidR="00E37E25" w:rsidRDefault="00E37E25" w:rsidP="00E37E25">
      <w:r>
        <w:t>Since no EU-level organ processing authorisation regime exists</w:t>
      </w:r>
      <w:r w:rsidR="00691FDC">
        <w:t xml:space="preserve">, the </w:t>
      </w:r>
      <w:r>
        <w:t xml:space="preserve">number of organ processing authorisations granted remains at zero throughout the assessment period under the baseline. </w:t>
      </w:r>
    </w:p>
    <w:p w14:paraId="41F1F3D1" w14:textId="17F9C646" w:rsidR="00E37E25" w:rsidRDefault="00E37E25" w:rsidP="00E37E25">
      <w:r>
        <w:t>A subset of Member States with well-resourced transplant authorities will expectedly develop national oversight arrangements, ranging from informal guidance issued by the competent authority to more structured approval procedures embedded within existing national transplant legislation. This process will be incremental and uncoordinated</w:t>
      </w:r>
      <w:r w:rsidR="00691FDC" w:rsidRPr="00691FDC">
        <w:t>,</w:t>
      </w:r>
      <w:r>
        <w:t xml:space="preserve"> producing a growing patchwork of national approaches with no common benchmark for the stringency, scope, or procedural requirements of processing oversight. The remaining Member States, particularly those with smaller transplant systems (fewer than 3–5 transplantation centres), are unlikely to develop dedicated processing oversight.</w:t>
      </w:r>
    </w:p>
    <w:p w14:paraId="7A23784E" w14:textId="38F5F15E" w:rsidR="00E37E25" w:rsidRDefault="00691FDC" w:rsidP="00E37E25">
      <w:r w:rsidRPr="008151F9">
        <w:rPr>
          <w:b/>
          <w:bCs/>
        </w:rPr>
        <w:t>C</w:t>
      </w:r>
      <w:r w:rsidR="00E37E25" w:rsidRPr="008151F9">
        <w:rPr>
          <w:b/>
        </w:rPr>
        <w:t>ompetent authorities will continue to lack any structured mechanism for cross-framework coordination with pharmaceutical, medical device, and SoHO authorities regarding the use of regulated products in the context of organ processing</w:t>
      </w:r>
      <w:r w:rsidR="00E37E25">
        <w:t>. The clinical outcome data generated when a medicinal product is administered to an organ during perfusion, or when a medical device is used in a novel ex-vivo application, will remain trapped within the organ transplant reporting system (to the extent it is captured at all) and will not be systematically shared with the relevant product-sector authorities. This regulatory silo effect represents a persistent information loss that impedes both patient safety oversight and evidence-based product regulation.</w:t>
      </w:r>
    </w:p>
    <w:p w14:paraId="6D11A0D4" w14:textId="77777777" w:rsidR="001F0E58" w:rsidRDefault="001F0E58" w:rsidP="00E37E25"/>
    <w:p w14:paraId="3DCB514E" w14:textId="77777777" w:rsidR="00E37E25" w:rsidRPr="004570F2" w:rsidRDefault="00E37E25" w:rsidP="00E37E25">
      <w:pPr>
        <w:rPr>
          <w:b/>
        </w:rPr>
      </w:pPr>
      <w:r w:rsidRPr="004570F2">
        <w:rPr>
          <w:b/>
        </w:rPr>
        <w:lastRenderedPageBreak/>
        <w:t>Public health and safety</w:t>
      </w:r>
    </w:p>
    <w:p w14:paraId="5429BEBA" w14:textId="2D580117" w:rsidR="00E37E25" w:rsidRDefault="00E37E25" w:rsidP="00E37E25">
      <w:r>
        <w:t xml:space="preserve">The public health and safety baseline encompasses the largest cluster of indicators and represents the domain in which the consequences of inaction are most directly measurable </w:t>
      </w:r>
      <w:r w:rsidR="14202262">
        <w:t>in-patient</w:t>
      </w:r>
      <w:r>
        <w:t xml:space="preserve"> terms. </w:t>
      </w:r>
    </w:p>
    <w:p w14:paraId="6086D98F" w14:textId="4A3561E5" w:rsidR="00E37E25" w:rsidRDefault="00E37E25" w:rsidP="00E37E25">
      <w:r>
        <w:rPr>
          <w:b/>
          <w:bCs/>
        </w:rPr>
        <w:t xml:space="preserve">Organ supply: discard rate, donor utilisation, and organ yield: </w:t>
      </w:r>
      <w:r>
        <w:t>The</w:t>
      </w:r>
      <w:r w:rsidR="000342A7">
        <w:t xml:space="preserve"> </w:t>
      </w:r>
      <w:r>
        <w:t>EU-27 proxy organ discard rate at T0 stands at approximately 12–13</w:t>
      </w:r>
      <w:r w:rsidR="006856C2">
        <w:t>%</w:t>
      </w:r>
      <w:r>
        <w:t xml:space="preserve"> across all organ types combined, with substantial organ-specific variation (kidney ~10</w:t>
      </w:r>
      <w:r w:rsidR="006856C2">
        <w:t>%</w:t>
      </w:r>
      <w:r>
        <w:t>, liver ~18</w:t>
      </w:r>
      <w:r w:rsidR="006856C2">
        <w:t>%</w:t>
      </w:r>
      <w:r>
        <w:t>, pancreas ~49</w:t>
      </w:r>
      <w:r w:rsidR="006856C2">
        <w:t>%</w:t>
      </w:r>
      <w:r>
        <w:t>, heart ~2%, lung ~6</w:t>
      </w:r>
      <w:r w:rsidR="006856C2">
        <w:t>%</w:t>
      </w:r>
      <w:r>
        <w:t xml:space="preserve">). </w:t>
      </w:r>
      <w:r w:rsidR="000342A7">
        <w:t>Thus</w:t>
      </w:r>
      <w:r>
        <w:t xml:space="preserve">, </w:t>
      </w:r>
      <w:r w:rsidRPr="008151F9">
        <w:rPr>
          <w:b/>
        </w:rPr>
        <w:t>the continued organic adoption of machine perfusion in leading centres is expected to produce a modest, uneven decline in the discard rate</w:t>
      </w:r>
      <w:r>
        <w:t xml:space="preserve">. </w:t>
      </w:r>
      <w:r w:rsidR="000342A7">
        <w:t>A</w:t>
      </w:r>
      <w:r>
        <w:t xml:space="preserve"> reduction to approximately 11–12</w:t>
      </w:r>
      <w:r w:rsidR="006856C2">
        <w:t>%</w:t>
      </w:r>
      <w:r>
        <w:t xml:space="preserve"> by 2030, 10–11</w:t>
      </w:r>
      <w:r w:rsidR="006856C2">
        <w:t>%</w:t>
      </w:r>
      <w:r>
        <w:t xml:space="preserve"> by 2035, and 9–10.5</w:t>
      </w:r>
      <w:r w:rsidR="006856C2">
        <w:t>%</w:t>
      </w:r>
      <w:r>
        <w:t xml:space="preserve"> by 2040</w:t>
      </w:r>
      <w:r w:rsidR="000342A7">
        <w:t xml:space="preserve"> is projected</w:t>
      </w:r>
      <w:r>
        <w:t>. The gains will be concentrated in liver and lung, where machine perfusion is most clinically mature, and will be minimal for pancreas and heart. The deceased donor utilisation rate (94.8</w:t>
      </w:r>
      <w:r w:rsidR="006856C2">
        <w:t>%</w:t>
      </w:r>
      <w:r>
        <w:t xml:space="preserve"> at T0) is expected to improve marginally to approximately 95.5–96</w:t>
      </w:r>
      <w:r w:rsidR="006856C2">
        <w:t>%</w:t>
      </w:r>
      <w:r>
        <w:t xml:space="preserve"> by 2035 and 96–96.5</w:t>
      </w:r>
      <w:r w:rsidR="006856C2">
        <w:t>%</w:t>
      </w:r>
      <w:r>
        <w:t xml:space="preserve"> by 2040, with the most significant improvements among DCD donors (whose utilisation rate of 85.2</w:t>
      </w:r>
      <w:r w:rsidR="006856C2">
        <w:t>%</w:t>
      </w:r>
      <w:r>
        <w:t xml:space="preserve"> globally at T0 has the greatest room for improvement). The organ yield per utilised deceased donor (2.77 at T0) is projected to rise modestly to approximately 2.85–2.90 by 2035 and 2.90–2.95 by 2040, driven primarily by the rehabilitation of individual organs within multi-organ donors. These projections are below the gains achievable with wider processing adoption: </w:t>
      </w:r>
      <w:r w:rsidR="007E1A22">
        <w:t>a</w:t>
      </w:r>
      <w:r>
        <w:t xml:space="preserve"> national survey’s finding of a ~10</w:t>
      </w:r>
      <w:r w:rsidR="006856C2">
        <w:t>%</w:t>
      </w:r>
      <w:r>
        <w:t xml:space="preserve"> increase in organ utilisation attributable to machine perfusion, applied across all EU programmes, would imply substantially larger improvements.</w:t>
      </w:r>
    </w:p>
    <w:p w14:paraId="305523AF" w14:textId="77777777" w:rsidR="00E37E25" w:rsidRDefault="00E37E25" w:rsidP="00E37E25">
      <w:r>
        <w:rPr>
          <w:b/>
          <w:bCs/>
        </w:rPr>
        <w:t xml:space="preserve">Patient safety: SAE/SAR rate: </w:t>
      </w:r>
      <w:r>
        <w:t>The proxy EU-27 SAE/SAR rate at T0 is approximately 4 per 1,000 organ recipients per year (plausible range: 3-6), corresponding to an estimated 130 SAE/SAR cases annually, with approximately 17 proven or probable disease transmission events and 3-4 associated deaths. Under the baseline, this rate is expected to remain broadly stable or may trend modestly upward over the assessment period. The critical dynamic is that the expansion of processing, which involves the introduction of new pharmacological, surgical, and biological interventions on the organ, creates new risk categories that the existing SAE/SAR reporting system was not designed to capture. Without a mandatory benefit-risk assessment requirement, a structured clinical-outcome monitoring obligation, or an EU-level mechanism for disaggregating adverse events attributable to processing from those attributable to other causes, the safety profile of organ processing techniques will depend entirely on the internal governance standards of individual transplantation centres and, where they exist, national oversight frameworks. As processing volumes grow, the absolute number of processing-related adverse events is likely to increase, but many of these events may go undetected or unreported because the existing reporting taxonomy does not include processing as a distinct cause category.</w:t>
      </w:r>
    </w:p>
    <w:p w14:paraId="4D46B728" w14:textId="0AB6F30A" w:rsidR="00E37E25" w:rsidRDefault="5D49E94A" w:rsidP="00E37E25">
      <w:r>
        <w:rPr>
          <w:b/>
          <w:bCs/>
        </w:rPr>
        <w:t xml:space="preserve">Waiting time and waiting-list mortality: </w:t>
      </w:r>
      <w:r>
        <w:t>The aggregate EU-27 waiting-list turnover ratio at T0 is approximately 19.5 months, overwhelmingly driven by the kidney waiting list (42,855 patients, turnover ratio of ~26.8 months). Under the baseline transplant growth trajectory of 1.54</w:t>
      </w:r>
      <w:r w:rsidR="006856C2">
        <w:t>%</w:t>
      </w:r>
      <w:r>
        <w:t xml:space="preserve"> CAGR, annual transplant volumes will rise from 32,222 (2024) to approximately 38,200 by 2035 and 41,200 by 2040. However, </w:t>
      </w:r>
      <w:r w:rsidR="25EEFEAB">
        <w:t xml:space="preserve">on </w:t>
      </w:r>
      <w:r>
        <w:t>the demand side</w:t>
      </w:r>
      <w:r w:rsidR="25EEFEAB">
        <w:t>,</w:t>
      </w:r>
      <w:r w:rsidDel="5D49E94A">
        <w:t xml:space="preserve"> </w:t>
      </w:r>
      <w:r>
        <w:t xml:space="preserve">waiting lists are expected to grow in parallel, driven by demographic ageing (which increases the incidence of end-stage organ failure, particularly for kidneys), the progressive expansion of transplant listing criteria, and improvements in dialysis and bridge therapies that keep </w:t>
      </w:r>
      <w:r>
        <w:lastRenderedPageBreak/>
        <w:t xml:space="preserve">patients alive and on the list for longer. </w:t>
      </w:r>
      <w:r w:rsidR="676C65F8">
        <w:t>It is assumed that t</w:t>
      </w:r>
      <w:r>
        <w:t>he EU-27 waiting list grows at approximately 0.5</w:t>
      </w:r>
      <w:r w:rsidR="006856C2">
        <w:t>%</w:t>
      </w:r>
      <w:r>
        <w:t xml:space="preserve"> per year (</w:t>
      </w:r>
      <w:r w:rsidRPr="00CD06AF">
        <w:t>plausible range of 0.35</w:t>
      </w:r>
      <w:r>
        <w:t>-</w:t>
      </w:r>
      <w:r w:rsidRPr="00CD06AF">
        <w:t>0.65</w:t>
      </w:r>
      <w:r w:rsidR="006856C2">
        <w:t>%</w:t>
      </w:r>
      <w:r>
        <w:t>), reflecting the net balance between rising incidence of end-stage organ failure on the demand side and the absorptive effect of growing transplant volumes on the supply side. This rate is broadly consistent with the Eurotransplant experience, where the active waiting list has remained approximately stable in recent years despite concurrent growth in transplant activity, and is conservative relative to the demand-side pressures described above.</w:t>
      </w:r>
      <w:r w:rsidR="00E37E25">
        <w:rPr>
          <w:rStyle w:val="FootnoteReference"/>
        </w:rPr>
        <w:footnoteReference w:id="239"/>
      </w:r>
      <w:r>
        <w:t xml:space="preserve"> Applied to the T0 waiting list of 52,488, this projects approximately </w:t>
      </w:r>
      <w:r w:rsidRPr="004570F2">
        <w:rPr>
          <w:b/>
        </w:rPr>
        <w:t>55,000-56,500 active patients by 2035 and 57,000-58,000 by 2040.</w:t>
      </w:r>
      <w:r>
        <w:t xml:space="preserve"> The net effect is that waiting times are projected to decline only modestly: the aggregate turnover ratio may fall from ~19.5 months to approximately </w:t>
      </w:r>
      <w:r w:rsidRPr="004570F2">
        <w:rPr>
          <w:b/>
        </w:rPr>
        <w:t>17-18 months by 2035 and 16-17 months by 2040, with kidney remaining above 22-24 months throughout.</w:t>
      </w:r>
      <w:r>
        <w:t xml:space="preserve"> Waiting-list mortality, currently estimated at approximately 3,366 deaths per year (an average of 9 patients per day in the EU-27), is projected to decline marginally to approximately </w:t>
      </w:r>
      <w:r w:rsidRPr="004570F2">
        <w:rPr>
          <w:b/>
        </w:rPr>
        <w:t>3,100-3,200 per year by 2035 and approximately 2,900-3,100 by 2040</w:t>
      </w:r>
      <w:r>
        <w:t>, representing a persistently high and only slowly diminishing toll.</w:t>
      </w:r>
    </w:p>
    <w:p w14:paraId="23FCF13C" w14:textId="53501069" w:rsidR="0038558D" w:rsidRPr="00892258" w:rsidRDefault="00E37E25" w:rsidP="00E37E25">
      <w:r>
        <w:rPr>
          <w:b/>
          <w:bCs/>
        </w:rPr>
        <w:t xml:space="preserve">Burden of kidney disease and dialysis dependence: </w:t>
      </w:r>
      <w:r>
        <w:t>The EU’s dialysis-dependent population (approximately 310,000 at T0, out of an estimated 511,549 on kidney replacement therapy) is expected to grow over the assessment period, driven by the rising incidence of chronic kidney disease associated with population ageing, the increasing prevalence of diabetes and hypertension, and the widening of dialysis initiation criteria. Under the baseline,</w:t>
      </w:r>
      <w:r w:rsidDel="00D243C2">
        <w:t xml:space="preserve"> </w:t>
      </w:r>
      <w:r>
        <w:t xml:space="preserve">the dialysis-dependent population </w:t>
      </w:r>
      <w:r w:rsidR="00D243C2">
        <w:t xml:space="preserve">is projected </w:t>
      </w:r>
      <w:r>
        <w:t>to rise to approximately 330,000-340,000 by 2035 and 350,000-365,000 by 2040. While the transplant rate will also grow (kidney transplants are projected to rise from 19,170 in 2024 to approximately 22,700 by 2035 under the 1.54</w:t>
      </w:r>
      <w:r w:rsidR="006856C2">
        <w:t>%</w:t>
      </w:r>
      <w:r>
        <w:t xml:space="preserve"> CAGR), the demand-side growth will outpace the supply-side gains, meaning the proportion of kidney replacement therapy patients living with a functioning transplant rather than on dialysis will, at best, remain stable and may marginally decline. This represents </w:t>
      </w:r>
      <w:r w:rsidR="00E03E79">
        <w:t>a</w:t>
      </w:r>
      <w:r>
        <w:t xml:space="preserve"> structural constraint: absent a step-change in the transplantable kidney supply, the kind of step-change that wider adoption of kidney processing technologies could deliver, the baseline trajectory is one of growing, not shrinking, unmet transplantation </w:t>
      </w:r>
      <w:r w:rsidR="4F762D47">
        <w:t>needs</w:t>
      </w:r>
      <w:r w:rsidR="36C52E6F">
        <w:t>.</w:t>
      </w:r>
    </w:p>
    <w:p w14:paraId="283F6E34" w14:textId="77777777" w:rsidR="00E37E25" w:rsidRPr="00D60D8D" w:rsidRDefault="00E37E25" w:rsidP="008151F9">
      <w:pPr>
        <w:pStyle w:val="Heading2"/>
      </w:pPr>
      <w:bookmarkStart w:id="312" w:name="_Toc224136215"/>
      <w:bookmarkStart w:id="313" w:name="_Toc225969816"/>
      <w:bookmarkStart w:id="314" w:name="_Toc225979148"/>
      <w:r w:rsidRPr="004F48D9">
        <w:t>Expected impacts</w:t>
      </w:r>
      <w:bookmarkEnd w:id="312"/>
      <w:bookmarkEnd w:id="313"/>
      <w:bookmarkEnd w:id="314"/>
    </w:p>
    <w:p w14:paraId="06C672C9" w14:textId="027F7DCD" w:rsidR="00E37E25" w:rsidRPr="00BB5E8F" w:rsidRDefault="00460387" w:rsidP="008151F9">
      <w:bookmarkStart w:id="315" w:name="_Toc224136216"/>
      <w:r w:rsidRPr="008151F9">
        <w:t>The e</w:t>
      </w:r>
      <w:r w:rsidR="00E37E25" w:rsidRPr="008151F9">
        <w:t xml:space="preserve">stimated impact on the </w:t>
      </w:r>
      <w:r w:rsidR="00E37E25" w:rsidRPr="004570F2">
        <w:rPr>
          <w:b/>
        </w:rPr>
        <w:t>adoption of organ processing technologies</w:t>
      </w:r>
      <w:bookmarkEnd w:id="315"/>
      <w:r w:rsidR="009F148D" w:rsidRPr="008151F9">
        <w:t xml:space="preserve"> </w:t>
      </w:r>
      <w:r w:rsidR="00066BBA">
        <w:rPr>
          <w:rFonts w:eastAsia="Arial"/>
        </w:rPr>
        <w:t>is based</w:t>
      </w:r>
      <w:r w:rsidR="00066BBA" w:rsidRPr="00BB5E8F">
        <w:rPr>
          <w:rFonts w:eastAsia="Arial"/>
        </w:rPr>
        <w:t xml:space="preserve"> </w:t>
      </w:r>
      <w:r w:rsidR="009D2999">
        <w:rPr>
          <w:rFonts w:eastAsia="Arial"/>
        </w:rPr>
        <w:t xml:space="preserve">the </w:t>
      </w:r>
      <w:r w:rsidR="00E37E25" w:rsidRPr="00BB5E8F">
        <w:rPr>
          <w:rFonts w:eastAsia="Arial"/>
        </w:rPr>
        <w:t>triangulat</w:t>
      </w:r>
      <w:r w:rsidR="009D2999">
        <w:rPr>
          <w:rFonts w:eastAsia="Arial"/>
        </w:rPr>
        <w:t xml:space="preserve">ion </w:t>
      </w:r>
      <w:r>
        <w:rPr>
          <w:rFonts w:eastAsia="Arial"/>
        </w:rPr>
        <w:t>of</w:t>
      </w:r>
      <w:r w:rsidR="00623350">
        <w:rPr>
          <w:rFonts w:eastAsia="Arial"/>
        </w:rPr>
        <w:t xml:space="preserve"> three elements. First,</w:t>
      </w:r>
      <w:r>
        <w:rPr>
          <w:rFonts w:eastAsia="Arial"/>
        </w:rPr>
        <w:t xml:space="preserve"> </w:t>
      </w:r>
      <w:r w:rsidR="00352BE3" w:rsidRPr="008151F9">
        <w:rPr>
          <w:rFonts w:eastAsia="Arial"/>
          <w:b/>
        </w:rPr>
        <w:t xml:space="preserve">the </w:t>
      </w:r>
      <w:r w:rsidR="00504109" w:rsidRPr="008151F9">
        <w:rPr>
          <w:b/>
        </w:rPr>
        <w:t>growth regimes in EU transplant activity</w:t>
      </w:r>
      <w:r w:rsidR="00A90DB4">
        <w:t xml:space="preserve"> </w:t>
      </w:r>
      <w:r w:rsidR="00DE6DEF">
        <w:t>(</w:t>
      </w:r>
      <w:r w:rsidR="00E37E25" w:rsidRPr="00177813">
        <w:rPr>
          <w:rStyle w:val="Strong"/>
        </w:rPr>
        <w:t>0.59% pmp</w:t>
      </w:r>
      <w:r w:rsidR="00E37E25" w:rsidRPr="00177813">
        <w:t xml:space="preserve"> (2005–2012) and </w:t>
      </w:r>
      <w:r w:rsidR="00E37E25" w:rsidRPr="00177813">
        <w:rPr>
          <w:rStyle w:val="Strong"/>
        </w:rPr>
        <w:t>1.54</w:t>
      </w:r>
      <w:r w:rsidR="006856C2">
        <w:rPr>
          <w:rStyle w:val="Strong"/>
        </w:rPr>
        <w:t>%</w:t>
      </w:r>
      <w:r w:rsidR="00E37E25" w:rsidRPr="00177813">
        <w:rPr>
          <w:rStyle w:val="Strong"/>
        </w:rPr>
        <w:t xml:space="preserve"> pmp</w:t>
      </w:r>
      <w:r w:rsidR="00E37E25" w:rsidRPr="00177813">
        <w:rPr>
          <w:b/>
          <w:bCs/>
        </w:rPr>
        <w:t xml:space="preserve"> </w:t>
      </w:r>
      <w:r w:rsidR="00E37E25" w:rsidRPr="00177813">
        <w:t>(2012–2024), yield</w:t>
      </w:r>
      <w:r w:rsidR="00623350">
        <w:t>s</w:t>
      </w:r>
      <w:r w:rsidR="00E37E25" w:rsidRPr="00177813">
        <w:t xml:space="preserve"> an incremental </w:t>
      </w:r>
      <w:r w:rsidR="00E37E25" w:rsidRPr="00177813">
        <w:rPr>
          <w:b/>
          <w:bCs/>
        </w:rPr>
        <w:t>acceleration effect of</w:t>
      </w:r>
      <w:r w:rsidR="00E37E25" w:rsidRPr="00177813">
        <w:t xml:space="preserve"> </w:t>
      </w:r>
      <w:r w:rsidR="00E37E25" w:rsidRPr="00177813">
        <w:rPr>
          <w:rStyle w:val="Strong"/>
        </w:rPr>
        <w:t>+0.95 percentage points per annum</w:t>
      </w:r>
      <w:r w:rsidR="005E24B7">
        <w:rPr>
          <w:rStyle w:val="Strong"/>
        </w:rPr>
        <w:t xml:space="preserve"> since the </w:t>
      </w:r>
      <w:r w:rsidR="00D23E78">
        <w:rPr>
          <w:rStyle w:val="Strong"/>
        </w:rPr>
        <w:t>transposition of the Directive in 2012</w:t>
      </w:r>
      <w:r w:rsidR="00623350">
        <w:t>.</w:t>
      </w:r>
      <w:r w:rsidR="009F148D">
        <w:t xml:space="preserve"> </w:t>
      </w:r>
      <w:r w:rsidR="00623350">
        <w:t xml:space="preserve">Second, </w:t>
      </w:r>
      <w:r w:rsidR="002B7914">
        <w:t xml:space="preserve">the </w:t>
      </w:r>
      <w:r w:rsidR="002B7914" w:rsidRPr="008151F9">
        <w:rPr>
          <w:b/>
        </w:rPr>
        <w:t>expected programme-level adoption</w:t>
      </w:r>
      <w:r w:rsidR="00E37E25" w:rsidRPr="00BB5E8F">
        <w:rPr>
          <w:rFonts w:eastAsia="Arial"/>
        </w:rPr>
        <w:t xml:space="preserve"> ris</w:t>
      </w:r>
      <w:r w:rsidR="00623350">
        <w:rPr>
          <w:rFonts w:eastAsia="Arial"/>
        </w:rPr>
        <w:t>es</w:t>
      </w:r>
      <w:r w:rsidR="00E37E25" w:rsidRPr="00BB5E8F">
        <w:rPr>
          <w:rFonts w:eastAsia="Arial"/>
        </w:rPr>
        <w:t xml:space="preserve"> from 27</w:t>
      </w:r>
      <w:r w:rsidR="006856C2">
        <w:rPr>
          <w:rFonts w:eastAsia="Arial"/>
        </w:rPr>
        <w:t>%</w:t>
      </w:r>
      <w:r w:rsidR="00E37E25" w:rsidRPr="00BB5E8F">
        <w:rPr>
          <w:rFonts w:eastAsia="Arial"/>
        </w:rPr>
        <w:t xml:space="preserve"> of EU programmes at T0 to 42</w:t>
      </w:r>
      <w:r w:rsidR="00E37E25">
        <w:rPr>
          <w:rFonts w:eastAsia="Arial"/>
        </w:rPr>
        <w:t>-</w:t>
      </w:r>
      <w:r w:rsidR="00E37E25" w:rsidRPr="00BB5E8F">
        <w:rPr>
          <w:rFonts w:eastAsia="Arial"/>
        </w:rPr>
        <w:t>48</w:t>
      </w:r>
      <w:r w:rsidR="006856C2">
        <w:rPr>
          <w:rFonts w:eastAsia="Arial"/>
        </w:rPr>
        <w:t>%</w:t>
      </w:r>
      <w:r w:rsidR="00E37E25" w:rsidRPr="00BB5E8F">
        <w:rPr>
          <w:rFonts w:eastAsia="Arial"/>
        </w:rPr>
        <w:t xml:space="preserve"> by 2035, plateauing at 48</w:t>
      </w:r>
      <w:r w:rsidR="00E37E25">
        <w:rPr>
          <w:rFonts w:eastAsia="Arial"/>
        </w:rPr>
        <w:t>-</w:t>
      </w:r>
      <w:r w:rsidR="00E37E25" w:rsidRPr="00BB5E8F">
        <w:rPr>
          <w:rFonts w:eastAsia="Arial"/>
        </w:rPr>
        <w:t>55</w:t>
      </w:r>
      <w:r w:rsidR="006856C2">
        <w:rPr>
          <w:rFonts w:eastAsia="Arial"/>
        </w:rPr>
        <w:t>%</w:t>
      </w:r>
      <w:r w:rsidR="00E37E25" w:rsidRPr="00BB5E8F">
        <w:rPr>
          <w:rFonts w:eastAsia="Arial"/>
        </w:rPr>
        <w:t xml:space="preserve"> by 2040</w:t>
      </w:r>
      <w:r w:rsidR="00E37E25">
        <w:rPr>
          <w:rFonts w:eastAsia="Arial"/>
        </w:rPr>
        <w:t xml:space="preserve">. </w:t>
      </w:r>
      <w:r w:rsidR="00E37E25" w:rsidRPr="00BB5E8F">
        <w:rPr>
          <w:rFonts w:eastAsia="Arial"/>
        </w:rPr>
        <w:t>The clinical ceiling is estimated at 65</w:t>
      </w:r>
      <w:r w:rsidR="00E37E25">
        <w:rPr>
          <w:rFonts w:eastAsia="Arial"/>
        </w:rPr>
        <w:t>-</w:t>
      </w:r>
      <w:r w:rsidR="00E37E25" w:rsidRPr="00BB5E8F">
        <w:rPr>
          <w:rFonts w:eastAsia="Arial"/>
        </w:rPr>
        <w:t>80</w:t>
      </w:r>
      <w:r w:rsidR="006856C2">
        <w:rPr>
          <w:rFonts w:eastAsia="Arial"/>
        </w:rPr>
        <w:t>%</w:t>
      </w:r>
      <w:r w:rsidR="00E37E25" w:rsidRPr="00BB5E8F">
        <w:rPr>
          <w:rFonts w:eastAsia="Arial"/>
        </w:rPr>
        <w:t xml:space="preserve"> of programmes across all organ types. The gap between the baseline plateau and the clinical ceiling (approximately 15</w:t>
      </w:r>
      <w:r w:rsidR="00E37E25">
        <w:rPr>
          <w:rFonts w:eastAsia="Arial"/>
        </w:rPr>
        <w:t>-</w:t>
      </w:r>
      <w:r w:rsidR="00E37E25" w:rsidRPr="00BB5E8F">
        <w:rPr>
          <w:rFonts w:eastAsia="Arial"/>
        </w:rPr>
        <w:t xml:space="preserve">25 pp) represents the adoption headroom that the regulatory intervention can unlock. </w:t>
      </w:r>
      <w:r w:rsidR="00623350">
        <w:rPr>
          <w:rFonts w:eastAsia="Arial"/>
        </w:rPr>
        <w:t>T</w:t>
      </w:r>
      <w:r w:rsidR="00E37E25" w:rsidRPr="00BB5E8F">
        <w:rPr>
          <w:rFonts w:eastAsia="Arial"/>
        </w:rPr>
        <w:t xml:space="preserve">hree scenarios assume that the </w:t>
      </w:r>
      <w:r w:rsidR="00E37E25" w:rsidRPr="00BB5E8F">
        <w:rPr>
          <w:rFonts w:eastAsia="Arial"/>
        </w:rPr>
        <w:lastRenderedPageBreak/>
        <w:t xml:space="preserve">framework closes </w:t>
      </w:r>
      <w:r w:rsidR="00E37E25">
        <w:rPr>
          <w:rFonts w:eastAsia="Arial"/>
        </w:rPr>
        <w:t>25</w:t>
      </w:r>
      <w:r w:rsidR="006856C2">
        <w:rPr>
          <w:rFonts w:eastAsia="Arial"/>
        </w:rPr>
        <w:t>%</w:t>
      </w:r>
      <w:r w:rsidR="00E37E25" w:rsidRPr="00BB5E8F">
        <w:rPr>
          <w:rFonts w:eastAsia="Arial"/>
        </w:rPr>
        <w:t>, 50</w:t>
      </w:r>
      <w:r w:rsidR="006856C2">
        <w:rPr>
          <w:rFonts w:eastAsia="Arial"/>
        </w:rPr>
        <w:t>%</w:t>
      </w:r>
      <w:r w:rsidR="00E37E25" w:rsidRPr="00BB5E8F">
        <w:rPr>
          <w:rFonts w:eastAsia="Arial"/>
        </w:rPr>
        <w:t xml:space="preserve">, and </w:t>
      </w:r>
      <w:r w:rsidR="00E37E25">
        <w:rPr>
          <w:rFonts w:eastAsia="Arial"/>
        </w:rPr>
        <w:t>100</w:t>
      </w:r>
      <w:r w:rsidR="006856C2">
        <w:rPr>
          <w:rFonts w:eastAsia="Arial"/>
        </w:rPr>
        <w:t>%</w:t>
      </w:r>
      <w:r w:rsidR="00E37E25" w:rsidRPr="00BB5E8F">
        <w:rPr>
          <w:rFonts w:eastAsia="Arial"/>
        </w:rPr>
        <w:t xml:space="preserve"> of this headroom, respectively.</w:t>
      </w:r>
      <w:r w:rsidR="00623350">
        <w:rPr>
          <w:rFonts w:eastAsia="Arial"/>
        </w:rPr>
        <w:t xml:space="preserve"> Third,</w:t>
      </w:r>
      <w:r w:rsidR="00F31FFD">
        <w:rPr>
          <w:rFonts w:eastAsia="Arial"/>
        </w:rPr>
        <w:t xml:space="preserve"> </w:t>
      </w:r>
      <w:r w:rsidR="001726A2" w:rsidRPr="008151F9">
        <w:rPr>
          <w:rFonts w:eastAsia="Arial"/>
          <w:b/>
          <w:bCs/>
        </w:rPr>
        <w:t>on</w:t>
      </w:r>
      <w:r w:rsidR="00623350" w:rsidRPr="008151F9">
        <w:rPr>
          <w:rFonts w:eastAsia="Arial"/>
          <w:b/>
        </w:rPr>
        <w:t xml:space="preserve"> </w:t>
      </w:r>
      <w:r w:rsidR="00E37E25" w:rsidRPr="008151F9">
        <w:rPr>
          <w:rFonts w:eastAsia="Arial"/>
          <w:b/>
        </w:rPr>
        <w:t>organ-level processing intensity</w:t>
      </w:r>
      <w:r w:rsidR="001726A2">
        <w:rPr>
          <w:rFonts w:eastAsia="Arial"/>
        </w:rPr>
        <w:t>,</w:t>
      </w:r>
      <w:r w:rsidR="00E37E25" w:rsidRPr="00BB5E8F">
        <w:rPr>
          <w:rFonts w:eastAsia="Arial"/>
        </w:rPr>
        <w:t xml:space="preserve"> </w:t>
      </w:r>
      <w:r w:rsidR="001726A2">
        <w:rPr>
          <w:rFonts w:eastAsia="Arial"/>
        </w:rPr>
        <w:t>t</w:t>
      </w:r>
      <w:r w:rsidR="00E37E25" w:rsidRPr="00BB5E8F">
        <w:rPr>
          <w:rFonts w:eastAsia="Arial"/>
        </w:rPr>
        <w:t>he proposed framework is expected to shift from “selective use” toward “systematic use” by standardising benefit–risk assessment and generating structured outcome data that strengthen the evidence case for routine application.</w:t>
      </w:r>
    </w:p>
    <w:p w14:paraId="062E3827" w14:textId="51182D59" w:rsidR="00E37E25" w:rsidRPr="008151F9" w:rsidRDefault="00CE09DF" w:rsidP="008151F9">
      <w:pPr>
        <w:rPr>
          <w:rFonts w:eastAsia="Arial"/>
          <w:b/>
        </w:rPr>
      </w:pPr>
      <w:r w:rsidRPr="008151F9">
        <w:rPr>
          <w:rFonts w:eastAsia="Arial"/>
          <w:b/>
          <w:bCs/>
        </w:rPr>
        <w:t xml:space="preserve">Table </w:t>
      </w:r>
      <w:r w:rsidR="000B7A24">
        <w:rPr>
          <w:rFonts w:eastAsia="Arial"/>
          <w:b/>
          <w:bCs/>
        </w:rPr>
        <w:t>5</w:t>
      </w:r>
      <w:r w:rsidR="00106AA9">
        <w:rPr>
          <w:rFonts w:eastAsia="Arial"/>
          <w:b/>
          <w:bCs/>
        </w:rPr>
        <w:t xml:space="preserve">. </w:t>
      </w:r>
      <w:r w:rsidR="00E37E25" w:rsidRPr="008151F9">
        <w:rPr>
          <w:rFonts w:eastAsia="Arial"/>
          <w:b/>
        </w:rPr>
        <w:t>Pillar 1: Programme-level adoption of organ processing</w:t>
      </w:r>
    </w:p>
    <w:tbl>
      <w:tblPr>
        <w:tblStyle w:val="TableGrid"/>
        <w:tblW w:w="8628" w:type="dxa"/>
        <w:tblLook w:val="0000" w:firstRow="0" w:lastRow="0" w:firstColumn="0" w:lastColumn="0" w:noHBand="0" w:noVBand="0"/>
      </w:tblPr>
      <w:tblGrid>
        <w:gridCol w:w="2165"/>
        <w:gridCol w:w="1515"/>
        <w:gridCol w:w="1180"/>
        <w:gridCol w:w="1134"/>
        <w:gridCol w:w="990"/>
        <w:gridCol w:w="1644"/>
      </w:tblGrid>
      <w:tr w:rsidR="001C7E47" w:rsidRPr="001C7E47" w14:paraId="3BF7876F" w14:textId="77777777" w:rsidTr="00E5568D">
        <w:trPr>
          <w:trHeight w:val="135"/>
        </w:trPr>
        <w:tc>
          <w:tcPr>
            <w:tcW w:w="2165" w:type="dxa"/>
          </w:tcPr>
          <w:p w14:paraId="362CED4F" w14:textId="77777777" w:rsidR="00E37E25" w:rsidRPr="004570F2" w:rsidRDefault="00E37E25" w:rsidP="00041A88">
            <w:pPr>
              <w:pStyle w:val="TABLEFONT"/>
              <w:rPr>
                <w:color w:val="auto"/>
              </w:rPr>
            </w:pPr>
            <w:r w:rsidRPr="004570F2">
              <w:rPr>
                <w:rFonts w:eastAsia="Arial"/>
                <w:color w:val="auto"/>
              </w:rPr>
              <w:t>Indicator / horizon</w:t>
            </w:r>
          </w:p>
        </w:tc>
        <w:tc>
          <w:tcPr>
            <w:tcW w:w="1515" w:type="dxa"/>
          </w:tcPr>
          <w:p w14:paraId="7498D1ED" w14:textId="77777777" w:rsidR="00E37E25" w:rsidRPr="004570F2" w:rsidRDefault="00E37E25" w:rsidP="00041A88">
            <w:pPr>
              <w:pStyle w:val="TABLEFONT"/>
              <w:rPr>
                <w:color w:val="auto"/>
              </w:rPr>
            </w:pPr>
            <w:r w:rsidRPr="004570F2">
              <w:rPr>
                <w:rFonts w:eastAsia="Arial"/>
                <w:color w:val="auto"/>
              </w:rPr>
              <w:t>T0 (2024)</w:t>
            </w:r>
          </w:p>
        </w:tc>
        <w:tc>
          <w:tcPr>
            <w:tcW w:w="1180" w:type="dxa"/>
          </w:tcPr>
          <w:p w14:paraId="25BA7652" w14:textId="77777777" w:rsidR="00E37E25" w:rsidRPr="004570F2" w:rsidRDefault="00E37E25" w:rsidP="00041A88">
            <w:pPr>
              <w:pStyle w:val="TABLEFONT"/>
              <w:rPr>
                <w:color w:val="auto"/>
              </w:rPr>
            </w:pPr>
            <w:r w:rsidRPr="004570F2">
              <w:rPr>
                <w:rFonts w:eastAsia="Arial"/>
                <w:color w:val="auto"/>
              </w:rPr>
              <w:t>2030</w:t>
            </w:r>
          </w:p>
        </w:tc>
        <w:tc>
          <w:tcPr>
            <w:tcW w:w="1134" w:type="dxa"/>
          </w:tcPr>
          <w:p w14:paraId="7D5A0020" w14:textId="77777777" w:rsidR="00E37E25" w:rsidRPr="004570F2" w:rsidRDefault="00E37E25" w:rsidP="00041A88">
            <w:pPr>
              <w:pStyle w:val="TABLEFONT"/>
              <w:rPr>
                <w:color w:val="auto"/>
              </w:rPr>
            </w:pPr>
            <w:r w:rsidRPr="004570F2">
              <w:rPr>
                <w:rFonts w:eastAsia="Arial"/>
                <w:color w:val="auto"/>
              </w:rPr>
              <w:t>2035</w:t>
            </w:r>
          </w:p>
        </w:tc>
        <w:tc>
          <w:tcPr>
            <w:tcW w:w="990" w:type="dxa"/>
          </w:tcPr>
          <w:p w14:paraId="00C3D1C0" w14:textId="77777777" w:rsidR="00E37E25" w:rsidRPr="004570F2" w:rsidRDefault="00E37E25" w:rsidP="00041A88">
            <w:pPr>
              <w:pStyle w:val="TABLEFONT"/>
              <w:rPr>
                <w:color w:val="auto"/>
              </w:rPr>
            </w:pPr>
            <w:r w:rsidRPr="004570F2">
              <w:rPr>
                <w:rFonts w:eastAsia="Arial"/>
                <w:color w:val="auto"/>
              </w:rPr>
              <w:t>2040</w:t>
            </w:r>
          </w:p>
        </w:tc>
        <w:tc>
          <w:tcPr>
            <w:tcW w:w="1644" w:type="dxa"/>
          </w:tcPr>
          <w:p w14:paraId="73526B9E" w14:textId="77777777" w:rsidR="00E37E25" w:rsidRPr="004570F2" w:rsidRDefault="00E37E25" w:rsidP="00041A88">
            <w:pPr>
              <w:pStyle w:val="TABLEFONT"/>
              <w:rPr>
                <w:color w:val="auto"/>
              </w:rPr>
            </w:pPr>
            <w:r w:rsidRPr="004570F2">
              <w:rPr>
                <w:rFonts w:eastAsia="Arial"/>
                <w:color w:val="auto"/>
              </w:rPr>
              <w:t>Δ vs baseline (2035)</w:t>
            </w:r>
          </w:p>
        </w:tc>
      </w:tr>
      <w:tr w:rsidR="001C7E47" w:rsidRPr="001C7E47" w14:paraId="6FE43821" w14:textId="77777777" w:rsidTr="00E5568D">
        <w:trPr>
          <w:trHeight w:val="59"/>
        </w:trPr>
        <w:tc>
          <w:tcPr>
            <w:tcW w:w="2165" w:type="dxa"/>
          </w:tcPr>
          <w:p w14:paraId="22137615" w14:textId="77777777" w:rsidR="00E37E25" w:rsidRPr="004570F2" w:rsidRDefault="00E37E25" w:rsidP="00041A88">
            <w:pPr>
              <w:pStyle w:val="TABLEFONT"/>
              <w:rPr>
                <w:color w:val="auto"/>
              </w:rPr>
            </w:pPr>
            <w:r w:rsidRPr="004570F2">
              <w:rPr>
                <w:rFonts w:eastAsia="Arial"/>
                <w:color w:val="auto"/>
              </w:rPr>
              <w:t>Baseline (no policy change)</w:t>
            </w:r>
          </w:p>
        </w:tc>
        <w:tc>
          <w:tcPr>
            <w:tcW w:w="1515" w:type="dxa"/>
          </w:tcPr>
          <w:p w14:paraId="5FA5C56A" w14:textId="37B91EBA" w:rsidR="00E37E25" w:rsidRPr="004570F2" w:rsidRDefault="00E37E25" w:rsidP="00041A88">
            <w:pPr>
              <w:pStyle w:val="TABLEFONT"/>
              <w:rPr>
                <w:color w:val="auto"/>
              </w:rPr>
            </w:pPr>
            <w:r w:rsidRPr="004570F2">
              <w:rPr>
                <w:rFonts w:eastAsia="Arial"/>
                <w:color w:val="auto"/>
              </w:rPr>
              <w:t>27</w:t>
            </w:r>
            <w:r w:rsidR="006856C2" w:rsidRPr="004570F2">
              <w:rPr>
                <w:rFonts w:eastAsia="Arial"/>
                <w:color w:val="auto"/>
              </w:rPr>
              <w:t>%</w:t>
            </w:r>
          </w:p>
        </w:tc>
        <w:tc>
          <w:tcPr>
            <w:tcW w:w="1180" w:type="dxa"/>
          </w:tcPr>
          <w:p w14:paraId="75935FC7" w14:textId="5015570A" w:rsidR="00E37E25" w:rsidRPr="004570F2" w:rsidRDefault="00E37E25" w:rsidP="00041A88">
            <w:pPr>
              <w:pStyle w:val="TABLEFONT"/>
              <w:rPr>
                <w:color w:val="auto"/>
              </w:rPr>
            </w:pPr>
            <w:r w:rsidRPr="004570F2">
              <w:rPr>
                <w:rFonts w:eastAsia="Arial"/>
                <w:color w:val="auto"/>
              </w:rPr>
              <w:t>35–38</w:t>
            </w:r>
            <w:r w:rsidR="006856C2" w:rsidRPr="004570F2">
              <w:rPr>
                <w:rFonts w:eastAsia="Arial"/>
                <w:color w:val="auto"/>
              </w:rPr>
              <w:t>%</w:t>
            </w:r>
          </w:p>
        </w:tc>
        <w:tc>
          <w:tcPr>
            <w:tcW w:w="1134" w:type="dxa"/>
          </w:tcPr>
          <w:p w14:paraId="31CE4131" w14:textId="1DC95DA3" w:rsidR="00E37E25" w:rsidRPr="004570F2" w:rsidRDefault="00E37E25" w:rsidP="00041A88">
            <w:pPr>
              <w:pStyle w:val="TABLEFONT"/>
              <w:rPr>
                <w:color w:val="auto"/>
              </w:rPr>
            </w:pPr>
            <w:r w:rsidRPr="004570F2">
              <w:rPr>
                <w:rFonts w:eastAsia="Arial"/>
                <w:color w:val="auto"/>
              </w:rPr>
              <w:t>42–48</w:t>
            </w:r>
            <w:r w:rsidR="006856C2" w:rsidRPr="004570F2">
              <w:rPr>
                <w:rFonts w:eastAsia="Arial"/>
                <w:color w:val="auto"/>
              </w:rPr>
              <w:t>%</w:t>
            </w:r>
          </w:p>
        </w:tc>
        <w:tc>
          <w:tcPr>
            <w:tcW w:w="990" w:type="dxa"/>
          </w:tcPr>
          <w:p w14:paraId="50A7BDDB" w14:textId="4656C3E0" w:rsidR="00E37E25" w:rsidRPr="004570F2" w:rsidRDefault="00E37E25" w:rsidP="00041A88">
            <w:pPr>
              <w:pStyle w:val="TABLEFONT"/>
              <w:rPr>
                <w:color w:val="auto"/>
              </w:rPr>
            </w:pPr>
            <w:r w:rsidRPr="004570F2">
              <w:rPr>
                <w:rFonts w:eastAsia="Arial"/>
                <w:color w:val="auto"/>
              </w:rPr>
              <w:t>48–55</w:t>
            </w:r>
            <w:r w:rsidR="006856C2" w:rsidRPr="004570F2">
              <w:rPr>
                <w:rFonts w:eastAsia="Arial"/>
                <w:color w:val="auto"/>
              </w:rPr>
              <w:t>%</w:t>
            </w:r>
          </w:p>
        </w:tc>
        <w:tc>
          <w:tcPr>
            <w:tcW w:w="1644" w:type="dxa"/>
          </w:tcPr>
          <w:p w14:paraId="4E2B5838" w14:textId="77777777" w:rsidR="00E37E25" w:rsidRPr="004570F2" w:rsidRDefault="00E37E25" w:rsidP="00041A88">
            <w:pPr>
              <w:pStyle w:val="TABLEFONT"/>
              <w:rPr>
                <w:color w:val="auto"/>
              </w:rPr>
            </w:pPr>
            <w:r w:rsidRPr="004570F2">
              <w:rPr>
                <w:rFonts w:eastAsia="Arial"/>
                <w:color w:val="auto"/>
              </w:rPr>
              <w:t>—</w:t>
            </w:r>
          </w:p>
        </w:tc>
      </w:tr>
      <w:tr w:rsidR="001C7E47" w:rsidRPr="001C7E47" w14:paraId="35EB288F" w14:textId="77777777" w:rsidTr="00E5568D">
        <w:trPr>
          <w:trHeight w:val="331"/>
        </w:trPr>
        <w:tc>
          <w:tcPr>
            <w:tcW w:w="2165" w:type="dxa"/>
          </w:tcPr>
          <w:p w14:paraId="214A3763" w14:textId="263FEEC1" w:rsidR="00E37E25" w:rsidRPr="004570F2" w:rsidRDefault="00E37E25" w:rsidP="00041A88">
            <w:pPr>
              <w:pStyle w:val="TABLEFONT"/>
              <w:rPr>
                <w:color w:val="auto"/>
              </w:rPr>
            </w:pPr>
            <w:r w:rsidRPr="004570F2">
              <w:rPr>
                <w:rFonts w:eastAsia="Arial"/>
                <w:color w:val="auto"/>
              </w:rPr>
              <w:t>Conservative (25</w:t>
            </w:r>
            <w:r w:rsidR="006856C2" w:rsidRPr="004570F2">
              <w:rPr>
                <w:rFonts w:eastAsia="Arial"/>
                <w:color w:val="auto"/>
              </w:rPr>
              <w:t>%</w:t>
            </w:r>
            <w:r w:rsidRPr="004570F2">
              <w:rPr>
                <w:rFonts w:eastAsia="Arial"/>
                <w:color w:val="auto"/>
              </w:rPr>
              <w:t>)</w:t>
            </w:r>
          </w:p>
        </w:tc>
        <w:tc>
          <w:tcPr>
            <w:tcW w:w="1515" w:type="dxa"/>
          </w:tcPr>
          <w:p w14:paraId="373B8BEF" w14:textId="7778A8D9" w:rsidR="00E37E25" w:rsidRPr="004570F2" w:rsidRDefault="00E37E25" w:rsidP="00041A88">
            <w:pPr>
              <w:pStyle w:val="TABLEFONT"/>
              <w:rPr>
                <w:color w:val="auto"/>
              </w:rPr>
            </w:pPr>
            <w:r w:rsidRPr="004570F2">
              <w:rPr>
                <w:rFonts w:eastAsia="Arial"/>
                <w:color w:val="auto"/>
              </w:rPr>
              <w:t>27</w:t>
            </w:r>
            <w:r w:rsidR="006856C2" w:rsidRPr="004570F2">
              <w:rPr>
                <w:rFonts w:eastAsia="Arial"/>
                <w:color w:val="auto"/>
              </w:rPr>
              <w:t>%</w:t>
            </w:r>
          </w:p>
        </w:tc>
        <w:tc>
          <w:tcPr>
            <w:tcW w:w="1180" w:type="dxa"/>
          </w:tcPr>
          <w:p w14:paraId="027427CB" w14:textId="664C6466" w:rsidR="00E37E25" w:rsidRPr="004570F2" w:rsidRDefault="00E37E25" w:rsidP="00041A88">
            <w:pPr>
              <w:pStyle w:val="TABLEFONT"/>
              <w:rPr>
                <w:color w:val="auto"/>
              </w:rPr>
            </w:pPr>
            <w:r w:rsidRPr="004570F2">
              <w:rPr>
                <w:rFonts w:eastAsia="Arial"/>
                <w:color w:val="auto"/>
              </w:rPr>
              <w:t>38–42</w:t>
            </w:r>
            <w:r w:rsidR="006856C2" w:rsidRPr="004570F2">
              <w:rPr>
                <w:rFonts w:eastAsia="Arial"/>
                <w:color w:val="auto"/>
              </w:rPr>
              <w:t>%</w:t>
            </w:r>
          </w:p>
        </w:tc>
        <w:tc>
          <w:tcPr>
            <w:tcW w:w="1134" w:type="dxa"/>
          </w:tcPr>
          <w:p w14:paraId="3D2753AA" w14:textId="78EDF692" w:rsidR="00E37E25" w:rsidRPr="004570F2" w:rsidRDefault="00E37E25" w:rsidP="00041A88">
            <w:pPr>
              <w:pStyle w:val="TABLEFONT"/>
              <w:rPr>
                <w:color w:val="auto"/>
              </w:rPr>
            </w:pPr>
            <w:r w:rsidRPr="004570F2">
              <w:rPr>
                <w:rFonts w:eastAsia="Arial"/>
                <w:color w:val="auto"/>
              </w:rPr>
              <w:t>50–55</w:t>
            </w:r>
            <w:r w:rsidR="006856C2" w:rsidRPr="004570F2">
              <w:rPr>
                <w:rFonts w:eastAsia="Arial"/>
                <w:color w:val="auto"/>
              </w:rPr>
              <w:t>%</w:t>
            </w:r>
          </w:p>
        </w:tc>
        <w:tc>
          <w:tcPr>
            <w:tcW w:w="990" w:type="dxa"/>
          </w:tcPr>
          <w:p w14:paraId="28C16E17" w14:textId="4ECFE860" w:rsidR="00E37E25" w:rsidRPr="004570F2" w:rsidRDefault="00E37E25" w:rsidP="00041A88">
            <w:pPr>
              <w:pStyle w:val="TABLEFONT"/>
              <w:rPr>
                <w:color w:val="auto"/>
              </w:rPr>
            </w:pPr>
            <w:r w:rsidRPr="004570F2">
              <w:rPr>
                <w:rFonts w:eastAsia="Arial"/>
                <w:color w:val="auto"/>
              </w:rPr>
              <w:t>55–62</w:t>
            </w:r>
            <w:r w:rsidR="006856C2" w:rsidRPr="004570F2">
              <w:rPr>
                <w:rFonts w:eastAsia="Arial"/>
                <w:color w:val="auto"/>
              </w:rPr>
              <w:t>%</w:t>
            </w:r>
          </w:p>
        </w:tc>
        <w:tc>
          <w:tcPr>
            <w:tcW w:w="1644" w:type="dxa"/>
          </w:tcPr>
          <w:p w14:paraId="1FA91DDB" w14:textId="77777777" w:rsidR="00E37E25" w:rsidRPr="004570F2" w:rsidRDefault="00E37E25" w:rsidP="00041A88">
            <w:pPr>
              <w:pStyle w:val="TABLEFONT"/>
              <w:rPr>
                <w:color w:val="auto"/>
              </w:rPr>
            </w:pPr>
            <w:r w:rsidRPr="004570F2">
              <w:rPr>
                <w:rFonts w:eastAsia="Arial"/>
                <w:color w:val="auto"/>
              </w:rPr>
              <w:t>+5-8 pp</w:t>
            </w:r>
          </w:p>
        </w:tc>
      </w:tr>
      <w:tr w:rsidR="001C7E47" w:rsidRPr="001C7E47" w14:paraId="10BA39ED" w14:textId="77777777" w:rsidTr="00E5568D">
        <w:trPr>
          <w:trHeight w:val="321"/>
        </w:trPr>
        <w:tc>
          <w:tcPr>
            <w:tcW w:w="2165" w:type="dxa"/>
          </w:tcPr>
          <w:p w14:paraId="197FD32A" w14:textId="7A03A969" w:rsidR="00E37E25" w:rsidRPr="004570F2" w:rsidRDefault="00E37E25" w:rsidP="00041A88">
            <w:pPr>
              <w:pStyle w:val="TABLEFONT"/>
              <w:rPr>
                <w:color w:val="auto"/>
              </w:rPr>
            </w:pPr>
            <w:r w:rsidRPr="004570F2">
              <w:rPr>
                <w:rFonts w:eastAsia="Arial"/>
                <w:color w:val="auto"/>
              </w:rPr>
              <w:t>Moderate (50</w:t>
            </w:r>
            <w:r w:rsidR="006856C2" w:rsidRPr="004570F2">
              <w:rPr>
                <w:rFonts w:eastAsia="Arial"/>
                <w:color w:val="auto"/>
              </w:rPr>
              <w:t>%</w:t>
            </w:r>
            <w:r w:rsidRPr="004570F2">
              <w:rPr>
                <w:rFonts w:eastAsia="Arial"/>
                <w:color w:val="auto"/>
              </w:rPr>
              <w:t>)</w:t>
            </w:r>
          </w:p>
        </w:tc>
        <w:tc>
          <w:tcPr>
            <w:tcW w:w="1515" w:type="dxa"/>
          </w:tcPr>
          <w:p w14:paraId="57D4A43C" w14:textId="50F47B0C" w:rsidR="00E37E25" w:rsidRPr="004570F2" w:rsidRDefault="00E37E25" w:rsidP="00041A88">
            <w:pPr>
              <w:pStyle w:val="TABLEFONT"/>
              <w:rPr>
                <w:color w:val="auto"/>
              </w:rPr>
            </w:pPr>
            <w:r w:rsidRPr="004570F2">
              <w:rPr>
                <w:rFonts w:eastAsia="Arial"/>
                <w:color w:val="auto"/>
              </w:rPr>
              <w:t>27</w:t>
            </w:r>
            <w:r w:rsidR="006856C2" w:rsidRPr="004570F2">
              <w:rPr>
                <w:rFonts w:eastAsia="Arial"/>
                <w:color w:val="auto"/>
              </w:rPr>
              <w:t>%</w:t>
            </w:r>
          </w:p>
        </w:tc>
        <w:tc>
          <w:tcPr>
            <w:tcW w:w="1180" w:type="dxa"/>
          </w:tcPr>
          <w:p w14:paraId="13AD718F" w14:textId="6E3069D2" w:rsidR="00E37E25" w:rsidRPr="004570F2" w:rsidRDefault="00E37E25" w:rsidP="00041A88">
            <w:pPr>
              <w:pStyle w:val="TABLEFONT"/>
              <w:rPr>
                <w:color w:val="auto"/>
              </w:rPr>
            </w:pPr>
            <w:r w:rsidRPr="004570F2">
              <w:rPr>
                <w:rFonts w:eastAsia="Arial"/>
                <w:color w:val="auto"/>
              </w:rPr>
              <w:t>42–48</w:t>
            </w:r>
            <w:r w:rsidR="006856C2" w:rsidRPr="004570F2">
              <w:rPr>
                <w:rFonts w:eastAsia="Arial"/>
                <w:color w:val="auto"/>
              </w:rPr>
              <w:t>%</w:t>
            </w:r>
          </w:p>
        </w:tc>
        <w:tc>
          <w:tcPr>
            <w:tcW w:w="1134" w:type="dxa"/>
          </w:tcPr>
          <w:p w14:paraId="7FEA33AB" w14:textId="297FA079" w:rsidR="00E37E25" w:rsidRPr="004570F2" w:rsidRDefault="00E37E25" w:rsidP="00041A88">
            <w:pPr>
              <w:pStyle w:val="TABLEFONT"/>
              <w:rPr>
                <w:color w:val="auto"/>
              </w:rPr>
            </w:pPr>
            <w:r w:rsidRPr="004570F2">
              <w:rPr>
                <w:rFonts w:eastAsia="Arial"/>
                <w:color w:val="auto"/>
              </w:rPr>
              <w:t>55–63</w:t>
            </w:r>
            <w:r w:rsidR="006856C2" w:rsidRPr="004570F2">
              <w:rPr>
                <w:rFonts w:eastAsia="Arial"/>
                <w:color w:val="auto"/>
              </w:rPr>
              <w:t>%</w:t>
            </w:r>
          </w:p>
        </w:tc>
        <w:tc>
          <w:tcPr>
            <w:tcW w:w="990" w:type="dxa"/>
          </w:tcPr>
          <w:p w14:paraId="56CD1437" w14:textId="3D341095" w:rsidR="00E37E25" w:rsidRPr="004570F2" w:rsidRDefault="00E37E25" w:rsidP="00041A88">
            <w:pPr>
              <w:pStyle w:val="TABLEFONT"/>
              <w:rPr>
                <w:color w:val="auto"/>
              </w:rPr>
            </w:pPr>
            <w:r w:rsidRPr="004570F2">
              <w:rPr>
                <w:rFonts w:eastAsia="Arial"/>
                <w:color w:val="auto"/>
              </w:rPr>
              <w:t>62–70</w:t>
            </w:r>
            <w:r w:rsidR="006856C2" w:rsidRPr="004570F2">
              <w:rPr>
                <w:rFonts w:eastAsia="Arial"/>
                <w:color w:val="auto"/>
              </w:rPr>
              <w:t>%</w:t>
            </w:r>
          </w:p>
        </w:tc>
        <w:tc>
          <w:tcPr>
            <w:tcW w:w="1644" w:type="dxa"/>
          </w:tcPr>
          <w:p w14:paraId="148D6DCE" w14:textId="77777777" w:rsidR="00E37E25" w:rsidRPr="004570F2" w:rsidRDefault="00E37E25" w:rsidP="00041A88">
            <w:pPr>
              <w:pStyle w:val="TABLEFONT"/>
              <w:rPr>
                <w:color w:val="auto"/>
              </w:rPr>
            </w:pPr>
            <w:r w:rsidRPr="004570F2">
              <w:rPr>
                <w:rFonts w:eastAsia="Arial"/>
                <w:color w:val="auto"/>
              </w:rPr>
              <w:t>+10-15 pp</w:t>
            </w:r>
          </w:p>
        </w:tc>
      </w:tr>
      <w:tr w:rsidR="001C7E47" w:rsidRPr="001C7E47" w14:paraId="518422F9" w14:textId="77777777" w:rsidTr="00E5568D">
        <w:trPr>
          <w:trHeight w:val="321"/>
        </w:trPr>
        <w:tc>
          <w:tcPr>
            <w:tcW w:w="2165" w:type="dxa"/>
          </w:tcPr>
          <w:p w14:paraId="534CF484" w14:textId="1E467A09" w:rsidR="00E37E25" w:rsidRPr="004570F2" w:rsidRDefault="00E37E25" w:rsidP="00041A88">
            <w:pPr>
              <w:pStyle w:val="TABLEFONT"/>
              <w:rPr>
                <w:color w:val="auto"/>
              </w:rPr>
            </w:pPr>
            <w:r w:rsidRPr="004570F2">
              <w:rPr>
                <w:rFonts w:eastAsia="Arial"/>
                <w:color w:val="auto"/>
              </w:rPr>
              <w:t>Optimistic (100</w:t>
            </w:r>
            <w:r w:rsidR="006856C2" w:rsidRPr="004570F2">
              <w:rPr>
                <w:rFonts w:eastAsia="Arial"/>
                <w:color w:val="auto"/>
              </w:rPr>
              <w:t>%</w:t>
            </w:r>
            <w:r w:rsidRPr="004570F2">
              <w:rPr>
                <w:rFonts w:eastAsia="Arial"/>
                <w:color w:val="auto"/>
              </w:rPr>
              <w:t>)</w:t>
            </w:r>
          </w:p>
        </w:tc>
        <w:tc>
          <w:tcPr>
            <w:tcW w:w="1515" w:type="dxa"/>
          </w:tcPr>
          <w:p w14:paraId="4A4D475E" w14:textId="58DDF246" w:rsidR="00E37E25" w:rsidRPr="004570F2" w:rsidRDefault="00E37E25" w:rsidP="00041A88">
            <w:pPr>
              <w:pStyle w:val="TABLEFONT"/>
              <w:rPr>
                <w:color w:val="auto"/>
              </w:rPr>
            </w:pPr>
            <w:r w:rsidRPr="004570F2">
              <w:rPr>
                <w:rFonts w:eastAsia="Arial"/>
                <w:color w:val="auto"/>
              </w:rPr>
              <w:t>27</w:t>
            </w:r>
            <w:r w:rsidR="006856C2" w:rsidRPr="004570F2">
              <w:rPr>
                <w:rFonts w:eastAsia="Arial"/>
                <w:color w:val="auto"/>
              </w:rPr>
              <w:t>%</w:t>
            </w:r>
          </w:p>
        </w:tc>
        <w:tc>
          <w:tcPr>
            <w:tcW w:w="1180" w:type="dxa"/>
          </w:tcPr>
          <w:p w14:paraId="11B7ABB5" w14:textId="197CE4D6" w:rsidR="00E37E25" w:rsidRPr="004570F2" w:rsidRDefault="00E37E25" w:rsidP="00041A88">
            <w:pPr>
              <w:pStyle w:val="TABLEFONT"/>
              <w:rPr>
                <w:color w:val="auto"/>
              </w:rPr>
            </w:pPr>
            <w:r w:rsidRPr="004570F2">
              <w:rPr>
                <w:rFonts w:eastAsia="Arial"/>
                <w:color w:val="auto"/>
              </w:rPr>
              <w:t>48–55</w:t>
            </w:r>
            <w:r w:rsidR="006856C2" w:rsidRPr="004570F2">
              <w:rPr>
                <w:rFonts w:eastAsia="Arial"/>
                <w:color w:val="auto"/>
              </w:rPr>
              <w:t>%</w:t>
            </w:r>
          </w:p>
        </w:tc>
        <w:tc>
          <w:tcPr>
            <w:tcW w:w="1134" w:type="dxa"/>
          </w:tcPr>
          <w:p w14:paraId="4E42E7F7" w14:textId="74559B5D" w:rsidR="00E37E25" w:rsidRPr="004570F2" w:rsidRDefault="00E37E25" w:rsidP="00041A88">
            <w:pPr>
              <w:pStyle w:val="TABLEFONT"/>
              <w:rPr>
                <w:color w:val="auto"/>
              </w:rPr>
            </w:pPr>
            <w:r w:rsidRPr="004570F2">
              <w:rPr>
                <w:rFonts w:eastAsia="Arial"/>
                <w:color w:val="auto"/>
              </w:rPr>
              <w:t>63–72</w:t>
            </w:r>
            <w:r w:rsidR="006856C2" w:rsidRPr="004570F2">
              <w:rPr>
                <w:rFonts w:eastAsia="Arial"/>
                <w:color w:val="auto"/>
              </w:rPr>
              <w:t>%</w:t>
            </w:r>
          </w:p>
        </w:tc>
        <w:tc>
          <w:tcPr>
            <w:tcW w:w="990" w:type="dxa"/>
          </w:tcPr>
          <w:p w14:paraId="77C9C4D2" w14:textId="230CE261" w:rsidR="00E37E25" w:rsidRPr="004570F2" w:rsidRDefault="00E37E25" w:rsidP="00041A88">
            <w:pPr>
              <w:pStyle w:val="TABLEFONT"/>
              <w:rPr>
                <w:color w:val="auto"/>
              </w:rPr>
            </w:pPr>
            <w:r w:rsidRPr="004570F2">
              <w:rPr>
                <w:rFonts w:eastAsia="Arial"/>
                <w:color w:val="auto"/>
              </w:rPr>
              <w:t>70–78</w:t>
            </w:r>
            <w:r w:rsidR="006856C2" w:rsidRPr="004570F2">
              <w:rPr>
                <w:rFonts w:eastAsia="Arial"/>
                <w:color w:val="auto"/>
              </w:rPr>
              <w:t>%</w:t>
            </w:r>
          </w:p>
        </w:tc>
        <w:tc>
          <w:tcPr>
            <w:tcW w:w="1644" w:type="dxa"/>
          </w:tcPr>
          <w:p w14:paraId="1290A12E" w14:textId="77777777" w:rsidR="00E37E25" w:rsidRPr="004570F2" w:rsidRDefault="00E37E25" w:rsidP="00041A88">
            <w:pPr>
              <w:pStyle w:val="TABLEFONT"/>
              <w:rPr>
                <w:color w:val="auto"/>
              </w:rPr>
            </w:pPr>
            <w:r w:rsidRPr="004570F2">
              <w:rPr>
                <w:rFonts w:eastAsia="Arial"/>
                <w:color w:val="auto"/>
              </w:rPr>
              <w:t>+15-22 pp</w:t>
            </w:r>
          </w:p>
        </w:tc>
      </w:tr>
      <w:tr w:rsidR="001C7E47" w:rsidRPr="001C7E47" w14:paraId="07940446" w14:textId="77777777" w:rsidTr="00E5568D">
        <w:trPr>
          <w:trHeight w:val="329"/>
        </w:trPr>
        <w:tc>
          <w:tcPr>
            <w:tcW w:w="2165" w:type="dxa"/>
          </w:tcPr>
          <w:p w14:paraId="553E8C50" w14:textId="77777777" w:rsidR="00E37E25" w:rsidRPr="004570F2" w:rsidRDefault="00E37E25" w:rsidP="00041A88">
            <w:pPr>
              <w:pStyle w:val="TABLEFONT"/>
              <w:rPr>
                <w:color w:val="auto"/>
              </w:rPr>
            </w:pPr>
            <w:r w:rsidRPr="004570F2">
              <w:rPr>
                <w:rFonts w:eastAsia="Arial"/>
                <w:color w:val="auto"/>
              </w:rPr>
              <w:t>Clinical ceiling (benchmark)</w:t>
            </w:r>
          </w:p>
        </w:tc>
        <w:tc>
          <w:tcPr>
            <w:tcW w:w="1515" w:type="dxa"/>
          </w:tcPr>
          <w:p w14:paraId="5B99BB71" w14:textId="77777777" w:rsidR="00E37E25" w:rsidRPr="004570F2" w:rsidRDefault="00E37E25" w:rsidP="00041A88">
            <w:pPr>
              <w:pStyle w:val="TABLEFONT"/>
              <w:rPr>
                <w:color w:val="auto"/>
              </w:rPr>
            </w:pPr>
            <w:r w:rsidRPr="004570F2">
              <w:rPr>
                <w:rFonts w:eastAsia="Arial"/>
                <w:color w:val="auto"/>
              </w:rPr>
              <w:t>—</w:t>
            </w:r>
          </w:p>
        </w:tc>
        <w:tc>
          <w:tcPr>
            <w:tcW w:w="1180" w:type="dxa"/>
          </w:tcPr>
          <w:p w14:paraId="33B8CAD9" w14:textId="77777777" w:rsidR="00E37E25" w:rsidRPr="004570F2" w:rsidRDefault="00E37E25" w:rsidP="00041A88">
            <w:pPr>
              <w:pStyle w:val="TABLEFONT"/>
              <w:rPr>
                <w:color w:val="auto"/>
              </w:rPr>
            </w:pPr>
            <w:r w:rsidRPr="004570F2">
              <w:rPr>
                <w:rFonts w:eastAsia="Arial"/>
                <w:color w:val="auto"/>
              </w:rPr>
              <w:t>—</w:t>
            </w:r>
          </w:p>
        </w:tc>
        <w:tc>
          <w:tcPr>
            <w:tcW w:w="1134" w:type="dxa"/>
          </w:tcPr>
          <w:p w14:paraId="534AB6C8" w14:textId="2A086150" w:rsidR="00E37E25" w:rsidRPr="004570F2" w:rsidRDefault="00E37E25" w:rsidP="00041A88">
            <w:pPr>
              <w:pStyle w:val="TABLEFONT"/>
              <w:rPr>
                <w:color w:val="auto"/>
              </w:rPr>
            </w:pPr>
            <w:r w:rsidRPr="004570F2">
              <w:rPr>
                <w:rFonts w:eastAsia="Arial"/>
                <w:color w:val="auto"/>
              </w:rPr>
              <w:t>65–80</w:t>
            </w:r>
            <w:r w:rsidR="006856C2" w:rsidRPr="004570F2">
              <w:rPr>
                <w:rFonts w:eastAsia="Arial"/>
                <w:color w:val="auto"/>
              </w:rPr>
              <w:t>%</w:t>
            </w:r>
          </w:p>
        </w:tc>
        <w:tc>
          <w:tcPr>
            <w:tcW w:w="990" w:type="dxa"/>
          </w:tcPr>
          <w:p w14:paraId="7452E939" w14:textId="2D0E716F" w:rsidR="00E37E25" w:rsidRPr="004570F2" w:rsidRDefault="00E37E25" w:rsidP="00041A88">
            <w:pPr>
              <w:pStyle w:val="TABLEFONT"/>
              <w:rPr>
                <w:color w:val="auto"/>
              </w:rPr>
            </w:pPr>
            <w:r w:rsidRPr="004570F2">
              <w:rPr>
                <w:rFonts w:eastAsia="Arial"/>
                <w:color w:val="auto"/>
              </w:rPr>
              <w:t>65–80</w:t>
            </w:r>
            <w:r w:rsidR="006856C2" w:rsidRPr="004570F2">
              <w:rPr>
                <w:rFonts w:eastAsia="Arial"/>
                <w:color w:val="auto"/>
              </w:rPr>
              <w:t>%</w:t>
            </w:r>
          </w:p>
        </w:tc>
        <w:tc>
          <w:tcPr>
            <w:tcW w:w="1644" w:type="dxa"/>
          </w:tcPr>
          <w:p w14:paraId="2BCA365B" w14:textId="77777777" w:rsidR="00E37E25" w:rsidRPr="004570F2" w:rsidRDefault="00E37E25" w:rsidP="00041A88">
            <w:pPr>
              <w:pStyle w:val="TABLEFONT"/>
              <w:rPr>
                <w:color w:val="auto"/>
              </w:rPr>
            </w:pPr>
            <w:r w:rsidRPr="004570F2">
              <w:rPr>
                <w:rFonts w:eastAsia="Arial"/>
                <w:color w:val="auto"/>
              </w:rPr>
              <w:t>—</w:t>
            </w:r>
          </w:p>
        </w:tc>
      </w:tr>
    </w:tbl>
    <w:p w14:paraId="5474A248" w14:textId="0A0F1B6F" w:rsidR="00E37E25" w:rsidRPr="004570F2" w:rsidRDefault="00E37E25" w:rsidP="00161FCC">
      <w:pPr>
        <w:rPr>
          <w:sz w:val="18"/>
        </w:rPr>
      </w:pPr>
      <w:r w:rsidRPr="004570F2">
        <w:rPr>
          <w:b/>
          <w:i/>
          <w:sz w:val="18"/>
        </w:rPr>
        <w:t>Source:</w:t>
      </w:r>
      <w:r w:rsidRPr="004570F2">
        <w:rPr>
          <w:sz w:val="18"/>
        </w:rPr>
        <w:t xml:space="preserve"> Estimates based on EDQM data, German national survey (Ibrahim </w:t>
      </w:r>
      <w:r w:rsidRPr="004570F2">
        <w:rPr>
          <w:i/>
          <w:sz w:val="18"/>
        </w:rPr>
        <w:t>et al</w:t>
      </w:r>
      <w:r w:rsidRPr="004570F2">
        <w:rPr>
          <w:sz w:val="18"/>
        </w:rPr>
        <w:t xml:space="preserve">., 2025), Italian national survey (Trapani </w:t>
      </w:r>
      <w:r w:rsidRPr="004570F2">
        <w:rPr>
          <w:i/>
          <w:sz w:val="18"/>
        </w:rPr>
        <w:t>et al</w:t>
      </w:r>
      <w:r w:rsidRPr="004570F2">
        <w:rPr>
          <w:sz w:val="18"/>
        </w:rPr>
        <w:t>., 2022), and ONT (2025). The clinical ceiling is derived from Spanish (49</w:t>
      </w:r>
      <w:r w:rsidR="006856C2" w:rsidRPr="004570F2">
        <w:rPr>
          <w:sz w:val="18"/>
        </w:rPr>
        <w:t>%</w:t>
      </w:r>
      <w:r w:rsidRPr="004570F2">
        <w:rPr>
          <w:sz w:val="18"/>
        </w:rPr>
        <w:t xml:space="preserve"> of transplanted organs processed) and Italian data (62-70</w:t>
      </w:r>
      <w:r w:rsidR="006856C2" w:rsidRPr="004570F2">
        <w:rPr>
          <w:sz w:val="18"/>
        </w:rPr>
        <w:t>%</w:t>
      </w:r>
      <w:r w:rsidRPr="004570F2">
        <w:rPr>
          <w:sz w:val="18"/>
        </w:rPr>
        <w:t xml:space="preserve"> of centres with MP experience by 2021), adjusted for EU-27 heterogeneity. Scaling factors represent the assumed proportion of the 15-25 pp adoption headroom closed by the framework.</w:t>
      </w:r>
    </w:p>
    <w:p w14:paraId="19828E7B" w14:textId="77777777" w:rsidR="00E37E25" w:rsidRPr="00DF3138" w:rsidRDefault="00E37E25" w:rsidP="00E37E25">
      <w:pPr>
        <w:rPr>
          <w:rFonts w:eastAsia="Arial"/>
        </w:rPr>
      </w:pPr>
      <w:r>
        <w:rPr>
          <w:rFonts w:eastAsia="Arial"/>
        </w:rPr>
        <w:t xml:space="preserve">Under the moderate scenario, approximately </w:t>
      </w:r>
      <w:r w:rsidRPr="00544990">
        <w:rPr>
          <w:rFonts w:eastAsia="Arial"/>
          <w:b/>
          <w:bCs/>
        </w:rPr>
        <w:t>70-110 additional programmes adopt active processing capability by 2035</w:t>
      </w:r>
      <w:r>
        <w:rPr>
          <w:rFonts w:eastAsia="Arial"/>
        </w:rPr>
        <w:t xml:space="preserve"> that would not have done so under the baseline. The incremental effect is concentrated in two categories: a) “second-tier” centres in advanced Member States that have clinical capacity but currently lack institutional confidence without regulatory validation; and b) centres in Member States with less developed oversight infrastructure where an EU-level pathway substitutes for absent national arrangements.</w:t>
      </w:r>
    </w:p>
    <w:p w14:paraId="40A0D4DB" w14:textId="27907EFC" w:rsidR="00E37E25" w:rsidRPr="008151F9" w:rsidRDefault="00CE09DF" w:rsidP="008151F9">
      <w:pPr>
        <w:rPr>
          <w:rFonts w:eastAsia="Arial"/>
          <w:b/>
        </w:rPr>
      </w:pPr>
      <w:r w:rsidRPr="008151F9">
        <w:rPr>
          <w:rFonts w:eastAsia="Arial"/>
          <w:b/>
          <w:bCs/>
        </w:rPr>
        <w:t xml:space="preserve">Table </w:t>
      </w:r>
      <w:r w:rsidR="000B7A24">
        <w:rPr>
          <w:rFonts w:eastAsia="Arial"/>
          <w:b/>
          <w:bCs/>
        </w:rPr>
        <w:t>6</w:t>
      </w:r>
      <w:r w:rsidR="00106AA9">
        <w:rPr>
          <w:rFonts w:eastAsia="Arial"/>
          <w:b/>
          <w:bCs/>
        </w:rPr>
        <w:t xml:space="preserve">. </w:t>
      </w:r>
      <w:r w:rsidR="00E37E25" w:rsidRPr="008151F9">
        <w:rPr>
          <w:rFonts w:eastAsia="Arial"/>
          <w:b/>
        </w:rPr>
        <w:t>Pillar 2: Organ-level processing intensity</w:t>
      </w:r>
    </w:p>
    <w:tbl>
      <w:tblPr>
        <w:tblStyle w:val="TableGrid"/>
        <w:tblW w:w="8612" w:type="dxa"/>
        <w:tblLook w:val="0000" w:firstRow="0" w:lastRow="0" w:firstColumn="0" w:lastColumn="0" w:noHBand="0" w:noVBand="0"/>
      </w:tblPr>
      <w:tblGrid>
        <w:gridCol w:w="1710"/>
        <w:gridCol w:w="1440"/>
        <w:gridCol w:w="1247"/>
        <w:gridCol w:w="1247"/>
        <w:gridCol w:w="1247"/>
        <w:gridCol w:w="1721"/>
      </w:tblGrid>
      <w:tr w:rsidR="001C7E47" w:rsidRPr="001C7E47" w14:paraId="3533F585" w14:textId="77777777" w:rsidTr="00E5568D">
        <w:trPr>
          <w:trHeight w:val="162"/>
        </w:trPr>
        <w:tc>
          <w:tcPr>
            <w:tcW w:w="1710" w:type="dxa"/>
          </w:tcPr>
          <w:p w14:paraId="7512BD08" w14:textId="77777777" w:rsidR="00E37E25" w:rsidRPr="004570F2" w:rsidRDefault="00E37E25" w:rsidP="00041A88">
            <w:pPr>
              <w:pStyle w:val="TABLEFONT"/>
              <w:rPr>
                <w:color w:val="auto"/>
              </w:rPr>
            </w:pPr>
            <w:r w:rsidRPr="004570F2">
              <w:rPr>
                <w:rFonts w:eastAsia="Arial"/>
                <w:color w:val="auto"/>
              </w:rPr>
              <w:t>Scenario</w:t>
            </w:r>
          </w:p>
        </w:tc>
        <w:tc>
          <w:tcPr>
            <w:tcW w:w="1440" w:type="dxa"/>
          </w:tcPr>
          <w:p w14:paraId="6AEAD630" w14:textId="77777777" w:rsidR="00E37E25" w:rsidRPr="004570F2" w:rsidRDefault="00E37E25" w:rsidP="00041A88">
            <w:pPr>
              <w:pStyle w:val="TABLEFONT"/>
              <w:rPr>
                <w:color w:val="auto"/>
              </w:rPr>
            </w:pPr>
            <w:r w:rsidRPr="004570F2">
              <w:rPr>
                <w:rFonts w:eastAsia="Arial"/>
                <w:color w:val="auto"/>
              </w:rPr>
              <w:t>T0 (2024)</w:t>
            </w:r>
          </w:p>
        </w:tc>
        <w:tc>
          <w:tcPr>
            <w:tcW w:w="1247" w:type="dxa"/>
          </w:tcPr>
          <w:p w14:paraId="4E27DA0F" w14:textId="77777777" w:rsidR="00E37E25" w:rsidRPr="004570F2" w:rsidRDefault="00E37E25" w:rsidP="00041A88">
            <w:pPr>
              <w:pStyle w:val="TABLEFONT"/>
              <w:rPr>
                <w:color w:val="auto"/>
              </w:rPr>
            </w:pPr>
            <w:r w:rsidRPr="004570F2">
              <w:rPr>
                <w:rFonts w:eastAsia="Arial"/>
                <w:color w:val="auto"/>
              </w:rPr>
              <w:t>2030</w:t>
            </w:r>
          </w:p>
        </w:tc>
        <w:tc>
          <w:tcPr>
            <w:tcW w:w="1247" w:type="dxa"/>
          </w:tcPr>
          <w:p w14:paraId="69E55D92" w14:textId="77777777" w:rsidR="00E37E25" w:rsidRPr="004570F2" w:rsidRDefault="00E37E25" w:rsidP="00041A88">
            <w:pPr>
              <w:pStyle w:val="TABLEFONT"/>
              <w:rPr>
                <w:color w:val="auto"/>
              </w:rPr>
            </w:pPr>
            <w:r w:rsidRPr="004570F2">
              <w:rPr>
                <w:rFonts w:eastAsia="Arial"/>
                <w:color w:val="auto"/>
              </w:rPr>
              <w:t>2035</w:t>
            </w:r>
          </w:p>
        </w:tc>
        <w:tc>
          <w:tcPr>
            <w:tcW w:w="1247" w:type="dxa"/>
          </w:tcPr>
          <w:p w14:paraId="1F438800" w14:textId="77777777" w:rsidR="00E37E25" w:rsidRPr="004570F2" w:rsidRDefault="00E37E25" w:rsidP="00041A88">
            <w:pPr>
              <w:pStyle w:val="TABLEFONT"/>
              <w:rPr>
                <w:color w:val="auto"/>
              </w:rPr>
            </w:pPr>
            <w:r w:rsidRPr="004570F2">
              <w:rPr>
                <w:rFonts w:eastAsia="Arial"/>
                <w:color w:val="auto"/>
              </w:rPr>
              <w:t>2040</w:t>
            </w:r>
          </w:p>
        </w:tc>
        <w:tc>
          <w:tcPr>
            <w:tcW w:w="1721" w:type="dxa"/>
          </w:tcPr>
          <w:p w14:paraId="7CC5394B" w14:textId="77777777" w:rsidR="00E37E25" w:rsidRPr="004570F2" w:rsidRDefault="00E37E25" w:rsidP="00041A88">
            <w:pPr>
              <w:pStyle w:val="TABLEFONT"/>
              <w:rPr>
                <w:color w:val="auto"/>
              </w:rPr>
            </w:pPr>
            <w:r w:rsidRPr="004570F2">
              <w:rPr>
                <w:rFonts w:eastAsia="Arial"/>
                <w:color w:val="auto"/>
              </w:rPr>
              <w:t>Δ vs baseline (2035)</w:t>
            </w:r>
          </w:p>
        </w:tc>
      </w:tr>
      <w:tr w:rsidR="001C7E47" w:rsidRPr="001C7E47" w14:paraId="69073FAF" w14:textId="77777777" w:rsidTr="00E5568D">
        <w:trPr>
          <w:trHeight w:val="321"/>
        </w:trPr>
        <w:tc>
          <w:tcPr>
            <w:tcW w:w="1710" w:type="dxa"/>
          </w:tcPr>
          <w:p w14:paraId="255ED226" w14:textId="77777777" w:rsidR="00E37E25" w:rsidRPr="004570F2" w:rsidRDefault="00E37E25" w:rsidP="00041A88">
            <w:pPr>
              <w:pStyle w:val="TABLEFONT"/>
              <w:rPr>
                <w:color w:val="auto"/>
              </w:rPr>
            </w:pPr>
            <w:r w:rsidRPr="004570F2">
              <w:rPr>
                <w:rFonts w:eastAsia="Arial"/>
                <w:color w:val="auto"/>
              </w:rPr>
              <w:t>Baseline</w:t>
            </w:r>
          </w:p>
        </w:tc>
        <w:tc>
          <w:tcPr>
            <w:tcW w:w="1440" w:type="dxa"/>
          </w:tcPr>
          <w:p w14:paraId="41B0C5AF" w14:textId="29252C95" w:rsidR="00E37E25" w:rsidRPr="004570F2" w:rsidRDefault="00E37E25" w:rsidP="00041A88">
            <w:pPr>
              <w:pStyle w:val="TABLEFONT"/>
              <w:rPr>
                <w:color w:val="auto"/>
              </w:rPr>
            </w:pPr>
            <w:r w:rsidRPr="004570F2">
              <w:rPr>
                <w:rFonts w:eastAsia="Arial"/>
                <w:color w:val="auto"/>
              </w:rPr>
              <w:t>10–15</w:t>
            </w:r>
            <w:r w:rsidR="006856C2" w:rsidRPr="004570F2">
              <w:rPr>
                <w:rFonts w:eastAsia="Arial"/>
                <w:color w:val="auto"/>
              </w:rPr>
              <w:t>%</w:t>
            </w:r>
          </w:p>
        </w:tc>
        <w:tc>
          <w:tcPr>
            <w:tcW w:w="1247" w:type="dxa"/>
          </w:tcPr>
          <w:p w14:paraId="359CA829" w14:textId="4268844E" w:rsidR="00E37E25" w:rsidRPr="004570F2" w:rsidRDefault="00E37E25" w:rsidP="00041A88">
            <w:pPr>
              <w:pStyle w:val="TABLEFONT"/>
              <w:rPr>
                <w:color w:val="auto"/>
              </w:rPr>
            </w:pPr>
            <w:r w:rsidRPr="004570F2">
              <w:rPr>
                <w:rFonts w:eastAsia="Arial"/>
                <w:color w:val="auto"/>
              </w:rPr>
              <w:t>14–18</w:t>
            </w:r>
            <w:r w:rsidR="006856C2" w:rsidRPr="004570F2">
              <w:rPr>
                <w:rFonts w:eastAsia="Arial"/>
                <w:color w:val="auto"/>
              </w:rPr>
              <w:t>%</w:t>
            </w:r>
          </w:p>
        </w:tc>
        <w:tc>
          <w:tcPr>
            <w:tcW w:w="1247" w:type="dxa"/>
          </w:tcPr>
          <w:p w14:paraId="55EC01B6" w14:textId="5DFF4885" w:rsidR="00E37E25" w:rsidRPr="004570F2" w:rsidRDefault="00E37E25" w:rsidP="00041A88">
            <w:pPr>
              <w:pStyle w:val="TABLEFONT"/>
              <w:rPr>
                <w:color w:val="auto"/>
              </w:rPr>
            </w:pPr>
            <w:r w:rsidRPr="004570F2">
              <w:rPr>
                <w:rFonts w:eastAsia="Arial"/>
                <w:color w:val="auto"/>
              </w:rPr>
              <w:t>18–22</w:t>
            </w:r>
            <w:r w:rsidR="006856C2" w:rsidRPr="004570F2">
              <w:rPr>
                <w:rFonts w:eastAsia="Arial"/>
                <w:color w:val="auto"/>
              </w:rPr>
              <w:t>%</w:t>
            </w:r>
          </w:p>
        </w:tc>
        <w:tc>
          <w:tcPr>
            <w:tcW w:w="1247" w:type="dxa"/>
          </w:tcPr>
          <w:p w14:paraId="5A0A94A2" w14:textId="55539163" w:rsidR="00E37E25" w:rsidRPr="004570F2" w:rsidRDefault="00E37E25" w:rsidP="00041A88">
            <w:pPr>
              <w:pStyle w:val="TABLEFONT"/>
              <w:rPr>
                <w:color w:val="auto"/>
              </w:rPr>
            </w:pPr>
            <w:r w:rsidRPr="004570F2">
              <w:rPr>
                <w:rFonts w:eastAsia="Arial"/>
                <w:color w:val="auto"/>
              </w:rPr>
              <w:t>20–25</w:t>
            </w:r>
            <w:r w:rsidR="006856C2" w:rsidRPr="004570F2">
              <w:rPr>
                <w:rFonts w:eastAsia="Arial"/>
                <w:color w:val="auto"/>
              </w:rPr>
              <w:t>%</w:t>
            </w:r>
          </w:p>
        </w:tc>
        <w:tc>
          <w:tcPr>
            <w:tcW w:w="1721" w:type="dxa"/>
          </w:tcPr>
          <w:p w14:paraId="62F4EBCF" w14:textId="77777777" w:rsidR="00E37E25" w:rsidRPr="004570F2" w:rsidRDefault="00E37E25" w:rsidP="00041A88">
            <w:pPr>
              <w:pStyle w:val="TABLEFONT"/>
              <w:rPr>
                <w:color w:val="auto"/>
              </w:rPr>
            </w:pPr>
            <w:r w:rsidRPr="004570F2">
              <w:rPr>
                <w:rFonts w:eastAsia="Arial"/>
                <w:color w:val="auto"/>
              </w:rPr>
              <w:t>—</w:t>
            </w:r>
          </w:p>
        </w:tc>
      </w:tr>
      <w:tr w:rsidR="001C7E47" w:rsidRPr="001C7E47" w14:paraId="344CA06D" w14:textId="77777777" w:rsidTr="00E5568D">
        <w:trPr>
          <w:trHeight w:val="332"/>
        </w:trPr>
        <w:tc>
          <w:tcPr>
            <w:tcW w:w="1710" w:type="dxa"/>
          </w:tcPr>
          <w:p w14:paraId="56231475" w14:textId="707395C8" w:rsidR="00E37E25" w:rsidRPr="004570F2" w:rsidRDefault="00E37E25" w:rsidP="00041A88">
            <w:pPr>
              <w:pStyle w:val="TABLEFONT"/>
              <w:rPr>
                <w:color w:val="auto"/>
              </w:rPr>
            </w:pPr>
            <w:r w:rsidRPr="004570F2">
              <w:rPr>
                <w:rFonts w:eastAsia="Arial"/>
                <w:color w:val="auto"/>
              </w:rPr>
              <w:t>Conservative (25</w:t>
            </w:r>
            <w:r w:rsidR="006856C2" w:rsidRPr="004570F2">
              <w:rPr>
                <w:rFonts w:eastAsia="Arial"/>
                <w:color w:val="auto"/>
              </w:rPr>
              <w:t>%</w:t>
            </w:r>
            <w:r w:rsidRPr="004570F2">
              <w:rPr>
                <w:rFonts w:eastAsia="Arial"/>
                <w:color w:val="auto"/>
              </w:rPr>
              <w:t>)</w:t>
            </w:r>
          </w:p>
        </w:tc>
        <w:tc>
          <w:tcPr>
            <w:tcW w:w="1440" w:type="dxa"/>
          </w:tcPr>
          <w:p w14:paraId="1AD4BE53" w14:textId="21EB5D2C" w:rsidR="00E37E25" w:rsidRPr="004570F2" w:rsidRDefault="00E37E25" w:rsidP="00041A88">
            <w:pPr>
              <w:pStyle w:val="TABLEFONT"/>
              <w:rPr>
                <w:color w:val="auto"/>
              </w:rPr>
            </w:pPr>
            <w:r w:rsidRPr="004570F2">
              <w:rPr>
                <w:rFonts w:eastAsia="Arial"/>
                <w:color w:val="auto"/>
              </w:rPr>
              <w:t>10–15</w:t>
            </w:r>
            <w:r w:rsidR="006856C2" w:rsidRPr="004570F2">
              <w:rPr>
                <w:rFonts w:eastAsia="Arial"/>
                <w:color w:val="auto"/>
              </w:rPr>
              <w:t>%</w:t>
            </w:r>
          </w:p>
        </w:tc>
        <w:tc>
          <w:tcPr>
            <w:tcW w:w="1247" w:type="dxa"/>
          </w:tcPr>
          <w:p w14:paraId="6E962641" w14:textId="1A4CBB49" w:rsidR="00E37E25" w:rsidRPr="004570F2" w:rsidRDefault="00E37E25" w:rsidP="00041A88">
            <w:pPr>
              <w:pStyle w:val="TABLEFONT"/>
              <w:rPr>
                <w:color w:val="auto"/>
              </w:rPr>
            </w:pPr>
            <w:r w:rsidRPr="004570F2">
              <w:rPr>
                <w:rFonts w:eastAsia="Arial"/>
                <w:color w:val="auto"/>
              </w:rPr>
              <w:t>16–20</w:t>
            </w:r>
            <w:r w:rsidR="006856C2" w:rsidRPr="004570F2">
              <w:rPr>
                <w:rFonts w:eastAsia="Arial"/>
                <w:color w:val="auto"/>
              </w:rPr>
              <w:t>%</w:t>
            </w:r>
          </w:p>
        </w:tc>
        <w:tc>
          <w:tcPr>
            <w:tcW w:w="1247" w:type="dxa"/>
          </w:tcPr>
          <w:p w14:paraId="11467CFC" w14:textId="4A6DC296" w:rsidR="00E37E25" w:rsidRPr="004570F2" w:rsidRDefault="00E37E25" w:rsidP="00041A88">
            <w:pPr>
              <w:pStyle w:val="TABLEFONT"/>
              <w:rPr>
                <w:color w:val="auto"/>
              </w:rPr>
            </w:pPr>
            <w:r w:rsidRPr="004570F2">
              <w:rPr>
                <w:rFonts w:eastAsia="Arial"/>
                <w:color w:val="auto"/>
              </w:rPr>
              <w:t>22–26</w:t>
            </w:r>
            <w:r w:rsidR="006856C2" w:rsidRPr="004570F2">
              <w:rPr>
                <w:rFonts w:eastAsia="Arial"/>
                <w:color w:val="auto"/>
              </w:rPr>
              <w:t>%</w:t>
            </w:r>
          </w:p>
        </w:tc>
        <w:tc>
          <w:tcPr>
            <w:tcW w:w="1247" w:type="dxa"/>
          </w:tcPr>
          <w:p w14:paraId="58357C47" w14:textId="6DD0ED66" w:rsidR="00E37E25" w:rsidRPr="004570F2" w:rsidRDefault="00E37E25" w:rsidP="00041A88">
            <w:pPr>
              <w:pStyle w:val="TABLEFONT"/>
              <w:rPr>
                <w:color w:val="auto"/>
              </w:rPr>
            </w:pPr>
            <w:r w:rsidRPr="004570F2">
              <w:rPr>
                <w:rFonts w:eastAsia="Arial"/>
                <w:color w:val="auto"/>
              </w:rPr>
              <w:t>25–30</w:t>
            </w:r>
            <w:r w:rsidR="006856C2" w:rsidRPr="004570F2">
              <w:rPr>
                <w:rFonts w:eastAsia="Arial"/>
                <w:color w:val="auto"/>
              </w:rPr>
              <w:t>%</w:t>
            </w:r>
          </w:p>
        </w:tc>
        <w:tc>
          <w:tcPr>
            <w:tcW w:w="1721" w:type="dxa"/>
          </w:tcPr>
          <w:p w14:paraId="16ED9A7E" w14:textId="77777777" w:rsidR="00E37E25" w:rsidRPr="004570F2" w:rsidRDefault="00E37E25" w:rsidP="00041A88">
            <w:pPr>
              <w:pStyle w:val="TABLEFONT"/>
              <w:rPr>
                <w:color w:val="auto"/>
              </w:rPr>
            </w:pPr>
            <w:r w:rsidRPr="004570F2">
              <w:rPr>
                <w:rFonts w:eastAsia="Arial"/>
                <w:color w:val="auto"/>
              </w:rPr>
              <w:t>+3-5 pp</w:t>
            </w:r>
          </w:p>
        </w:tc>
      </w:tr>
      <w:tr w:rsidR="001C7E47" w:rsidRPr="001C7E47" w14:paraId="2D27D330" w14:textId="77777777" w:rsidTr="00E5568D">
        <w:trPr>
          <w:trHeight w:val="321"/>
        </w:trPr>
        <w:tc>
          <w:tcPr>
            <w:tcW w:w="1710" w:type="dxa"/>
          </w:tcPr>
          <w:p w14:paraId="7AB34877" w14:textId="70D79F80" w:rsidR="00E37E25" w:rsidRPr="004570F2" w:rsidRDefault="00E37E25" w:rsidP="00041A88">
            <w:pPr>
              <w:pStyle w:val="TABLEFONT"/>
              <w:rPr>
                <w:color w:val="auto"/>
              </w:rPr>
            </w:pPr>
            <w:r w:rsidRPr="004570F2">
              <w:rPr>
                <w:rFonts w:eastAsia="Arial"/>
                <w:color w:val="auto"/>
              </w:rPr>
              <w:t>Moderate (50</w:t>
            </w:r>
            <w:r w:rsidR="006856C2" w:rsidRPr="004570F2">
              <w:rPr>
                <w:rFonts w:eastAsia="Arial"/>
                <w:color w:val="auto"/>
              </w:rPr>
              <w:t>%</w:t>
            </w:r>
            <w:r w:rsidRPr="004570F2">
              <w:rPr>
                <w:rFonts w:eastAsia="Arial"/>
                <w:color w:val="auto"/>
              </w:rPr>
              <w:t>)</w:t>
            </w:r>
          </w:p>
        </w:tc>
        <w:tc>
          <w:tcPr>
            <w:tcW w:w="1440" w:type="dxa"/>
          </w:tcPr>
          <w:p w14:paraId="4AEFF963" w14:textId="2330FF1F" w:rsidR="00E37E25" w:rsidRPr="004570F2" w:rsidRDefault="00E37E25" w:rsidP="00041A88">
            <w:pPr>
              <w:pStyle w:val="TABLEFONT"/>
              <w:rPr>
                <w:color w:val="auto"/>
              </w:rPr>
            </w:pPr>
            <w:r w:rsidRPr="004570F2">
              <w:rPr>
                <w:rFonts w:eastAsia="Arial"/>
                <w:color w:val="auto"/>
              </w:rPr>
              <w:t>10–15</w:t>
            </w:r>
            <w:r w:rsidR="006856C2" w:rsidRPr="004570F2">
              <w:rPr>
                <w:rFonts w:eastAsia="Arial"/>
                <w:color w:val="auto"/>
              </w:rPr>
              <w:t>%</w:t>
            </w:r>
          </w:p>
        </w:tc>
        <w:tc>
          <w:tcPr>
            <w:tcW w:w="1247" w:type="dxa"/>
          </w:tcPr>
          <w:p w14:paraId="733F240D" w14:textId="16C7BF37" w:rsidR="00E37E25" w:rsidRPr="004570F2" w:rsidRDefault="00E37E25" w:rsidP="00041A88">
            <w:pPr>
              <w:pStyle w:val="TABLEFONT"/>
              <w:rPr>
                <w:color w:val="auto"/>
              </w:rPr>
            </w:pPr>
            <w:r w:rsidRPr="004570F2">
              <w:rPr>
                <w:rFonts w:eastAsia="Arial"/>
                <w:color w:val="auto"/>
              </w:rPr>
              <w:t>18–23</w:t>
            </w:r>
            <w:r w:rsidR="006856C2" w:rsidRPr="004570F2">
              <w:rPr>
                <w:rFonts w:eastAsia="Arial"/>
                <w:color w:val="auto"/>
              </w:rPr>
              <w:t>%</w:t>
            </w:r>
          </w:p>
        </w:tc>
        <w:tc>
          <w:tcPr>
            <w:tcW w:w="1247" w:type="dxa"/>
          </w:tcPr>
          <w:p w14:paraId="585705CD" w14:textId="6D402018" w:rsidR="00E37E25" w:rsidRPr="004570F2" w:rsidRDefault="00E37E25" w:rsidP="00041A88">
            <w:pPr>
              <w:pStyle w:val="TABLEFONT"/>
              <w:rPr>
                <w:color w:val="auto"/>
              </w:rPr>
            </w:pPr>
            <w:r w:rsidRPr="004570F2">
              <w:rPr>
                <w:rFonts w:eastAsia="Arial"/>
                <w:color w:val="auto"/>
              </w:rPr>
              <w:t>25–30</w:t>
            </w:r>
            <w:r w:rsidR="006856C2" w:rsidRPr="004570F2">
              <w:rPr>
                <w:rFonts w:eastAsia="Arial"/>
                <w:color w:val="auto"/>
              </w:rPr>
              <w:t>%</w:t>
            </w:r>
          </w:p>
        </w:tc>
        <w:tc>
          <w:tcPr>
            <w:tcW w:w="1247" w:type="dxa"/>
          </w:tcPr>
          <w:p w14:paraId="1D8665B6" w14:textId="4979A54A" w:rsidR="00E37E25" w:rsidRPr="004570F2" w:rsidRDefault="00E37E25" w:rsidP="00041A88">
            <w:pPr>
              <w:pStyle w:val="TABLEFONT"/>
              <w:rPr>
                <w:color w:val="auto"/>
              </w:rPr>
            </w:pPr>
            <w:r w:rsidRPr="004570F2">
              <w:rPr>
                <w:rFonts w:eastAsia="Arial"/>
                <w:color w:val="auto"/>
              </w:rPr>
              <w:t>30–36</w:t>
            </w:r>
            <w:r w:rsidR="006856C2" w:rsidRPr="004570F2">
              <w:rPr>
                <w:rFonts w:eastAsia="Arial"/>
                <w:color w:val="auto"/>
              </w:rPr>
              <w:t>%</w:t>
            </w:r>
          </w:p>
        </w:tc>
        <w:tc>
          <w:tcPr>
            <w:tcW w:w="1721" w:type="dxa"/>
          </w:tcPr>
          <w:p w14:paraId="47F8C199" w14:textId="77777777" w:rsidR="00E37E25" w:rsidRPr="004570F2" w:rsidRDefault="00E37E25" w:rsidP="00041A88">
            <w:pPr>
              <w:pStyle w:val="TABLEFONT"/>
              <w:rPr>
                <w:color w:val="auto"/>
              </w:rPr>
            </w:pPr>
            <w:r w:rsidRPr="004570F2">
              <w:rPr>
                <w:rFonts w:eastAsia="Arial"/>
                <w:color w:val="auto"/>
              </w:rPr>
              <w:t>+6-10 pp</w:t>
            </w:r>
          </w:p>
        </w:tc>
      </w:tr>
      <w:tr w:rsidR="001C7E47" w:rsidRPr="001C7E47" w14:paraId="76419930" w14:textId="77777777" w:rsidTr="00E5568D">
        <w:trPr>
          <w:trHeight w:val="332"/>
        </w:trPr>
        <w:tc>
          <w:tcPr>
            <w:tcW w:w="1710" w:type="dxa"/>
          </w:tcPr>
          <w:p w14:paraId="6BDDB2A6" w14:textId="60CF1F3C" w:rsidR="00E37E25" w:rsidRPr="004570F2" w:rsidRDefault="00E37E25" w:rsidP="00041A88">
            <w:pPr>
              <w:pStyle w:val="TABLEFONT"/>
              <w:rPr>
                <w:color w:val="auto"/>
              </w:rPr>
            </w:pPr>
            <w:r w:rsidRPr="004570F2">
              <w:rPr>
                <w:rFonts w:eastAsia="Arial"/>
                <w:color w:val="auto"/>
              </w:rPr>
              <w:t>Optimistic (100</w:t>
            </w:r>
            <w:r w:rsidR="006856C2" w:rsidRPr="004570F2">
              <w:rPr>
                <w:rFonts w:eastAsia="Arial"/>
                <w:color w:val="auto"/>
              </w:rPr>
              <w:t>%</w:t>
            </w:r>
            <w:r w:rsidRPr="004570F2">
              <w:rPr>
                <w:rFonts w:eastAsia="Arial"/>
                <w:color w:val="auto"/>
              </w:rPr>
              <w:t>)</w:t>
            </w:r>
          </w:p>
        </w:tc>
        <w:tc>
          <w:tcPr>
            <w:tcW w:w="1440" w:type="dxa"/>
          </w:tcPr>
          <w:p w14:paraId="331B7ED2" w14:textId="406C0F43" w:rsidR="00E37E25" w:rsidRPr="004570F2" w:rsidRDefault="00E37E25" w:rsidP="00041A88">
            <w:pPr>
              <w:pStyle w:val="TABLEFONT"/>
              <w:rPr>
                <w:color w:val="auto"/>
              </w:rPr>
            </w:pPr>
            <w:r w:rsidRPr="004570F2">
              <w:rPr>
                <w:rFonts w:eastAsia="Arial"/>
                <w:color w:val="auto"/>
              </w:rPr>
              <w:t>10–15</w:t>
            </w:r>
            <w:r w:rsidR="006856C2" w:rsidRPr="004570F2">
              <w:rPr>
                <w:rFonts w:eastAsia="Arial"/>
                <w:color w:val="auto"/>
              </w:rPr>
              <w:t>%</w:t>
            </w:r>
          </w:p>
        </w:tc>
        <w:tc>
          <w:tcPr>
            <w:tcW w:w="1247" w:type="dxa"/>
          </w:tcPr>
          <w:p w14:paraId="40DD0326" w14:textId="657D8D80" w:rsidR="00E37E25" w:rsidRPr="004570F2" w:rsidRDefault="00E37E25" w:rsidP="00041A88">
            <w:pPr>
              <w:pStyle w:val="TABLEFONT"/>
              <w:rPr>
                <w:color w:val="auto"/>
              </w:rPr>
            </w:pPr>
            <w:r w:rsidRPr="004570F2">
              <w:rPr>
                <w:rFonts w:eastAsia="Arial"/>
                <w:color w:val="auto"/>
              </w:rPr>
              <w:t>22–28</w:t>
            </w:r>
            <w:r w:rsidR="006856C2" w:rsidRPr="004570F2">
              <w:rPr>
                <w:rFonts w:eastAsia="Arial"/>
                <w:color w:val="auto"/>
              </w:rPr>
              <w:t>%</w:t>
            </w:r>
          </w:p>
        </w:tc>
        <w:tc>
          <w:tcPr>
            <w:tcW w:w="1247" w:type="dxa"/>
          </w:tcPr>
          <w:p w14:paraId="79CE9FDE" w14:textId="4F004595" w:rsidR="00E37E25" w:rsidRPr="004570F2" w:rsidRDefault="00E37E25" w:rsidP="00041A88">
            <w:pPr>
              <w:pStyle w:val="TABLEFONT"/>
              <w:rPr>
                <w:color w:val="auto"/>
              </w:rPr>
            </w:pPr>
            <w:r w:rsidRPr="004570F2">
              <w:rPr>
                <w:rFonts w:eastAsia="Arial"/>
                <w:color w:val="auto"/>
              </w:rPr>
              <w:t>30–38</w:t>
            </w:r>
            <w:r w:rsidR="006856C2" w:rsidRPr="004570F2">
              <w:rPr>
                <w:rFonts w:eastAsia="Arial"/>
                <w:color w:val="auto"/>
              </w:rPr>
              <w:t>%</w:t>
            </w:r>
          </w:p>
        </w:tc>
        <w:tc>
          <w:tcPr>
            <w:tcW w:w="1247" w:type="dxa"/>
          </w:tcPr>
          <w:p w14:paraId="06D80A67" w14:textId="3D8BF290" w:rsidR="00E37E25" w:rsidRPr="004570F2" w:rsidRDefault="00E37E25" w:rsidP="00041A88">
            <w:pPr>
              <w:pStyle w:val="TABLEFONT"/>
              <w:rPr>
                <w:color w:val="auto"/>
              </w:rPr>
            </w:pPr>
            <w:r w:rsidRPr="004570F2">
              <w:rPr>
                <w:rFonts w:eastAsia="Arial"/>
                <w:color w:val="auto"/>
              </w:rPr>
              <w:t>36–45</w:t>
            </w:r>
            <w:r w:rsidR="006856C2" w:rsidRPr="004570F2">
              <w:rPr>
                <w:rFonts w:eastAsia="Arial"/>
                <w:color w:val="auto"/>
              </w:rPr>
              <w:t>%</w:t>
            </w:r>
          </w:p>
        </w:tc>
        <w:tc>
          <w:tcPr>
            <w:tcW w:w="1721" w:type="dxa"/>
          </w:tcPr>
          <w:p w14:paraId="2913C38C" w14:textId="77777777" w:rsidR="00E37E25" w:rsidRPr="004570F2" w:rsidRDefault="00E37E25" w:rsidP="00041A88">
            <w:pPr>
              <w:pStyle w:val="TABLEFONT"/>
              <w:rPr>
                <w:color w:val="auto"/>
              </w:rPr>
            </w:pPr>
            <w:r w:rsidRPr="004570F2">
              <w:rPr>
                <w:rFonts w:eastAsia="Arial"/>
                <w:color w:val="auto"/>
              </w:rPr>
              <w:t>+10-16 pp</w:t>
            </w:r>
          </w:p>
        </w:tc>
      </w:tr>
    </w:tbl>
    <w:p w14:paraId="4D9EC3A4" w14:textId="698968FD" w:rsidR="00E37E25" w:rsidRPr="004570F2" w:rsidRDefault="00E37E25" w:rsidP="00161FCC">
      <w:pPr>
        <w:rPr>
          <w:sz w:val="18"/>
        </w:rPr>
      </w:pPr>
      <w:r w:rsidRPr="004570F2">
        <w:rPr>
          <w:b/>
          <w:i/>
          <w:sz w:val="18"/>
        </w:rPr>
        <w:t>Source:</w:t>
      </w:r>
      <w:r w:rsidRPr="004570F2">
        <w:rPr>
          <w:sz w:val="18"/>
        </w:rPr>
        <w:t xml:space="preserve"> T0 value derived from the German organ-level data (~20</w:t>
      </w:r>
      <w:r w:rsidR="006856C2" w:rsidRPr="004570F2">
        <w:rPr>
          <w:sz w:val="18"/>
        </w:rPr>
        <w:t>%</w:t>
      </w:r>
      <w:r w:rsidRPr="004570F2">
        <w:rPr>
          <w:sz w:val="18"/>
        </w:rPr>
        <w:t xml:space="preserve"> of DBD livers, ~0.6</w:t>
      </w:r>
      <w:r w:rsidR="006856C2" w:rsidRPr="004570F2">
        <w:rPr>
          <w:sz w:val="18"/>
        </w:rPr>
        <w:t>%</w:t>
      </w:r>
      <w:r w:rsidRPr="004570F2">
        <w:rPr>
          <w:sz w:val="18"/>
        </w:rPr>
        <w:t xml:space="preserve"> of DBD kidneys perfused), weighted by EU-27 transplant volumes and adjusted upward to account for Spanish and Italian processing rates. The moderate scenario assumes the framework shifts the centre-level equilibrium from selective to more systematic application of processing, consistent with the transition from the German model (~20</w:t>
      </w:r>
      <w:r w:rsidR="006856C2" w:rsidRPr="004570F2">
        <w:rPr>
          <w:sz w:val="18"/>
        </w:rPr>
        <w:t>%</w:t>
      </w:r>
      <w:r w:rsidRPr="004570F2">
        <w:rPr>
          <w:sz w:val="18"/>
        </w:rPr>
        <w:t xml:space="preserve"> of livers perfused selectively) toward the Spanish model (~49</w:t>
      </w:r>
      <w:r w:rsidR="006856C2" w:rsidRPr="004570F2">
        <w:rPr>
          <w:sz w:val="18"/>
        </w:rPr>
        <w:t>%</w:t>
      </w:r>
      <w:r w:rsidRPr="004570F2">
        <w:rPr>
          <w:sz w:val="18"/>
        </w:rPr>
        <w:t xml:space="preserve"> processed systematically).</w:t>
      </w:r>
    </w:p>
    <w:p w14:paraId="5EC4587F" w14:textId="6D64403E" w:rsidR="00E37E25" w:rsidRPr="008151F9" w:rsidRDefault="00CE09DF" w:rsidP="008151F9">
      <w:pPr>
        <w:rPr>
          <w:rFonts w:eastAsia="Arial"/>
          <w:b/>
        </w:rPr>
      </w:pPr>
      <w:r w:rsidRPr="008151F9">
        <w:rPr>
          <w:rFonts w:eastAsia="Arial"/>
          <w:b/>
          <w:bCs/>
        </w:rPr>
        <w:t xml:space="preserve">Table </w:t>
      </w:r>
      <w:r w:rsidR="000B7A24">
        <w:rPr>
          <w:rFonts w:eastAsia="Arial"/>
          <w:b/>
          <w:bCs/>
        </w:rPr>
        <w:t>7</w:t>
      </w:r>
      <w:r w:rsidR="00106AA9">
        <w:rPr>
          <w:rFonts w:eastAsia="Arial"/>
          <w:b/>
          <w:bCs/>
        </w:rPr>
        <w:t xml:space="preserve">. </w:t>
      </w:r>
      <w:r w:rsidR="00E37E25" w:rsidRPr="008151F9">
        <w:rPr>
          <w:rFonts w:eastAsia="Arial"/>
          <w:b/>
        </w:rPr>
        <w:t>Pillar 3: Downstream transplant volume effect</w:t>
      </w:r>
    </w:p>
    <w:tbl>
      <w:tblPr>
        <w:tblStyle w:val="TableGrid"/>
        <w:tblW w:w="8611" w:type="dxa"/>
        <w:tblLook w:val="0000" w:firstRow="0" w:lastRow="0" w:firstColumn="0" w:lastColumn="0" w:noHBand="0" w:noVBand="0"/>
      </w:tblPr>
      <w:tblGrid>
        <w:gridCol w:w="2166"/>
        <w:gridCol w:w="1531"/>
        <w:gridCol w:w="1531"/>
        <w:gridCol w:w="1531"/>
        <w:gridCol w:w="1852"/>
      </w:tblGrid>
      <w:tr w:rsidR="001C7E47" w:rsidRPr="001C7E47" w14:paraId="0DE4D018" w14:textId="77777777" w:rsidTr="00E5568D">
        <w:trPr>
          <w:trHeight w:val="740"/>
        </w:trPr>
        <w:tc>
          <w:tcPr>
            <w:tcW w:w="2166" w:type="dxa"/>
          </w:tcPr>
          <w:p w14:paraId="2D83EBE3" w14:textId="77777777" w:rsidR="00E37E25" w:rsidRPr="004570F2" w:rsidRDefault="00E37E25" w:rsidP="00041A88">
            <w:pPr>
              <w:pStyle w:val="TABLEFONT"/>
              <w:rPr>
                <w:color w:val="auto"/>
              </w:rPr>
            </w:pPr>
            <w:r w:rsidRPr="004570F2">
              <w:rPr>
                <w:rFonts w:eastAsia="Arial"/>
                <w:color w:val="auto"/>
              </w:rPr>
              <w:t>Scenario</w:t>
            </w:r>
          </w:p>
        </w:tc>
        <w:tc>
          <w:tcPr>
            <w:tcW w:w="1531" w:type="dxa"/>
          </w:tcPr>
          <w:p w14:paraId="38FD1E96" w14:textId="77777777" w:rsidR="00E37E25" w:rsidRPr="004570F2" w:rsidRDefault="00E37E25" w:rsidP="00041A88">
            <w:pPr>
              <w:pStyle w:val="TABLEFONT"/>
              <w:rPr>
                <w:color w:val="auto"/>
              </w:rPr>
            </w:pPr>
            <w:r w:rsidRPr="004570F2">
              <w:rPr>
                <w:rFonts w:eastAsia="Arial"/>
                <w:color w:val="auto"/>
              </w:rPr>
              <w:t>Additional CAGR increment</w:t>
            </w:r>
          </w:p>
        </w:tc>
        <w:tc>
          <w:tcPr>
            <w:tcW w:w="1531" w:type="dxa"/>
          </w:tcPr>
          <w:p w14:paraId="618B2008" w14:textId="3A017B4B" w:rsidR="00E37E25" w:rsidRPr="004570F2" w:rsidRDefault="00E37E25" w:rsidP="00041A88">
            <w:pPr>
              <w:pStyle w:val="TABLEFONT"/>
              <w:rPr>
                <w:color w:val="auto"/>
              </w:rPr>
            </w:pPr>
            <w:r w:rsidRPr="004570F2">
              <w:rPr>
                <w:rFonts w:eastAsia="Arial"/>
                <w:color w:val="auto"/>
              </w:rPr>
              <w:t>Additional transplants/</w:t>
            </w:r>
            <w:r w:rsidRPr="00C61A16">
              <w:rPr>
                <w:rFonts w:eastAsia="Arial"/>
                <w:color w:val="auto"/>
              </w:rPr>
              <w:t>y</w:t>
            </w:r>
            <w:r w:rsidR="00A45649" w:rsidRPr="00C61A16">
              <w:rPr>
                <w:rFonts w:eastAsia="Arial"/>
                <w:color w:val="auto"/>
              </w:rPr>
              <w:t>ea</w:t>
            </w:r>
            <w:r w:rsidRPr="00C61A16">
              <w:rPr>
                <w:rFonts w:eastAsia="Arial"/>
                <w:color w:val="auto"/>
              </w:rPr>
              <w:t>r</w:t>
            </w:r>
            <w:r w:rsidRPr="004570F2">
              <w:rPr>
                <w:rFonts w:eastAsia="Arial"/>
                <w:color w:val="auto"/>
              </w:rPr>
              <w:t xml:space="preserve"> by 2035</w:t>
            </w:r>
          </w:p>
        </w:tc>
        <w:tc>
          <w:tcPr>
            <w:tcW w:w="1531" w:type="dxa"/>
          </w:tcPr>
          <w:p w14:paraId="3158ADF2" w14:textId="77777777" w:rsidR="00E37E25" w:rsidRPr="004570F2" w:rsidRDefault="00E37E25" w:rsidP="00041A88">
            <w:pPr>
              <w:pStyle w:val="TABLEFONT"/>
              <w:rPr>
                <w:color w:val="auto"/>
              </w:rPr>
            </w:pPr>
            <w:r w:rsidRPr="004570F2">
              <w:rPr>
                <w:rFonts w:eastAsia="Arial"/>
                <w:color w:val="auto"/>
              </w:rPr>
              <w:t>Cumulative additional (2028–2035)</w:t>
            </w:r>
          </w:p>
        </w:tc>
        <w:tc>
          <w:tcPr>
            <w:tcW w:w="1852" w:type="dxa"/>
          </w:tcPr>
          <w:p w14:paraId="3215EAFE" w14:textId="77777777" w:rsidR="00E37E25" w:rsidRPr="004570F2" w:rsidRDefault="00E37E25" w:rsidP="00041A88">
            <w:pPr>
              <w:pStyle w:val="TABLEFONT"/>
              <w:rPr>
                <w:color w:val="auto"/>
              </w:rPr>
            </w:pPr>
            <w:r w:rsidRPr="004570F2">
              <w:rPr>
                <w:rFonts w:eastAsia="Arial"/>
                <w:color w:val="auto"/>
              </w:rPr>
              <w:t>Transplant rate 2035 (pmp)</w:t>
            </w:r>
          </w:p>
        </w:tc>
      </w:tr>
      <w:tr w:rsidR="001C7E47" w:rsidRPr="001C7E47" w14:paraId="7DC5ED4F" w14:textId="77777777" w:rsidTr="00E5568D">
        <w:trPr>
          <w:trHeight w:val="333"/>
        </w:trPr>
        <w:tc>
          <w:tcPr>
            <w:tcW w:w="2166" w:type="dxa"/>
          </w:tcPr>
          <w:p w14:paraId="1E0FD694" w14:textId="77777777" w:rsidR="00E37E25" w:rsidRPr="004570F2" w:rsidRDefault="00E37E25" w:rsidP="00041A88">
            <w:pPr>
              <w:pStyle w:val="TABLEFONT"/>
              <w:rPr>
                <w:color w:val="auto"/>
              </w:rPr>
            </w:pPr>
            <w:r w:rsidRPr="004570F2">
              <w:rPr>
                <w:rFonts w:eastAsia="Arial"/>
                <w:color w:val="auto"/>
              </w:rPr>
              <w:t>Baseline</w:t>
            </w:r>
          </w:p>
        </w:tc>
        <w:tc>
          <w:tcPr>
            <w:tcW w:w="1531" w:type="dxa"/>
          </w:tcPr>
          <w:p w14:paraId="60A7A589" w14:textId="77777777" w:rsidR="00E37E25" w:rsidRPr="004570F2" w:rsidRDefault="00E37E25" w:rsidP="00041A88">
            <w:pPr>
              <w:pStyle w:val="TABLEFONT"/>
              <w:rPr>
                <w:color w:val="auto"/>
              </w:rPr>
            </w:pPr>
            <w:r w:rsidRPr="004570F2">
              <w:rPr>
                <w:rFonts w:eastAsia="Arial"/>
                <w:color w:val="auto"/>
              </w:rPr>
              <w:t>—</w:t>
            </w:r>
          </w:p>
        </w:tc>
        <w:tc>
          <w:tcPr>
            <w:tcW w:w="1531" w:type="dxa"/>
          </w:tcPr>
          <w:p w14:paraId="1A865456" w14:textId="77777777" w:rsidR="00E37E25" w:rsidRPr="004570F2" w:rsidRDefault="00E37E25" w:rsidP="00041A88">
            <w:pPr>
              <w:pStyle w:val="TABLEFONT"/>
              <w:rPr>
                <w:color w:val="auto"/>
              </w:rPr>
            </w:pPr>
            <w:r w:rsidRPr="004570F2">
              <w:rPr>
                <w:rFonts w:eastAsia="Arial"/>
                <w:color w:val="auto"/>
              </w:rPr>
              <w:t>—</w:t>
            </w:r>
          </w:p>
        </w:tc>
        <w:tc>
          <w:tcPr>
            <w:tcW w:w="1531" w:type="dxa"/>
          </w:tcPr>
          <w:p w14:paraId="2E5E195F" w14:textId="77777777" w:rsidR="00E37E25" w:rsidRPr="004570F2" w:rsidRDefault="00E37E25" w:rsidP="00041A88">
            <w:pPr>
              <w:pStyle w:val="TABLEFONT"/>
              <w:rPr>
                <w:color w:val="auto"/>
              </w:rPr>
            </w:pPr>
            <w:r w:rsidRPr="004570F2">
              <w:rPr>
                <w:rFonts w:eastAsia="Arial"/>
                <w:color w:val="auto"/>
              </w:rPr>
              <w:t>—</w:t>
            </w:r>
          </w:p>
        </w:tc>
        <w:tc>
          <w:tcPr>
            <w:tcW w:w="1852" w:type="dxa"/>
          </w:tcPr>
          <w:p w14:paraId="6B0018D7" w14:textId="77777777" w:rsidR="00E37E25" w:rsidRPr="004570F2" w:rsidRDefault="00E37E25" w:rsidP="00041A88">
            <w:pPr>
              <w:pStyle w:val="TABLEFONT"/>
              <w:rPr>
                <w:color w:val="auto"/>
              </w:rPr>
            </w:pPr>
            <w:r w:rsidRPr="004570F2">
              <w:rPr>
                <w:rFonts w:eastAsia="Arial"/>
                <w:color w:val="auto"/>
              </w:rPr>
              <w:t>85.2</w:t>
            </w:r>
          </w:p>
        </w:tc>
      </w:tr>
      <w:tr w:rsidR="001C7E47" w:rsidRPr="001C7E47" w14:paraId="283BC40F" w14:textId="77777777" w:rsidTr="00E5568D">
        <w:trPr>
          <w:trHeight w:val="322"/>
        </w:trPr>
        <w:tc>
          <w:tcPr>
            <w:tcW w:w="2166" w:type="dxa"/>
          </w:tcPr>
          <w:p w14:paraId="2D2DDD9F" w14:textId="765B4A0A" w:rsidR="00E37E25" w:rsidRPr="004570F2" w:rsidRDefault="00E37E25" w:rsidP="00041A88">
            <w:pPr>
              <w:pStyle w:val="TABLEFONT"/>
              <w:rPr>
                <w:color w:val="auto"/>
              </w:rPr>
            </w:pPr>
            <w:r w:rsidRPr="004570F2">
              <w:rPr>
                <w:rFonts w:eastAsia="Arial"/>
                <w:color w:val="auto"/>
              </w:rPr>
              <w:t>Conservative (25</w:t>
            </w:r>
            <w:r w:rsidR="006856C2" w:rsidRPr="004570F2">
              <w:rPr>
                <w:rFonts w:eastAsia="Arial"/>
                <w:color w:val="auto"/>
              </w:rPr>
              <w:t>%</w:t>
            </w:r>
            <w:r w:rsidRPr="004570F2">
              <w:rPr>
                <w:rFonts w:eastAsia="Arial"/>
                <w:color w:val="auto"/>
              </w:rPr>
              <w:t>)</w:t>
            </w:r>
          </w:p>
        </w:tc>
        <w:tc>
          <w:tcPr>
            <w:tcW w:w="1531" w:type="dxa"/>
          </w:tcPr>
          <w:p w14:paraId="539BE238" w14:textId="65E3ADF5" w:rsidR="00E37E25" w:rsidRPr="004570F2" w:rsidRDefault="00E37E25" w:rsidP="00041A88">
            <w:pPr>
              <w:pStyle w:val="TABLEFONT"/>
              <w:rPr>
                <w:rFonts w:eastAsia="Arial"/>
                <w:color w:val="auto"/>
              </w:rPr>
            </w:pPr>
            <w:r w:rsidRPr="004570F2">
              <w:rPr>
                <w:rFonts w:eastAsia="Arial"/>
                <w:color w:val="auto"/>
              </w:rPr>
              <w:t>+0.24 pp/</w:t>
            </w:r>
            <w:r w:rsidRPr="00C61A16">
              <w:rPr>
                <w:rFonts w:eastAsia="Arial"/>
                <w:color w:val="auto"/>
              </w:rPr>
              <w:t>y</w:t>
            </w:r>
            <w:r w:rsidR="00A45649" w:rsidRPr="00C61A16">
              <w:rPr>
                <w:rFonts w:eastAsia="Arial"/>
                <w:color w:val="auto"/>
              </w:rPr>
              <w:t>ea</w:t>
            </w:r>
            <w:r w:rsidRPr="00C61A16">
              <w:rPr>
                <w:rFonts w:eastAsia="Arial"/>
                <w:color w:val="auto"/>
              </w:rPr>
              <w:t>r</w:t>
            </w:r>
          </w:p>
        </w:tc>
        <w:tc>
          <w:tcPr>
            <w:tcW w:w="1531" w:type="dxa"/>
          </w:tcPr>
          <w:p w14:paraId="1E4266CC" w14:textId="77777777" w:rsidR="00E37E25" w:rsidRPr="004570F2" w:rsidRDefault="00E37E25" w:rsidP="00041A88">
            <w:pPr>
              <w:pStyle w:val="TABLEFONT"/>
              <w:rPr>
                <w:rFonts w:eastAsia="Arial"/>
                <w:color w:val="auto"/>
              </w:rPr>
            </w:pPr>
            <w:r w:rsidRPr="004570F2">
              <w:rPr>
                <w:rFonts w:eastAsia="Arial"/>
                <w:color w:val="auto"/>
              </w:rPr>
              <w:t>~730</w:t>
            </w:r>
          </w:p>
        </w:tc>
        <w:tc>
          <w:tcPr>
            <w:tcW w:w="1531" w:type="dxa"/>
          </w:tcPr>
          <w:p w14:paraId="746E5B86" w14:textId="77777777" w:rsidR="00E37E25" w:rsidRPr="004570F2" w:rsidRDefault="00E37E25" w:rsidP="00041A88">
            <w:pPr>
              <w:pStyle w:val="TABLEFONT"/>
              <w:rPr>
                <w:rFonts w:eastAsia="Arial"/>
                <w:color w:val="auto"/>
              </w:rPr>
            </w:pPr>
            <w:r w:rsidRPr="004570F2">
              <w:rPr>
                <w:rFonts w:eastAsia="Arial"/>
                <w:color w:val="auto"/>
              </w:rPr>
              <w:t>~3,150</w:t>
            </w:r>
          </w:p>
        </w:tc>
        <w:tc>
          <w:tcPr>
            <w:tcW w:w="1852" w:type="dxa"/>
          </w:tcPr>
          <w:p w14:paraId="48BA2575" w14:textId="77777777" w:rsidR="00E37E25" w:rsidRPr="004570F2" w:rsidRDefault="00E37E25" w:rsidP="00041A88">
            <w:pPr>
              <w:pStyle w:val="TABLEFONT"/>
              <w:rPr>
                <w:rFonts w:eastAsia="Arial"/>
                <w:color w:val="auto"/>
              </w:rPr>
            </w:pPr>
            <w:r w:rsidRPr="004570F2">
              <w:rPr>
                <w:rFonts w:eastAsia="Arial"/>
                <w:color w:val="auto"/>
              </w:rPr>
              <w:t>86.8</w:t>
            </w:r>
          </w:p>
        </w:tc>
      </w:tr>
      <w:tr w:rsidR="001C7E47" w:rsidRPr="001C7E47" w14:paraId="0D910C55" w14:textId="77777777" w:rsidTr="00E5568D">
        <w:trPr>
          <w:trHeight w:val="333"/>
        </w:trPr>
        <w:tc>
          <w:tcPr>
            <w:tcW w:w="2166" w:type="dxa"/>
          </w:tcPr>
          <w:p w14:paraId="17DD4307" w14:textId="1D5B3A5B" w:rsidR="00E37E25" w:rsidRPr="004570F2" w:rsidRDefault="00E37E25" w:rsidP="00041A88">
            <w:pPr>
              <w:pStyle w:val="TABLEFONT"/>
              <w:rPr>
                <w:color w:val="auto"/>
              </w:rPr>
            </w:pPr>
            <w:r w:rsidRPr="004570F2">
              <w:rPr>
                <w:rFonts w:eastAsia="Arial"/>
                <w:color w:val="auto"/>
              </w:rPr>
              <w:t>Moderate (50</w:t>
            </w:r>
            <w:r w:rsidR="006856C2" w:rsidRPr="004570F2">
              <w:rPr>
                <w:rFonts w:eastAsia="Arial"/>
                <w:color w:val="auto"/>
              </w:rPr>
              <w:t>%</w:t>
            </w:r>
            <w:r w:rsidRPr="004570F2">
              <w:rPr>
                <w:rFonts w:eastAsia="Arial"/>
                <w:color w:val="auto"/>
              </w:rPr>
              <w:t>)</w:t>
            </w:r>
          </w:p>
        </w:tc>
        <w:tc>
          <w:tcPr>
            <w:tcW w:w="1531" w:type="dxa"/>
          </w:tcPr>
          <w:p w14:paraId="1E611346" w14:textId="6A95754E" w:rsidR="00E37E25" w:rsidRPr="004570F2" w:rsidRDefault="00E37E25" w:rsidP="00041A88">
            <w:pPr>
              <w:pStyle w:val="TABLEFONT"/>
              <w:rPr>
                <w:rFonts w:eastAsia="Arial"/>
                <w:color w:val="auto"/>
              </w:rPr>
            </w:pPr>
            <w:r w:rsidRPr="004570F2">
              <w:rPr>
                <w:rFonts w:eastAsia="Arial"/>
                <w:color w:val="auto"/>
              </w:rPr>
              <w:t>+0.47 pp/</w:t>
            </w:r>
            <w:r w:rsidRPr="00C61A16">
              <w:rPr>
                <w:rFonts w:eastAsia="Arial"/>
                <w:color w:val="auto"/>
              </w:rPr>
              <w:t>y</w:t>
            </w:r>
            <w:r w:rsidR="00A45649" w:rsidRPr="00C61A16">
              <w:rPr>
                <w:rFonts w:eastAsia="Arial"/>
                <w:color w:val="auto"/>
              </w:rPr>
              <w:t>ea</w:t>
            </w:r>
            <w:r w:rsidRPr="00C61A16">
              <w:rPr>
                <w:rFonts w:eastAsia="Arial"/>
                <w:color w:val="auto"/>
              </w:rPr>
              <w:t>r</w:t>
            </w:r>
          </w:p>
        </w:tc>
        <w:tc>
          <w:tcPr>
            <w:tcW w:w="1531" w:type="dxa"/>
          </w:tcPr>
          <w:p w14:paraId="0D2D32F5" w14:textId="77777777" w:rsidR="00E37E25" w:rsidRPr="004570F2" w:rsidRDefault="00E37E25" w:rsidP="00041A88">
            <w:pPr>
              <w:pStyle w:val="TABLEFONT"/>
              <w:rPr>
                <w:rFonts w:eastAsia="Arial"/>
                <w:color w:val="auto"/>
              </w:rPr>
            </w:pPr>
            <w:r w:rsidRPr="004570F2">
              <w:rPr>
                <w:rFonts w:eastAsia="Arial"/>
                <w:color w:val="auto"/>
              </w:rPr>
              <w:t>~1,435</w:t>
            </w:r>
          </w:p>
        </w:tc>
        <w:tc>
          <w:tcPr>
            <w:tcW w:w="1531" w:type="dxa"/>
          </w:tcPr>
          <w:p w14:paraId="1A08A245" w14:textId="77777777" w:rsidR="00E37E25" w:rsidRPr="004570F2" w:rsidRDefault="00E37E25" w:rsidP="00041A88">
            <w:pPr>
              <w:pStyle w:val="TABLEFONT"/>
              <w:rPr>
                <w:rFonts w:eastAsia="Arial"/>
                <w:color w:val="auto"/>
              </w:rPr>
            </w:pPr>
            <w:r w:rsidRPr="004570F2">
              <w:rPr>
                <w:rFonts w:eastAsia="Arial"/>
                <w:color w:val="auto"/>
              </w:rPr>
              <w:t>~6,205</w:t>
            </w:r>
          </w:p>
        </w:tc>
        <w:tc>
          <w:tcPr>
            <w:tcW w:w="1852" w:type="dxa"/>
          </w:tcPr>
          <w:p w14:paraId="5845EC8F" w14:textId="77777777" w:rsidR="00E37E25" w:rsidRPr="004570F2" w:rsidRDefault="00E37E25" w:rsidP="00041A88">
            <w:pPr>
              <w:pStyle w:val="TABLEFONT"/>
              <w:rPr>
                <w:rFonts w:eastAsia="Arial"/>
                <w:color w:val="auto"/>
              </w:rPr>
            </w:pPr>
            <w:r w:rsidRPr="004570F2">
              <w:rPr>
                <w:rFonts w:eastAsia="Arial"/>
                <w:color w:val="auto"/>
              </w:rPr>
              <w:t>88.4</w:t>
            </w:r>
          </w:p>
        </w:tc>
      </w:tr>
      <w:tr w:rsidR="001C7E47" w:rsidRPr="001C7E47" w14:paraId="6DCFCC3B" w14:textId="77777777" w:rsidTr="00E5568D">
        <w:trPr>
          <w:trHeight w:val="333"/>
        </w:trPr>
        <w:tc>
          <w:tcPr>
            <w:tcW w:w="2166" w:type="dxa"/>
          </w:tcPr>
          <w:p w14:paraId="1092DF51" w14:textId="0CAC161F" w:rsidR="00E37E25" w:rsidRPr="004570F2" w:rsidRDefault="00E37E25" w:rsidP="00041A88">
            <w:pPr>
              <w:pStyle w:val="TABLEFONT"/>
              <w:rPr>
                <w:color w:val="auto"/>
              </w:rPr>
            </w:pPr>
            <w:r w:rsidRPr="004570F2">
              <w:rPr>
                <w:rFonts w:eastAsia="Arial"/>
                <w:color w:val="auto"/>
              </w:rPr>
              <w:t>Optimistic (100</w:t>
            </w:r>
            <w:r w:rsidR="006856C2" w:rsidRPr="004570F2">
              <w:rPr>
                <w:rFonts w:eastAsia="Arial"/>
                <w:color w:val="auto"/>
              </w:rPr>
              <w:t>%</w:t>
            </w:r>
            <w:r w:rsidRPr="004570F2">
              <w:rPr>
                <w:rFonts w:eastAsia="Arial"/>
                <w:color w:val="auto"/>
              </w:rPr>
              <w:t>)</w:t>
            </w:r>
          </w:p>
        </w:tc>
        <w:tc>
          <w:tcPr>
            <w:tcW w:w="1531" w:type="dxa"/>
          </w:tcPr>
          <w:p w14:paraId="6D8DD002" w14:textId="02C2215C" w:rsidR="00E37E25" w:rsidRPr="004570F2" w:rsidRDefault="00E37E25" w:rsidP="00041A88">
            <w:pPr>
              <w:pStyle w:val="TABLEFONT"/>
              <w:rPr>
                <w:rFonts w:eastAsia="Arial"/>
                <w:color w:val="auto"/>
              </w:rPr>
            </w:pPr>
            <w:r w:rsidRPr="004570F2">
              <w:rPr>
                <w:rFonts w:eastAsia="Arial"/>
                <w:color w:val="auto"/>
              </w:rPr>
              <w:t>+0.95 pp/</w:t>
            </w:r>
            <w:r w:rsidRPr="00C61A16">
              <w:rPr>
                <w:rFonts w:eastAsia="Arial"/>
                <w:color w:val="auto"/>
              </w:rPr>
              <w:t>y</w:t>
            </w:r>
            <w:r w:rsidR="00A45649" w:rsidRPr="00C61A16">
              <w:rPr>
                <w:rFonts w:eastAsia="Arial"/>
                <w:color w:val="auto"/>
              </w:rPr>
              <w:t>ea</w:t>
            </w:r>
            <w:r w:rsidRPr="00C61A16">
              <w:rPr>
                <w:rFonts w:eastAsia="Arial"/>
                <w:color w:val="auto"/>
              </w:rPr>
              <w:t>r</w:t>
            </w:r>
          </w:p>
        </w:tc>
        <w:tc>
          <w:tcPr>
            <w:tcW w:w="1531" w:type="dxa"/>
          </w:tcPr>
          <w:p w14:paraId="7471D5A8" w14:textId="77777777" w:rsidR="00E37E25" w:rsidRPr="004570F2" w:rsidRDefault="00E37E25" w:rsidP="00041A88">
            <w:pPr>
              <w:pStyle w:val="TABLEFONT"/>
              <w:rPr>
                <w:rFonts w:eastAsia="Arial"/>
                <w:color w:val="auto"/>
              </w:rPr>
            </w:pPr>
            <w:r w:rsidRPr="004570F2">
              <w:rPr>
                <w:rFonts w:eastAsia="Arial"/>
                <w:color w:val="auto"/>
              </w:rPr>
              <w:t>~2,950</w:t>
            </w:r>
          </w:p>
        </w:tc>
        <w:tc>
          <w:tcPr>
            <w:tcW w:w="1531" w:type="dxa"/>
          </w:tcPr>
          <w:p w14:paraId="4E1E94D4" w14:textId="77777777" w:rsidR="00E37E25" w:rsidRPr="004570F2" w:rsidRDefault="00E37E25" w:rsidP="00041A88">
            <w:pPr>
              <w:pStyle w:val="TABLEFONT"/>
              <w:rPr>
                <w:rFonts w:eastAsia="Arial"/>
                <w:color w:val="auto"/>
              </w:rPr>
            </w:pPr>
            <w:r w:rsidRPr="004570F2">
              <w:rPr>
                <w:rFonts w:eastAsia="Arial"/>
                <w:color w:val="auto"/>
              </w:rPr>
              <w:t>~12,685</w:t>
            </w:r>
          </w:p>
        </w:tc>
        <w:tc>
          <w:tcPr>
            <w:tcW w:w="1852" w:type="dxa"/>
          </w:tcPr>
          <w:p w14:paraId="06405A2B" w14:textId="77777777" w:rsidR="00E37E25" w:rsidRPr="004570F2" w:rsidRDefault="00E37E25" w:rsidP="00041A88">
            <w:pPr>
              <w:pStyle w:val="TABLEFONT"/>
              <w:rPr>
                <w:rFonts w:eastAsia="Arial"/>
                <w:color w:val="auto"/>
              </w:rPr>
            </w:pPr>
            <w:r w:rsidRPr="004570F2">
              <w:rPr>
                <w:rFonts w:eastAsia="Arial"/>
                <w:color w:val="auto"/>
              </w:rPr>
              <w:t>91.8</w:t>
            </w:r>
          </w:p>
        </w:tc>
      </w:tr>
    </w:tbl>
    <w:p w14:paraId="2736C87E" w14:textId="6C8668BD" w:rsidR="00A61319" w:rsidRPr="00D55AEF" w:rsidRDefault="00E37E25" w:rsidP="00E37E25">
      <w:pPr>
        <w:spacing w:before="80" w:after="80" w:line="264" w:lineRule="auto"/>
        <w:rPr>
          <w:rFonts w:eastAsia="Arial"/>
          <w:sz w:val="16"/>
          <w:szCs w:val="16"/>
          <w:lang w:val="en-US"/>
        </w:rPr>
      </w:pPr>
      <w:r w:rsidRPr="00D55AEF">
        <w:rPr>
          <w:rFonts w:eastAsia="Arial"/>
          <w:b/>
          <w:bCs/>
          <w:i/>
          <w:iCs/>
          <w:sz w:val="16"/>
          <w:szCs w:val="16"/>
          <w:lang w:val="en-US"/>
        </w:rPr>
        <w:lastRenderedPageBreak/>
        <w:t>Source:</w:t>
      </w:r>
      <w:r w:rsidRPr="00D55AEF">
        <w:rPr>
          <w:rFonts w:eastAsia="Arial"/>
          <w:sz w:val="16"/>
          <w:szCs w:val="16"/>
          <w:lang w:val="en-US"/>
        </w:rPr>
        <w:t xml:space="preserve"> The baseline CAGR of 1.54</w:t>
      </w:r>
      <w:r w:rsidR="006856C2">
        <w:rPr>
          <w:rFonts w:eastAsia="Arial"/>
          <w:sz w:val="16"/>
          <w:szCs w:val="16"/>
          <w:lang w:val="en-US"/>
        </w:rPr>
        <w:t>%</w:t>
      </w:r>
      <w:r w:rsidRPr="00D55AEF">
        <w:rPr>
          <w:rFonts w:eastAsia="Arial"/>
          <w:sz w:val="16"/>
          <w:szCs w:val="16"/>
          <w:lang w:val="en-US"/>
        </w:rPr>
        <w:t xml:space="preserve"> pmp is applied forward from the 2024 anchor of 72.0 pmp; scenario CAGRs add the scaled Directive effect (+0.95 pp × 25</w:t>
      </w:r>
      <w:r w:rsidR="006856C2">
        <w:rPr>
          <w:rFonts w:eastAsia="Arial"/>
          <w:sz w:val="16"/>
          <w:szCs w:val="16"/>
          <w:lang w:val="en-US"/>
        </w:rPr>
        <w:t>%</w:t>
      </w:r>
      <w:r w:rsidRPr="00D55AEF">
        <w:rPr>
          <w:rFonts w:eastAsia="Arial"/>
          <w:sz w:val="16"/>
          <w:szCs w:val="16"/>
          <w:lang w:val="en-US"/>
        </w:rPr>
        <w:t>/50</w:t>
      </w:r>
      <w:r w:rsidR="006856C2">
        <w:rPr>
          <w:rFonts w:eastAsia="Arial"/>
          <w:sz w:val="16"/>
          <w:szCs w:val="16"/>
          <w:lang w:val="en-US"/>
        </w:rPr>
        <w:t>%</w:t>
      </w:r>
      <w:r w:rsidRPr="00D55AEF">
        <w:rPr>
          <w:rFonts w:eastAsia="Arial"/>
          <w:sz w:val="16"/>
          <w:szCs w:val="16"/>
          <w:lang w:val="en-US"/>
        </w:rPr>
        <w:t>/100</w:t>
      </w:r>
      <w:r w:rsidR="006856C2">
        <w:rPr>
          <w:rFonts w:eastAsia="Arial"/>
          <w:sz w:val="16"/>
          <w:szCs w:val="16"/>
          <w:lang w:val="en-US"/>
        </w:rPr>
        <w:t>%</w:t>
      </w:r>
      <w:r w:rsidRPr="00D55AEF">
        <w:rPr>
          <w:rFonts w:eastAsia="Arial"/>
          <w:sz w:val="16"/>
          <w:szCs w:val="16"/>
          <w:lang w:val="en-US"/>
        </w:rPr>
        <w:t>) to the baseline rate from 2027 onwards. Cumulative figures cover 2028–2035 (eight full years), as the 2027 start year marks entry into force of the authorisation regime, with the first full-year effect materialising in 2028. Additional transplants/y</w:t>
      </w:r>
      <w:r w:rsidR="00A45649">
        <w:rPr>
          <w:rFonts w:eastAsia="Arial"/>
          <w:sz w:val="16"/>
          <w:szCs w:val="16"/>
          <w:lang w:val="en-US"/>
        </w:rPr>
        <w:t>ea</w:t>
      </w:r>
      <w:r w:rsidRPr="00D55AEF">
        <w:rPr>
          <w:rFonts w:eastAsia="Arial"/>
          <w:sz w:val="16"/>
          <w:szCs w:val="16"/>
          <w:lang w:val="en-US"/>
        </w:rPr>
        <w:t>r by 2035 and pmp values are computed from year-by-year compound growth. Assumes a stable EU-27 population of ~448 million and no major external shocks.</w:t>
      </w:r>
    </w:p>
    <w:p w14:paraId="0296EA70" w14:textId="7B6CFBD7" w:rsidR="00E37E25" w:rsidRPr="008151F9" w:rsidRDefault="00CE09DF" w:rsidP="008151F9">
      <w:pPr>
        <w:rPr>
          <w:rFonts w:eastAsia="Arial"/>
          <w:b/>
        </w:rPr>
      </w:pPr>
      <w:r w:rsidRPr="008151F9">
        <w:rPr>
          <w:rFonts w:eastAsia="Arial"/>
          <w:b/>
          <w:bCs/>
        </w:rPr>
        <w:t xml:space="preserve">Table </w:t>
      </w:r>
      <w:r w:rsidR="000B7A24">
        <w:rPr>
          <w:rFonts w:eastAsia="Arial"/>
          <w:b/>
          <w:bCs/>
        </w:rPr>
        <w:t>8</w:t>
      </w:r>
      <w:r w:rsidR="00106AA9">
        <w:rPr>
          <w:rFonts w:eastAsia="Arial"/>
          <w:b/>
          <w:bCs/>
        </w:rPr>
        <w:t xml:space="preserve">. </w:t>
      </w:r>
      <w:r w:rsidR="00E37E25" w:rsidRPr="008151F9">
        <w:rPr>
          <w:rFonts w:eastAsia="Arial"/>
          <w:b/>
        </w:rPr>
        <w:t>Consolidated estimate and central scenario</w:t>
      </w:r>
    </w:p>
    <w:tbl>
      <w:tblPr>
        <w:tblStyle w:val="TableGrid"/>
        <w:tblW w:w="8789" w:type="dxa"/>
        <w:tblLook w:val="0000" w:firstRow="0" w:lastRow="0" w:firstColumn="0" w:lastColumn="0" w:noHBand="0" w:noVBand="0"/>
      </w:tblPr>
      <w:tblGrid>
        <w:gridCol w:w="2156"/>
        <w:gridCol w:w="2211"/>
        <w:gridCol w:w="2211"/>
        <w:gridCol w:w="2211"/>
      </w:tblGrid>
      <w:tr w:rsidR="0076714D" w:rsidRPr="0076714D" w14:paraId="0FD3D6F3" w14:textId="77777777" w:rsidTr="00E5568D">
        <w:trPr>
          <w:trHeight w:val="326"/>
        </w:trPr>
        <w:tc>
          <w:tcPr>
            <w:tcW w:w="2156" w:type="dxa"/>
          </w:tcPr>
          <w:p w14:paraId="72AC698E" w14:textId="77777777" w:rsidR="00E37E25" w:rsidRPr="004570F2" w:rsidRDefault="00E37E25" w:rsidP="00041A88">
            <w:pPr>
              <w:pStyle w:val="TABLEFONT"/>
              <w:rPr>
                <w:color w:val="auto"/>
              </w:rPr>
            </w:pPr>
            <w:r w:rsidRPr="004570F2">
              <w:rPr>
                <w:rFonts w:eastAsia="Arial"/>
                <w:color w:val="auto"/>
              </w:rPr>
              <w:t>Impact dimension</w:t>
            </w:r>
          </w:p>
        </w:tc>
        <w:tc>
          <w:tcPr>
            <w:tcW w:w="2211" w:type="dxa"/>
          </w:tcPr>
          <w:p w14:paraId="5B5A667F" w14:textId="77777777" w:rsidR="00E37E25" w:rsidRPr="004570F2" w:rsidRDefault="00E37E25" w:rsidP="00041A88">
            <w:pPr>
              <w:pStyle w:val="TABLEFONT"/>
              <w:rPr>
                <w:color w:val="auto"/>
              </w:rPr>
            </w:pPr>
            <w:r w:rsidRPr="004570F2">
              <w:rPr>
                <w:rFonts w:eastAsia="Arial"/>
                <w:color w:val="auto"/>
              </w:rPr>
              <w:t>Conservative</w:t>
            </w:r>
          </w:p>
        </w:tc>
        <w:tc>
          <w:tcPr>
            <w:tcW w:w="2211" w:type="dxa"/>
          </w:tcPr>
          <w:p w14:paraId="361AF4EC" w14:textId="77777777" w:rsidR="00E37E25" w:rsidRPr="004570F2" w:rsidRDefault="00E37E25" w:rsidP="00041A88">
            <w:pPr>
              <w:pStyle w:val="TABLEFONT"/>
              <w:rPr>
                <w:color w:val="auto"/>
              </w:rPr>
            </w:pPr>
            <w:r w:rsidRPr="004570F2">
              <w:rPr>
                <w:rFonts w:eastAsia="Arial"/>
                <w:color w:val="auto"/>
              </w:rPr>
              <w:t>Moderate (central)</w:t>
            </w:r>
          </w:p>
        </w:tc>
        <w:tc>
          <w:tcPr>
            <w:tcW w:w="2211" w:type="dxa"/>
          </w:tcPr>
          <w:p w14:paraId="4332D2F5" w14:textId="77777777" w:rsidR="00E37E25" w:rsidRPr="004570F2" w:rsidRDefault="00E37E25" w:rsidP="00041A88">
            <w:pPr>
              <w:pStyle w:val="TABLEFONT"/>
              <w:rPr>
                <w:color w:val="auto"/>
              </w:rPr>
            </w:pPr>
            <w:r w:rsidRPr="004570F2">
              <w:rPr>
                <w:rFonts w:eastAsia="Arial"/>
                <w:color w:val="auto"/>
              </w:rPr>
              <w:t>Optimistic</w:t>
            </w:r>
          </w:p>
        </w:tc>
      </w:tr>
      <w:tr w:rsidR="0076714D" w:rsidRPr="0076714D" w14:paraId="7B3E97E9" w14:textId="77777777" w:rsidTr="00E5568D">
        <w:trPr>
          <w:trHeight w:val="545"/>
        </w:trPr>
        <w:tc>
          <w:tcPr>
            <w:tcW w:w="2156" w:type="dxa"/>
          </w:tcPr>
          <w:p w14:paraId="4CE9E8DD" w14:textId="77777777" w:rsidR="00E37E25" w:rsidRPr="004570F2" w:rsidRDefault="00E37E25" w:rsidP="00041A88">
            <w:pPr>
              <w:pStyle w:val="TABLEFONT"/>
              <w:rPr>
                <w:color w:val="auto"/>
              </w:rPr>
            </w:pPr>
            <w:r w:rsidRPr="004570F2">
              <w:rPr>
                <w:rFonts w:eastAsia="Arial"/>
                <w:color w:val="auto"/>
              </w:rPr>
              <w:t>Programme adoption (Δ by 2035)</w:t>
            </w:r>
          </w:p>
        </w:tc>
        <w:tc>
          <w:tcPr>
            <w:tcW w:w="2211" w:type="dxa"/>
          </w:tcPr>
          <w:p w14:paraId="44975627" w14:textId="77777777" w:rsidR="00E37E25" w:rsidRPr="004570F2" w:rsidRDefault="00E37E25" w:rsidP="00041A88">
            <w:pPr>
              <w:pStyle w:val="TABLEFONT"/>
              <w:rPr>
                <w:color w:val="auto"/>
              </w:rPr>
            </w:pPr>
            <w:r w:rsidRPr="004570F2">
              <w:rPr>
                <w:rFonts w:eastAsia="Arial"/>
                <w:color w:val="auto"/>
              </w:rPr>
              <w:t>+35–55 programmes (+5–8 pp)</w:t>
            </w:r>
          </w:p>
        </w:tc>
        <w:tc>
          <w:tcPr>
            <w:tcW w:w="2211" w:type="dxa"/>
          </w:tcPr>
          <w:p w14:paraId="7CD0F746" w14:textId="77777777" w:rsidR="00E37E25" w:rsidRPr="004570F2" w:rsidRDefault="00E37E25" w:rsidP="00041A88">
            <w:pPr>
              <w:pStyle w:val="TABLEFONT"/>
              <w:rPr>
                <w:color w:val="auto"/>
              </w:rPr>
            </w:pPr>
            <w:r w:rsidRPr="004570F2">
              <w:rPr>
                <w:rFonts w:eastAsia="Arial"/>
                <w:color w:val="auto"/>
              </w:rPr>
              <w:t>+70–110 programmes (+10–15 pp)</w:t>
            </w:r>
          </w:p>
        </w:tc>
        <w:tc>
          <w:tcPr>
            <w:tcW w:w="2211" w:type="dxa"/>
          </w:tcPr>
          <w:p w14:paraId="77AB21DA" w14:textId="77777777" w:rsidR="00E37E25" w:rsidRPr="004570F2" w:rsidRDefault="00E37E25" w:rsidP="00041A88">
            <w:pPr>
              <w:pStyle w:val="TABLEFONT"/>
              <w:rPr>
                <w:color w:val="auto"/>
              </w:rPr>
            </w:pPr>
            <w:r w:rsidRPr="004570F2">
              <w:rPr>
                <w:rFonts w:eastAsia="Arial"/>
                <w:color w:val="auto"/>
              </w:rPr>
              <w:t>+110–160 programmes (+15–22 pp)</w:t>
            </w:r>
          </w:p>
        </w:tc>
      </w:tr>
      <w:tr w:rsidR="0076714D" w:rsidRPr="0076714D" w14:paraId="27686B97" w14:textId="77777777" w:rsidTr="00E5568D">
        <w:trPr>
          <w:trHeight w:val="533"/>
        </w:trPr>
        <w:tc>
          <w:tcPr>
            <w:tcW w:w="2156" w:type="dxa"/>
          </w:tcPr>
          <w:p w14:paraId="2B56BF41" w14:textId="77777777" w:rsidR="00E37E25" w:rsidRPr="004570F2" w:rsidRDefault="00E37E25" w:rsidP="00041A88">
            <w:pPr>
              <w:pStyle w:val="TABLEFONT"/>
              <w:rPr>
                <w:color w:val="auto"/>
              </w:rPr>
            </w:pPr>
            <w:r w:rsidRPr="004570F2">
              <w:rPr>
                <w:rFonts w:eastAsia="Arial"/>
                <w:color w:val="auto"/>
              </w:rPr>
              <w:t>Organ-level processing (Δ by 2035)</w:t>
            </w:r>
          </w:p>
        </w:tc>
        <w:tc>
          <w:tcPr>
            <w:tcW w:w="2211" w:type="dxa"/>
          </w:tcPr>
          <w:p w14:paraId="39F3F2F6" w14:textId="77777777" w:rsidR="00E37E25" w:rsidRPr="004570F2" w:rsidRDefault="00E37E25" w:rsidP="00041A88">
            <w:pPr>
              <w:pStyle w:val="TABLEFONT"/>
              <w:rPr>
                <w:color w:val="auto"/>
              </w:rPr>
            </w:pPr>
            <w:r w:rsidRPr="004570F2">
              <w:rPr>
                <w:rFonts w:eastAsia="Arial"/>
                <w:color w:val="auto"/>
              </w:rPr>
              <w:t>+3–5 pp</w:t>
            </w:r>
          </w:p>
        </w:tc>
        <w:tc>
          <w:tcPr>
            <w:tcW w:w="2211" w:type="dxa"/>
          </w:tcPr>
          <w:p w14:paraId="5EBC92BE" w14:textId="77777777" w:rsidR="00E37E25" w:rsidRPr="004570F2" w:rsidRDefault="00E37E25" w:rsidP="00041A88">
            <w:pPr>
              <w:pStyle w:val="TABLEFONT"/>
              <w:rPr>
                <w:color w:val="auto"/>
              </w:rPr>
            </w:pPr>
            <w:r w:rsidRPr="004570F2">
              <w:rPr>
                <w:rFonts w:eastAsia="Arial"/>
                <w:color w:val="auto"/>
              </w:rPr>
              <w:t>+6–10 pp</w:t>
            </w:r>
          </w:p>
        </w:tc>
        <w:tc>
          <w:tcPr>
            <w:tcW w:w="2211" w:type="dxa"/>
          </w:tcPr>
          <w:p w14:paraId="035678E4" w14:textId="77777777" w:rsidR="00E37E25" w:rsidRPr="004570F2" w:rsidRDefault="00E37E25" w:rsidP="00041A88">
            <w:pPr>
              <w:pStyle w:val="TABLEFONT"/>
              <w:rPr>
                <w:color w:val="auto"/>
              </w:rPr>
            </w:pPr>
            <w:r w:rsidRPr="004570F2">
              <w:rPr>
                <w:rFonts w:eastAsia="Arial"/>
                <w:color w:val="auto"/>
              </w:rPr>
              <w:t>+10–16 pp</w:t>
            </w:r>
          </w:p>
        </w:tc>
      </w:tr>
      <w:tr w:rsidR="0076714D" w:rsidRPr="0076714D" w14:paraId="32643761" w14:textId="77777777" w:rsidTr="00E5568D">
        <w:trPr>
          <w:trHeight w:val="545"/>
        </w:trPr>
        <w:tc>
          <w:tcPr>
            <w:tcW w:w="2156" w:type="dxa"/>
          </w:tcPr>
          <w:p w14:paraId="6BF45280" w14:textId="1F066E81" w:rsidR="00E37E25" w:rsidRPr="004570F2" w:rsidRDefault="00E37E25" w:rsidP="00041A88">
            <w:pPr>
              <w:pStyle w:val="TABLEFONT"/>
              <w:rPr>
                <w:rFonts w:eastAsia="Arial"/>
                <w:color w:val="auto"/>
              </w:rPr>
            </w:pPr>
            <w:r w:rsidRPr="004570F2">
              <w:rPr>
                <w:rFonts w:eastAsia="Arial"/>
                <w:color w:val="auto"/>
              </w:rPr>
              <w:t>Additional transplants/</w:t>
            </w:r>
            <w:r w:rsidRPr="00C61A16">
              <w:rPr>
                <w:rFonts w:eastAsia="Arial"/>
                <w:color w:val="auto"/>
              </w:rPr>
              <w:t>y</w:t>
            </w:r>
            <w:r w:rsidR="00A45649" w:rsidRPr="00C61A16">
              <w:rPr>
                <w:rFonts w:eastAsia="Arial"/>
                <w:color w:val="auto"/>
              </w:rPr>
              <w:t>ea</w:t>
            </w:r>
            <w:r w:rsidRPr="00C61A16">
              <w:rPr>
                <w:rFonts w:eastAsia="Arial"/>
                <w:color w:val="auto"/>
              </w:rPr>
              <w:t>r</w:t>
            </w:r>
            <w:r w:rsidRPr="004570F2">
              <w:rPr>
                <w:rFonts w:eastAsia="Arial"/>
                <w:color w:val="auto"/>
              </w:rPr>
              <w:t xml:space="preserve"> by 2035</w:t>
            </w:r>
          </w:p>
        </w:tc>
        <w:tc>
          <w:tcPr>
            <w:tcW w:w="2211" w:type="dxa"/>
          </w:tcPr>
          <w:p w14:paraId="170DDFC1" w14:textId="77777777" w:rsidR="00E37E25" w:rsidRPr="004570F2" w:rsidRDefault="00E37E25" w:rsidP="00041A88">
            <w:pPr>
              <w:pStyle w:val="TABLEFONT"/>
              <w:rPr>
                <w:rFonts w:eastAsia="Arial"/>
                <w:color w:val="auto"/>
              </w:rPr>
            </w:pPr>
            <w:r w:rsidRPr="004570F2">
              <w:rPr>
                <w:rFonts w:eastAsia="Arial"/>
                <w:color w:val="auto"/>
              </w:rPr>
              <w:t>~730</w:t>
            </w:r>
          </w:p>
        </w:tc>
        <w:tc>
          <w:tcPr>
            <w:tcW w:w="2211" w:type="dxa"/>
          </w:tcPr>
          <w:p w14:paraId="0A4DAE48" w14:textId="77777777" w:rsidR="00E37E25" w:rsidRPr="004570F2" w:rsidRDefault="00E37E25" w:rsidP="00041A88">
            <w:pPr>
              <w:pStyle w:val="TABLEFONT"/>
              <w:rPr>
                <w:rFonts w:eastAsia="Arial"/>
                <w:color w:val="auto"/>
              </w:rPr>
            </w:pPr>
            <w:r w:rsidRPr="004570F2">
              <w:rPr>
                <w:rFonts w:eastAsia="Arial"/>
                <w:color w:val="auto"/>
              </w:rPr>
              <w:t>~1,435</w:t>
            </w:r>
          </w:p>
        </w:tc>
        <w:tc>
          <w:tcPr>
            <w:tcW w:w="2211" w:type="dxa"/>
          </w:tcPr>
          <w:p w14:paraId="6123B85A" w14:textId="77777777" w:rsidR="00E37E25" w:rsidRPr="004570F2" w:rsidRDefault="00E37E25" w:rsidP="00041A88">
            <w:pPr>
              <w:pStyle w:val="TABLEFONT"/>
              <w:rPr>
                <w:rFonts w:eastAsia="Arial"/>
                <w:color w:val="auto"/>
              </w:rPr>
            </w:pPr>
            <w:r w:rsidRPr="004570F2">
              <w:rPr>
                <w:rFonts w:eastAsia="Arial"/>
                <w:color w:val="auto"/>
              </w:rPr>
              <w:t>~2,950</w:t>
            </w:r>
          </w:p>
        </w:tc>
      </w:tr>
      <w:tr w:rsidR="0076714D" w:rsidRPr="0076714D" w14:paraId="5F887CCC" w14:textId="77777777" w:rsidTr="00E5568D">
        <w:trPr>
          <w:trHeight w:val="533"/>
        </w:trPr>
        <w:tc>
          <w:tcPr>
            <w:tcW w:w="2156" w:type="dxa"/>
          </w:tcPr>
          <w:p w14:paraId="49AD402E" w14:textId="77777777" w:rsidR="00E37E25" w:rsidRPr="004570F2" w:rsidRDefault="00E37E25" w:rsidP="00041A88">
            <w:pPr>
              <w:pStyle w:val="TABLEFONT"/>
              <w:rPr>
                <w:rFonts w:eastAsia="Arial"/>
                <w:color w:val="auto"/>
              </w:rPr>
            </w:pPr>
            <w:r w:rsidRPr="004570F2">
              <w:rPr>
                <w:rFonts w:eastAsia="Arial"/>
                <w:color w:val="auto"/>
              </w:rPr>
              <w:t>Cumulative add. transplants (2028–35)</w:t>
            </w:r>
          </w:p>
        </w:tc>
        <w:tc>
          <w:tcPr>
            <w:tcW w:w="2211" w:type="dxa"/>
          </w:tcPr>
          <w:p w14:paraId="16840A8B" w14:textId="77777777" w:rsidR="00E37E25" w:rsidRPr="004570F2" w:rsidRDefault="00E37E25" w:rsidP="00041A88">
            <w:pPr>
              <w:pStyle w:val="TABLEFONT"/>
              <w:rPr>
                <w:rFonts w:eastAsia="Arial"/>
                <w:color w:val="auto"/>
              </w:rPr>
            </w:pPr>
            <w:r w:rsidRPr="004570F2">
              <w:rPr>
                <w:rFonts w:eastAsia="Arial"/>
                <w:color w:val="auto"/>
              </w:rPr>
              <w:t>~3,150</w:t>
            </w:r>
          </w:p>
        </w:tc>
        <w:tc>
          <w:tcPr>
            <w:tcW w:w="2211" w:type="dxa"/>
          </w:tcPr>
          <w:p w14:paraId="62952433" w14:textId="77777777" w:rsidR="00E37E25" w:rsidRPr="004570F2" w:rsidRDefault="00E37E25" w:rsidP="00041A88">
            <w:pPr>
              <w:pStyle w:val="TABLEFONT"/>
              <w:rPr>
                <w:rFonts w:eastAsia="Arial"/>
                <w:color w:val="auto"/>
              </w:rPr>
            </w:pPr>
            <w:r w:rsidRPr="004570F2">
              <w:rPr>
                <w:rFonts w:eastAsia="Arial"/>
                <w:color w:val="auto"/>
              </w:rPr>
              <w:t>~6,205</w:t>
            </w:r>
          </w:p>
        </w:tc>
        <w:tc>
          <w:tcPr>
            <w:tcW w:w="2211" w:type="dxa"/>
          </w:tcPr>
          <w:p w14:paraId="0E9AB117" w14:textId="77777777" w:rsidR="00E37E25" w:rsidRPr="004570F2" w:rsidRDefault="00E37E25" w:rsidP="00041A88">
            <w:pPr>
              <w:pStyle w:val="TABLEFONT"/>
              <w:rPr>
                <w:rFonts w:eastAsia="Arial"/>
                <w:color w:val="auto"/>
              </w:rPr>
            </w:pPr>
            <w:r w:rsidRPr="004570F2">
              <w:rPr>
                <w:rFonts w:eastAsia="Arial"/>
                <w:color w:val="auto"/>
              </w:rPr>
              <w:t>~12,685</w:t>
            </w:r>
          </w:p>
        </w:tc>
      </w:tr>
      <w:tr w:rsidR="0076714D" w:rsidRPr="0076714D" w14:paraId="41E972C1" w14:textId="77777777" w:rsidTr="00E5568D">
        <w:trPr>
          <w:trHeight w:val="545"/>
        </w:trPr>
        <w:tc>
          <w:tcPr>
            <w:tcW w:w="2156" w:type="dxa"/>
          </w:tcPr>
          <w:p w14:paraId="122875DB" w14:textId="77777777" w:rsidR="00E37E25" w:rsidRPr="004570F2" w:rsidRDefault="00E37E25" w:rsidP="00041A88">
            <w:pPr>
              <w:pStyle w:val="TABLEFONT"/>
              <w:rPr>
                <w:color w:val="auto"/>
              </w:rPr>
            </w:pPr>
            <w:r w:rsidRPr="004570F2">
              <w:rPr>
                <w:rFonts w:eastAsia="Arial"/>
                <w:color w:val="auto"/>
              </w:rPr>
              <w:t>Discard rate reduction (Δ by 2035)</w:t>
            </w:r>
          </w:p>
        </w:tc>
        <w:tc>
          <w:tcPr>
            <w:tcW w:w="2211" w:type="dxa"/>
          </w:tcPr>
          <w:p w14:paraId="353DFA92" w14:textId="77777777" w:rsidR="00E37E25" w:rsidRPr="004570F2" w:rsidRDefault="00E37E25" w:rsidP="00041A88">
            <w:pPr>
              <w:pStyle w:val="TABLEFONT"/>
              <w:rPr>
                <w:color w:val="auto"/>
              </w:rPr>
            </w:pPr>
            <w:r w:rsidRPr="004570F2">
              <w:rPr>
                <w:rFonts w:eastAsia="Arial"/>
                <w:color w:val="auto"/>
              </w:rPr>
              <w:t>Additional −1–1.5 pp vs baseline</w:t>
            </w:r>
          </w:p>
        </w:tc>
        <w:tc>
          <w:tcPr>
            <w:tcW w:w="2211" w:type="dxa"/>
          </w:tcPr>
          <w:p w14:paraId="25C28CBB" w14:textId="77777777" w:rsidR="00E37E25" w:rsidRPr="004570F2" w:rsidRDefault="00E37E25" w:rsidP="00041A88">
            <w:pPr>
              <w:pStyle w:val="TABLEFONT"/>
              <w:rPr>
                <w:color w:val="auto"/>
              </w:rPr>
            </w:pPr>
            <w:r w:rsidRPr="004570F2">
              <w:rPr>
                <w:rFonts w:eastAsia="Arial"/>
                <w:color w:val="auto"/>
              </w:rPr>
              <w:t>Additional −1.5–2.5 pp vs baseline</w:t>
            </w:r>
          </w:p>
        </w:tc>
        <w:tc>
          <w:tcPr>
            <w:tcW w:w="2211" w:type="dxa"/>
          </w:tcPr>
          <w:p w14:paraId="339DA5AB" w14:textId="77777777" w:rsidR="00E37E25" w:rsidRPr="004570F2" w:rsidRDefault="00E37E25" w:rsidP="00041A88">
            <w:pPr>
              <w:pStyle w:val="TABLEFONT"/>
              <w:rPr>
                <w:color w:val="auto"/>
              </w:rPr>
            </w:pPr>
            <w:r w:rsidRPr="004570F2">
              <w:rPr>
                <w:rFonts w:eastAsia="Arial"/>
                <w:color w:val="auto"/>
              </w:rPr>
              <w:t>Additional −2.5–4 pp vs baseline</w:t>
            </w:r>
          </w:p>
        </w:tc>
      </w:tr>
    </w:tbl>
    <w:p w14:paraId="111B603C" w14:textId="77777777" w:rsidR="00A61319" w:rsidRDefault="00A61319" w:rsidP="00E37E25">
      <w:pPr>
        <w:rPr>
          <w:rFonts w:eastAsia="Arial"/>
        </w:rPr>
      </w:pPr>
    </w:p>
    <w:p w14:paraId="33E42397" w14:textId="6B161642" w:rsidR="00E37E25" w:rsidRDefault="00E37E25" w:rsidP="00E37E25">
      <w:r>
        <w:rPr>
          <w:rFonts w:eastAsia="Arial"/>
        </w:rPr>
        <w:t xml:space="preserve">The three pillars converge on the </w:t>
      </w:r>
      <w:r>
        <w:rPr>
          <w:rFonts w:eastAsia="Arial"/>
          <w:b/>
          <w:bCs/>
        </w:rPr>
        <w:t>moderate scenario as the most defensible central estimate</w:t>
      </w:r>
      <w:r>
        <w:rPr>
          <w:rFonts w:eastAsia="Arial"/>
        </w:rPr>
        <w:t>. Four factors support a scaling factor closer to 50</w:t>
      </w:r>
      <w:r w:rsidR="006856C2">
        <w:rPr>
          <w:rFonts w:eastAsia="Arial"/>
        </w:rPr>
        <w:t>%</w:t>
      </w:r>
      <w:r>
        <w:rPr>
          <w:rFonts w:eastAsia="Arial"/>
        </w:rPr>
        <w:t xml:space="preserve"> than to 25</w:t>
      </w:r>
      <w:r w:rsidR="006856C2">
        <w:rPr>
          <w:rFonts w:eastAsia="Arial"/>
        </w:rPr>
        <w:t>%</w:t>
      </w:r>
      <w:r>
        <w:rPr>
          <w:rFonts w:eastAsia="Arial"/>
        </w:rPr>
        <w:t>. First, the technology is at an inflection point on its adoption S-curve (85</w:t>
      </w:r>
      <w:r w:rsidR="006856C2">
        <w:rPr>
          <w:rFonts w:eastAsia="Arial"/>
        </w:rPr>
        <w:t>%</w:t>
      </w:r>
      <w:r>
        <w:rPr>
          <w:rFonts w:eastAsia="Arial"/>
        </w:rPr>
        <w:t xml:space="preserve"> of German MP programmes established 2020–2024), the moment at which a regulatory framework has its greatest catalytic effect on fast followers. Second, the proposed model is an adaptation of the tested SoHO Preparation Authorisation framework under Regulation (EU) 2024/1938, reducing implementation risk. Third, 73</w:t>
      </w:r>
      <w:r w:rsidR="006856C2">
        <w:rPr>
          <w:rFonts w:eastAsia="Arial"/>
        </w:rPr>
        <w:t>%</w:t>
      </w:r>
      <w:r>
        <w:rPr>
          <w:rFonts w:eastAsia="Arial"/>
        </w:rPr>
        <w:t xml:space="preserve"> of EU programmes currently lack processing capability, representing a large untapped adoption pool concentrated precisely in settings where an EU harmonisation instrument has the greatest marginal impact. Fourth, the framework’s primary function is to remove institutional and legal friction that slows translation of existing evidence into practice.</w:t>
      </w:r>
    </w:p>
    <w:p w14:paraId="52362AA7" w14:textId="54CA0708" w:rsidR="00E37E25" w:rsidRDefault="00E37E25" w:rsidP="00E37E25">
      <w:r>
        <w:rPr>
          <w:rFonts w:eastAsia="Arial"/>
        </w:rPr>
        <w:t>Two countervailing factors constrain the estimate below. First, many national transplant authorities will need to build multi-disciplinary assessment capabilities. Second, costs of processing equipment (</w:t>
      </w:r>
      <w:r w:rsidR="00504333">
        <w:rPr>
          <w:rFonts w:eastAsia="Arial"/>
        </w:rPr>
        <w:t xml:space="preserve">EUR </w:t>
      </w:r>
      <w:r>
        <w:rPr>
          <w:rFonts w:eastAsia="Arial"/>
        </w:rPr>
        <w:t>150,000–300,000 per perfusion device, plus recurrent perfusate costs) will remain a barrier for less-resourced centres.</w:t>
      </w:r>
    </w:p>
    <w:p w14:paraId="75D623D6" w14:textId="44DB38F4" w:rsidR="00E37E25" w:rsidRDefault="00A61319" w:rsidP="008151F9">
      <w:bookmarkStart w:id="316" w:name="_Toc224136217"/>
      <w:r w:rsidRPr="00BF316A">
        <w:t xml:space="preserve">The estimated impact </w:t>
      </w:r>
      <w:r w:rsidR="00E37E25" w:rsidRPr="004570F2">
        <w:rPr>
          <w:b/>
        </w:rPr>
        <w:t>of MP on organ discard rate</w:t>
      </w:r>
      <w:bookmarkEnd w:id="316"/>
      <w:r w:rsidR="00E37E25" w:rsidRPr="004570F2">
        <w:t xml:space="preserve"> </w:t>
      </w:r>
      <w:r w:rsidR="00D9663B" w:rsidRPr="00AE3F26">
        <w:t>allows</w:t>
      </w:r>
      <w:r w:rsidR="00D9663B" w:rsidRPr="008151F9">
        <w:t xml:space="preserve"> </w:t>
      </w:r>
      <w:r w:rsidR="0024553C" w:rsidRPr="008151F9">
        <w:t>to</w:t>
      </w:r>
      <w:r w:rsidR="00E37E25" w:rsidRPr="00296564">
        <w:t xml:space="preserve"> estimat</w:t>
      </w:r>
      <w:r w:rsidR="0024553C">
        <w:t>e</w:t>
      </w:r>
      <w:r w:rsidR="00E37E25" w:rsidRPr="00296564">
        <w:t xml:space="preserve"> additional transplants attributable to wider processing adoption. The EU-27 proxy baseline discard rate is approximately </w:t>
      </w:r>
      <w:r w:rsidR="00E37E25" w:rsidRPr="00296564">
        <w:rPr>
          <w:b/>
          <w:bCs/>
        </w:rPr>
        <w:t>12</w:t>
      </w:r>
      <w:r w:rsidR="00E37E25">
        <w:rPr>
          <w:b/>
          <w:bCs/>
        </w:rPr>
        <w:t>-</w:t>
      </w:r>
      <w:r w:rsidR="00E37E25" w:rsidRPr="00296564">
        <w:rPr>
          <w:b/>
          <w:bCs/>
        </w:rPr>
        <w:t>13</w:t>
      </w:r>
      <w:r w:rsidR="006856C2">
        <w:rPr>
          <w:b/>
          <w:bCs/>
        </w:rPr>
        <w:t>%</w:t>
      </w:r>
      <w:r w:rsidR="00E37E25" w:rsidRPr="00296564">
        <w:rPr>
          <w:b/>
          <w:bCs/>
        </w:rPr>
        <w:t xml:space="preserve"> across all organs combined</w:t>
      </w:r>
      <w:r w:rsidR="00E37E25" w:rsidRPr="00296564">
        <w:t xml:space="preserve">, implying approximately </w:t>
      </w:r>
      <w:r w:rsidR="00E37E25" w:rsidRPr="00296564">
        <w:rPr>
          <w:b/>
          <w:bCs/>
        </w:rPr>
        <w:t>4,110 organs discarded annually</w:t>
      </w:r>
      <w:r w:rsidR="00E37E25" w:rsidRPr="00296564">
        <w:t xml:space="preserve"> out of </w:t>
      </w:r>
      <w:r w:rsidR="00E37E25">
        <w:t xml:space="preserve">estimated </w:t>
      </w:r>
      <w:r w:rsidR="00E37E25" w:rsidRPr="00296564">
        <w:t>32,</w:t>
      </w:r>
      <w:r w:rsidR="00E37E25">
        <w:t xml:space="preserve">766 </w:t>
      </w:r>
      <w:r w:rsidR="00E37E25" w:rsidRPr="00296564">
        <w:t>procured</w:t>
      </w:r>
      <w:r w:rsidR="00E37E25">
        <w:t xml:space="preserve"> (deceased donors).</w:t>
      </w:r>
    </w:p>
    <w:p w14:paraId="4A3F305D" w14:textId="77777777" w:rsidR="001F0E58" w:rsidRDefault="001F0E58" w:rsidP="008151F9"/>
    <w:p w14:paraId="5C4E8E82" w14:textId="77777777" w:rsidR="001F0E58" w:rsidRDefault="001F0E58" w:rsidP="008151F9"/>
    <w:p w14:paraId="4C761812" w14:textId="77777777" w:rsidR="001F0E58" w:rsidRDefault="001F0E58" w:rsidP="008151F9"/>
    <w:p w14:paraId="6EC24E75" w14:textId="77777777" w:rsidR="001F0E58" w:rsidRDefault="001F0E58" w:rsidP="008151F9"/>
    <w:p w14:paraId="4473515D" w14:textId="33A7C093" w:rsidR="00CE09DF" w:rsidRPr="004570F2" w:rsidRDefault="00CE09DF" w:rsidP="008151F9">
      <w:pPr>
        <w:rPr>
          <w:u w:val="single"/>
        </w:rPr>
      </w:pPr>
      <w:r w:rsidRPr="004570F2">
        <w:rPr>
          <w:u w:val="single"/>
        </w:rPr>
        <w:lastRenderedPageBreak/>
        <w:t>Liver</w:t>
      </w:r>
    </w:p>
    <w:p w14:paraId="3329C8A5" w14:textId="37ABA3DD" w:rsidR="00E37E25" w:rsidRPr="008151F9" w:rsidRDefault="00CE09DF" w:rsidP="008151F9">
      <w:pPr>
        <w:rPr>
          <w:b/>
        </w:rPr>
      </w:pPr>
      <w:r w:rsidRPr="008151F9">
        <w:rPr>
          <w:b/>
          <w:bCs/>
        </w:rPr>
        <w:t xml:space="preserve">Table </w:t>
      </w:r>
      <w:r w:rsidR="000B7A24">
        <w:rPr>
          <w:b/>
          <w:bCs/>
        </w:rPr>
        <w:t>9</w:t>
      </w:r>
      <w:r w:rsidR="00106AA9">
        <w:rPr>
          <w:b/>
          <w:bCs/>
        </w:rPr>
        <w:t>.</w:t>
      </w:r>
      <w:r w:rsidRPr="008151F9">
        <w:rPr>
          <w:b/>
          <w:bCs/>
        </w:rPr>
        <w:t xml:space="preserve"> </w:t>
      </w:r>
      <w:r w:rsidR="00E37E25" w:rsidRPr="008151F9">
        <w:rPr>
          <w:b/>
          <w:bCs/>
        </w:rPr>
        <w:t>Liver</w:t>
      </w:r>
    </w:p>
    <w:tbl>
      <w:tblPr>
        <w:tblStyle w:val="TableGrid"/>
        <w:tblW w:w="8603" w:type="dxa"/>
        <w:tblLook w:val="04A0" w:firstRow="1" w:lastRow="0" w:firstColumn="1" w:lastColumn="0" w:noHBand="0" w:noVBand="1"/>
      </w:tblPr>
      <w:tblGrid>
        <w:gridCol w:w="2302"/>
        <w:gridCol w:w="1425"/>
        <w:gridCol w:w="4876"/>
      </w:tblGrid>
      <w:tr w:rsidR="00E37E25" w:rsidRPr="00953B04" w14:paraId="6553ACFE" w14:textId="77777777" w:rsidTr="00E5568D">
        <w:trPr>
          <w:trHeight w:val="365"/>
        </w:trPr>
        <w:tc>
          <w:tcPr>
            <w:tcW w:w="2302" w:type="dxa"/>
          </w:tcPr>
          <w:p w14:paraId="65033E2D" w14:textId="77777777" w:rsidR="00E37E25" w:rsidRPr="004570F2" w:rsidRDefault="00E37E25" w:rsidP="00041A88">
            <w:pPr>
              <w:pStyle w:val="TABLEFONT"/>
              <w:rPr>
                <w:color w:val="auto"/>
              </w:rPr>
            </w:pPr>
            <w:r w:rsidRPr="004570F2">
              <w:rPr>
                <w:color w:val="auto"/>
              </w:rPr>
              <w:t>Source</w:t>
            </w:r>
          </w:p>
        </w:tc>
        <w:tc>
          <w:tcPr>
            <w:tcW w:w="1425" w:type="dxa"/>
          </w:tcPr>
          <w:p w14:paraId="48753531" w14:textId="77777777" w:rsidR="00E37E25" w:rsidRPr="004570F2" w:rsidRDefault="00E37E25" w:rsidP="00041A88">
            <w:pPr>
              <w:pStyle w:val="TABLEFONT"/>
              <w:rPr>
                <w:color w:val="auto"/>
              </w:rPr>
            </w:pPr>
            <w:r w:rsidRPr="004570F2">
              <w:rPr>
                <w:color w:val="auto"/>
              </w:rPr>
              <w:t>Design</w:t>
            </w:r>
          </w:p>
        </w:tc>
        <w:tc>
          <w:tcPr>
            <w:tcW w:w="4876" w:type="dxa"/>
          </w:tcPr>
          <w:p w14:paraId="53866168" w14:textId="77777777" w:rsidR="00E37E25" w:rsidRPr="004570F2" w:rsidRDefault="00E37E25" w:rsidP="00041A88">
            <w:pPr>
              <w:pStyle w:val="TABLEFONT"/>
              <w:rPr>
                <w:color w:val="auto"/>
              </w:rPr>
            </w:pPr>
            <w:r w:rsidRPr="004570F2">
              <w:rPr>
                <w:color w:val="auto"/>
              </w:rPr>
              <w:t>Key Finding</w:t>
            </w:r>
          </w:p>
        </w:tc>
      </w:tr>
      <w:tr w:rsidR="00E37E25" w:rsidRPr="00953B04" w14:paraId="709C6A59" w14:textId="77777777" w:rsidTr="00E5568D">
        <w:trPr>
          <w:trHeight w:val="365"/>
        </w:trPr>
        <w:tc>
          <w:tcPr>
            <w:tcW w:w="2302" w:type="dxa"/>
          </w:tcPr>
          <w:p w14:paraId="562080C9" w14:textId="77777777" w:rsidR="00E37E25" w:rsidRPr="004570F2" w:rsidRDefault="5D49E94A" w:rsidP="00041A88">
            <w:pPr>
              <w:pStyle w:val="TABLEFONT"/>
              <w:rPr>
                <w:color w:val="auto"/>
              </w:rPr>
            </w:pPr>
            <w:r w:rsidRPr="004570F2">
              <w:rPr>
                <w:color w:val="auto"/>
              </w:rPr>
              <w:t xml:space="preserve">Nasralla </w:t>
            </w:r>
            <w:r w:rsidRPr="004570F2">
              <w:rPr>
                <w:i/>
                <w:color w:val="auto"/>
              </w:rPr>
              <w:t>et al</w:t>
            </w:r>
            <w:r w:rsidRPr="004570F2">
              <w:rPr>
                <w:color w:val="auto"/>
              </w:rPr>
              <w:t>., 2018</w:t>
            </w:r>
            <w:r w:rsidR="00E37E25" w:rsidRPr="004570F2">
              <w:rPr>
                <w:rStyle w:val="FootnoteReference"/>
                <w:b w:val="0"/>
                <w:color w:val="auto"/>
              </w:rPr>
              <w:footnoteReference w:id="240"/>
            </w:r>
          </w:p>
        </w:tc>
        <w:tc>
          <w:tcPr>
            <w:tcW w:w="1425" w:type="dxa"/>
          </w:tcPr>
          <w:p w14:paraId="37F98A2B" w14:textId="77777777" w:rsidR="00E37E25" w:rsidRPr="004570F2" w:rsidRDefault="00E37E25" w:rsidP="00041A88">
            <w:pPr>
              <w:pStyle w:val="TABLEFONT"/>
              <w:rPr>
                <w:color w:val="auto"/>
              </w:rPr>
            </w:pPr>
            <w:r w:rsidRPr="004570F2">
              <w:rPr>
                <w:color w:val="auto"/>
              </w:rPr>
              <w:t>RCT (n = 220)</w:t>
            </w:r>
          </w:p>
        </w:tc>
        <w:tc>
          <w:tcPr>
            <w:tcW w:w="4876" w:type="dxa"/>
          </w:tcPr>
          <w:p w14:paraId="7B3663B7" w14:textId="7755D4ED" w:rsidR="00E37E25" w:rsidRPr="004570F2" w:rsidRDefault="00E37E25" w:rsidP="00041A88">
            <w:pPr>
              <w:pStyle w:val="TABLEFONT"/>
              <w:rPr>
                <w:color w:val="auto"/>
              </w:rPr>
            </w:pPr>
            <w:r w:rsidRPr="004570F2">
              <w:rPr>
                <w:color w:val="auto"/>
              </w:rPr>
              <w:t>~50</w:t>
            </w:r>
            <w:r w:rsidR="006856C2" w:rsidRPr="004570F2">
              <w:rPr>
                <w:color w:val="auto"/>
              </w:rPr>
              <w:t>%</w:t>
            </w:r>
            <w:r w:rsidRPr="004570F2">
              <w:rPr>
                <w:color w:val="auto"/>
              </w:rPr>
              <w:t xml:space="preserve"> lower liver discard rate with NMP vs. SCS (P = 0.008)</w:t>
            </w:r>
          </w:p>
        </w:tc>
      </w:tr>
      <w:tr w:rsidR="00E37E25" w:rsidRPr="00953B04" w14:paraId="6DAE634C" w14:textId="77777777" w:rsidTr="00E5568D">
        <w:trPr>
          <w:trHeight w:val="225"/>
        </w:trPr>
        <w:tc>
          <w:tcPr>
            <w:tcW w:w="2302" w:type="dxa"/>
          </w:tcPr>
          <w:p w14:paraId="3BA8D6BD" w14:textId="77777777" w:rsidR="00E37E25" w:rsidRPr="004570F2" w:rsidRDefault="5D49E94A" w:rsidP="00041A88">
            <w:pPr>
              <w:pStyle w:val="TABLEFONT"/>
              <w:rPr>
                <w:color w:val="auto"/>
              </w:rPr>
            </w:pPr>
            <w:r w:rsidRPr="004570F2">
              <w:rPr>
                <w:color w:val="auto"/>
              </w:rPr>
              <w:t xml:space="preserve">Mergental </w:t>
            </w:r>
            <w:r w:rsidRPr="004570F2">
              <w:rPr>
                <w:i/>
                <w:color w:val="auto"/>
              </w:rPr>
              <w:t>et al</w:t>
            </w:r>
            <w:r w:rsidRPr="004570F2">
              <w:rPr>
                <w:color w:val="auto"/>
              </w:rPr>
              <w:t>. (VITTAL), 2020</w:t>
            </w:r>
            <w:r w:rsidR="00E37E25" w:rsidRPr="004570F2">
              <w:rPr>
                <w:rStyle w:val="FootnoteReference"/>
                <w:b w:val="0"/>
                <w:color w:val="auto"/>
              </w:rPr>
              <w:footnoteReference w:id="241"/>
            </w:r>
          </w:p>
        </w:tc>
        <w:tc>
          <w:tcPr>
            <w:tcW w:w="1425" w:type="dxa"/>
          </w:tcPr>
          <w:p w14:paraId="5742D49E" w14:textId="77777777" w:rsidR="00E37E25" w:rsidRPr="004570F2" w:rsidRDefault="00E37E25" w:rsidP="00041A88">
            <w:pPr>
              <w:pStyle w:val="TABLEFONT"/>
              <w:rPr>
                <w:color w:val="auto"/>
              </w:rPr>
            </w:pPr>
            <w:r w:rsidRPr="004570F2">
              <w:rPr>
                <w:color w:val="auto"/>
              </w:rPr>
              <w:t>Prospective single-arm trial</w:t>
            </w:r>
          </w:p>
        </w:tc>
        <w:tc>
          <w:tcPr>
            <w:tcW w:w="4876" w:type="dxa"/>
          </w:tcPr>
          <w:p w14:paraId="39E3A7F0" w14:textId="673E3180" w:rsidR="00E37E25" w:rsidRPr="004570F2" w:rsidRDefault="00E37E25" w:rsidP="00041A88">
            <w:pPr>
              <w:pStyle w:val="TABLEFONT"/>
              <w:rPr>
                <w:color w:val="auto"/>
              </w:rPr>
            </w:pPr>
            <w:r w:rsidRPr="004570F2">
              <w:rPr>
                <w:color w:val="auto"/>
              </w:rPr>
              <w:t>71</w:t>
            </w:r>
            <w:r w:rsidR="006856C2" w:rsidRPr="004570F2">
              <w:rPr>
                <w:color w:val="auto"/>
              </w:rPr>
              <w:t>%</w:t>
            </w:r>
            <w:r w:rsidRPr="004570F2">
              <w:rPr>
                <w:color w:val="auto"/>
              </w:rPr>
              <w:t xml:space="preserve"> of discarded livers passed NMP viability criteria; 22 transplanted, all functioning at 90 days</w:t>
            </w:r>
          </w:p>
        </w:tc>
      </w:tr>
      <w:tr w:rsidR="00E37E25" w:rsidRPr="00953B04" w14:paraId="00B8C1A6" w14:textId="77777777" w:rsidTr="00E5568D">
        <w:trPr>
          <w:trHeight w:val="601"/>
        </w:trPr>
        <w:tc>
          <w:tcPr>
            <w:tcW w:w="2302" w:type="dxa"/>
          </w:tcPr>
          <w:p w14:paraId="562454E4" w14:textId="77777777" w:rsidR="00E37E25" w:rsidRPr="004570F2" w:rsidRDefault="5D49E94A" w:rsidP="00041A88">
            <w:pPr>
              <w:pStyle w:val="TABLEFONT"/>
              <w:rPr>
                <w:color w:val="auto"/>
              </w:rPr>
            </w:pPr>
            <w:r w:rsidRPr="004570F2">
              <w:rPr>
                <w:color w:val="auto"/>
              </w:rPr>
              <w:t>Hospital HTA review, BMC, 2022</w:t>
            </w:r>
            <w:r w:rsidR="00E37E25" w:rsidRPr="004570F2">
              <w:rPr>
                <w:rStyle w:val="FootnoteReference"/>
                <w:b w:val="0"/>
                <w:color w:val="auto"/>
              </w:rPr>
              <w:footnoteReference w:id="242"/>
            </w:r>
          </w:p>
        </w:tc>
        <w:tc>
          <w:tcPr>
            <w:tcW w:w="1425" w:type="dxa"/>
          </w:tcPr>
          <w:p w14:paraId="4AD99973" w14:textId="77777777" w:rsidR="00E37E25" w:rsidRPr="004570F2" w:rsidRDefault="00E37E25" w:rsidP="00041A88">
            <w:pPr>
              <w:pStyle w:val="TABLEFONT"/>
              <w:rPr>
                <w:color w:val="auto"/>
              </w:rPr>
            </w:pPr>
            <w:r w:rsidRPr="004570F2">
              <w:rPr>
                <w:color w:val="auto"/>
              </w:rPr>
              <w:t>HTA meta-review</w:t>
            </w:r>
          </w:p>
        </w:tc>
        <w:tc>
          <w:tcPr>
            <w:tcW w:w="4876" w:type="dxa"/>
          </w:tcPr>
          <w:p w14:paraId="18E0BCD4" w14:textId="41108F37" w:rsidR="00E37E25" w:rsidRPr="004570F2" w:rsidRDefault="00E37E25" w:rsidP="00041A88">
            <w:pPr>
              <w:pStyle w:val="TABLEFONT"/>
              <w:rPr>
                <w:color w:val="auto"/>
              </w:rPr>
            </w:pPr>
            <w:r w:rsidRPr="004570F2">
              <w:rPr>
                <w:color w:val="auto"/>
              </w:rPr>
              <w:t>Up to 50</w:t>
            </w:r>
            <w:r w:rsidR="006856C2" w:rsidRPr="004570F2">
              <w:rPr>
                <w:color w:val="auto"/>
              </w:rPr>
              <w:t>%</w:t>
            </w:r>
            <w:r w:rsidRPr="004570F2">
              <w:rPr>
                <w:color w:val="auto"/>
              </w:rPr>
              <w:t xml:space="preserve"> lower graft discard; comparable/improved 1-year survival</w:t>
            </w:r>
          </w:p>
        </w:tc>
      </w:tr>
    </w:tbl>
    <w:p w14:paraId="4AE9AC5C" w14:textId="149F02C8" w:rsidR="00E37E25" w:rsidRPr="00296564" w:rsidRDefault="00E37E25" w:rsidP="008151F9">
      <w:r w:rsidRPr="00296564">
        <w:t>A</w:t>
      </w:r>
      <w:r>
        <w:t xml:space="preserve"> conservative range (</w:t>
      </w:r>
      <w:r w:rsidRPr="00296564">
        <w:t>discounted for real-world selection effects)</w:t>
      </w:r>
      <w:r>
        <w:t xml:space="preserve"> of</w:t>
      </w:r>
      <w:r w:rsidRPr="00296564">
        <w:t xml:space="preserve"> </w:t>
      </w:r>
      <w:r w:rsidRPr="00296564">
        <w:rPr>
          <w:b/>
          <w:bCs/>
        </w:rPr>
        <w:t>30–50</w:t>
      </w:r>
      <w:r w:rsidR="006856C2">
        <w:rPr>
          <w:b/>
          <w:bCs/>
        </w:rPr>
        <w:t>%</w:t>
      </w:r>
      <w:r w:rsidRPr="00296564">
        <w:rPr>
          <w:b/>
          <w:bCs/>
        </w:rPr>
        <w:t xml:space="preserve"> reduction in liver discard rate</w:t>
      </w:r>
      <w:r w:rsidRPr="00296564">
        <w:t xml:space="preserve"> where NMP is applied</w:t>
      </w:r>
      <w:r>
        <w:t>.</w:t>
      </w:r>
    </w:p>
    <w:p w14:paraId="018621F7" w14:textId="174E3313" w:rsidR="00E37E25" w:rsidRPr="004570F2" w:rsidRDefault="00E37E25" w:rsidP="008151F9">
      <w:pPr>
        <w:rPr>
          <w:u w:val="single"/>
          <w:lang w:val="en-US"/>
        </w:rPr>
      </w:pPr>
      <w:r w:rsidRPr="004570F2">
        <w:rPr>
          <w:u w:val="single"/>
          <w:lang w:val="en-US"/>
        </w:rPr>
        <w:t>Lung</w:t>
      </w:r>
    </w:p>
    <w:p w14:paraId="1FA81657" w14:textId="4EBA1559" w:rsidR="00CE09DF" w:rsidRPr="008151F9" w:rsidRDefault="00CE09DF" w:rsidP="008151F9">
      <w:pPr>
        <w:rPr>
          <w:b/>
          <w:bCs/>
          <w:lang w:val="en-US"/>
        </w:rPr>
      </w:pPr>
      <w:r w:rsidRPr="008151F9">
        <w:rPr>
          <w:b/>
          <w:bCs/>
          <w:lang w:val="en-US"/>
        </w:rPr>
        <w:t>Table 1</w:t>
      </w:r>
      <w:r w:rsidR="000B7A24">
        <w:rPr>
          <w:b/>
          <w:bCs/>
          <w:lang w:val="en-US"/>
        </w:rPr>
        <w:t>0</w:t>
      </w:r>
      <w:r w:rsidR="00106AA9">
        <w:rPr>
          <w:b/>
          <w:bCs/>
          <w:lang w:val="en-US"/>
        </w:rPr>
        <w:t>.</w:t>
      </w:r>
      <w:r w:rsidRPr="008151F9">
        <w:rPr>
          <w:b/>
          <w:bCs/>
          <w:lang w:val="en-US"/>
        </w:rPr>
        <w:t xml:space="preserve"> Lung</w:t>
      </w:r>
    </w:p>
    <w:tbl>
      <w:tblPr>
        <w:tblStyle w:val="TableGrid"/>
        <w:tblW w:w="8455" w:type="dxa"/>
        <w:tblLook w:val="04A0" w:firstRow="1" w:lastRow="0" w:firstColumn="1" w:lastColumn="0" w:noHBand="0" w:noVBand="1"/>
      </w:tblPr>
      <w:tblGrid>
        <w:gridCol w:w="1928"/>
        <w:gridCol w:w="2207"/>
        <w:gridCol w:w="4320"/>
      </w:tblGrid>
      <w:tr w:rsidR="009C6A20" w:rsidRPr="00F3500D" w14:paraId="103B3DDB" w14:textId="77777777" w:rsidTr="004570F2">
        <w:tc>
          <w:tcPr>
            <w:tcW w:w="1928" w:type="dxa"/>
          </w:tcPr>
          <w:p w14:paraId="11D1A5D3" w14:textId="77777777" w:rsidR="00E37E25" w:rsidRPr="00BB182A" w:rsidRDefault="00E37E25" w:rsidP="00041A88">
            <w:pPr>
              <w:pStyle w:val="TABLEFONT"/>
            </w:pPr>
            <w:r w:rsidRPr="00BB182A">
              <w:t>Source</w:t>
            </w:r>
          </w:p>
        </w:tc>
        <w:tc>
          <w:tcPr>
            <w:tcW w:w="2207" w:type="dxa"/>
          </w:tcPr>
          <w:p w14:paraId="32D33FC2" w14:textId="77777777" w:rsidR="00E37E25" w:rsidRPr="00BB182A" w:rsidRDefault="00E37E25" w:rsidP="00041A88">
            <w:pPr>
              <w:pStyle w:val="TABLEFONT"/>
            </w:pPr>
            <w:r w:rsidRPr="00BB182A">
              <w:t>Design</w:t>
            </w:r>
          </w:p>
        </w:tc>
        <w:tc>
          <w:tcPr>
            <w:tcW w:w="4320" w:type="dxa"/>
          </w:tcPr>
          <w:p w14:paraId="6D41CBFB" w14:textId="77777777" w:rsidR="00E37E25" w:rsidRPr="00BB182A" w:rsidRDefault="00E37E25" w:rsidP="00041A88">
            <w:pPr>
              <w:pStyle w:val="TABLEFONT"/>
            </w:pPr>
            <w:r w:rsidRPr="00BB182A">
              <w:t>Key Finding</w:t>
            </w:r>
          </w:p>
        </w:tc>
      </w:tr>
      <w:tr w:rsidR="009C6A20" w:rsidRPr="00F3500D" w14:paraId="7D75E5C1" w14:textId="77777777" w:rsidTr="004570F2">
        <w:tc>
          <w:tcPr>
            <w:tcW w:w="1928" w:type="dxa"/>
          </w:tcPr>
          <w:p w14:paraId="4BC0B860" w14:textId="77777777" w:rsidR="00E37E25" w:rsidRPr="00BB182A" w:rsidRDefault="5D49E94A" w:rsidP="00041A88">
            <w:pPr>
              <w:pStyle w:val="TABLEFONT"/>
            </w:pPr>
            <w:r w:rsidRPr="00BB182A">
              <w:t xml:space="preserve">Keshavjee </w:t>
            </w:r>
            <w:r w:rsidRPr="004570F2">
              <w:rPr>
                <w:i/>
              </w:rPr>
              <w:t>et al</w:t>
            </w:r>
            <w:r w:rsidRPr="00BB182A">
              <w:t>. (2025)</w:t>
            </w:r>
            <w:r w:rsidR="00E37E25" w:rsidRPr="00BB182A">
              <w:rPr>
                <w:rStyle w:val="FootnoteReference"/>
              </w:rPr>
              <w:footnoteReference w:id="243"/>
            </w:r>
          </w:p>
        </w:tc>
        <w:tc>
          <w:tcPr>
            <w:tcW w:w="2207" w:type="dxa"/>
          </w:tcPr>
          <w:p w14:paraId="3B6E0F18" w14:textId="77777777" w:rsidR="00E37E25" w:rsidRPr="00BB182A" w:rsidRDefault="00E37E25" w:rsidP="00041A88">
            <w:pPr>
              <w:pStyle w:val="TABLEFONT"/>
            </w:pPr>
            <w:r w:rsidRPr="00BB182A">
              <w:t>Single-centre retrospective (n = 1,000)</w:t>
            </w:r>
          </w:p>
        </w:tc>
        <w:tc>
          <w:tcPr>
            <w:tcW w:w="4320" w:type="dxa"/>
          </w:tcPr>
          <w:p w14:paraId="0845EBDB" w14:textId="25FB45CD" w:rsidR="00E37E25" w:rsidRPr="00BB182A" w:rsidRDefault="00E37E25" w:rsidP="00041A88">
            <w:pPr>
              <w:pStyle w:val="TABLEFONT"/>
            </w:pPr>
            <w:r w:rsidRPr="00BB182A">
              <w:t>65</w:t>
            </w:r>
            <w:r w:rsidR="006856C2" w:rsidRPr="00BB182A">
              <w:t>%</w:t>
            </w:r>
            <w:r w:rsidRPr="00BB182A">
              <w:t xml:space="preserve"> of EVLP-assessed marginal lungs accepted for transplant, representing 29</w:t>
            </w:r>
            <w:r w:rsidR="006856C2" w:rsidRPr="00BB182A">
              <w:t>%</w:t>
            </w:r>
            <w:r w:rsidRPr="00BB182A">
              <w:t xml:space="preserve"> of all transplants performed during the study period.</w:t>
            </w:r>
          </w:p>
        </w:tc>
      </w:tr>
      <w:tr w:rsidR="009C6A20" w:rsidRPr="00F3500D" w14:paraId="60ACDC6C" w14:textId="77777777" w:rsidTr="004570F2">
        <w:tc>
          <w:tcPr>
            <w:tcW w:w="1928" w:type="dxa"/>
          </w:tcPr>
          <w:p w14:paraId="2EFC1BF8" w14:textId="77777777" w:rsidR="00E37E25" w:rsidRPr="00BB182A" w:rsidRDefault="5D49E94A" w:rsidP="00041A88">
            <w:pPr>
              <w:pStyle w:val="TABLEFONT"/>
            </w:pPr>
            <w:r w:rsidRPr="00BB182A">
              <w:t xml:space="preserve">Tian </w:t>
            </w:r>
            <w:r w:rsidRPr="004570F2">
              <w:rPr>
                <w:i/>
              </w:rPr>
              <w:t>et al.</w:t>
            </w:r>
            <w:r w:rsidRPr="00BB182A">
              <w:t xml:space="preserve"> (2019)</w:t>
            </w:r>
            <w:r w:rsidR="00E37E25" w:rsidRPr="00BB182A">
              <w:rPr>
                <w:rStyle w:val="FootnoteReference"/>
              </w:rPr>
              <w:footnoteReference w:id="244"/>
            </w:r>
          </w:p>
        </w:tc>
        <w:tc>
          <w:tcPr>
            <w:tcW w:w="2207" w:type="dxa"/>
          </w:tcPr>
          <w:p w14:paraId="18C9C081" w14:textId="77777777" w:rsidR="00E37E25" w:rsidRPr="00BB182A" w:rsidRDefault="00E37E25" w:rsidP="00041A88">
            <w:pPr>
              <w:pStyle w:val="TABLEFONT"/>
            </w:pPr>
            <w:r w:rsidRPr="00BB182A">
              <w:t>EVLP systematic review and meta-analysis (8 studies, n = 1,191)</w:t>
            </w:r>
          </w:p>
        </w:tc>
        <w:tc>
          <w:tcPr>
            <w:tcW w:w="4320" w:type="dxa"/>
          </w:tcPr>
          <w:p w14:paraId="0EEACC50" w14:textId="77777777" w:rsidR="00E37E25" w:rsidRPr="00BB182A" w:rsidRDefault="00E37E25" w:rsidP="00041A88">
            <w:pPr>
              <w:pStyle w:val="TABLEFONT"/>
            </w:pPr>
            <w:r w:rsidRPr="00BB182A">
              <w:t>Successful transplantation of lungs with significantly worse donor baselines (lower PaO2/FiO2, more abnormal CXR, higher smoking rates) compared to non-EVLP standard grafts, resulting in similar post-transplant outcome.</w:t>
            </w:r>
          </w:p>
        </w:tc>
      </w:tr>
      <w:tr w:rsidR="009C6A20" w:rsidRPr="00F3500D" w14:paraId="57252B96" w14:textId="77777777" w:rsidTr="004570F2">
        <w:tc>
          <w:tcPr>
            <w:tcW w:w="1928" w:type="dxa"/>
          </w:tcPr>
          <w:p w14:paraId="62910063" w14:textId="77777777" w:rsidR="00E37E25" w:rsidRPr="00BB182A" w:rsidRDefault="5D49E94A" w:rsidP="00041A88">
            <w:pPr>
              <w:pStyle w:val="TABLEFONT"/>
            </w:pPr>
            <w:r w:rsidRPr="00BB182A">
              <w:t xml:space="preserve">Chakos </w:t>
            </w:r>
            <w:r w:rsidRPr="004570F2">
              <w:rPr>
                <w:i/>
              </w:rPr>
              <w:t>et al</w:t>
            </w:r>
            <w:r w:rsidRPr="00BB182A">
              <w:t>. (2020)</w:t>
            </w:r>
            <w:r w:rsidR="00E37E25" w:rsidRPr="00BB182A">
              <w:rPr>
                <w:rStyle w:val="FootnoteReference"/>
              </w:rPr>
              <w:footnoteReference w:id="245"/>
            </w:r>
          </w:p>
        </w:tc>
        <w:tc>
          <w:tcPr>
            <w:tcW w:w="2207" w:type="dxa"/>
          </w:tcPr>
          <w:p w14:paraId="6FC8B80B" w14:textId="77777777" w:rsidR="00E37E25" w:rsidRPr="00BB182A" w:rsidRDefault="00E37E25" w:rsidP="00041A88">
            <w:pPr>
              <w:pStyle w:val="TABLEFONT"/>
            </w:pPr>
            <w:r w:rsidRPr="00BB182A">
              <w:t>Meta-analysis / 13 studies, 407 EVLP lung transplants and 1,765 as per standard protocol.</w:t>
            </w:r>
          </w:p>
        </w:tc>
        <w:tc>
          <w:tcPr>
            <w:tcW w:w="4320" w:type="dxa"/>
          </w:tcPr>
          <w:p w14:paraId="02497549" w14:textId="77777777" w:rsidR="00E37E25" w:rsidRPr="00BB182A" w:rsidRDefault="00E37E25" w:rsidP="00041A88">
            <w:pPr>
              <w:pStyle w:val="TABLEFONT"/>
            </w:pPr>
            <w:r w:rsidRPr="00BB182A">
              <w:t>EVLP and standard protocol lungs show no significant survival difference, despite EVLP lungs having significantly worse PaO2/FiO2 ratios and a higher rate of abnormal chest X-rays. EVLP expands the transplantable donor pool.</w:t>
            </w:r>
          </w:p>
        </w:tc>
      </w:tr>
    </w:tbl>
    <w:p w14:paraId="390D0C53" w14:textId="77777777" w:rsidR="008B73DB" w:rsidRDefault="008B73DB" w:rsidP="00E37E25">
      <w:pPr>
        <w:rPr>
          <w:b/>
          <w:bCs/>
        </w:rPr>
      </w:pPr>
    </w:p>
    <w:p w14:paraId="480610EE" w14:textId="4079E9BE" w:rsidR="00E37E25" w:rsidRDefault="00E37E25" w:rsidP="00E37E25">
      <w:r w:rsidRPr="00296564">
        <w:t xml:space="preserve">EVLP enables a </w:t>
      </w:r>
      <w:r w:rsidRPr="00296564">
        <w:rPr>
          <w:b/>
          <w:bCs/>
        </w:rPr>
        <w:t>20</w:t>
      </w:r>
      <w:r>
        <w:rPr>
          <w:b/>
          <w:bCs/>
        </w:rPr>
        <w:t>-</w:t>
      </w:r>
      <w:r w:rsidRPr="00296564">
        <w:rPr>
          <w:b/>
          <w:bCs/>
        </w:rPr>
        <w:t>29</w:t>
      </w:r>
      <w:r w:rsidR="006856C2">
        <w:rPr>
          <w:b/>
          <w:bCs/>
        </w:rPr>
        <w:t>%</w:t>
      </w:r>
      <w:r w:rsidRPr="00296564">
        <w:rPr>
          <w:b/>
          <w:bCs/>
        </w:rPr>
        <w:t xml:space="preserve"> increase in programme transplant volume</w:t>
      </w:r>
      <w:r w:rsidRPr="00296564">
        <w:t xml:space="preserve"> by rescuing marginal donor lungs. </w:t>
      </w:r>
    </w:p>
    <w:p w14:paraId="2BC45979" w14:textId="0E593106" w:rsidR="00E37E25" w:rsidRPr="004570F2" w:rsidRDefault="00E37E25" w:rsidP="00E37E25">
      <w:pPr>
        <w:rPr>
          <w:u w:val="single"/>
          <w:lang w:val="en-US"/>
        </w:rPr>
      </w:pPr>
      <w:r w:rsidRPr="004570F2">
        <w:rPr>
          <w:u w:val="single"/>
          <w:lang w:val="en-US"/>
        </w:rPr>
        <w:lastRenderedPageBreak/>
        <w:t>Kidney</w:t>
      </w:r>
    </w:p>
    <w:p w14:paraId="26A936B9" w14:textId="4A02525A" w:rsidR="00E37E25" w:rsidRPr="00F3500D" w:rsidRDefault="5D49E94A" w:rsidP="00E37E25">
      <w:r w:rsidRPr="00B05349">
        <w:t>HPM</w:t>
      </w:r>
      <w:r>
        <w:t xml:space="preserve"> primarily mitigates discard driven by extended cold ischaemia time (CIT). A large OPTN population cohort study (n = 137,835) demonstrates that end-ischaemic HMP is frequently deployed to rescue kidneys with significantly longer CITs (median 23.0 hours versus 17.3 hours for the general pool), thereby preventing discard of organs delayed by logistical or geographic barriers.</w:t>
      </w:r>
      <w:r w:rsidR="00E37E25">
        <w:rPr>
          <w:rStyle w:val="FootnoteReference"/>
        </w:rPr>
        <w:footnoteReference w:id="246"/>
      </w:r>
      <w:r>
        <w:t xml:space="preserve"> The Cochrane kidney review further confirms that HMP improves one-year graft survival to 94</w:t>
      </w:r>
      <w:r w:rsidR="006856C2">
        <w:t>%</w:t>
      </w:r>
      <w:r>
        <w:t xml:space="preserve"> compared to 90</w:t>
      </w:r>
      <w:r w:rsidR="006856C2">
        <w:t>%</w:t>
      </w:r>
      <w:r>
        <w:t xml:space="preserve"> for SCS.</w:t>
      </w:r>
      <w:r w:rsidR="00E37E25">
        <w:rPr>
          <w:rStyle w:val="FootnoteReference"/>
        </w:rPr>
        <w:footnoteReference w:id="247"/>
      </w:r>
      <w:r>
        <w:t xml:space="preserve"> I</w:t>
      </w:r>
      <w:r w:rsidRPr="00F3500D">
        <w:t>n the UK, ‘poor perfusion’ accounts for nearly 20</w:t>
      </w:r>
      <w:r w:rsidR="006856C2">
        <w:t>%</w:t>
      </w:r>
      <w:r w:rsidRPr="00F3500D">
        <w:t xml:space="preserve"> of the roughly 350 annual kidney organ discards after retrieval.</w:t>
      </w:r>
      <w:r w:rsidR="00E37E25">
        <w:rPr>
          <w:rStyle w:val="FootnoteReference"/>
        </w:rPr>
        <w:footnoteReference w:id="248"/>
      </w:r>
    </w:p>
    <w:p w14:paraId="0B083CAC" w14:textId="53D1DCC9" w:rsidR="0038558D" w:rsidRPr="00824663" w:rsidRDefault="00E37E25" w:rsidP="00E37E25">
      <w:r w:rsidRPr="00F3500D">
        <w:t xml:space="preserve">HMP/NMP could </w:t>
      </w:r>
      <w:r w:rsidRPr="00824663">
        <w:rPr>
          <w:b/>
          <w:bCs/>
        </w:rPr>
        <w:t>reduce kidney discards by 10-20</w:t>
      </w:r>
      <w:r w:rsidR="006856C2">
        <w:rPr>
          <w:b/>
          <w:bCs/>
        </w:rPr>
        <w:t>%</w:t>
      </w:r>
      <w:r w:rsidRPr="00F3500D">
        <w:t xml:space="preserve"> (reflecting indirect mechanism via DGF prevention rather than direct viability assessment).</w:t>
      </w:r>
    </w:p>
    <w:p w14:paraId="0DE7A719" w14:textId="77777777" w:rsidR="00E37E25" w:rsidRPr="004570F2" w:rsidRDefault="00E37E25" w:rsidP="00673811">
      <w:pPr>
        <w:rPr>
          <w:b/>
        </w:rPr>
      </w:pPr>
      <w:bookmarkStart w:id="317" w:name="_Toc224136218"/>
      <w:r w:rsidRPr="004570F2">
        <w:rPr>
          <w:b/>
        </w:rPr>
        <w:t>Conduct of business</w:t>
      </w:r>
      <w:bookmarkEnd w:id="317"/>
    </w:p>
    <w:p w14:paraId="0B022906" w14:textId="77777777" w:rsidR="00E37E25" w:rsidRPr="004570F2" w:rsidRDefault="00E37E25" w:rsidP="00E37E25">
      <w:pPr>
        <w:rPr>
          <w:u w:val="single"/>
          <w:lang w:val="en-US"/>
        </w:rPr>
      </w:pPr>
      <w:r w:rsidRPr="004570F2">
        <w:rPr>
          <w:u w:val="single"/>
          <w:lang w:val="en-US"/>
        </w:rPr>
        <w:t>Number and proportion of transplanted organs</w:t>
      </w:r>
    </w:p>
    <w:p w14:paraId="6CEC94D5" w14:textId="0F9802AA" w:rsidR="00E37E25" w:rsidRPr="00D859B5" w:rsidRDefault="00E37E25" w:rsidP="00E37E25">
      <w:pPr>
        <w:rPr>
          <w:lang w:val="en-US"/>
        </w:rPr>
      </w:pPr>
      <w:r w:rsidRPr="00D859B5">
        <w:rPr>
          <w:lang w:val="en-US"/>
        </w:rPr>
        <w:t xml:space="preserve">The reform introduces a prior authorisation obligation that fundamentally restructures this conduct of business. </w:t>
      </w:r>
      <w:r w:rsidR="00F30DB2">
        <w:rPr>
          <w:lang w:val="en-US"/>
        </w:rPr>
        <w:t>T</w:t>
      </w:r>
      <w:r w:rsidRPr="00D859B5">
        <w:rPr>
          <w:lang w:val="en-US"/>
        </w:rPr>
        <w:t xml:space="preserve">he new obligations impose operational requirements that centres must integrate into their workflows, including documentation, data collection, and engagement with the competent authority. The establishment of a clear regulatory pathway resolves the legal ambiguity that, under the baseline, operates as a structural drag on institutional decision-making. </w:t>
      </w:r>
    </w:p>
    <w:p w14:paraId="3DC87691" w14:textId="77777777" w:rsidR="00E37E25" w:rsidRPr="00D859B5" w:rsidRDefault="00E37E25" w:rsidP="00E37E25">
      <w:pPr>
        <w:rPr>
          <w:lang w:val="en-US"/>
        </w:rPr>
      </w:pPr>
      <w:r w:rsidRPr="00D859B5">
        <w:rPr>
          <w:lang w:val="en-US"/>
        </w:rPr>
        <w:t>The conduct-of-business impact is assessed along two dimensions: the change in the operational model of transplantation centres (qualitative) and the change in transplant output attributable to the policy-induced shift in processing adoption (quantitative).</w:t>
      </w:r>
    </w:p>
    <w:p w14:paraId="23E326DC" w14:textId="20EB3909" w:rsidR="00E37E25" w:rsidRPr="00D859B5" w:rsidRDefault="00E37E25" w:rsidP="00E37E25">
      <w:pPr>
        <w:rPr>
          <w:lang w:val="en-US"/>
        </w:rPr>
      </w:pPr>
      <w:r w:rsidRPr="00D859B5">
        <w:rPr>
          <w:lang w:val="en-US"/>
        </w:rPr>
        <w:t>Under the moderate policy scenario, the authorisation framework is projected to close approximately 50</w:t>
      </w:r>
      <w:r w:rsidR="006856C2">
        <w:rPr>
          <w:lang w:val="en-US"/>
        </w:rPr>
        <w:t>%</w:t>
      </w:r>
      <w:r w:rsidRPr="00D859B5">
        <w:rPr>
          <w:lang w:val="en-US"/>
        </w:rPr>
        <w:t xml:space="preserve"> of the adoption headroom between the baseline plateau and the clinical ceiling (estimated at 65</w:t>
      </w:r>
      <w:r>
        <w:rPr>
          <w:lang w:val="en-US"/>
        </w:rPr>
        <w:t>-</w:t>
      </w:r>
      <w:r w:rsidRPr="00D859B5">
        <w:rPr>
          <w:lang w:val="en-US"/>
        </w:rPr>
        <w:t>80</w:t>
      </w:r>
      <w:r w:rsidR="006856C2">
        <w:rPr>
          <w:lang w:val="en-US"/>
        </w:rPr>
        <w:t>%</w:t>
      </w:r>
      <w:r w:rsidRPr="00D859B5">
        <w:rPr>
          <w:lang w:val="en-US"/>
        </w:rPr>
        <w:t xml:space="preserve"> of programmes). This implies that programme-level adoption reaches 55</w:t>
      </w:r>
      <w:r>
        <w:rPr>
          <w:lang w:val="en-US"/>
        </w:rPr>
        <w:t>-</w:t>
      </w:r>
      <w:r w:rsidRPr="00D859B5">
        <w:rPr>
          <w:lang w:val="en-US"/>
        </w:rPr>
        <w:t>63</w:t>
      </w:r>
      <w:r w:rsidR="006856C2">
        <w:rPr>
          <w:lang w:val="en-US"/>
        </w:rPr>
        <w:t>%</w:t>
      </w:r>
      <w:r w:rsidRPr="00D859B5">
        <w:rPr>
          <w:lang w:val="en-US"/>
        </w:rPr>
        <w:t xml:space="preserve"> by 2035, representing </w:t>
      </w:r>
      <w:r w:rsidRPr="00D859B5">
        <w:rPr>
          <w:b/>
          <w:bCs/>
          <w:lang w:val="en-US"/>
        </w:rPr>
        <w:t>approximately 70</w:t>
      </w:r>
      <w:r w:rsidRPr="00BF41E5">
        <w:rPr>
          <w:b/>
          <w:bCs/>
          <w:lang w:val="en-US"/>
        </w:rPr>
        <w:t>-</w:t>
      </w:r>
      <w:r w:rsidRPr="00D859B5">
        <w:rPr>
          <w:b/>
          <w:bCs/>
          <w:lang w:val="en-US"/>
        </w:rPr>
        <w:t>110 additional programmes with active processing capability</w:t>
      </w:r>
      <w:r w:rsidRPr="00D859B5">
        <w:rPr>
          <w:lang w:val="en-US"/>
        </w:rPr>
        <w:t xml:space="preserve"> beyond the baseline. </w:t>
      </w:r>
      <w:r w:rsidR="00FA4E4F">
        <w:rPr>
          <w:lang w:val="en-US"/>
        </w:rPr>
        <w:t>T</w:t>
      </w:r>
      <w:r w:rsidRPr="00D859B5">
        <w:rPr>
          <w:lang w:val="en-US"/>
        </w:rPr>
        <w:t>his means 70</w:t>
      </w:r>
      <w:r>
        <w:rPr>
          <w:lang w:val="en-US"/>
        </w:rPr>
        <w:t>-</w:t>
      </w:r>
      <w:r w:rsidRPr="00D859B5">
        <w:rPr>
          <w:lang w:val="en-US"/>
        </w:rPr>
        <w:t>110 programmes (residing in an estimated 50</w:t>
      </w:r>
      <w:r>
        <w:rPr>
          <w:lang w:val="en-US"/>
        </w:rPr>
        <w:t>-</w:t>
      </w:r>
      <w:r w:rsidRPr="00D859B5">
        <w:rPr>
          <w:lang w:val="en-US"/>
        </w:rPr>
        <w:t xml:space="preserve">80 additional unique centres) transition from the second tier to the first, adopting structured processing workflows under the Article 6a regime. These centres will need to invest in processing equipment </w:t>
      </w:r>
      <w:r>
        <w:rPr>
          <w:lang w:val="en-US"/>
        </w:rPr>
        <w:t xml:space="preserve">(MP </w:t>
      </w:r>
      <w:r w:rsidRPr="00D859B5">
        <w:rPr>
          <w:lang w:val="en-US"/>
        </w:rPr>
        <w:t>device, recurrent perfusate and disposable costs</w:t>
      </w:r>
      <w:r>
        <w:rPr>
          <w:lang w:val="en-US"/>
        </w:rPr>
        <w:t>, etc.</w:t>
      </w:r>
      <w:r w:rsidRPr="00D859B5">
        <w:rPr>
          <w:lang w:val="en-US"/>
        </w:rPr>
        <w:t>), train clinical and technical staff, and integrate the authorisation process into their institutional governance.</w:t>
      </w:r>
    </w:p>
    <w:p w14:paraId="5C56933F" w14:textId="0D783249" w:rsidR="00E37E25" w:rsidRPr="00D859B5" w:rsidRDefault="00E37E25" w:rsidP="00E37E25">
      <w:pPr>
        <w:rPr>
          <w:lang w:val="en-US"/>
        </w:rPr>
      </w:pPr>
      <w:r w:rsidRPr="00D859B5">
        <w:rPr>
          <w:lang w:val="en-US"/>
        </w:rPr>
        <w:lastRenderedPageBreak/>
        <w:t>The operational model of existing first-tier centres also changes under the policy: centres that currently process organs on an ad</w:t>
      </w:r>
      <w:r w:rsidR="76479C3C" w:rsidRPr="41441AA5">
        <w:rPr>
          <w:lang w:val="en-US"/>
        </w:rPr>
        <w:t>-</w:t>
      </w:r>
      <w:r w:rsidRPr="00D859B5">
        <w:rPr>
          <w:lang w:val="en-US"/>
        </w:rPr>
        <w:t xml:space="preserve">hoc, selective basis </w:t>
      </w:r>
      <w:r w:rsidRPr="4B454151">
        <w:rPr>
          <w:lang w:val="en-US"/>
        </w:rPr>
        <w:t>are</w:t>
      </w:r>
      <w:r w:rsidRPr="00D859B5">
        <w:rPr>
          <w:lang w:val="en-US"/>
        </w:rPr>
        <w:t xml:space="preserve"> expected to shift toward more systematic application. </w:t>
      </w:r>
      <w:r w:rsidR="00C5558F" w:rsidRPr="008151F9">
        <w:rPr>
          <w:b/>
          <w:bCs/>
          <w:lang w:val="en-US"/>
        </w:rPr>
        <w:t>O</w:t>
      </w:r>
      <w:r w:rsidRPr="008151F9">
        <w:rPr>
          <w:b/>
          <w:lang w:val="en-US"/>
        </w:rPr>
        <w:t>rgan-level processing intensity rises from a baseline of 18-22</w:t>
      </w:r>
      <w:r w:rsidR="006856C2">
        <w:rPr>
          <w:b/>
          <w:lang w:val="en-US"/>
        </w:rPr>
        <w:t>%</w:t>
      </w:r>
      <w:r w:rsidRPr="008151F9">
        <w:rPr>
          <w:b/>
          <w:lang w:val="en-US"/>
        </w:rPr>
        <w:t xml:space="preserve"> by 2035 to 25-30</w:t>
      </w:r>
      <w:r w:rsidR="006856C2">
        <w:rPr>
          <w:b/>
          <w:lang w:val="en-US"/>
        </w:rPr>
        <w:t>%</w:t>
      </w:r>
      <w:r w:rsidRPr="008151F9">
        <w:rPr>
          <w:b/>
          <w:lang w:val="en-US"/>
        </w:rPr>
        <w:t xml:space="preserve"> under the moderate scenario, a gain of 7-8 percentage points</w:t>
      </w:r>
      <w:r w:rsidRPr="00D859B5">
        <w:rPr>
          <w:lang w:val="en-US"/>
        </w:rPr>
        <w:t xml:space="preserve">. This shift is </w:t>
      </w:r>
      <w:r>
        <w:rPr>
          <w:lang w:val="en-US"/>
        </w:rPr>
        <w:t xml:space="preserve">partially </w:t>
      </w:r>
      <w:r w:rsidRPr="00D859B5">
        <w:rPr>
          <w:lang w:val="en-US"/>
        </w:rPr>
        <w:t>driven by the evidence-validation mechanism embedded in the authorisation regime: the structured clinical-outcome data generated under Article 6</w:t>
      </w:r>
      <w:r w:rsidR="1D90B804" w:rsidRPr="4B454151">
        <w:rPr>
          <w:lang w:val="en-US"/>
        </w:rPr>
        <w:t xml:space="preserve">a </w:t>
      </w:r>
      <w:r w:rsidRPr="00D859B5">
        <w:rPr>
          <w:lang w:val="en-US"/>
        </w:rPr>
        <w:t>(3) monitoring plans progressively strengthens the evidence base for routine (as opposed to selective) processing</w:t>
      </w:r>
      <w:r>
        <w:rPr>
          <w:lang w:val="en-US"/>
        </w:rPr>
        <w:t>.</w:t>
      </w:r>
    </w:p>
    <w:p w14:paraId="005BC31D" w14:textId="78A09E2A" w:rsidR="00E37E25" w:rsidRPr="00D859B5" w:rsidRDefault="00E37E25" w:rsidP="00E37E25">
      <w:pPr>
        <w:rPr>
          <w:lang w:val="en-US"/>
        </w:rPr>
      </w:pPr>
      <w:r w:rsidRPr="00D859B5">
        <w:rPr>
          <w:lang w:val="en-US"/>
        </w:rPr>
        <w:t xml:space="preserve">The downstream transplant volume effect of this conduct-of-business transformation is estimated at approximately 1,435 additional transplants per year by 2035 under the moderate scenario, cumulating </w:t>
      </w:r>
      <w:r w:rsidRPr="00D859B5">
        <w:rPr>
          <w:b/>
          <w:bCs/>
          <w:lang w:val="en-US"/>
        </w:rPr>
        <w:t>to approximately 6,205 additional transplants over the 2028</w:t>
      </w:r>
      <w:r w:rsidRPr="00BF41E5">
        <w:rPr>
          <w:b/>
          <w:bCs/>
          <w:lang w:val="en-US"/>
        </w:rPr>
        <w:t>-</w:t>
      </w:r>
      <w:r w:rsidRPr="00D859B5">
        <w:rPr>
          <w:b/>
          <w:bCs/>
          <w:lang w:val="en-US"/>
        </w:rPr>
        <w:t>2035 period.</w:t>
      </w:r>
      <w:r w:rsidRPr="00D859B5">
        <w:rPr>
          <w:lang w:val="en-US"/>
        </w:rPr>
        <w:t xml:space="preserve"> This increment is composed of two channels: additional transplants in centres that newly adopt processing capability and additional transplants in existing processing centres that deepen their organ-level application rate.</w:t>
      </w:r>
    </w:p>
    <w:p w14:paraId="5B58E03D" w14:textId="7EDDC8EA" w:rsidR="00E37E25" w:rsidRPr="00D859B5" w:rsidRDefault="0050799D" w:rsidP="00E37E25">
      <w:pPr>
        <w:rPr>
          <w:lang w:val="en-US"/>
        </w:rPr>
      </w:pPr>
      <w:r>
        <w:rPr>
          <w:lang w:val="en-US"/>
        </w:rPr>
        <w:t>As</w:t>
      </w:r>
      <w:r w:rsidR="00E37E25" w:rsidRPr="00D859B5">
        <w:rPr>
          <w:lang w:val="en-US"/>
        </w:rPr>
        <w:t xml:space="preserve"> ~70</w:t>
      </w:r>
      <w:r w:rsidR="00E37E25">
        <w:rPr>
          <w:lang w:val="en-US"/>
        </w:rPr>
        <w:t>-</w:t>
      </w:r>
      <w:r w:rsidR="00E37E25" w:rsidRPr="00D859B5">
        <w:rPr>
          <w:lang w:val="en-US"/>
        </w:rPr>
        <w:t>110 newly processing programmes represent roughly 10</w:t>
      </w:r>
      <w:r w:rsidR="00E37E25">
        <w:rPr>
          <w:lang w:val="en-US"/>
        </w:rPr>
        <w:t>-</w:t>
      </w:r>
      <w:r w:rsidR="00E37E25" w:rsidRPr="00D859B5">
        <w:rPr>
          <w:lang w:val="en-US"/>
        </w:rPr>
        <w:t>15</w:t>
      </w:r>
      <w:r w:rsidR="006856C2">
        <w:rPr>
          <w:lang w:val="en-US"/>
        </w:rPr>
        <w:t>%</w:t>
      </w:r>
      <w:r w:rsidR="00E37E25" w:rsidRPr="00D859B5">
        <w:rPr>
          <w:lang w:val="en-US"/>
        </w:rPr>
        <w:t xml:space="preserve"> of all EU programmes</w:t>
      </w:r>
      <w:r>
        <w:rPr>
          <w:lang w:val="en-US"/>
        </w:rPr>
        <w:t>, and a</w:t>
      </w:r>
      <w:r w:rsidR="00E37E25" w:rsidRPr="00D859B5">
        <w:rPr>
          <w:lang w:val="en-US"/>
        </w:rPr>
        <w:t xml:space="preserve">ssuming </w:t>
      </w:r>
      <w:r>
        <w:rPr>
          <w:lang w:val="en-US"/>
        </w:rPr>
        <w:t>that</w:t>
      </w:r>
      <w:r w:rsidR="00E37E25" w:rsidRPr="00D859B5">
        <w:rPr>
          <w:lang w:val="en-US"/>
        </w:rPr>
        <w:t xml:space="preserve"> these operate at the processing intensity of a centre in its first 3</w:t>
      </w:r>
      <w:r w:rsidR="00E37E25">
        <w:rPr>
          <w:lang w:val="en-US"/>
        </w:rPr>
        <w:t>-</w:t>
      </w:r>
      <w:r w:rsidR="00E37E25" w:rsidRPr="00D859B5">
        <w:rPr>
          <w:lang w:val="en-US"/>
        </w:rPr>
        <w:t>5 years of adoption (~10</w:t>
      </w:r>
      <w:r w:rsidR="00E37E25">
        <w:rPr>
          <w:lang w:val="en-US"/>
        </w:rPr>
        <w:t>-</w:t>
      </w:r>
      <w:r w:rsidR="00E37E25" w:rsidRPr="00D859B5">
        <w:rPr>
          <w:lang w:val="en-US"/>
        </w:rPr>
        <w:t>15</w:t>
      </w:r>
      <w:r w:rsidR="006856C2">
        <w:rPr>
          <w:lang w:val="en-US"/>
        </w:rPr>
        <w:t>%</w:t>
      </w:r>
      <w:r w:rsidR="00E37E25" w:rsidRPr="00D859B5">
        <w:rPr>
          <w:lang w:val="en-US"/>
        </w:rPr>
        <w:t xml:space="preserve"> of organs processed, below the EU-wide average intensity of 25</w:t>
      </w:r>
      <w:r w:rsidR="00E37E25">
        <w:rPr>
          <w:lang w:val="en-US"/>
        </w:rPr>
        <w:t>-</w:t>
      </w:r>
      <w:r w:rsidR="00E37E25" w:rsidRPr="00D859B5">
        <w:rPr>
          <w:lang w:val="en-US"/>
        </w:rPr>
        <w:t>30</w:t>
      </w:r>
      <w:r w:rsidR="006856C2">
        <w:rPr>
          <w:lang w:val="en-US"/>
        </w:rPr>
        <w:t>%</w:t>
      </w:r>
      <w:r w:rsidR="00E37E25" w:rsidRPr="00D859B5">
        <w:rPr>
          <w:lang w:val="en-US"/>
        </w:rPr>
        <w:t xml:space="preserve">), and that each programme performs, on average, approximately 55 transplants per year (derived from the EU aggregate of ~38,200 transplants across ~717 programmes under the 2035 baseline), </w:t>
      </w:r>
      <w:r w:rsidR="00E37E25" w:rsidRPr="008151F9">
        <w:rPr>
          <w:b/>
          <w:lang w:val="en-US"/>
        </w:rPr>
        <w:t>the newly processing programmes contribute approximately 385-905 additional organs processed annually</w:t>
      </w:r>
      <w:r w:rsidR="00E37E25" w:rsidRPr="00D859B5">
        <w:rPr>
          <w:lang w:val="en-US"/>
        </w:rPr>
        <w:t xml:space="preserve">. Applying an estimated </w:t>
      </w:r>
      <w:r w:rsidR="00E37E25" w:rsidRPr="008151F9">
        <w:rPr>
          <w:b/>
          <w:lang w:val="en-US"/>
        </w:rPr>
        <w:t>additional-transplant yield of approximately 15-20</w:t>
      </w:r>
      <w:r w:rsidR="006856C2">
        <w:rPr>
          <w:b/>
          <w:lang w:val="en-US"/>
        </w:rPr>
        <w:t>%</w:t>
      </w:r>
      <w:r w:rsidR="00E37E25" w:rsidRPr="008151F9">
        <w:rPr>
          <w:b/>
          <w:lang w:val="en-US"/>
        </w:rPr>
        <w:t xml:space="preserve"> of processed organs</w:t>
      </w:r>
      <w:r w:rsidR="00E37E25" w:rsidRPr="00D859B5">
        <w:rPr>
          <w:lang w:val="en-US"/>
        </w:rPr>
        <w:t xml:space="preserve"> (reflecting the combined effect of discard reduction, expanded acceptance of marginal donors, and improved preservation enabling transplantation of organs that would otherwise have been declined), </w:t>
      </w:r>
      <w:r w:rsidR="00E37E25" w:rsidRPr="008151F9">
        <w:rPr>
          <w:b/>
          <w:lang w:val="en-US"/>
        </w:rPr>
        <w:t>this implies approximately 60-180 additional transplants per year from the extensive margin.</w:t>
      </w:r>
      <w:r w:rsidR="00E37E25" w:rsidRPr="00D859B5">
        <w:rPr>
          <w:lang w:val="en-US"/>
        </w:rPr>
        <w:t xml:space="preserve"> The remainder of the ~1,435 total (approximately 1,255</w:t>
      </w:r>
      <w:r w:rsidR="00E37E25">
        <w:rPr>
          <w:lang w:val="en-US"/>
        </w:rPr>
        <w:t>-</w:t>
      </w:r>
      <w:r w:rsidR="00E37E25" w:rsidRPr="00D859B5">
        <w:rPr>
          <w:lang w:val="en-US"/>
        </w:rPr>
        <w:t>1,375 per year) is attributable to deeper processing within existing first-tier centres and the compound growth effect captured by the CAGR-proxy model.</w:t>
      </w:r>
    </w:p>
    <w:p w14:paraId="7B9F608B" w14:textId="5D3D9C9B" w:rsidR="00E37E25" w:rsidRPr="00D859B5" w:rsidRDefault="00E37E25" w:rsidP="00E37E25">
      <w:pPr>
        <w:rPr>
          <w:lang w:val="en-US"/>
        </w:rPr>
      </w:pPr>
      <w:r w:rsidRPr="00D859B5">
        <w:rPr>
          <w:lang w:val="en-US"/>
        </w:rPr>
        <w:t xml:space="preserve">The primary operational cost borne by transplantation centres under the policy, is the </w:t>
      </w:r>
      <w:r w:rsidRPr="008151F9">
        <w:rPr>
          <w:b/>
          <w:lang w:val="en-US"/>
        </w:rPr>
        <w:t>administrative cost of the authorisation process itself</w:t>
      </w:r>
      <w:r w:rsidRPr="00D859B5">
        <w:rPr>
          <w:lang w:val="en-US"/>
        </w:rPr>
        <w:t xml:space="preserve">. The equipment costs are not attributable to the </w:t>
      </w:r>
      <w:r w:rsidR="00205D13" w:rsidRPr="7E7CBB17">
        <w:rPr>
          <w:lang w:val="en-US"/>
        </w:rPr>
        <w:t>regulatory changes</w:t>
      </w:r>
      <w:r w:rsidRPr="00D859B5">
        <w:rPr>
          <w:lang w:val="en-US"/>
        </w:rPr>
        <w:t xml:space="preserve">, since centres would face these costs under the baseline if they chose to adopt processing on their own initiative. </w:t>
      </w:r>
      <w:r w:rsidRPr="008151F9">
        <w:rPr>
          <w:b/>
          <w:lang w:val="en-US"/>
        </w:rPr>
        <w:t xml:space="preserve">The framework's marginal contribution to equipment expenditure is indirect </w:t>
      </w:r>
      <w:r>
        <w:rPr>
          <w:lang w:val="en-US"/>
        </w:rPr>
        <w:t xml:space="preserve">(i.e., </w:t>
      </w:r>
      <w:r w:rsidRPr="00D859B5">
        <w:rPr>
          <w:lang w:val="en-US"/>
        </w:rPr>
        <w:t>accelerating adoption in 70</w:t>
      </w:r>
      <w:r>
        <w:rPr>
          <w:lang w:val="en-US"/>
        </w:rPr>
        <w:t>-</w:t>
      </w:r>
      <w:r w:rsidRPr="00D859B5">
        <w:rPr>
          <w:lang w:val="en-US"/>
        </w:rPr>
        <w:t>110 additional programmes</w:t>
      </w:r>
      <w:r>
        <w:rPr>
          <w:lang w:val="en-US"/>
        </w:rPr>
        <w:t xml:space="preserve">, </w:t>
      </w:r>
      <w:r w:rsidRPr="00D859B5">
        <w:rPr>
          <w:lang w:val="en-US"/>
        </w:rPr>
        <w:t>residing in an estimated 50</w:t>
      </w:r>
      <w:r>
        <w:rPr>
          <w:lang w:val="en-US"/>
        </w:rPr>
        <w:t>-</w:t>
      </w:r>
      <w:r w:rsidRPr="00D859B5">
        <w:rPr>
          <w:lang w:val="en-US"/>
        </w:rPr>
        <w:t>80 additional unique centres</w:t>
      </w:r>
      <w:r>
        <w:rPr>
          <w:lang w:val="en-US"/>
        </w:rPr>
        <w:t xml:space="preserve">, </w:t>
      </w:r>
      <w:r w:rsidRPr="00D859B5">
        <w:rPr>
          <w:lang w:val="en-US"/>
        </w:rPr>
        <w:t>that would not have adopted under the baseline</w:t>
      </w:r>
      <w:r>
        <w:rPr>
          <w:lang w:val="en-US"/>
        </w:rPr>
        <w:t>).</w:t>
      </w:r>
      <w:r w:rsidRPr="00D859B5">
        <w:rPr>
          <w:lang w:val="en-US"/>
        </w:rPr>
        <w:t xml:space="preserve"> </w:t>
      </w:r>
    </w:p>
    <w:p w14:paraId="64FBA95B" w14:textId="0072A60D" w:rsidR="0038558D" w:rsidRPr="00531EC1" w:rsidRDefault="002803AC" w:rsidP="00E37E25">
      <w:pPr>
        <w:rPr>
          <w:lang w:val="en-US"/>
        </w:rPr>
      </w:pPr>
      <w:r w:rsidRPr="008151F9">
        <w:rPr>
          <w:lang w:val="en-US"/>
        </w:rPr>
        <w:t>The</w:t>
      </w:r>
      <w:r w:rsidR="00E37E25" w:rsidRPr="00D859B5">
        <w:rPr>
          <w:lang w:val="en-US"/>
        </w:rPr>
        <w:t xml:space="preserve"> authorisation regime imposes proportionate operational requirements on transplantation centres while simultaneously removing the legal uncertainty that has functioned as </w:t>
      </w:r>
      <w:r w:rsidR="00E37E25">
        <w:rPr>
          <w:lang w:val="en-US"/>
        </w:rPr>
        <w:t xml:space="preserve">an </w:t>
      </w:r>
      <w:r w:rsidR="00E37E25" w:rsidRPr="00D859B5">
        <w:rPr>
          <w:lang w:val="en-US"/>
        </w:rPr>
        <w:t>institutional barrier to processing adoption.</w:t>
      </w:r>
    </w:p>
    <w:p w14:paraId="57DD5253" w14:textId="77777777" w:rsidR="00E37E25" w:rsidRPr="004570F2" w:rsidRDefault="00E37E25" w:rsidP="00673811">
      <w:pPr>
        <w:rPr>
          <w:b/>
        </w:rPr>
      </w:pPr>
      <w:bookmarkStart w:id="318" w:name="_Toc224136219"/>
      <w:r w:rsidRPr="004570F2">
        <w:rPr>
          <w:b/>
        </w:rPr>
        <w:t>Public health and safety</w:t>
      </w:r>
      <w:bookmarkEnd w:id="318"/>
    </w:p>
    <w:p w14:paraId="60AC2380" w14:textId="77777777" w:rsidR="00E37E25" w:rsidRPr="004570F2" w:rsidRDefault="00E37E25" w:rsidP="008151F9">
      <w:pPr>
        <w:rPr>
          <w:u w:val="single"/>
          <w:lang w:val="en-US"/>
        </w:rPr>
      </w:pPr>
      <w:bookmarkStart w:id="319" w:name="indicator-1-organ-discard-rate"/>
      <w:r w:rsidRPr="004570F2">
        <w:rPr>
          <w:u w:val="single"/>
          <w:lang w:val="en-US"/>
        </w:rPr>
        <w:t>Organ discard rate</w:t>
      </w:r>
    </w:p>
    <w:p w14:paraId="46DACE2D" w14:textId="3810E0E5" w:rsidR="00E37E25" w:rsidRPr="00301749" w:rsidRDefault="00E37E25" w:rsidP="00E37E25">
      <w:pPr>
        <w:rPr>
          <w:lang w:val="en-US"/>
        </w:rPr>
      </w:pPr>
      <w:r w:rsidRPr="00301749">
        <w:rPr>
          <w:lang w:val="en-US"/>
        </w:rPr>
        <w:t xml:space="preserve">The authorisation regime accelerates the adoption and deepens the application of machine perfusion and associated reconditioning technologies. </w:t>
      </w:r>
    </w:p>
    <w:p w14:paraId="5AAD18C9" w14:textId="1FFEA9D3" w:rsidR="00E37E25" w:rsidRPr="00BD2BDD" w:rsidRDefault="73075062" w:rsidP="00E37E25">
      <w:pPr>
        <w:rPr>
          <w:lang w:val="en-US"/>
        </w:rPr>
      </w:pPr>
      <w:r>
        <w:rPr>
          <w:lang w:val="en-US"/>
        </w:rPr>
        <w:lastRenderedPageBreak/>
        <w:t>D</w:t>
      </w:r>
      <w:r w:rsidR="5D49E94A" w:rsidRPr="00BD2BDD">
        <w:rPr>
          <w:lang w:val="en-US"/>
        </w:rPr>
        <w:t>rawing on the assumptions applied at the moderate-scenario organ-level processing intensity of 25</w:t>
      </w:r>
      <w:r w:rsidR="5D49E94A">
        <w:rPr>
          <w:lang w:val="en-US"/>
        </w:rPr>
        <w:t>-</w:t>
      </w:r>
      <w:r w:rsidR="5D49E94A" w:rsidRPr="00BD2BDD">
        <w:rPr>
          <w:lang w:val="en-US"/>
        </w:rPr>
        <w:t>30</w:t>
      </w:r>
      <w:r w:rsidR="006856C2">
        <w:rPr>
          <w:lang w:val="en-US"/>
        </w:rPr>
        <w:t>%</w:t>
      </w:r>
      <w:r w:rsidR="5D49E94A" w:rsidRPr="00BD2BDD">
        <w:rPr>
          <w:lang w:val="en-US"/>
        </w:rPr>
        <w:t xml:space="preserve"> by 2035, the organ-specific additional transplants attributable to discard reduction are estimated as follows</w:t>
      </w:r>
      <w:r w:rsidR="5D49E94A">
        <w:rPr>
          <w:lang w:val="en-US"/>
        </w:rPr>
        <w:t>:</w:t>
      </w:r>
      <w:r w:rsidR="00E37E25">
        <w:rPr>
          <w:rStyle w:val="FootnoteReference"/>
          <w:lang w:val="en-US"/>
        </w:rPr>
        <w:footnoteReference w:id="249"/>
      </w:r>
    </w:p>
    <w:p w14:paraId="3D9CBC19" w14:textId="0AC3A9A2" w:rsidR="00E37E25" w:rsidRPr="00BD2BDD" w:rsidRDefault="00E37E25" w:rsidP="00E37E25">
      <w:pPr>
        <w:pStyle w:val="ListParagraph"/>
        <w:numPr>
          <w:ilvl w:val="0"/>
          <w:numId w:val="264"/>
        </w:numPr>
        <w:spacing w:after="270" w:line="270" w:lineRule="atLeast"/>
        <w:ind w:right="284"/>
        <w:rPr>
          <w:lang w:val="en-US"/>
        </w:rPr>
      </w:pPr>
      <w:r w:rsidRPr="00BD2BDD">
        <w:rPr>
          <w:b/>
          <w:bCs/>
          <w:lang w:val="en-US"/>
        </w:rPr>
        <w:t>Liver</w:t>
      </w:r>
      <w:r w:rsidRPr="00BD2BDD">
        <w:rPr>
          <w:lang w:val="en-US"/>
        </w:rPr>
        <w:t xml:space="preserve"> Applying the 30</w:t>
      </w:r>
      <w:r>
        <w:rPr>
          <w:lang w:val="en-US"/>
        </w:rPr>
        <w:t>-</w:t>
      </w:r>
      <w:r w:rsidRPr="00BD2BDD">
        <w:rPr>
          <w:lang w:val="en-US"/>
        </w:rPr>
        <w:t>50</w:t>
      </w:r>
      <w:r w:rsidR="006856C2">
        <w:rPr>
          <w:lang w:val="en-US"/>
        </w:rPr>
        <w:t>%</w:t>
      </w:r>
      <w:r w:rsidRPr="00BD2BDD">
        <w:rPr>
          <w:lang w:val="en-US"/>
        </w:rPr>
        <w:t xml:space="preserve"> rescue rate yields approximately </w:t>
      </w:r>
      <w:r w:rsidRPr="00BD2BDD">
        <w:rPr>
          <w:b/>
          <w:bCs/>
          <w:lang w:val="en-US"/>
        </w:rPr>
        <w:t>120</w:t>
      </w:r>
      <w:r>
        <w:rPr>
          <w:b/>
          <w:bCs/>
          <w:lang w:val="en-US"/>
        </w:rPr>
        <w:t>-</w:t>
      </w:r>
      <w:r w:rsidRPr="00BD2BDD">
        <w:rPr>
          <w:b/>
          <w:bCs/>
          <w:lang w:val="en-US"/>
        </w:rPr>
        <w:t>265 additional livers transplanted per year</w:t>
      </w:r>
      <w:r w:rsidRPr="00BD2BDD">
        <w:rPr>
          <w:lang w:val="en-US"/>
        </w:rPr>
        <w:t xml:space="preserve"> by 2035 beyond the baseline. The liver accounts for the single largest absolute discard reduction.</w:t>
      </w:r>
    </w:p>
    <w:p w14:paraId="40E8E632" w14:textId="28BA59AE" w:rsidR="00E37E25" w:rsidRPr="00BD2BDD" w:rsidRDefault="00E37E25" w:rsidP="00E37E25">
      <w:pPr>
        <w:pStyle w:val="ListParagraph"/>
        <w:numPr>
          <w:ilvl w:val="0"/>
          <w:numId w:val="264"/>
        </w:numPr>
        <w:spacing w:after="270" w:line="270" w:lineRule="atLeast"/>
        <w:ind w:right="284"/>
        <w:rPr>
          <w:lang w:val="en-US"/>
        </w:rPr>
      </w:pPr>
      <w:r w:rsidRPr="00BD2BDD">
        <w:rPr>
          <w:b/>
          <w:bCs/>
          <w:lang w:val="en-US"/>
        </w:rPr>
        <w:t>Lung</w:t>
      </w:r>
      <w:r w:rsidRPr="00BD2BDD">
        <w:rPr>
          <w:lang w:val="en-US"/>
        </w:rPr>
        <w:t xml:space="preserve"> Applying a conservative EVLP rescue rate of 50</w:t>
      </w:r>
      <w:r>
        <w:rPr>
          <w:lang w:val="en-US"/>
        </w:rPr>
        <w:t>-</w:t>
      </w:r>
      <w:r w:rsidRPr="00BD2BDD">
        <w:rPr>
          <w:lang w:val="en-US"/>
        </w:rPr>
        <w:t>65</w:t>
      </w:r>
      <w:r w:rsidR="006856C2">
        <w:rPr>
          <w:lang w:val="en-US"/>
        </w:rPr>
        <w:t>%</w:t>
      </w:r>
      <w:r w:rsidRPr="00BD2BDD">
        <w:rPr>
          <w:lang w:val="en-US"/>
        </w:rPr>
        <w:t xml:space="preserve"> to the approximately 70</w:t>
      </w:r>
      <w:r>
        <w:rPr>
          <w:lang w:val="en-US"/>
        </w:rPr>
        <w:t>-</w:t>
      </w:r>
      <w:r w:rsidRPr="00BD2BDD">
        <w:rPr>
          <w:lang w:val="en-US"/>
        </w:rPr>
        <w:t xml:space="preserve">125 would-be </w:t>
      </w:r>
      <w:r w:rsidR="39702126" w:rsidRPr="4B454151">
        <w:rPr>
          <w:lang w:val="en-US"/>
        </w:rPr>
        <w:t>discarded</w:t>
      </w:r>
      <w:r w:rsidRPr="00BD2BDD">
        <w:rPr>
          <w:lang w:val="en-US"/>
        </w:rPr>
        <w:t xml:space="preserve"> within the processed pool, this implies approximately </w:t>
      </w:r>
      <w:r w:rsidRPr="00BD2BDD">
        <w:rPr>
          <w:b/>
          <w:bCs/>
          <w:lang w:val="en-US"/>
        </w:rPr>
        <w:t>35</w:t>
      </w:r>
      <w:r>
        <w:rPr>
          <w:b/>
          <w:bCs/>
          <w:lang w:val="en-US"/>
        </w:rPr>
        <w:t>-</w:t>
      </w:r>
      <w:r w:rsidRPr="00BD2BDD">
        <w:rPr>
          <w:b/>
          <w:bCs/>
          <w:lang w:val="en-US"/>
        </w:rPr>
        <w:t>80 additional lungs transplanted per year</w:t>
      </w:r>
      <w:r w:rsidRPr="00BD2BDD">
        <w:rPr>
          <w:lang w:val="en-US"/>
        </w:rPr>
        <w:t xml:space="preserve"> by 2035.</w:t>
      </w:r>
    </w:p>
    <w:p w14:paraId="41D3E135" w14:textId="724A462F" w:rsidR="00E37E25" w:rsidRPr="00BD2BDD" w:rsidRDefault="00E37E25" w:rsidP="00E37E25">
      <w:pPr>
        <w:pStyle w:val="ListParagraph"/>
        <w:numPr>
          <w:ilvl w:val="0"/>
          <w:numId w:val="264"/>
        </w:numPr>
        <w:spacing w:after="270" w:line="270" w:lineRule="atLeast"/>
        <w:ind w:right="284"/>
        <w:rPr>
          <w:lang w:val="en-US"/>
        </w:rPr>
      </w:pPr>
      <w:r w:rsidRPr="00BD2BDD">
        <w:rPr>
          <w:b/>
          <w:bCs/>
          <w:lang w:val="en-US"/>
        </w:rPr>
        <w:t>Kidney</w:t>
      </w:r>
      <w:r w:rsidRPr="00BD2BDD">
        <w:rPr>
          <w:lang w:val="en-US"/>
        </w:rPr>
        <w:t xml:space="preserve"> Applying the 10</w:t>
      </w:r>
      <w:r>
        <w:rPr>
          <w:lang w:val="en-US"/>
        </w:rPr>
        <w:t>-</w:t>
      </w:r>
      <w:r w:rsidRPr="00BD2BDD">
        <w:rPr>
          <w:lang w:val="en-US"/>
        </w:rPr>
        <w:t>20</w:t>
      </w:r>
      <w:r w:rsidR="006856C2">
        <w:rPr>
          <w:lang w:val="en-US"/>
        </w:rPr>
        <w:t>%</w:t>
      </w:r>
      <w:r w:rsidRPr="00BD2BDD">
        <w:rPr>
          <w:lang w:val="en-US"/>
        </w:rPr>
        <w:t xml:space="preserve"> rescue rate yields approximately </w:t>
      </w:r>
      <w:r w:rsidRPr="00BD2BDD">
        <w:rPr>
          <w:b/>
          <w:bCs/>
          <w:lang w:val="en-US"/>
        </w:rPr>
        <w:t>45</w:t>
      </w:r>
      <w:r>
        <w:rPr>
          <w:b/>
          <w:bCs/>
          <w:lang w:val="en-US"/>
        </w:rPr>
        <w:t>-</w:t>
      </w:r>
      <w:r w:rsidRPr="00BD2BDD">
        <w:rPr>
          <w:b/>
          <w:bCs/>
          <w:lang w:val="en-US"/>
        </w:rPr>
        <w:t>110 additional kidneys transplanted per year</w:t>
      </w:r>
      <w:r w:rsidRPr="00BD2BDD">
        <w:rPr>
          <w:lang w:val="en-US"/>
        </w:rPr>
        <w:t xml:space="preserve"> by 2035. The kidney estimate is the most conservative of the three quantified organs, reflecting the indirect mechanism of action (HMP primarily prevents delayed graft function and thereby avoids secondary discard, rather than directly rehabilitating already-compromised organs as with NMP for livers).</w:t>
      </w:r>
    </w:p>
    <w:p w14:paraId="78738E4F" w14:textId="118E9BC3" w:rsidR="00E37E25" w:rsidRPr="00BD2BDD" w:rsidRDefault="00E37E25" w:rsidP="00E37E25">
      <w:pPr>
        <w:pStyle w:val="ListParagraph"/>
        <w:numPr>
          <w:ilvl w:val="0"/>
          <w:numId w:val="264"/>
        </w:numPr>
        <w:spacing w:after="270" w:line="270" w:lineRule="atLeast"/>
        <w:ind w:right="284"/>
        <w:rPr>
          <w:lang w:val="en-US"/>
        </w:rPr>
      </w:pPr>
      <w:r w:rsidRPr="00BD2BDD">
        <w:rPr>
          <w:b/>
          <w:bCs/>
          <w:lang w:val="en-US"/>
        </w:rPr>
        <w:t>Heart and pancreas</w:t>
      </w:r>
      <w:r w:rsidRPr="00BD2BDD">
        <w:rPr>
          <w:lang w:val="en-US"/>
        </w:rPr>
        <w:t xml:space="preserve">: </w:t>
      </w:r>
      <w:r w:rsidR="00CE5D1D">
        <w:rPr>
          <w:lang w:val="en-US"/>
        </w:rPr>
        <w:t xml:space="preserve">As </w:t>
      </w:r>
      <w:r w:rsidRPr="00BD2BDD">
        <w:rPr>
          <w:lang w:val="en-US"/>
        </w:rPr>
        <w:t>DCD heart transplantation using normothermic regional perfusion is at an early stage in the EU, and pancreas discard is driven primarily by anatomical fragility during procurement rather than by preservation-related deterioration</w:t>
      </w:r>
      <w:r w:rsidR="00CE5D1D">
        <w:rPr>
          <w:lang w:val="en-US"/>
        </w:rPr>
        <w:t>, a</w:t>
      </w:r>
      <w:r w:rsidRPr="00BD2BDD">
        <w:rPr>
          <w:lang w:val="en-US"/>
        </w:rPr>
        <w:t xml:space="preserve"> negligible marginal discard reduction for these organs in the assessment period</w:t>
      </w:r>
      <w:r w:rsidR="00D63E4C">
        <w:rPr>
          <w:lang w:val="en-US"/>
        </w:rPr>
        <w:t xml:space="preserve"> is therefore assumed</w:t>
      </w:r>
      <w:r w:rsidRPr="00BD2BDD">
        <w:rPr>
          <w:lang w:val="en-US"/>
        </w:rPr>
        <w:t>.</w:t>
      </w:r>
    </w:p>
    <w:p w14:paraId="042767A9" w14:textId="22697B4D" w:rsidR="00E37E25" w:rsidRPr="00BD2BDD" w:rsidRDefault="00E37E25" w:rsidP="00E37E25">
      <w:pPr>
        <w:rPr>
          <w:lang w:val="en-US"/>
        </w:rPr>
      </w:pPr>
      <w:r w:rsidRPr="00BD2BDD">
        <w:rPr>
          <w:lang w:val="en-US"/>
        </w:rPr>
        <w:t xml:space="preserve">The organ-specific estimates sum to approximately </w:t>
      </w:r>
      <w:r w:rsidRPr="00BD2BDD">
        <w:rPr>
          <w:b/>
          <w:bCs/>
          <w:lang w:val="en-US"/>
        </w:rPr>
        <w:t>200</w:t>
      </w:r>
      <w:r>
        <w:rPr>
          <w:b/>
          <w:bCs/>
          <w:lang w:val="en-US"/>
        </w:rPr>
        <w:t>-</w:t>
      </w:r>
      <w:r w:rsidRPr="00BD2BDD">
        <w:rPr>
          <w:b/>
          <w:bCs/>
          <w:lang w:val="en-US"/>
        </w:rPr>
        <w:t>455 additional transplants per year</w:t>
      </w:r>
      <w:r w:rsidRPr="00BD2BDD">
        <w:rPr>
          <w:lang w:val="en-US"/>
        </w:rPr>
        <w:t xml:space="preserve"> by 2035 attributable to the discard-reduction channel alone. This is substantially below the central estimate of ~1,435 additional transplants per year, which is derived from the top-down CAGR-proxy model. </w:t>
      </w:r>
    </w:p>
    <w:p w14:paraId="76C074B7" w14:textId="50EA5328" w:rsidR="00E37E25" w:rsidRPr="00301749" w:rsidRDefault="5D49E94A" w:rsidP="00E37E25">
      <w:pPr>
        <w:rPr>
          <w:lang w:val="en-US"/>
        </w:rPr>
      </w:pPr>
      <w:r w:rsidRPr="008151F9">
        <w:rPr>
          <w:b/>
          <w:bCs/>
          <w:lang w:val="en-US"/>
        </w:rPr>
        <w:t>Each additional organ transplanted represents a high-value therapeutic intervention</w:t>
      </w:r>
      <w:r w:rsidRPr="00301749">
        <w:rPr>
          <w:lang w:val="en-US"/>
        </w:rPr>
        <w:t xml:space="preserve">. While the economic value of a transplant varies by organ type and Member State, an indicative estimate can be constructed for kidneys, which dominate the additional transplant pool. </w:t>
      </w:r>
      <w:r>
        <w:rPr>
          <w:lang w:val="en-US"/>
        </w:rPr>
        <w:t xml:space="preserve">Evidence suggests a median </w:t>
      </w:r>
      <w:r w:rsidRPr="00301749">
        <w:rPr>
          <w:lang w:val="en-US"/>
        </w:rPr>
        <w:t xml:space="preserve">annual cost of </w:t>
      </w:r>
      <w:r w:rsidRPr="0093549D">
        <w:rPr>
          <w:lang w:val="en-US"/>
        </w:rPr>
        <w:t xml:space="preserve">in-centre </w:t>
      </w:r>
      <w:r w:rsidRPr="00301749">
        <w:rPr>
          <w:lang w:val="en-US"/>
        </w:rPr>
        <w:t xml:space="preserve">haemodialysis at approximately </w:t>
      </w:r>
      <w:r>
        <w:rPr>
          <w:lang w:val="en-US"/>
        </w:rPr>
        <w:t>EUR 18</w:t>
      </w:r>
      <w:r w:rsidRPr="00301749">
        <w:rPr>
          <w:lang w:val="en-US"/>
        </w:rPr>
        <w:t>,000</w:t>
      </w:r>
      <w:r>
        <w:rPr>
          <w:lang w:val="en-US"/>
        </w:rPr>
        <w:t>-43</w:t>
      </w:r>
      <w:r w:rsidRPr="00301749">
        <w:rPr>
          <w:lang w:val="en-US"/>
        </w:rPr>
        <w:t>,000 per patient (with wide cross-country variation)</w:t>
      </w:r>
      <w:r w:rsidR="00E37E25">
        <w:rPr>
          <w:rStyle w:val="FootnoteReference"/>
          <w:lang w:val="en-US"/>
        </w:rPr>
        <w:footnoteReference w:id="250"/>
      </w:r>
      <w:r w:rsidRPr="00301749">
        <w:rPr>
          <w:lang w:val="en-US"/>
        </w:rPr>
        <w:t>, while the annual maintenance</w:t>
      </w:r>
      <w:r>
        <w:rPr>
          <w:lang w:val="en-US"/>
        </w:rPr>
        <w:t>/care</w:t>
      </w:r>
      <w:r w:rsidRPr="00301749">
        <w:rPr>
          <w:lang w:val="en-US"/>
        </w:rPr>
        <w:t xml:space="preserve"> cost of a kidney transplant </w:t>
      </w:r>
      <w:r w:rsidRPr="4E26AC25">
        <w:rPr>
          <w:b/>
          <w:bCs/>
          <w:lang w:val="en-US"/>
        </w:rPr>
        <w:t>recipient is approximately EUR 10,000-30,000 per year on average during the first three years post-transplantation</w:t>
      </w:r>
      <w:r w:rsidRPr="00301749">
        <w:rPr>
          <w:lang w:val="en-US"/>
        </w:rPr>
        <w:t>.</w:t>
      </w:r>
      <w:r w:rsidR="00E37E25">
        <w:rPr>
          <w:rStyle w:val="FootnoteReference"/>
          <w:lang w:val="en-US"/>
        </w:rPr>
        <w:footnoteReference w:id="251"/>
      </w:r>
      <w:r>
        <w:rPr>
          <w:lang w:val="en-US"/>
        </w:rPr>
        <w:t xml:space="preserve"> </w:t>
      </w:r>
      <w:r w:rsidRPr="00301749">
        <w:rPr>
          <w:lang w:val="en-US"/>
        </w:rPr>
        <w:t xml:space="preserve">Adopting a mid-range estimate of </w:t>
      </w:r>
      <w:r>
        <w:rPr>
          <w:lang w:val="en-US"/>
        </w:rPr>
        <w:t>EUR 20</w:t>
      </w:r>
      <w:r w:rsidRPr="00301749">
        <w:rPr>
          <w:lang w:val="en-US"/>
        </w:rPr>
        <w:t xml:space="preserve">,000 in net annual savings per kidney transplant (dialysis costs avoided minus transplant maintenance), the </w:t>
      </w:r>
      <w:r w:rsidRPr="0080393C">
        <w:rPr>
          <w:lang w:val="en-US"/>
        </w:rPr>
        <w:t>~847 additional kidney transplants per year</w:t>
      </w:r>
      <w:r>
        <w:rPr>
          <w:lang w:val="en-US"/>
        </w:rPr>
        <w:t xml:space="preserve"> </w:t>
      </w:r>
      <w:r w:rsidRPr="00301749">
        <w:rPr>
          <w:lang w:val="en-US"/>
        </w:rPr>
        <w:t>by 2035 imply recurrent annual savings of</w:t>
      </w:r>
      <w:r>
        <w:rPr>
          <w:lang w:val="en-US"/>
        </w:rPr>
        <w:t xml:space="preserve"> approx. </w:t>
      </w:r>
      <w:r w:rsidRPr="00756A52">
        <w:rPr>
          <w:b/>
          <w:bCs/>
          <w:lang w:val="en-US"/>
        </w:rPr>
        <w:t xml:space="preserve">EUR </w:t>
      </w:r>
      <w:r>
        <w:rPr>
          <w:b/>
          <w:bCs/>
          <w:lang w:val="en-US"/>
        </w:rPr>
        <w:t>17</w:t>
      </w:r>
      <w:r w:rsidRPr="00301749">
        <w:rPr>
          <w:b/>
          <w:bCs/>
          <w:lang w:val="en-US"/>
        </w:rPr>
        <w:t xml:space="preserve"> million</w:t>
      </w:r>
      <w:r w:rsidRPr="00301749">
        <w:rPr>
          <w:lang w:val="en-US"/>
        </w:rPr>
        <w:t xml:space="preserve"> </w:t>
      </w:r>
      <w:r w:rsidRPr="00301749">
        <w:rPr>
          <w:b/>
          <w:bCs/>
          <w:lang w:val="en-US"/>
        </w:rPr>
        <w:t>per year from each annual cohort of additional transplants</w:t>
      </w:r>
      <w:r>
        <w:rPr>
          <w:b/>
          <w:bCs/>
          <w:lang w:val="en-US"/>
        </w:rPr>
        <w:t xml:space="preserve"> </w:t>
      </w:r>
      <w:r>
        <w:rPr>
          <w:lang w:val="en-US"/>
        </w:rPr>
        <w:t xml:space="preserve">(of which </w:t>
      </w:r>
      <w:r w:rsidRPr="00301749">
        <w:rPr>
          <w:lang w:val="en-US"/>
        </w:rPr>
        <w:t xml:space="preserve">approximately </w:t>
      </w:r>
      <w:r>
        <w:rPr>
          <w:lang w:val="en-US"/>
        </w:rPr>
        <w:t>45-110</w:t>
      </w:r>
      <w:r w:rsidRPr="00301749">
        <w:rPr>
          <w:lang w:val="en-US"/>
        </w:rPr>
        <w:t xml:space="preserve"> </w:t>
      </w:r>
      <w:r>
        <w:rPr>
          <w:lang w:val="en-US"/>
        </w:rPr>
        <w:t xml:space="preserve">stem from the reduction in organ discard rate, accounting for </w:t>
      </w:r>
      <w:r>
        <w:t xml:space="preserve">EUR </w:t>
      </w:r>
      <w:r>
        <w:lastRenderedPageBreak/>
        <w:t>0.9-2.2 million/year</w:t>
      </w:r>
      <w:r>
        <w:rPr>
          <w:lang w:val="en-US"/>
        </w:rPr>
        <w:t>).</w:t>
      </w:r>
      <w:r w:rsidRPr="00301749">
        <w:rPr>
          <w:lang w:val="en-US"/>
        </w:rPr>
        <w:t xml:space="preserve"> This estimate excludes the substantial additional savings from avoided dialysis among patients who receive additional liver, lung, and other organ transplants (who would otherwise face end-stage organ failure with its associated intensive care and palliative costs), and it does not account for the productivity gains from returning transplant recipients to an active life.</w:t>
      </w:r>
    </w:p>
    <w:p w14:paraId="504A84C5" w14:textId="77777777" w:rsidR="00E37E25" w:rsidRPr="004570F2" w:rsidRDefault="00E37E25" w:rsidP="008151F9">
      <w:pPr>
        <w:rPr>
          <w:u w:val="single"/>
          <w:lang w:val="en-US"/>
        </w:rPr>
      </w:pPr>
      <w:bookmarkStart w:id="320" w:name="Xcef0b4735ca97419f62d04d5f6d671553134f03"/>
      <w:bookmarkEnd w:id="319"/>
      <w:r w:rsidRPr="004570F2">
        <w:rPr>
          <w:u w:val="single"/>
          <w:lang w:val="en-US"/>
        </w:rPr>
        <w:t>Deceased donor utilisation rate</w:t>
      </w:r>
    </w:p>
    <w:p w14:paraId="55D44FCF" w14:textId="2A1EE1DC" w:rsidR="00E37E25" w:rsidRPr="00301749" w:rsidRDefault="00E37E25" w:rsidP="00E37E25">
      <w:pPr>
        <w:rPr>
          <w:lang w:val="en-US"/>
        </w:rPr>
      </w:pPr>
      <w:r w:rsidRPr="00CE09DF">
        <w:rPr>
          <w:lang w:val="en-US"/>
        </w:rPr>
        <w:t xml:space="preserve">The </w:t>
      </w:r>
      <w:r w:rsidRPr="008151F9">
        <w:rPr>
          <w:b/>
          <w:lang w:val="en-US"/>
        </w:rPr>
        <w:t xml:space="preserve">deceased donor utilisation rate </w:t>
      </w:r>
      <w:r w:rsidRPr="00CE09DF">
        <w:rPr>
          <w:lang w:val="en-US"/>
        </w:rPr>
        <w:t>measures whether a donor from whom organs are procured ultimately yields at least one transplant</w:t>
      </w:r>
      <w:r w:rsidRPr="00301749">
        <w:rPr>
          <w:lang w:val="en-US"/>
        </w:rPr>
        <w:t xml:space="preserve">. </w:t>
      </w:r>
    </w:p>
    <w:p w14:paraId="1081F6C8" w14:textId="3CA94D5C" w:rsidR="00E37E25" w:rsidRPr="00301749" w:rsidRDefault="00E37E25" w:rsidP="00E37E25">
      <w:pPr>
        <w:rPr>
          <w:lang w:val="en-US"/>
        </w:rPr>
      </w:pPr>
      <w:r w:rsidRPr="00301749">
        <w:rPr>
          <w:lang w:val="en-US"/>
        </w:rPr>
        <w:t>Under the moderate scenario, the accelerated adoption of processing technologies is expected to yield an additional 0.5</w:t>
      </w:r>
      <w:r>
        <w:rPr>
          <w:lang w:val="en-US"/>
        </w:rPr>
        <w:t>-</w:t>
      </w:r>
      <w:r w:rsidRPr="00301749">
        <w:rPr>
          <w:lang w:val="en-US"/>
        </w:rPr>
        <w:t>1.0 percentage point improvement, reaching approximately 96</w:t>
      </w:r>
      <w:r>
        <w:rPr>
          <w:lang w:val="en-US"/>
        </w:rPr>
        <w:t>-</w:t>
      </w:r>
      <w:r w:rsidRPr="00301749">
        <w:rPr>
          <w:lang w:val="en-US"/>
        </w:rPr>
        <w:t>97</w:t>
      </w:r>
      <w:r w:rsidR="006856C2">
        <w:rPr>
          <w:lang w:val="en-US"/>
        </w:rPr>
        <w:t>%</w:t>
      </w:r>
      <w:r w:rsidRPr="00301749">
        <w:rPr>
          <w:lang w:val="en-US"/>
        </w:rPr>
        <w:t xml:space="preserve"> by 2035. Applied to the projected number of actual deceased donors (~12,000</w:t>
      </w:r>
      <w:r>
        <w:rPr>
          <w:lang w:val="en-US"/>
        </w:rPr>
        <w:t>-</w:t>
      </w:r>
      <w:r w:rsidRPr="00301749">
        <w:rPr>
          <w:lang w:val="en-US"/>
        </w:rPr>
        <w:t xml:space="preserve">12,500 by 2035, assuming modest growth in the donor pool), this implies that an </w:t>
      </w:r>
      <w:r w:rsidRPr="00301749">
        <w:rPr>
          <w:b/>
          <w:bCs/>
          <w:lang w:val="en-US"/>
        </w:rPr>
        <w:t>additional 60</w:t>
      </w:r>
      <w:r w:rsidRPr="00993BF6">
        <w:rPr>
          <w:b/>
          <w:bCs/>
          <w:lang w:val="en-US"/>
        </w:rPr>
        <w:t>-</w:t>
      </w:r>
      <w:r w:rsidRPr="00301749">
        <w:rPr>
          <w:b/>
          <w:bCs/>
          <w:lang w:val="en-US"/>
        </w:rPr>
        <w:t>125 donors would proceed to at least one transplant annually</w:t>
      </w:r>
      <w:r w:rsidRPr="00301749">
        <w:rPr>
          <w:lang w:val="en-US"/>
        </w:rPr>
        <w:t xml:space="preserve"> compared with the baseline. The gains are expected to be concentrated among DCD donors, where the policy-induced improvement may be as large as 2</w:t>
      </w:r>
      <w:r>
        <w:rPr>
          <w:lang w:val="en-US"/>
        </w:rPr>
        <w:t>-</w:t>
      </w:r>
      <w:r w:rsidRPr="00301749">
        <w:rPr>
          <w:lang w:val="en-US"/>
        </w:rPr>
        <w:t>3 percentage points (from a baseline-projected ~88</w:t>
      </w:r>
      <w:r w:rsidR="006856C2">
        <w:rPr>
          <w:lang w:val="en-US"/>
        </w:rPr>
        <w:t>%</w:t>
      </w:r>
      <w:r w:rsidRPr="00301749">
        <w:rPr>
          <w:lang w:val="en-US"/>
        </w:rPr>
        <w:t xml:space="preserve"> to ~90</w:t>
      </w:r>
      <w:r>
        <w:rPr>
          <w:lang w:val="en-US"/>
        </w:rPr>
        <w:t>-</w:t>
      </w:r>
      <w:r w:rsidRPr="00301749">
        <w:rPr>
          <w:lang w:val="en-US"/>
        </w:rPr>
        <w:t>91</w:t>
      </w:r>
      <w:r w:rsidR="006856C2">
        <w:rPr>
          <w:lang w:val="en-US"/>
        </w:rPr>
        <w:t>%</w:t>
      </w:r>
      <w:r w:rsidRPr="00301749">
        <w:rPr>
          <w:lang w:val="en-US"/>
        </w:rPr>
        <w:t>), reflecting the particular clinical value of machine perfusion in managing the ischaemic injury inherent in circulatory-death donation.</w:t>
      </w:r>
    </w:p>
    <w:p w14:paraId="64E512E6" w14:textId="6A440EBD" w:rsidR="00E37E25" w:rsidRPr="00301749" w:rsidRDefault="00E37E25" w:rsidP="00E37E25">
      <w:pPr>
        <w:rPr>
          <w:b/>
          <w:bCs/>
          <w:lang w:val="en-US"/>
        </w:rPr>
      </w:pPr>
      <w:r w:rsidRPr="00301749">
        <w:rPr>
          <w:lang w:val="en-US"/>
        </w:rPr>
        <w:t xml:space="preserve">This indicator measures donor-level salvage rather than organ-level salvage. A donor who, under the baseline, would have been abandoned entirely because all procured organs were deemed unviable may, with processing, yield one or more transplantable organs. </w:t>
      </w:r>
      <w:r w:rsidRPr="00301749">
        <w:rPr>
          <w:b/>
          <w:bCs/>
          <w:lang w:val="en-US"/>
        </w:rPr>
        <w:t xml:space="preserve">The combined effect of </w:t>
      </w:r>
      <w:r w:rsidR="00502816">
        <w:rPr>
          <w:b/>
          <w:bCs/>
          <w:lang w:val="en-US"/>
        </w:rPr>
        <w:t>the above</w:t>
      </w:r>
      <w:r w:rsidRPr="00301749">
        <w:rPr>
          <w:b/>
          <w:bCs/>
          <w:lang w:val="en-US"/>
        </w:rPr>
        <w:t xml:space="preserve"> indicators is therefore larger than either alone.</w:t>
      </w:r>
    </w:p>
    <w:p w14:paraId="4312DCE4" w14:textId="77777777" w:rsidR="00E37E25" w:rsidRPr="004570F2" w:rsidRDefault="00E37E25" w:rsidP="008151F9">
      <w:pPr>
        <w:rPr>
          <w:u w:val="single"/>
          <w:lang w:val="en-US"/>
        </w:rPr>
      </w:pPr>
      <w:bookmarkStart w:id="321" w:name="Xa7ab6714196a90543e3ede2640a760cd6d31c17"/>
      <w:bookmarkEnd w:id="320"/>
      <w:r w:rsidRPr="004570F2">
        <w:rPr>
          <w:u w:val="single"/>
          <w:lang w:val="en-US"/>
        </w:rPr>
        <w:t>Organ yield per utilised deceased donor</w:t>
      </w:r>
    </w:p>
    <w:p w14:paraId="45B100C7" w14:textId="7E4131DE" w:rsidR="00E37E25" w:rsidRPr="00301749" w:rsidRDefault="00E37E25" w:rsidP="00E37E25">
      <w:pPr>
        <w:rPr>
          <w:lang w:val="en-US"/>
        </w:rPr>
      </w:pPr>
      <w:r w:rsidRPr="00301749">
        <w:rPr>
          <w:lang w:val="en-US"/>
        </w:rPr>
        <w:t xml:space="preserve">Processing technologies rehabilitate individual organs within multi-organ donors that would otherwise be discarded, thereby increasing the per-donor transplant count. </w:t>
      </w:r>
    </w:p>
    <w:p w14:paraId="3327B0A1" w14:textId="2B29C58E" w:rsidR="00E37E25" w:rsidRPr="00301749" w:rsidRDefault="5D49E94A" w:rsidP="00E37E25">
      <w:pPr>
        <w:rPr>
          <w:lang w:val="en-US"/>
        </w:rPr>
      </w:pPr>
      <w:r w:rsidRPr="00301749">
        <w:rPr>
          <w:lang w:val="en-US"/>
        </w:rPr>
        <w:t>Under the moderate scenario, the broader adoption of processing is expected to increase organ yield by an additional 0.05</w:t>
      </w:r>
      <w:r>
        <w:rPr>
          <w:lang w:val="en-US"/>
        </w:rPr>
        <w:t>-</w:t>
      </w:r>
      <w:r w:rsidRPr="00301749">
        <w:rPr>
          <w:lang w:val="en-US"/>
        </w:rPr>
        <w:t>0.15 per utilised donor beyond the baseline, reaching approximately 2.9</w:t>
      </w:r>
      <w:r>
        <w:rPr>
          <w:lang w:val="en-US"/>
        </w:rPr>
        <w:t>0-</w:t>
      </w:r>
      <w:r w:rsidRPr="00301749">
        <w:rPr>
          <w:lang w:val="en-US"/>
        </w:rPr>
        <w:t xml:space="preserve">3.05 by 2035. Applied to approximately </w:t>
      </w:r>
      <w:r>
        <w:t>11,663</w:t>
      </w:r>
      <w:r>
        <w:rPr>
          <w:lang w:val="en-US"/>
        </w:rPr>
        <w:t>-</w:t>
      </w:r>
      <w:r>
        <w:t xml:space="preserve">11,868 </w:t>
      </w:r>
      <w:r w:rsidRPr="00301749">
        <w:rPr>
          <w:lang w:val="en-US"/>
        </w:rPr>
        <w:t>utilised donors projected by 2035</w:t>
      </w:r>
      <w:r w:rsidR="00E37E25">
        <w:rPr>
          <w:rStyle w:val="FootnoteReference"/>
          <w:lang w:val="en-US"/>
        </w:rPr>
        <w:footnoteReference w:id="252"/>
      </w:r>
      <w:r w:rsidRPr="00301749">
        <w:rPr>
          <w:lang w:val="en-US"/>
        </w:rPr>
        <w:t xml:space="preserve">, this translates to approximately </w:t>
      </w:r>
      <w:r w:rsidRPr="00301749">
        <w:rPr>
          <w:b/>
          <w:bCs/>
          <w:lang w:val="en-US"/>
        </w:rPr>
        <w:t>5</w:t>
      </w:r>
      <w:r>
        <w:rPr>
          <w:b/>
          <w:bCs/>
          <w:lang w:val="en-US"/>
        </w:rPr>
        <w:t>83</w:t>
      </w:r>
      <w:r w:rsidRPr="00993BF6">
        <w:rPr>
          <w:b/>
          <w:bCs/>
          <w:lang w:val="en-US"/>
        </w:rPr>
        <w:t>-</w:t>
      </w:r>
      <w:r w:rsidRPr="00301749">
        <w:rPr>
          <w:b/>
          <w:bCs/>
          <w:lang w:val="en-US"/>
        </w:rPr>
        <w:t>1,</w:t>
      </w:r>
      <w:r>
        <w:rPr>
          <w:b/>
          <w:bCs/>
          <w:lang w:val="en-US"/>
        </w:rPr>
        <w:t>7</w:t>
      </w:r>
      <w:r w:rsidRPr="00301749">
        <w:rPr>
          <w:b/>
          <w:bCs/>
          <w:lang w:val="en-US"/>
        </w:rPr>
        <w:t>80 additional organs per year,</w:t>
      </w:r>
      <w:r w:rsidRPr="00301749">
        <w:rPr>
          <w:lang w:val="en-US"/>
        </w:rPr>
        <w:t xml:space="preserve"> a range that brackets central estimate of ~1,</w:t>
      </w:r>
      <w:r>
        <w:rPr>
          <w:lang w:val="en-US"/>
        </w:rPr>
        <w:t>435</w:t>
      </w:r>
      <w:r w:rsidRPr="00301749">
        <w:rPr>
          <w:lang w:val="en-US"/>
        </w:rPr>
        <w:t xml:space="preserve"> additional transplants per year, providing internal consistency.</w:t>
      </w:r>
    </w:p>
    <w:p w14:paraId="14AFE28A" w14:textId="390DFAA8" w:rsidR="00E37E25" w:rsidRPr="00301749" w:rsidRDefault="00FB397C" w:rsidP="00E37E25">
      <w:pPr>
        <w:rPr>
          <w:lang w:val="en-US"/>
        </w:rPr>
      </w:pPr>
      <w:r>
        <w:rPr>
          <w:lang w:val="en-US"/>
        </w:rPr>
        <w:t>W</w:t>
      </w:r>
      <w:r w:rsidR="00E37E25" w:rsidRPr="00301749">
        <w:rPr>
          <w:lang w:val="en-US"/>
        </w:rPr>
        <w:t xml:space="preserve">hile the discard rate captures whether a specific procured organ is transplanted, </w:t>
      </w:r>
      <w:r w:rsidR="00E37E25" w:rsidRPr="008151F9">
        <w:rPr>
          <w:b/>
          <w:lang w:val="en-US"/>
        </w:rPr>
        <w:t>the organ yield captures the aggregate recovery per donor</w:t>
      </w:r>
      <w:r w:rsidR="00E37E25" w:rsidRPr="00301749">
        <w:rPr>
          <w:lang w:val="en-US"/>
        </w:rPr>
        <w:t>. A centre that begins processing livers may simultaneously discover that viability assessment enables it to accept additional kidneys from the same donor, a synergistic “technology spillover” effect that is well-documented in the clinical literature.</w:t>
      </w:r>
    </w:p>
    <w:p w14:paraId="3A9277A3" w14:textId="77777777" w:rsidR="00E37E25" w:rsidRPr="004570F2" w:rsidRDefault="00E37E25" w:rsidP="008151F9">
      <w:pPr>
        <w:rPr>
          <w:u w:val="single"/>
          <w:lang w:val="en-US"/>
        </w:rPr>
      </w:pPr>
      <w:bookmarkStart w:id="322" w:name="X5bfcbfd3cb24df386278dd1ea030bf28ea498ae"/>
      <w:bookmarkEnd w:id="321"/>
      <w:r w:rsidRPr="004570F2">
        <w:rPr>
          <w:u w:val="single"/>
          <w:lang w:val="en-US"/>
        </w:rPr>
        <w:lastRenderedPageBreak/>
        <w:t>Rate of serious adverse events and reactions (SAE/SAR)</w:t>
      </w:r>
    </w:p>
    <w:p w14:paraId="20048833" w14:textId="78802E42" w:rsidR="00E37E25" w:rsidRPr="00301749" w:rsidRDefault="00E37E25" w:rsidP="00E37E25">
      <w:pPr>
        <w:rPr>
          <w:lang w:val="en-US"/>
        </w:rPr>
      </w:pPr>
      <w:r w:rsidRPr="00301749">
        <w:rPr>
          <w:lang w:val="en-US"/>
        </w:rPr>
        <w:t xml:space="preserve">The proposed authorisation regime introduces three safety-relevant mechanisms that are absent under the baseline: </w:t>
      </w:r>
      <w:r>
        <w:rPr>
          <w:lang w:val="en-US"/>
        </w:rPr>
        <w:t>a</w:t>
      </w:r>
      <w:r w:rsidRPr="00301749">
        <w:rPr>
          <w:lang w:val="en-US"/>
        </w:rPr>
        <w:t xml:space="preserve">) mandatory benefit–risk assessment prior to the clinical application of any processing technique; </w:t>
      </w:r>
      <w:r>
        <w:rPr>
          <w:lang w:val="en-US"/>
        </w:rPr>
        <w:t>b</w:t>
      </w:r>
      <w:r w:rsidRPr="00301749">
        <w:rPr>
          <w:lang w:val="en-US"/>
        </w:rPr>
        <w:t>) mandatory clinical-outcome monitoring plans for novel or higher-risk processing techniques, which generate structured evidence on processing-related adverse events; and</w:t>
      </w:r>
      <w:r>
        <w:rPr>
          <w:lang w:val="en-US"/>
        </w:rPr>
        <w:t xml:space="preserve"> c)</w:t>
      </w:r>
      <w:r w:rsidRPr="00301749">
        <w:rPr>
          <w:lang w:val="en-US"/>
        </w:rPr>
        <w:t xml:space="preserve"> the addition of “Processing” as a data field in the complementary data set, which creates the taxonomic infrastructure to disaggregate processing-attributable events from those attributable to other causes.</w:t>
      </w:r>
    </w:p>
    <w:p w14:paraId="4C9B1A89" w14:textId="41AE6CB6" w:rsidR="00E37E25" w:rsidRPr="00301749" w:rsidRDefault="00B952D2" w:rsidP="00E37E25">
      <w:pPr>
        <w:rPr>
          <w:lang w:val="en-US"/>
        </w:rPr>
      </w:pPr>
      <w:r>
        <w:rPr>
          <w:lang w:val="en-US"/>
        </w:rPr>
        <w:t xml:space="preserve">The </w:t>
      </w:r>
      <w:r w:rsidR="00E37E25" w:rsidRPr="00301749">
        <w:rPr>
          <w:lang w:val="en-US"/>
        </w:rPr>
        <w:t xml:space="preserve">impact of the authorisation regime on SAE/SAR rates </w:t>
      </w:r>
      <w:r>
        <w:rPr>
          <w:lang w:val="en-US"/>
        </w:rPr>
        <w:t>could not be quantified</w:t>
      </w:r>
      <w:r w:rsidR="00E37E25" w:rsidRPr="00301749">
        <w:rPr>
          <w:lang w:val="en-US"/>
        </w:rPr>
        <w:t xml:space="preserve">. First, </w:t>
      </w:r>
      <w:r w:rsidR="00036767">
        <w:rPr>
          <w:lang w:val="en-US"/>
        </w:rPr>
        <w:t xml:space="preserve">the </w:t>
      </w:r>
      <w:r w:rsidR="00B25854">
        <w:rPr>
          <w:lang w:val="en-US"/>
        </w:rPr>
        <w:t>available evidence</w:t>
      </w:r>
      <w:r w:rsidR="00E37E25" w:rsidRPr="00301749">
        <w:rPr>
          <w:lang w:val="en-US"/>
        </w:rPr>
        <w:t xml:space="preserve"> </w:t>
      </w:r>
      <w:r w:rsidR="00036767">
        <w:rPr>
          <w:lang w:val="en-US"/>
        </w:rPr>
        <w:t>does not</w:t>
      </w:r>
      <w:r w:rsidR="00E37E25" w:rsidRPr="00301749">
        <w:rPr>
          <w:lang w:val="en-US"/>
        </w:rPr>
        <w:t xml:space="preserve"> disaggregate processing-attributable adverse events, </w:t>
      </w:r>
      <w:r w:rsidR="00B25854">
        <w:rPr>
          <w:lang w:val="en-US"/>
        </w:rPr>
        <w:t>thus</w:t>
      </w:r>
      <w:r w:rsidR="00B25854" w:rsidRPr="00301749">
        <w:rPr>
          <w:lang w:val="en-US"/>
        </w:rPr>
        <w:t xml:space="preserve"> </w:t>
      </w:r>
      <w:r w:rsidR="00E37E25" w:rsidRPr="00301749">
        <w:rPr>
          <w:lang w:val="en-US"/>
        </w:rPr>
        <w:t>there is no baseline against which to measure a processing-specific safety improvement. Second, the initial effect of improved reporting infrastructure is likely to increase recorded SAE/SARs, an artefact of better detection rather than worse safety. Third, the adverse events prevented by the ex-ante safety filter (i.e., processing techniques that are not authorised because they fail the benefit–risk assessment) are counterfactual events.</w:t>
      </w:r>
    </w:p>
    <w:p w14:paraId="7555D208" w14:textId="3AC4DBF1" w:rsidR="00E37E25" w:rsidRDefault="00133FD1" w:rsidP="00E37E25">
      <w:pPr>
        <w:rPr>
          <w:lang w:val="en-US"/>
        </w:rPr>
      </w:pPr>
      <w:r>
        <w:rPr>
          <w:lang w:val="en-US"/>
        </w:rPr>
        <w:t>A first qualitative conclusion is that</w:t>
      </w:r>
      <w:r w:rsidR="00E37E25" w:rsidRPr="00301749">
        <w:rPr>
          <w:lang w:val="en-US"/>
        </w:rPr>
        <w:t xml:space="preserve"> the authorisation regime will</w:t>
      </w:r>
      <w:r w:rsidR="00E37E25" w:rsidRPr="008151F9">
        <w:rPr>
          <w:b/>
          <w:lang w:val="en-US"/>
        </w:rPr>
        <w:t xml:space="preserve"> create a systematic capacity to detect and attribute processing-related adverse events at the EU level</w:t>
      </w:r>
      <w:r w:rsidR="00E37E25" w:rsidRPr="00301749">
        <w:rPr>
          <w:lang w:val="en-US"/>
        </w:rPr>
        <w:t xml:space="preserve">. This </w:t>
      </w:r>
      <w:r w:rsidR="00E37E25" w:rsidRPr="00301749" w:rsidDel="00FD4402">
        <w:rPr>
          <w:lang w:val="en-US"/>
        </w:rPr>
        <w:t>is</w:t>
      </w:r>
      <w:r w:rsidR="00FD4402" w:rsidRPr="00301749">
        <w:rPr>
          <w:lang w:val="en-US"/>
        </w:rPr>
        <w:t xml:space="preserve"> a</w:t>
      </w:r>
      <w:r w:rsidR="00E37E25" w:rsidRPr="00301749">
        <w:rPr>
          <w:lang w:val="en-US"/>
        </w:rPr>
        <w:t xml:space="preserve"> significant safety improvement over the baseline, where processing-related harms may be occurring but going unrecorded because the existing vigilance taxonomy does not include processing as a cause category. </w:t>
      </w:r>
      <w:r w:rsidR="00A425AA">
        <w:rPr>
          <w:lang w:val="en-US"/>
        </w:rPr>
        <w:t>A s</w:t>
      </w:r>
      <w:r w:rsidR="00E37E25" w:rsidRPr="00301749">
        <w:rPr>
          <w:lang w:val="en-US"/>
        </w:rPr>
        <w:t>econd</w:t>
      </w:r>
      <w:r w:rsidR="00A425AA">
        <w:rPr>
          <w:lang w:val="en-US"/>
        </w:rPr>
        <w:t xml:space="preserve"> qualitative conclusion is that</w:t>
      </w:r>
      <w:r w:rsidR="00E37E25" w:rsidRPr="00301749">
        <w:rPr>
          <w:lang w:val="en-US"/>
        </w:rPr>
        <w:t xml:space="preserve"> </w:t>
      </w:r>
      <w:r w:rsidR="00E37E25" w:rsidRPr="008151F9">
        <w:rPr>
          <w:b/>
          <w:lang w:val="en-US"/>
        </w:rPr>
        <w:t xml:space="preserve">each organ lost to an unregulated, ineffective processing attempt represents both a direct patient-safety failure </w:t>
      </w:r>
      <w:r w:rsidR="00E37E25" w:rsidRPr="00301749">
        <w:rPr>
          <w:lang w:val="en-US"/>
        </w:rPr>
        <w:t xml:space="preserve">(potential harm to the intended recipient) </w:t>
      </w:r>
      <w:r w:rsidR="00E37E25" w:rsidRPr="008151F9">
        <w:rPr>
          <w:b/>
          <w:lang w:val="en-US"/>
        </w:rPr>
        <w:t>and an indirect</w:t>
      </w:r>
      <w:r w:rsidR="00E37E25" w:rsidRPr="00301749">
        <w:rPr>
          <w:lang w:val="en-US"/>
        </w:rPr>
        <w:t xml:space="preserve"> </w:t>
      </w:r>
      <w:r w:rsidR="00E37E25" w:rsidRPr="008151F9">
        <w:rPr>
          <w:b/>
          <w:lang w:val="en-US"/>
        </w:rPr>
        <w:t>harm</w:t>
      </w:r>
      <w:r w:rsidR="00E37E25" w:rsidRPr="00301749">
        <w:rPr>
          <w:lang w:val="en-US"/>
        </w:rPr>
        <w:t xml:space="preserve"> (denial of a viable organ to another patient on the waiting list).</w:t>
      </w:r>
      <w:r w:rsidR="00E37E25">
        <w:rPr>
          <w:lang w:val="en-US"/>
        </w:rPr>
        <w:t xml:space="preserve"> </w:t>
      </w:r>
    </w:p>
    <w:p w14:paraId="78677C0E" w14:textId="0696F398" w:rsidR="00E37E25" w:rsidRPr="00301749" w:rsidRDefault="00E37E25" w:rsidP="00E37E25">
      <w:pPr>
        <w:rPr>
          <w:lang w:val="en-US"/>
        </w:rPr>
      </w:pPr>
      <w:r w:rsidRPr="00301749">
        <w:rPr>
          <w:lang w:val="en-US"/>
        </w:rPr>
        <w:t>Over the medium term (post-2035), the accumulation of structured clinical-outcome data from monitoring plans under Article 6</w:t>
      </w:r>
      <w:r w:rsidR="224CA5CA" w:rsidRPr="716A734C">
        <w:rPr>
          <w:lang w:val="en-US"/>
        </w:rPr>
        <w:t>a (</w:t>
      </w:r>
      <w:r w:rsidRPr="00301749">
        <w:rPr>
          <w:lang w:val="en-US"/>
        </w:rPr>
        <w:t>3) will enable evidence-based refinement of processing protocols, progressively improving the safety profile of the field.</w:t>
      </w:r>
    </w:p>
    <w:p w14:paraId="350F2EBB" w14:textId="77777777" w:rsidR="00E37E25" w:rsidRPr="004570F2" w:rsidRDefault="00E37E25" w:rsidP="008151F9">
      <w:pPr>
        <w:rPr>
          <w:u w:val="single"/>
          <w:lang w:val="en-US"/>
        </w:rPr>
      </w:pPr>
      <w:bookmarkStart w:id="323" w:name="X1bf0d9fd21fd6991a43a59aea6af2719c2c240a"/>
      <w:bookmarkEnd w:id="322"/>
      <w:r w:rsidRPr="004570F2">
        <w:rPr>
          <w:u w:val="single"/>
          <w:lang w:val="en-US"/>
        </w:rPr>
        <w:t>Average waiting time to transplantation</w:t>
      </w:r>
    </w:p>
    <w:p w14:paraId="22808956" w14:textId="393209DA" w:rsidR="00E37E25" w:rsidRPr="00301749" w:rsidRDefault="00E37E25" w:rsidP="00E37E25">
      <w:pPr>
        <w:rPr>
          <w:lang w:val="en-US"/>
        </w:rPr>
      </w:pPr>
      <w:r w:rsidRPr="00301749">
        <w:rPr>
          <w:lang w:val="en-US"/>
        </w:rPr>
        <w:t>Additional transplants generated by the policy reduce the backlog of patients on the waiting list, shortening the average time to transplantation. The effect is organ-specific and is most consequential for kidneys (42,855 of 52,488 active patients at end-2024, i.e. 82%).</w:t>
      </w:r>
    </w:p>
    <w:p w14:paraId="614B3757" w14:textId="2D368F28" w:rsidR="004F4B7D" w:rsidRDefault="5D49E94A" w:rsidP="326BBDD1">
      <w:r>
        <w:t>Under the moderate scenario, the ~1,435 additional transplants per year by 2035 would further reduce the turnover ratio. Under the baseline, 2035 transplant volumes are projected at ~38,200 against a waiting list of approximately 55,000-56,500 (derived from the T0 waiting list of 52,488 growing at the assumed 0.5</w:t>
      </w:r>
      <w:r w:rsidR="006856C2">
        <w:t>%</w:t>
      </w:r>
      <w:r>
        <w:t xml:space="preserve"> per year). This yields a baseline turnover ratio of approximately 17.2-17.8 months. </w:t>
      </w:r>
      <w:r w:rsidRPr="004570F2">
        <w:t>With the additional ~1,435 transplants, the denominator rises to ~39,635, producing a turnover ratio of approximately 16.5-17.1 months; a reduction of approximately 0.6 months (roughly 2.5 weeks) relative to the baseline</w:t>
      </w:r>
      <w:r w:rsidRPr="00A4724E">
        <w:t xml:space="preserve">. </w:t>
      </w:r>
      <w:r w:rsidRPr="004570F2">
        <w:t>For kidney specifically,</w:t>
      </w:r>
      <w:r w:rsidRPr="008151F9">
        <w:rPr>
          <w:b/>
          <w:bCs/>
        </w:rPr>
        <w:t xml:space="preserve"> </w:t>
      </w:r>
      <w:r w:rsidRPr="004570F2">
        <w:t>where ~847 additional transplants (59</w:t>
      </w:r>
      <w:r w:rsidR="006856C2" w:rsidRPr="004570F2">
        <w:t>%</w:t>
      </w:r>
      <w:r w:rsidRPr="004570F2">
        <w:t xml:space="preserve"> of 1,435) are projected, and applying the same demand-side growth rate to the kidney waiting list (from 42,855 at T0 to approximately 44,500-46,000 by 2035),</w:t>
      </w:r>
      <w:r w:rsidRPr="008151F9">
        <w:rPr>
          <w:b/>
          <w:bCs/>
        </w:rPr>
        <w:t xml:space="preserve"> the kidney turnover ratio declines from a baseline of approximately 23.5-24.5 months to approximately 22.5-23.5 months, a reduction of approximately 1 month. </w:t>
      </w:r>
      <w:r w:rsidRPr="00301749">
        <w:rPr>
          <w:lang w:val="en-US"/>
        </w:rPr>
        <w:t>This aggregate effect is modest</w:t>
      </w:r>
      <w:r w:rsidR="5AEACA9F" w:rsidRPr="3F982D60">
        <w:rPr>
          <w:lang w:val="en-US"/>
        </w:rPr>
        <w:t>, as</w:t>
      </w:r>
      <w:r w:rsidRPr="00301749">
        <w:rPr>
          <w:lang w:val="en-US"/>
        </w:rPr>
        <w:t xml:space="preserve"> </w:t>
      </w:r>
      <w:r w:rsidRPr="00301749">
        <w:rPr>
          <w:lang w:val="en-US"/>
        </w:rPr>
        <w:lastRenderedPageBreak/>
        <w:t>the demand side (driven by demographic ageing and the rising prevalence of chronic kidney disease) is growing in parallel with the supply side, and the ~1,</w:t>
      </w:r>
      <w:r>
        <w:rPr>
          <w:lang w:val="en-US"/>
        </w:rPr>
        <w:t xml:space="preserve">435 </w:t>
      </w:r>
      <w:r w:rsidRPr="00301749">
        <w:rPr>
          <w:lang w:val="en-US"/>
        </w:rPr>
        <w:t>additional transplants per year represent a ~</w:t>
      </w:r>
      <w:r>
        <w:rPr>
          <w:lang w:val="en-US"/>
        </w:rPr>
        <w:t>3</w:t>
      </w:r>
      <w:r w:rsidRPr="00301749">
        <w:rPr>
          <w:lang w:val="en-US"/>
        </w:rPr>
        <w:t>.8</w:t>
      </w:r>
      <w:r w:rsidR="006856C2">
        <w:rPr>
          <w:lang w:val="en-US"/>
        </w:rPr>
        <w:t>%</w:t>
      </w:r>
      <w:r w:rsidRPr="00301749">
        <w:rPr>
          <w:lang w:val="en-US"/>
        </w:rPr>
        <w:t xml:space="preserve"> increment over the baseline transplant volume of ~38,200. </w:t>
      </w:r>
      <w:r w:rsidRPr="008151F9">
        <w:rPr>
          <w:b/>
          <w:bCs/>
          <w:lang w:val="en-US"/>
        </w:rPr>
        <w:t>A step-change in waiting times would require a substantially larger supply expansion than the processing amendments alone can deliver.</w:t>
      </w:r>
      <w:r w:rsidRPr="00301749">
        <w:rPr>
          <w:lang w:val="en-US"/>
        </w:rPr>
        <w:t xml:space="preserve"> </w:t>
      </w:r>
      <w:r w:rsidRPr="00D60FAE">
        <w:rPr>
          <w:lang w:val="en-US"/>
        </w:rPr>
        <w:t>Stakeholder</w:t>
      </w:r>
      <w:r w:rsidR="1A275899" w:rsidRPr="00D60FAE">
        <w:rPr>
          <w:lang w:val="en-US"/>
        </w:rPr>
        <w:t xml:space="preserve">s representing </w:t>
      </w:r>
      <w:r w:rsidR="251F7DF8" w:rsidRPr="00D60FAE">
        <w:rPr>
          <w:lang w:val="en-US"/>
        </w:rPr>
        <w:t>European societies of relevant healthcare professionals</w:t>
      </w:r>
      <w:r w:rsidRPr="00D60FAE">
        <w:rPr>
          <w:lang w:val="en-US"/>
        </w:rPr>
        <w:t xml:space="preserve"> identified domestic donation infrastructure (consent laws, transplant coordinators, elimination of conflicts of interest) rather than processing technology as the primary variable affecting system performance.</w:t>
      </w:r>
      <w:r w:rsidRPr="00D60FAE">
        <w:t xml:space="preserve"> </w:t>
      </w:r>
      <w:r w:rsidR="3EC64B03" w:rsidRPr="00D60FAE">
        <w:rPr>
          <w:lang w:val="en-US"/>
        </w:rPr>
        <w:t xml:space="preserve">However, the modest aggregate conceals a more meaningful effect for specific patient populations. </w:t>
      </w:r>
      <w:r w:rsidR="3EC64B03" w:rsidRPr="00D60FAE">
        <w:rPr>
          <w:b/>
          <w:bCs/>
          <w:lang w:val="en-US"/>
        </w:rPr>
        <w:t>Additional liver transplants (estimated 120-265/year) against a liver</w:t>
      </w:r>
      <w:r w:rsidR="3EC64B03" w:rsidRPr="008151F9">
        <w:rPr>
          <w:b/>
          <w:bCs/>
          <w:lang w:val="en-US"/>
        </w:rPr>
        <w:t xml:space="preserve"> waiting list of ~4,500 by 2035 would reduce the liver turnover ratio by approximately 0.1-0.2 months.</w:t>
      </w:r>
      <w:r w:rsidR="00E37E25">
        <w:rPr>
          <w:rStyle w:val="FootnoteReference"/>
          <w:lang w:val="en-US"/>
        </w:rPr>
        <w:footnoteReference w:id="253"/>
      </w:r>
      <w:r w:rsidR="3EC64B03" w:rsidRPr="00301749">
        <w:rPr>
          <w:lang w:val="en-US"/>
        </w:rPr>
        <w:t xml:space="preserve"> </w:t>
      </w:r>
      <w:r w:rsidR="3EC64B03" w:rsidRPr="008151F9">
        <w:rPr>
          <w:b/>
          <w:bCs/>
          <w:lang w:val="en-US"/>
        </w:rPr>
        <w:t>For lung, additional transplants (35-80/year) against a smaller waiting list (1,600) would reduce the turnover ratio by approximately 0.1-0.2 months</w:t>
      </w:r>
      <w:r w:rsidR="3EC64B03" w:rsidRPr="00301749">
        <w:rPr>
          <w:lang w:val="en-US"/>
        </w:rPr>
        <w:t>.</w:t>
      </w:r>
      <w:r w:rsidR="00E37E25">
        <w:rPr>
          <w:rStyle w:val="FootnoteReference"/>
          <w:lang w:val="en-US"/>
        </w:rPr>
        <w:footnoteReference w:id="254"/>
      </w:r>
      <w:r w:rsidR="3EC64B03" w:rsidRPr="00301749">
        <w:rPr>
          <w:lang w:val="en-US"/>
        </w:rPr>
        <w:t xml:space="preserve"> </w:t>
      </w:r>
      <w:r w:rsidR="3EC64B03" w:rsidRPr="008151F9">
        <w:rPr>
          <w:b/>
          <w:bCs/>
          <w:lang w:val="en-US"/>
        </w:rPr>
        <w:t xml:space="preserve">While organ-specific discard-reduction channel alone produces small waiting-time effects, but that the total policy effect (captured by the aggregate ~1,435 figure) delivers the approximately </w:t>
      </w:r>
      <w:r w:rsidR="66572F7B" w:rsidRPr="008151F9">
        <w:rPr>
          <w:b/>
          <w:bCs/>
          <w:lang w:val="en-US"/>
        </w:rPr>
        <w:t>0.5-0.7-month</w:t>
      </w:r>
      <w:r w:rsidR="3EC64B03" w:rsidRPr="008151F9">
        <w:rPr>
          <w:b/>
          <w:bCs/>
          <w:lang w:val="en-US"/>
        </w:rPr>
        <w:t xml:space="preserve"> aggregate reduction</w:t>
      </w:r>
      <w:r w:rsidR="3EC64B03" w:rsidRPr="00C41D3C">
        <w:rPr>
          <w:lang w:val="en-US"/>
        </w:rPr>
        <w:t>.</w:t>
      </w:r>
      <w:r w:rsidRPr="009607B1">
        <w:t xml:space="preserve"> </w:t>
      </w:r>
    </w:p>
    <w:p w14:paraId="7AD2FD7A" w14:textId="77777777" w:rsidR="004F4B7D" w:rsidRPr="005035FA" w:rsidRDefault="00E37E25" w:rsidP="326BBDD1">
      <w:pPr>
        <w:rPr>
          <w:u w:val="single"/>
          <w:lang w:val="en-US"/>
        </w:rPr>
      </w:pPr>
      <w:r w:rsidRPr="004570F2">
        <w:rPr>
          <w:u w:val="single"/>
          <w:lang w:val="en-US"/>
        </w:rPr>
        <w:t xml:space="preserve">Burden of kidney disease and dialysis dependence </w:t>
      </w:r>
    </w:p>
    <w:p w14:paraId="75A18293" w14:textId="35A64A99" w:rsidR="00E37E25" w:rsidRPr="008151F9" w:rsidRDefault="00E37E25" w:rsidP="326BBDD1">
      <w:pPr>
        <w:rPr>
          <w:b/>
        </w:rPr>
      </w:pPr>
      <w:r w:rsidRPr="00301749">
        <w:rPr>
          <w:lang w:val="en-US"/>
        </w:rPr>
        <w:t>Each additional kidney transplant removes one patient from chronic dialysis.</w:t>
      </w:r>
      <w:r w:rsidRPr="004570F2">
        <w:rPr>
          <w:lang w:val="en-US"/>
        </w:rPr>
        <w:t xml:space="preserve"> </w:t>
      </w:r>
      <w:bookmarkStart w:id="324" w:name="X8e6c2d0a8216c365f87bace069dbf8314fa4b38"/>
      <w:bookmarkEnd w:id="323"/>
      <w:r w:rsidRPr="00301749">
        <w:rPr>
          <w:lang w:val="en-US"/>
        </w:rPr>
        <w:t xml:space="preserve">Under the moderate scenario, approximately </w:t>
      </w:r>
      <w:r w:rsidRPr="00C73B90">
        <w:rPr>
          <w:lang w:val="en-US"/>
        </w:rPr>
        <w:t xml:space="preserve">847 </w:t>
      </w:r>
      <w:r w:rsidRPr="00301749">
        <w:rPr>
          <w:lang w:val="en-US"/>
        </w:rPr>
        <w:t>additional kidney transplants per year by 2035 (59% of the total ~1,</w:t>
      </w:r>
      <w:r>
        <w:rPr>
          <w:lang w:val="en-US"/>
        </w:rPr>
        <w:t>435</w:t>
      </w:r>
      <w:r w:rsidRPr="00301749">
        <w:rPr>
          <w:lang w:val="en-US"/>
        </w:rPr>
        <w:t xml:space="preserve"> additional transplants) would be performed. Cumulated over the 202</w:t>
      </w:r>
      <w:r>
        <w:rPr>
          <w:lang w:val="en-US"/>
        </w:rPr>
        <w:t>8</w:t>
      </w:r>
      <w:r w:rsidRPr="00360C54">
        <w:rPr>
          <w:lang w:val="en-US"/>
        </w:rPr>
        <w:t>-</w:t>
      </w:r>
      <w:r w:rsidRPr="00301749">
        <w:rPr>
          <w:lang w:val="en-US"/>
        </w:rPr>
        <w:t xml:space="preserve">2035 period, this yields approximately </w:t>
      </w:r>
      <w:r w:rsidRPr="00C73B90">
        <w:rPr>
          <w:lang w:val="en-US"/>
        </w:rPr>
        <w:t xml:space="preserve">3,660 </w:t>
      </w:r>
      <w:r w:rsidRPr="00301749">
        <w:rPr>
          <w:lang w:val="en-US"/>
        </w:rPr>
        <w:t xml:space="preserve">additional kidney transplants beyond the baseline. Assuming an average five-year kidney graft survival rate of approximately 90% (consistent with European registry data), approximately </w:t>
      </w:r>
      <w:r>
        <w:t xml:space="preserve">3,295 </w:t>
      </w:r>
      <w:r w:rsidRPr="00301749">
        <w:rPr>
          <w:lang w:val="en-US"/>
        </w:rPr>
        <w:t xml:space="preserve">additional patients would be living with a functioning transplant rather than on dialysis by 2035. Against a projected dialysis-dependent population of ~335,000 under the baseline, this represents a reduction of approximately </w:t>
      </w:r>
      <w:r>
        <w:rPr>
          <w:lang w:val="en-US"/>
        </w:rPr>
        <w:t>1.0</w:t>
      </w:r>
      <w:r w:rsidR="006856C2">
        <w:rPr>
          <w:lang w:val="en-US"/>
        </w:rPr>
        <w:t>%</w:t>
      </w:r>
      <w:r w:rsidRPr="00301749">
        <w:rPr>
          <w:lang w:val="en-US"/>
        </w:rPr>
        <w:t xml:space="preserve">. </w:t>
      </w:r>
      <w:r w:rsidRPr="008151F9">
        <w:rPr>
          <w:b/>
          <w:bCs/>
          <w:lang w:val="en-US"/>
        </w:rPr>
        <w:t xml:space="preserve">The </w:t>
      </w:r>
      <w:r w:rsidRPr="00301749">
        <w:rPr>
          <w:b/>
          <w:bCs/>
          <w:lang w:val="en-US"/>
        </w:rPr>
        <w:t>proportion of KRT patients on dialysis would decline from approximately 60.6</w:t>
      </w:r>
      <w:r w:rsidR="006856C2">
        <w:rPr>
          <w:b/>
          <w:bCs/>
          <w:lang w:val="en-US"/>
        </w:rPr>
        <w:t>%</w:t>
      </w:r>
      <w:r w:rsidRPr="00301749">
        <w:rPr>
          <w:b/>
          <w:bCs/>
          <w:lang w:val="en-US"/>
        </w:rPr>
        <w:t xml:space="preserve"> (baseline) to approximately 60.</w:t>
      </w:r>
      <w:r>
        <w:rPr>
          <w:b/>
          <w:bCs/>
          <w:lang w:val="en-US"/>
        </w:rPr>
        <w:t>0</w:t>
      </w:r>
      <w:r w:rsidR="006856C2">
        <w:rPr>
          <w:b/>
          <w:bCs/>
          <w:lang w:val="en-US"/>
        </w:rPr>
        <w:t>%</w:t>
      </w:r>
      <w:r w:rsidRPr="00301749">
        <w:rPr>
          <w:b/>
          <w:bCs/>
          <w:lang w:val="en-US"/>
        </w:rPr>
        <w:t xml:space="preserve"> (policy scenario),</w:t>
      </w:r>
      <w:r w:rsidRPr="00301749">
        <w:rPr>
          <w:lang w:val="en-US"/>
        </w:rPr>
        <w:t xml:space="preserve"> a measurable but structurally modest shift.</w:t>
      </w:r>
      <w:r w:rsidRPr="009607B1">
        <w:t xml:space="preserve"> </w:t>
      </w:r>
      <w:r w:rsidR="003E2FA2" w:rsidRPr="3F982D60">
        <w:rPr>
          <w:lang w:val="en-US"/>
        </w:rPr>
        <w:t>The policy only slows the growth of the dialysis-dependent population</w:t>
      </w:r>
      <w:r w:rsidRPr="00301749">
        <w:rPr>
          <w:lang w:val="en-US"/>
        </w:rPr>
        <w:t>: the additional ~</w:t>
      </w:r>
      <w:r>
        <w:t xml:space="preserve">847 </w:t>
      </w:r>
      <w:r w:rsidRPr="00301749">
        <w:rPr>
          <w:lang w:val="en-US"/>
        </w:rPr>
        <w:t>kidney transplants per year represent a ~</w:t>
      </w:r>
      <w:r>
        <w:rPr>
          <w:lang w:val="en-US"/>
        </w:rPr>
        <w:t>3</w:t>
      </w:r>
      <w:r w:rsidRPr="00301749">
        <w:rPr>
          <w:lang w:val="en-US"/>
        </w:rPr>
        <w:t>.</w:t>
      </w:r>
      <w:r>
        <w:rPr>
          <w:lang w:val="en-US"/>
        </w:rPr>
        <w:t>7</w:t>
      </w:r>
      <w:r w:rsidR="006856C2">
        <w:rPr>
          <w:lang w:val="en-US"/>
        </w:rPr>
        <w:t>%</w:t>
      </w:r>
      <w:r w:rsidRPr="00301749">
        <w:rPr>
          <w:lang w:val="en-US"/>
        </w:rPr>
        <w:t xml:space="preserve"> increment over baseline kidney transplant volumes, while the dialysis-dependent population is growing by approximately 1–1.5</w:t>
      </w:r>
      <w:r w:rsidR="006856C2">
        <w:rPr>
          <w:lang w:val="en-US"/>
        </w:rPr>
        <w:t>%</w:t>
      </w:r>
      <w:r w:rsidRPr="00301749">
        <w:rPr>
          <w:lang w:val="en-US"/>
        </w:rPr>
        <w:t xml:space="preserve"> per year (roughly 3,000</w:t>
      </w:r>
      <w:r>
        <w:rPr>
          <w:lang w:val="en-US"/>
        </w:rPr>
        <w:t>-</w:t>
      </w:r>
      <w:r w:rsidRPr="00301749">
        <w:rPr>
          <w:lang w:val="en-US"/>
        </w:rPr>
        <w:t xml:space="preserve">5,000 additional dialysis patients annually). </w:t>
      </w:r>
    </w:p>
    <w:p w14:paraId="63F6A9E3" w14:textId="1F599688" w:rsidR="00E37E25" w:rsidRPr="00301749" w:rsidRDefault="5D49E94A" w:rsidP="00E37E25">
      <w:pPr>
        <w:rPr>
          <w:lang w:val="en-US"/>
        </w:rPr>
      </w:pPr>
      <w:r w:rsidRPr="00301749">
        <w:rPr>
          <w:lang w:val="en-US"/>
        </w:rPr>
        <w:t xml:space="preserve">Using the conservative estimate of </w:t>
      </w:r>
      <w:r>
        <w:rPr>
          <w:lang w:val="en-US"/>
        </w:rPr>
        <w:t>EUR 2</w:t>
      </w:r>
      <w:r w:rsidRPr="00301749">
        <w:rPr>
          <w:lang w:val="en-US"/>
        </w:rPr>
        <w:t xml:space="preserve">0,000 in net annual savings per kidney transplant patient (dialysis avoided minus transplant maintenance), the approximately </w:t>
      </w:r>
      <w:r>
        <w:t xml:space="preserve">3,295 </w:t>
      </w:r>
      <w:r w:rsidRPr="00301749">
        <w:rPr>
          <w:lang w:val="en-US"/>
        </w:rPr>
        <w:t>additional patients living with a functioning transplant by 2035</w:t>
      </w:r>
      <w:r>
        <w:rPr>
          <w:lang w:val="en-US"/>
        </w:rPr>
        <w:t xml:space="preserve"> (representing the decrease </w:t>
      </w:r>
      <w:r>
        <w:rPr>
          <w:lang w:val="en-US"/>
        </w:rPr>
        <w:lastRenderedPageBreak/>
        <w:t>in d</w:t>
      </w:r>
      <w:r w:rsidRPr="002B3F1A">
        <w:rPr>
          <w:lang w:val="en-US"/>
        </w:rPr>
        <w:t>ialysis-dependent pop</w:t>
      </w:r>
      <w:r>
        <w:rPr>
          <w:lang w:val="en-US"/>
        </w:rPr>
        <w:t>ulation by 2035)</w:t>
      </w:r>
      <w:r w:rsidRPr="00301749">
        <w:rPr>
          <w:lang w:val="en-US"/>
        </w:rPr>
        <w:t xml:space="preserve"> </w:t>
      </w:r>
      <w:r w:rsidRPr="008151F9">
        <w:rPr>
          <w:b/>
          <w:bCs/>
          <w:lang w:val="en-US"/>
        </w:rPr>
        <w:t xml:space="preserve">would generate recurrent </w:t>
      </w:r>
      <w:r w:rsidRPr="7B2BDC9F">
        <w:rPr>
          <w:b/>
          <w:bCs/>
          <w:lang w:val="en-US"/>
        </w:rPr>
        <w:t>annual healthcare savings of approximately EUR 66 million per year from 2035 onwards</w:t>
      </w:r>
      <w:r w:rsidRPr="00301749">
        <w:rPr>
          <w:b/>
          <w:bCs/>
          <w:lang w:val="en-US"/>
        </w:rPr>
        <w:t>.</w:t>
      </w:r>
      <w:r w:rsidRPr="00301749">
        <w:rPr>
          <w:lang w:val="en-US"/>
        </w:rPr>
        <w:t xml:space="preserve"> </w:t>
      </w:r>
      <w:r w:rsidRPr="008151F9">
        <w:rPr>
          <w:b/>
          <w:bCs/>
          <w:lang w:val="en-US"/>
        </w:rPr>
        <w:t xml:space="preserve">The cumulative dialysis cost avoidance over the 2028–2035 period is estimated at approximately </w:t>
      </w:r>
      <w:r w:rsidRPr="7B2BDC9F">
        <w:rPr>
          <w:b/>
          <w:bCs/>
          <w:lang w:val="en-US"/>
        </w:rPr>
        <w:t>EUR 158 million</w:t>
      </w:r>
      <w:r w:rsidRPr="002B3F1A">
        <w:rPr>
          <w:lang w:val="en-US"/>
        </w:rPr>
        <w:t>.</w:t>
      </w:r>
      <w:r w:rsidR="00E37E25">
        <w:rPr>
          <w:rStyle w:val="FootnoteReference"/>
          <w:lang w:val="en-US"/>
        </w:rPr>
        <w:footnoteReference w:id="255"/>
      </w:r>
      <w:r w:rsidRPr="002B3F1A">
        <w:rPr>
          <w:lang w:val="en-US"/>
        </w:rPr>
        <w:t xml:space="preserve"> This estimate</w:t>
      </w:r>
      <w:r w:rsidR="49E03F40" w:rsidRPr="3F982D60">
        <w:rPr>
          <w:lang w:val="en-US"/>
        </w:rPr>
        <w:t xml:space="preserve"> </w:t>
      </w:r>
      <w:r w:rsidRPr="002B3F1A">
        <w:rPr>
          <w:lang w:val="en-US"/>
        </w:rPr>
        <w:t>applies the lower bound of the net savings range derivable from European health-economic literature, and excludes the broader economic benefits of reduced hospitalisation, improved quality of life, and restored workforce participation among transplant recipients.</w:t>
      </w:r>
    </w:p>
    <w:p w14:paraId="08E05870" w14:textId="77777777" w:rsidR="00E37E25" w:rsidRPr="004570F2" w:rsidRDefault="00E37E25" w:rsidP="008151F9">
      <w:pPr>
        <w:rPr>
          <w:u w:val="single"/>
          <w:lang w:val="en-US"/>
        </w:rPr>
      </w:pPr>
      <w:bookmarkStart w:id="325" w:name="indicator-12-waiting-list-mortality"/>
      <w:bookmarkEnd w:id="324"/>
      <w:r w:rsidRPr="004570F2">
        <w:rPr>
          <w:u w:val="single"/>
          <w:lang w:val="en-US"/>
        </w:rPr>
        <w:t>Waiting-list mortality</w:t>
      </w:r>
    </w:p>
    <w:p w14:paraId="21AD748A" w14:textId="29A4E1CD" w:rsidR="00E37E25" w:rsidRDefault="00E37E25" w:rsidP="00E37E25">
      <w:r>
        <w:t xml:space="preserve">Each additional transplant removes a patient from the waiting list and eliminates their exposure to waiting-list mortality risk. </w:t>
      </w:r>
    </w:p>
    <w:p w14:paraId="486CE16F" w14:textId="027A8EC2" w:rsidR="00E37E25" w:rsidRPr="0050745C" w:rsidRDefault="00E37E25" w:rsidP="00E37E25">
      <w:r>
        <w:t xml:space="preserve">To estimate the policy impact, </w:t>
      </w:r>
      <w:r w:rsidRPr="0050745C">
        <w:t>the</w:t>
      </w:r>
      <w:r w:rsidRPr="008151F9">
        <w:rPr>
          <w:b/>
        </w:rPr>
        <w:t xml:space="preserve"> annual waiting-list mortality rate to the patient-years of waiting-list exposure averted by additional transplants</w:t>
      </w:r>
      <w:r w:rsidR="00D31F6E">
        <w:t xml:space="preserve"> is applied. </w:t>
      </w:r>
      <w:r>
        <w:t>The annual waiting-list mortality rate at T0 is approximately 6.4</w:t>
      </w:r>
      <w:r w:rsidR="006856C2">
        <w:t>%</w:t>
      </w:r>
      <w:r>
        <w:t xml:space="preserve"> (3,366 deaths / 52,488 patients). By 2035, this rate may decline modestly to approximately 5.5-6.0</w:t>
      </w:r>
      <w:r w:rsidR="006856C2">
        <w:t>%</w:t>
      </w:r>
      <w:r>
        <w:t xml:space="preserve"> as transplant volumes grow. The ~1,435 additional transplants per year by 2035 each remove one patient from the waiting-list mortality risk pool. </w:t>
      </w:r>
      <w:r w:rsidR="00D31F6E">
        <w:t>N</w:t>
      </w:r>
      <w:r>
        <w:t xml:space="preserve">ot all additional transplants avert a death: many patients on the waiting list, particularly those with less urgent need, would survive to receive a transplant under the baseline regardless. </w:t>
      </w:r>
      <w:r w:rsidRPr="0050745C">
        <w:t>The marginal mortality-prevention effect of an additional transplant depends on the urgency profile of the patients reached.</w:t>
      </w:r>
    </w:p>
    <w:p w14:paraId="14113FE9" w14:textId="0D5D7DCA" w:rsidR="00E37E25" w:rsidRDefault="00E37E25" w:rsidP="00E37E25">
      <w:pPr>
        <w:rPr>
          <w:b/>
          <w:bCs/>
        </w:rPr>
      </w:pPr>
      <w:r>
        <w:t>If the annual waiting-list mortality rate among the marginal patient population (those who receive an additional transplant earlier than they would have under the baseline) is approximately 4-5</w:t>
      </w:r>
      <w:r w:rsidR="006856C2">
        <w:t>%</w:t>
      </w:r>
      <w:r>
        <w:t xml:space="preserve"> (lower than the average, reflecting that the most urgent patients are already prioritised under existing allocation systems), </w:t>
      </w:r>
      <w:r w:rsidRPr="008151F9">
        <w:rPr>
          <w:b/>
        </w:rPr>
        <w:t xml:space="preserve">~1,435 additional transplants per year would </w:t>
      </w:r>
      <w:r w:rsidRPr="004F5210">
        <w:rPr>
          <w:b/>
          <w:bCs/>
        </w:rPr>
        <w:t>prevent approximately 57-72 waiting-list deaths per year by 2035</w:t>
      </w:r>
      <w:r>
        <w:t xml:space="preserve">. Over the cumulative period 2028–2035, with a progressive ramp-up of additional transplant volumes, the </w:t>
      </w:r>
      <w:r w:rsidRPr="00B86346">
        <w:rPr>
          <w:b/>
          <w:bCs/>
        </w:rPr>
        <w:t>total number of waiting-list deaths averted is estimated at 2</w:t>
      </w:r>
      <w:r>
        <w:rPr>
          <w:b/>
          <w:bCs/>
        </w:rPr>
        <w:t>48-</w:t>
      </w:r>
      <w:r w:rsidRPr="00904609">
        <w:rPr>
          <w:b/>
          <w:bCs/>
        </w:rPr>
        <w:t>311</w:t>
      </w:r>
      <w:r w:rsidRPr="00B86346">
        <w:rPr>
          <w:b/>
          <w:bCs/>
        </w:rPr>
        <w:t>.</w:t>
      </w:r>
    </w:p>
    <w:p w14:paraId="74CD864A" w14:textId="1C7CA1F6" w:rsidR="00E37E25" w:rsidRDefault="00E37E25" w:rsidP="00E37E25">
      <w:r>
        <w:t xml:space="preserve">This estimate can be cross-validated against organ-specific waiting-list mortality data. </w:t>
      </w:r>
      <w:r w:rsidR="00B03DE2">
        <w:t>T</w:t>
      </w:r>
      <w:r>
        <w:t>he ~1,435 additional transplants per year by 2035 are allocated across organ types using the T0 EU-27 transplant distribution, yielding approximately 847 additional kidney transplants (~59</w:t>
      </w:r>
      <w:r w:rsidR="006856C2">
        <w:t>%</w:t>
      </w:r>
      <w:r>
        <w:t>), 357 liver transplants (24.9</w:t>
      </w:r>
      <w:r w:rsidR="006856C2">
        <w:t>%</w:t>
      </w:r>
      <w:r>
        <w:t>), and 99 lung transplants (6.9</w:t>
      </w:r>
      <w:r w:rsidR="006856C2">
        <w:t>%</w:t>
      </w:r>
      <w:r>
        <w:t>). Applying the organ-specific annual waiting-list mortality rates: kidney: 4.2</w:t>
      </w:r>
      <w:r w:rsidR="006856C2">
        <w:t>%</w:t>
      </w:r>
      <w:r>
        <w:t xml:space="preserve"> (1,797 deaths / 42,855 active </w:t>
      </w:r>
      <w:r>
        <w:lastRenderedPageBreak/>
        <w:t>patients); liver: 21.9</w:t>
      </w:r>
      <w:r w:rsidR="006856C2">
        <w:t>%</w:t>
      </w:r>
      <w:r>
        <w:t xml:space="preserve"> (934 / 4,270); lung: 14.7</w:t>
      </w:r>
      <w:r w:rsidR="006856C2">
        <w:t>%</w:t>
      </w:r>
      <w:r>
        <w:t xml:space="preserve"> (221 / 1,500), </w:t>
      </w:r>
      <w:r w:rsidRPr="004570F2">
        <w:rPr>
          <w:b/>
        </w:rPr>
        <w:t>t</w:t>
      </w:r>
      <w:r w:rsidRPr="008151F9">
        <w:rPr>
          <w:b/>
        </w:rPr>
        <w:t>he following averted deaths per year by 2035</w:t>
      </w:r>
      <w:r w:rsidR="00D35934" w:rsidRPr="008151F9">
        <w:rPr>
          <w:b/>
          <w:bCs/>
        </w:rPr>
        <w:t xml:space="preserve"> are estimated</w:t>
      </w:r>
      <w:r w:rsidRPr="008151F9">
        <w:rPr>
          <w:b/>
        </w:rPr>
        <w:t>: kidney ~36; liver ~78; lung ~15; summing to approximately 129 averted deaths per year.</w:t>
      </w:r>
    </w:p>
    <w:p w14:paraId="0BA5AB03" w14:textId="3BA59A94" w:rsidR="00E37E25" w:rsidRPr="00B86346" w:rsidRDefault="00E37E25" w:rsidP="00E37E25">
      <w:r w:rsidRPr="00904609">
        <w:t>This estimate substantially exceeds the aggregate estimate of 57–72 derived above. The divergence is a direct consequence of the methodological difference between the two approaches. The aggregate estimate applies a flat marginal mortality rate of 4–5</w:t>
      </w:r>
      <w:r w:rsidR="006856C2">
        <w:t>%</w:t>
      </w:r>
      <w:r w:rsidRPr="00904609">
        <w:t>, deliberately calibrated below the overall waiting-list average of 6.4</w:t>
      </w:r>
      <w:r w:rsidR="006856C2">
        <w:t>%</w:t>
      </w:r>
      <w:r w:rsidRPr="00904609">
        <w:t xml:space="preserve"> to reflect the assumption that marginal transplants disproportionately benefit less-urgent patients. </w:t>
      </w:r>
      <w:r w:rsidR="00646C43">
        <w:t>The</w:t>
      </w:r>
      <w:r w:rsidRPr="00904609">
        <w:t xml:space="preserve"> organ-specific approach applies actual waiting-list mortality rates and reveals that the additional transplant pool includes approximately 25</w:t>
      </w:r>
      <w:r w:rsidR="006856C2">
        <w:t>%</w:t>
      </w:r>
      <w:r w:rsidRPr="00904609">
        <w:t xml:space="preserve"> liver, an organ type whose waiting-list mortality (21.9</w:t>
      </w:r>
      <w:r w:rsidR="006856C2">
        <w:t>%</w:t>
      </w:r>
      <w:r w:rsidRPr="00904609">
        <w:t>) is more than five times the flat rate assumed. The organ-weighted average mortality rate across the additional transplant pool is approximately 9.8</w:t>
      </w:r>
      <w:r w:rsidR="006856C2">
        <w:t>%</w:t>
      </w:r>
      <w:r w:rsidRPr="00904609">
        <w:t>, roughly double the flat-rate assumption.</w:t>
      </w:r>
    </w:p>
    <w:p w14:paraId="7B893BC0" w14:textId="518E6097" w:rsidR="0038558D" w:rsidRPr="008151F9" w:rsidRDefault="2425C9DD" w:rsidP="00E37E25">
      <w:pPr>
        <w:rPr>
          <w:b/>
        </w:rPr>
      </w:pPr>
      <w:r>
        <w:t>T</w:t>
      </w:r>
      <w:r w:rsidR="5D49E94A">
        <w:t>he conservative aggregate estimate of 57–72 averted deaths per year</w:t>
      </w:r>
      <w:r w:rsidR="57E4E01B">
        <w:t xml:space="preserve"> is adopted</w:t>
      </w:r>
      <w:r w:rsidR="3D4392E0">
        <w:t xml:space="preserve">. </w:t>
      </w:r>
      <w:r w:rsidR="5D49E94A">
        <w:t>Each averted waiting-list death represents a life prolonged by transplantation. While assigning a monetary value to prevented premature death is methodologically and ethically contested, the European Commission reference value of a statistical life year (VOLY) (~ EUR 115,000)</w:t>
      </w:r>
      <w:r w:rsidR="00E37E25">
        <w:rPr>
          <w:rStyle w:val="FootnoteReference"/>
        </w:rPr>
        <w:footnoteReference w:id="256"/>
      </w:r>
      <w:r w:rsidR="5D49E94A">
        <w:t xml:space="preserve"> provides a reference frame. If the average additional life expectancy conferred by transplantation is approximately 10-15 years, the </w:t>
      </w:r>
      <w:r w:rsidR="5D49E94A" w:rsidRPr="003E648C">
        <w:rPr>
          <w:b/>
          <w:bCs/>
        </w:rPr>
        <w:t xml:space="preserve">cumulative value of </w:t>
      </w:r>
      <w:r w:rsidR="5D49E94A">
        <w:rPr>
          <w:b/>
          <w:bCs/>
        </w:rPr>
        <w:t>248</w:t>
      </w:r>
      <w:r w:rsidR="5D49E94A" w:rsidRPr="003E648C">
        <w:rPr>
          <w:b/>
          <w:bCs/>
        </w:rPr>
        <w:t>-</w:t>
      </w:r>
      <w:r w:rsidR="5D49E94A">
        <w:rPr>
          <w:b/>
          <w:bCs/>
        </w:rPr>
        <w:t>311</w:t>
      </w:r>
      <w:r w:rsidR="5D49E94A" w:rsidRPr="003E648C">
        <w:rPr>
          <w:b/>
          <w:bCs/>
        </w:rPr>
        <w:t xml:space="preserve"> averted deaths over the 2028–2035 period</w:t>
      </w:r>
      <w:r w:rsidR="00E37E25">
        <w:rPr>
          <w:rStyle w:val="FootnoteReference"/>
          <w:b/>
          <w:bCs/>
        </w:rPr>
        <w:footnoteReference w:id="257"/>
      </w:r>
      <w:r w:rsidR="5D49E94A" w:rsidRPr="003E648C">
        <w:rPr>
          <w:b/>
          <w:bCs/>
        </w:rPr>
        <w:t xml:space="preserve"> is in the range of EUR 2</w:t>
      </w:r>
      <w:r w:rsidR="5D49E94A">
        <w:rPr>
          <w:b/>
          <w:bCs/>
        </w:rPr>
        <w:t>85</w:t>
      </w:r>
      <w:r w:rsidR="5D49E94A" w:rsidRPr="003E648C">
        <w:rPr>
          <w:b/>
          <w:bCs/>
        </w:rPr>
        <w:t>–</w:t>
      </w:r>
      <w:r w:rsidR="5D49E94A">
        <w:rPr>
          <w:b/>
          <w:bCs/>
        </w:rPr>
        <w:t>537</w:t>
      </w:r>
      <w:r w:rsidR="5D49E94A" w:rsidRPr="003E648C">
        <w:rPr>
          <w:b/>
          <w:bCs/>
        </w:rPr>
        <w:t xml:space="preserve"> million.</w:t>
      </w:r>
      <w:bookmarkEnd w:id="325"/>
    </w:p>
    <w:p w14:paraId="064B96A9" w14:textId="50668503" w:rsidR="00E37E25" w:rsidRPr="004570F2" w:rsidRDefault="00E37E25" w:rsidP="00673811">
      <w:pPr>
        <w:rPr>
          <w:b/>
        </w:rPr>
      </w:pPr>
      <w:bookmarkStart w:id="326" w:name="_Toc224136220"/>
      <w:r w:rsidRPr="004570F2">
        <w:rPr>
          <w:b/>
        </w:rPr>
        <w:t>Administrative costs on businesses, including SMEs</w:t>
      </w:r>
      <w:bookmarkEnd w:id="326"/>
    </w:p>
    <w:p w14:paraId="13635B45" w14:textId="77777777" w:rsidR="00E37E25" w:rsidRPr="004570F2" w:rsidRDefault="00E37E25" w:rsidP="008151F9">
      <w:pPr>
        <w:rPr>
          <w:color w:val="3071C3" w:themeColor="text2" w:themeTint="BF"/>
          <w:u w:val="single"/>
          <w:lang w:val="en-US"/>
        </w:rPr>
      </w:pPr>
      <w:r w:rsidRPr="004570F2">
        <w:rPr>
          <w:u w:val="single"/>
          <w:lang w:val="en-US"/>
        </w:rPr>
        <w:t>Cost of organ processing authorisation application</w:t>
      </w:r>
    </w:p>
    <w:p w14:paraId="65B12A06" w14:textId="260E8A25" w:rsidR="00E37E25" w:rsidRPr="00D60FAE" w:rsidRDefault="00A85547" w:rsidP="00E37E25">
      <w:pPr>
        <w:rPr>
          <w:lang w:val="en-US"/>
        </w:rPr>
      </w:pPr>
      <w:r>
        <w:rPr>
          <w:lang w:val="en-US"/>
        </w:rPr>
        <w:t>T</w:t>
      </w:r>
      <w:r w:rsidR="00E37E25" w:rsidRPr="00531EC1">
        <w:rPr>
          <w:lang w:val="en-US"/>
        </w:rPr>
        <w:t xml:space="preserve">ransplantation centres that perform processing must submit either a benefit–risk </w:t>
      </w:r>
      <w:r w:rsidR="00E37E25" w:rsidRPr="00D60FAE">
        <w:rPr>
          <w:lang w:val="en-US"/>
        </w:rPr>
        <w:t>assessment (Article 6a(2)) or a clinical-outcome monitoring plan (Track 2, Article 6a(3)) to the competent authority, verify the regulatory status of any products used in processing across the pharmaceutical, medical device, and SoHO frameworks (Articles 6a(4)–(7)), manage the ongoing authorisation relationship (Article 6a(9)), and collect and report processing-specific data under the amended Annex (Part B).</w:t>
      </w:r>
    </w:p>
    <w:p w14:paraId="58A61EB7" w14:textId="65ACE451" w:rsidR="00E37E25" w:rsidRPr="00D60FAE" w:rsidRDefault="00E37E25" w:rsidP="00E37E25">
      <w:pPr>
        <w:rPr>
          <w:lang w:val="en-US"/>
        </w:rPr>
      </w:pPr>
      <w:r w:rsidRPr="00D60FAE">
        <w:rPr>
          <w:lang w:val="en-US"/>
        </w:rPr>
        <w:t>The administrative cost falls on transplantation centres as the applicants, while the competent authorities bear a corresponding assessment cost. The proposal does not introduce a fee mechanism.</w:t>
      </w:r>
    </w:p>
    <w:p w14:paraId="184A2B5C" w14:textId="192833BA" w:rsidR="00E37E25" w:rsidRPr="00531EC1" w:rsidRDefault="00BD059D" w:rsidP="00E37E25">
      <w:pPr>
        <w:rPr>
          <w:lang w:val="en-US"/>
        </w:rPr>
      </w:pPr>
      <w:r w:rsidRPr="00D60FAE">
        <w:rPr>
          <w:lang w:val="en-US"/>
        </w:rPr>
        <w:t>One national t</w:t>
      </w:r>
      <w:r w:rsidR="5EA890E3" w:rsidRPr="00D60FAE">
        <w:rPr>
          <w:lang w:val="en-US"/>
        </w:rPr>
        <w:t>ransplant authorit</w:t>
      </w:r>
      <w:r w:rsidRPr="00D60FAE">
        <w:rPr>
          <w:lang w:val="en-US"/>
        </w:rPr>
        <w:t>y</w:t>
      </w:r>
      <w:r w:rsidR="5EA890E3" w:rsidRPr="00D60FAE">
        <w:rPr>
          <w:lang w:val="en-US"/>
        </w:rPr>
        <w:t xml:space="preserve"> </w:t>
      </w:r>
      <w:r w:rsidR="00075A01" w:rsidRPr="00D60FAE">
        <w:rPr>
          <w:lang w:val="en-US"/>
        </w:rPr>
        <w:t>e</w:t>
      </w:r>
      <w:r w:rsidR="00E37E25" w:rsidRPr="00D60FAE">
        <w:rPr>
          <w:lang w:val="en-US"/>
        </w:rPr>
        <w:t>stimate</w:t>
      </w:r>
      <w:r w:rsidR="002C3D4C">
        <w:rPr>
          <w:lang w:val="en-US"/>
        </w:rPr>
        <w:t>s</w:t>
      </w:r>
      <w:r w:rsidR="00E37E25" w:rsidRPr="00D60FAE">
        <w:rPr>
          <w:lang w:val="en-US"/>
        </w:rPr>
        <w:t xml:space="preserve"> that the assessment of a single processing authorisation application requires approximately 15 working days for one person on the competent authority side, excluding external expert consultations. On the applicant (transplantation centre) side, the preparation</w:t>
      </w:r>
      <w:r w:rsidR="00E37E25" w:rsidRPr="00531EC1">
        <w:rPr>
          <w:lang w:val="en-US"/>
        </w:rPr>
        <w:t xml:space="preserve"> effort is expected to be of </w:t>
      </w:r>
      <w:r w:rsidR="00E37E25">
        <w:rPr>
          <w:lang w:val="en-US"/>
        </w:rPr>
        <w:t xml:space="preserve">a higher </w:t>
      </w:r>
      <w:r w:rsidR="00E37E25" w:rsidRPr="00531EC1">
        <w:rPr>
          <w:lang w:val="en-US"/>
        </w:rPr>
        <w:t xml:space="preserve">magnitude, as the centre must compile the clinical evidence, perform or commission the benefit–risk </w:t>
      </w:r>
      <w:r w:rsidR="00E37E25" w:rsidRPr="00531EC1">
        <w:rPr>
          <w:lang w:val="en-US"/>
        </w:rPr>
        <w:lastRenderedPageBreak/>
        <w:t xml:space="preserve">assessment, document the processing protocol, and assemble the cross-framework verification dossier. </w:t>
      </w:r>
      <w:r w:rsidR="00AA3431">
        <w:rPr>
          <w:lang w:val="en-US"/>
        </w:rPr>
        <w:t xml:space="preserve">This effort can be </w:t>
      </w:r>
      <w:r w:rsidR="00E37E25" w:rsidRPr="00531EC1">
        <w:rPr>
          <w:lang w:val="en-US"/>
        </w:rPr>
        <w:t xml:space="preserve">differentiated </w:t>
      </w:r>
      <w:r w:rsidR="00270049">
        <w:rPr>
          <w:lang w:val="en-US"/>
        </w:rPr>
        <w:t>as follows</w:t>
      </w:r>
      <w:r w:rsidR="00E37E25" w:rsidRPr="00531EC1">
        <w:rPr>
          <w:lang w:val="en-US"/>
        </w:rPr>
        <w:t>:</w:t>
      </w:r>
    </w:p>
    <w:p w14:paraId="706E2E1A" w14:textId="17E94CC8" w:rsidR="00E37E25" w:rsidRPr="00A263DB" w:rsidRDefault="00E37E25" w:rsidP="00E37E25">
      <w:pPr>
        <w:pStyle w:val="ListParagraph"/>
        <w:numPr>
          <w:ilvl w:val="0"/>
          <w:numId w:val="265"/>
        </w:numPr>
        <w:spacing w:after="270" w:line="270" w:lineRule="atLeast"/>
        <w:ind w:right="284"/>
        <w:rPr>
          <w:lang w:val="en-US"/>
        </w:rPr>
      </w:pPr>
      <w:r w:rsidRPr="00A263DB">
        <w:rPr>
          <w:b/>
          <w:bCs/>
          <w:lang w:val="en-US"/>
        </w:rPr>
        <w:t>Track 1 (full authorisation, Article 6</w:t>
      </w:r>
      <w:r w:rsidR="682B45CB" w:rsidRPr="6F368AB6">
        <w:rPr>
          <w:b/>
          <w:bCs/>
          <w:lang w:val="en-US"/>
        </w:rPr>
        <w:t xml:space="preserve">a </w:t>
      </w:r>
      <w:r w:rsidRPr="00A263DB">
        <w:rPr>
          <w:b/>
          <w:bCs/>
          <w:lang w:val="en-US"/>
        </w:rPr>
        <w:t>(2)):</w:t>
      </w:r>
      <w:r w:rsidRPr="00A263DB">
        <w:rPr>
          <w:lang w:val="en-US"/>
        </w:rPr>
        <w:t xml:space="preserve"> applicable to well-established processing techniques with a robust evidence base. Estimated effort</w:t>
      </w:r>
      <w:r w:rsidR="00906A90">
        <w:rPr>
          <w:lang w:val="en-US"/>
        </w:rPr>
        <w:t xml:space="preserve"> is</w:t>
      </w:r>
      <w:r w:rsidRPr="00A263DB">
        <w:rPr>
          <w:lang w:val="en-US"/>
        </w:rPr>
        <w:t xml:space="preserve"> </w:t>
      </w:r>
      <w:r>
        <w:rPr>
          <w:lang w:val="en-US"/>
        </w:rPr>
        <w:t>15</w:t>
      </w:r>
      <w:r w:rsidRPr="00A263DB">
        <w:rPr>
          <w:lang w:val="en-US"/>
        </w:rPr>
        <w:t xml:space="preserve"> working days of senior clinical/scientific staff, </w:t>
      </w:r>
      <w:r>
        <w:rPr>
          <w:lang w:val="en-US"/>
        </w:rPr>
        <w:t>10</w:t>
      </w:r>
      <w:r w:rsidRPr="00A263DB">
        <w:rPr>
          <w:lang w:val="en-US"/>
        </w:rPr>
        <w:t xml:space="preserve"> working days of regulatory/quality staff, and </w:t>
      </w:r>
      <w:r>
        <w:rPr>
          <w:lang w:val="en-US"/>
        </w:rPr>
        <w:t>5</w:t>
      </w:r>
      <w:r w:rsidRPr="00A263DB">
        <w:rPr>
          <w:lang w:val="en-US"/>
        </w:rPr>
        <w:t xml:space="preserve"> working days of administrative support.</w:t>
      </w:r>
      <w:r w:rsidR="00AC6518">
        <w:rPr>
          <w:lang w:val="en-US"/>
        </w:rPr>
        <w:t xml:space="preserve"> This leads to </w:t>
      </w:r>
      <w:r w:rsidR="00AC6518" w:rsidRPr="00A263DB">
        <w:rPr>
          <w:lang w:val="en-US"/>
        </w:rPr>
        <w:t xml:space="preserve">approximately </w:t>
      </w:r>
      <w:r w:rsidR="00AC6518">
        <w:rPr>
          <w:b/>
          <w:bCs/>
          <w:lang w:val="en-US"/>
        </w:rPr>
        <w:t>EUR 11</w:t>
      </w:r>
      <w:r w:rsidR="00AC6518" w:rsidRPr="00A263DB">
        <w:rPr>
          <w:b/>
          <w:bCs/>
          <w:lang w:val="en-US"/>
        </w:rPr>
        <w:t>,</w:t>
      </w:r>
      <w:r w:rsidR="00AC6518">
        <w:rPr>
          <w:b/>
          <w:bCs/>
          <w:lang w:val="en-US"/>
        </w:rPr>
        <w:t>5</w:t>
      </w:r>
      <w:r w:rsidR="00AC6518" w:rsidRPr="00A263DB">
        <w:rPr>
          <w:b/>
          <w:bCs/>
          <w:lang w:val="en-US"/>
        </w:rPr>
        <w:t>00</w:t>
      </w:r>
      <w:r w:rsidR="00AC6518">
        <w:rPr>
          <w:b/>
          <w:bCs/>
          <w:lang w:val="en-US"/>
        </w:rPr>
        <w:t>.</w:t>
      </w:r>
    </w:p>
    <w:p w14:paraId="4DEB98CD" w14:textId="39258BF2" w:rsidR="00E37E25" w:rsidRPr="00A263DB" w:rsidRDefault="00E37E25" w:rsidP="00E37E25">
      <w:pPr>
        <w:pStyle w:val="ListParagraph"/>
        <w:numPr>
          <w:ilvl w:val="0"/>
          <w:numId w:val="265"/>
        </w:numPr>
        <w:spacing w:after="270" w:line="270" w:lineRule="atLeast"/>
        <w:ind w:right="284"/>
        <w:rPr>
          <w:lang w:val="en-US"/>
        </w:rPr>
      </w:pPr>
      <w:r w:rsidRPr="00A263DB">
        <w:rPr>
          <w:b/>
          <w:bCs/>
          <w:lang w:val="en-US"/>
        </w:rPr>
        <w:t>Track 2 (conditional authorisation with clinical-outcome monitoring, Article 6</w:t>
      </w:r>
      <w:r w:rsidR="6A312A0C" w:rsidRPr="6F368AB6">
        <w:rPr>
          <w:b/>
          <w:bCs/>
          <w:lang w:val="en-US"/>
        </w:rPr>
        <w:t>a (</w:t>
      </w:r>
      <w:r w:rsidRPr="00A263DB">
        <w:rPr>
          <w:b/>
          <w:bCs/>
          <w:lang w:val="en-US"/>
        </w:rPr>
        <w:t>3)):</w:t>
      </w:r>
      <w:r w:rsidRPr="00A263DB">
        <w:rPr>
          <w:lang w:val="en-US"/>
        </w:rPr>
        <w:t xml:space="preserve"> applicable to novel or higher-risk techniques where the evidence base is insufficient for a full benefit–risk assessment. Estimated effort</w:t>
      </w:r>
      <w:r w:rsidR="00CD3589">
        <w:rPr>
          <w:lang w:val="en-US"/>
        </w:rPr>
        <w:t xml:space="preserve"> is</w:t>
      </w:r>
      <w:r w:rsidRPr="00A263DB">
        <w:rPr>
          <w:lang w:val="en-US"/>
        </w:rPr>
        <w:t xml:space="preserve"> </w:t>
      </w:r>
      <w:r>
        <w:rPr>
          <w:lang w:val="en-US"/>
        </w:rPr>
        <w:t>20</w:t>
      </w:r>
      <w:r w:rsidRPr="00A263DB">
        <w:rPr>
          <w:lang w:val="en-US"/>
        </w:rPr>
        <w:t xml:space="preserve"> working days of senior clinical/scientific staff, </w:t>
      </w:r>
      <w:r>
        <w:rPr>
          <w:lang w:val="en-US"/>
        </w:rPr>
        <w:t>15</w:t>
      </w:r>
      <w:r w:rsidRPr="00A263DB">
        <w:rPr>
          <w:lang w:val="en-US"/>
        </w:rPr>
        <w:t xml:space="preserve"> working days of regulatory/quality staff, and </w:t>
      </w:r>
      <w:r>
        <w:rPr>
          <w:lang w:val="en-US"/>
        </w:rPr>
        <w:t>10</w:t>
      </w:r>
      <w:r w:rsidRPr="00A263DB">
        <w:rPr>
          <w:lang w:val="en-US"/>
        </w:rPr>
        <w:t xml:space="preserve"> working days of administrative support.</w:t>
      </w:r>
      <w:r w:rsidR="00270049">
        <w:rPr>
          <w:lang w:val="en-US"/>
        </w:rPr>
        <w:t xml:space="preserve"> This leads to </w:t>
      </w:r>
      <w:r w:rsidR="00270049" w:rsidRPr="00A263DB">
        <w:rPr>
          <w:lang w:val="en-US"/>
        </w:rPr>
        <w:t xml:space="preserve">approximately </w:t>
      </w:r>
      <w:r w:rsidR="00270049">
        <w:rPr>
          <w:b/>
          <w:bCs/>
          <w:lang w:val="en-US"/>
        </w:rPr>
        <w:t xml:space="preserve">EUR </w:t>
      </w:r>
      <w:r w:rsidR="00270049" w:rsidRPr="00A263DB">
        <w:rPr>
          <w:b/>
          <w:bCs/>
          <w:lang w:val="en-US"/>
        </w:rPr>
        <w:t>1</w:t>
      </w:r>
      <w:r w:rsidR="00270049">
        <w:rPr>
          <w:b/>
          <w:bCs/>
          <w:lang w:val="en-US"/>
        </w:rPr>
        <w:t>6</w:t>
      </w:r>
      <w:r w:rsidR="00270049" w:rsidRPr="00A263DB">
        <w:rPr>
          <w:b/>
          <w:bCs/>
          <w:lang w:val="en-US"/>
        </w:rPr>
        <w:t>,750</w:t>
      </w:r>
      <w:r w:rsidR="00270049">
        <w:rPr>
          <w:b/>
          <w:bCs/>
          <w:lang w:val="en-US"/>
        </w:rPr>
        <w:t>.</w:t>
      </w:r>
    </w:p>
    <w:p w14:paraId="6251C5F7" w14:textId="26A189C4" w:rsidR="00E37E25" w:rsidRPr="00531EC1" w:rsidRDefault="00270049" w:rsidP="00E37E25">
      <w:pPr>
        <w:rPr>
          <w:lang w:val="en-US"/>
        </w:rPr>
      </w:pPr>
      <w:r>
        <w:rPr>
          <w:lang w:val="en-US"/>
        </w:rPr>
        <w:t>These estimates are based on</w:t>
      </w:r>
      <w:r w:rsidR="00E37E25" w:rsidRPr="00531EC1">
        <w:rPr>
          <w:lang w:val="en-US"/>
        </w:rPr>
        <w:t xml:space="preserve"> EU-level loaded labour costs for healthcare professionals (Eurostat, NACE Rev.2 Section Q), which incorporate gross wages, employer social contributions, and institutional overhead: senior clinical/scientific staff at </w:t>
      </w:r>
      <w:r w:rsidR="00E37E25">
        <w:rPr>
          <w:lang w:val="en-US"/>
        </w:rPr>
        <w:t xml:space="preserve">EUR </w:t>
      </w:r>
      <w:r w:rsidR="00E37E25" w:rsidRPr="00531EC1">
        <w:rPr>
          <w:lang w:val="en-US"/>
        </w:rPr>
        <w:t>350</w:t>
      </w:r>
      <w:r w:rsidR="00E37E25">
        <w:rPr>
          <w:lang w:val="en-US"/>
        </w:rPr>
        <w:t>-</w:t>
      </w:r>
      <w:r w:rsidR="00E37E25" w:rsidRPr="00531EC1">
        <w:rPr>
          <w:lang w:val="en-US"/>
        </w:rPr>
        <w:t xml:space="preserve">450 per working day; regulatory/quality officers at </w:t>
      </w:r>
      <w:r w:rsidR="00E37E25">
        <w:rPr>
          <w:lang w:val="en-US"/>
        </w:rPr>
        <w:t xml:space="preserve">EUR </w:t>
      </w:r>
      <w:r w:rsidR="00E37E25" w:rsidRPr="00531EC1">
        <w:rPr>
          <w:lang w:val="en-US"/>
        </w:rPr>
        <w:t>250</w:t>
      </w:r>
      <w:r w:rsidR="00E37E25">
        <w:rPr>
          <w:lang w:val="en-US"/>
        </w:rPr>
        <w:t>-</w:t>
      </w:r>
      <w:r w:rsidR="00E37E25" w:rsidRPr="00531EC1">
        <w:rPr>
          <w:lang w:val="en-US"/>
        </w:rPr>
        <w:t xml:space="preserve">350 per working day; and administrative support at </w:t>
      </w:r>
      <w:r w:rsidR="00E37E25">
        <w:rPr>
          <w:lang w:val="en-US"/>
        </w:rPr>
        <w:t xml:space="preserve">EUR </w:t>
      </w:r>
      <w:r w:rsidR="00E37E25" w:rsidRPr="00531EC1">
        <w:rPr>
          <w:lang w:val="en-US"/>
        </w:rPr>
        <w:t>150</w:t>
      </w:r>
      <w:r w:rsidR="00E37E25">
        <w:rPr>
          <w:lang w:val="en-US"/>
        </w:rPr>
        <w:t>-</w:t>
      </w:r>
      <w:r w:rsidR="00E37E25" w:rsidRPr="00531EC1">
        <w:rPr>
          <w:lang w:val="en-US"/>
        </w:rPr>
        <w:t>250 per working day</w:t>
      </w:r>
      <w:r>
        <w:rPr>
          <w:lang w:val="en-US"/>
        </w:rPr>
        <w:t>.</w:t>
      </w:r>
    </w:p>
    <w:p w14:paraId="687A837A" w14:textId="34224D0D" w:rsidR="00E37E25" w:rsidRPr="00531EC1" w:rsidRDefault="00270049" w:rsidP="005769F7">
      <w:pPr>
        <w:rPr>
          <w:lang w:val="en-US"/>
        </w:rPr>
      </w:pPr>
      <w:r w:rsidRPr="00D60FAE">
        <w:rPr>
          <w:lang w:val="en-US"/>
        </w:rPr>
        <w:t xml:space="preserve">Furthermore, </w:t>
      </w:r>
      <w:r w:rsidR="00E37E25" w:rsidRPr="00D60FAE">
        <w:rPr>
          <w:b/>
          <w:lang w:val="en-US"/>
        </w:rPr>
        <w:t>centres authorised under Track 2</w:t>
      </w:r>
      <w:r w:rsidR="00E37E25" w:rsidRPr="005769F7">
        <w:rPr>
          <w:lang w:val="en-US"/>
        </w:rPr>
        <w:t xml:space="preserve"> bear </w:t>
      </w:r>
      <w:r w:rsidR="00E37E25" w:rsidRPr="00D60FAE">
        <w:rPr>
          <w:b/>
          <w:lang w:val="en-US"/>
        </w:rPr>
        <w:t>recurrent data collection, analysis, and reporting obligations for the duration of the monitoring period</w:t>
      </w:r>
      <w:r w:rsidR="00E37E25" w:rsidRPr="00531EC1">
        <w:rPr>
          <w:lang w:val="en-US"/>
        </w:rPr>
        <w:t xml:space="preserve">. These are estimated at approximately </w:t>
      </w:r>
      <w:r w:rsidR="00E37E25">
        <w:rPr>
          <w:lang w:val="en-US"/>
        </w:rPr>
        <w:t>5</w:t>
      </w:r>
      <w:r w:rsidR="00E37E25" w:rsidRPr="00531EC1">
        <w:rPr>
          <w:lang w:val="en-US"/>
        </w:rPr>
        <w:t xml:space="preserve"> working days per quarter (</w:t>
      </w:r>
      <w:r w:rsidR="00E37E25">
        <w:rPr>
          <w:lang w:val="en-US"/>
        </w:rPr>
        <w:t>20</w:t>
      </w:r>
      <w:r w:rsidR="00E37E25" w:rsidRPr="00531EC1">
        <w:rPr>
          <w:lang w:val="en-US"/>
        </w:rPr>
        <w:t xml:space="preserve"> days per year) of clinical/quality staff time, </w:t>
      </w:r>
      <w:r>
        <w:rPr>
          <w:lang w:val="en-US"/>
        </w:rPr>
        <w:t>amounting to</w:t>
      </w:r>
      <w:r w:rsidR="00E37E25" w:rsidRPr="00531EC1">
        <w:rPr>
          <w:lang w:val="en-US"/>
        </w:rPr>
        <w:t xml:space="preserve"> </w:t>
      </w:r>
      <w:r w:rsidR="00E37E25">
        <w:rPr>
          <w:b/>
          <w:bCs/>
          <w:lang w:val="en-US"/>
        </w:rPr>
        <w:t xml:space="preserve">EUR 9,000 </w:t>
      </w:r>
      <w:r w:rsidR="00E37E25" w:rsidRPr="00531EC1">
        <w:rPr>
          <w:b/>
          <w:bCs/>
          <w:lang w:val="en-US"/>
        </w:rPr>
        <w:t>per year per active monitoring plan.</w:t>
      </w:r>
    </w:p>
    <w:p w14:paraId="4D252241" w14:textId="7AF48318" w:rsidR="00E37E25" w:rsidRPr="00531EC1" w:rsidRDefault="00E37E25" w:rsidP="005769F7">
      <w:pPr>
        <w:rPr>
          <w:lang w:val="en-US"/>
        </w:rPr>
      </w:pPr>
      <w:r w:rsidRPr="00531EC1">
        <w:rPr>
          <w:lang w:val="en-US"/>
        </w:rPr>
        <w:t>The weighted average per-application cost depends on the expected distribution between Track 1 and Track 2 applications. In the initial transition phase (</w:t>
      </w:r>
      <w:r>
        <w:rPr>
          <w:lang w:val="en-US"/>
        </w:rPr>
        <w:t>y</w:t>
      </w:r>
      <w:r w:rsidRPr="00531EC1">
        <w:rPr>
          <w:lang w:val="en-US"/>
        </w:rPr>
        <w:t>ears 1</w:t>
      </w:r>
      <w:r>
        <w:rPr>
          <w:lang w:val="en-US"/>
        </w:rPr>
        <w:t>-</w:t>
      </w:r>
      <w:r w:rsidRPr="00531EC1">
        <w:rPr>
          <w:lang w:val="en-US"/>
        </w:rPr>
        <w:t>3 post-transposition), the majority of applications will concern established techniques for which substantial clinical evidence already exists: we estimate approximately 70</w:t>
      </w:r>
      <w:r>
        <w:rPr>
          <w:lang w:val="en-US"/>
        </w:rPr>
        <w:t>-</w:t>
      </w:r>
      <w:r w:rsidRPr="00531EC1">
        <w:rPr>
          <w:lang w:val="en-US"/>
        </w:rPr>
        <w:t>80</w:t>
      </w:r>
      <w:r w:rsidR="006856C2">
        <w:rPr>
          <w:lang w:val="en-US"/>
        </w:rPr>
        <w:t>%</w:t>
      </w:r>
      <w:r w:rsidRPr="00531EC1">
        <w:rPr>
          <w:lang w:val="en-US"/>
        </w:rPr>
        <w:t xml:space="preserve"> Track 1 and 20</w:t>
      </w:r>
      <w:r>
        <w:rPr>
          <w:lang w:val="en-US"/>
        </w:rPr>
        <w:t>-</w:t>
      </w:r>
      <w:r w:rsidRPr="00531EC1">
        <w:rPr>
          <w:lang w:val="en-US"/>
        </w:rPr>
        <w:t>30</w:t>
      </w:r>
      <w:r w:rsidR="006856C2">
        <w:rPr>
          <w:lang w:val="en-US"/>
        </w:rPr>
        <w:t>%</w:t>
      </w:r>
      <w:r w:rsidRPr="00531EC1">
        <w:rPr>
          <w:lang w:val="en-US"/>
        </w:rPr>
        <w:t xml:space="preserve"> Track 2. Over time, as the field shifts toward more novel processing modalities</w:t>
      </w:r>
      <w:r>
        <w:rPr>
          <w:lang w:val="en-US"/>
        </w:rPr>
        <w:t xml:space="preserve">, </w:t>
      </w:r>
      <w:r w:rsidRPr="00531EC1">
        <w:rPr>
          <w:lang w:val="en-US"/>
        </w:rPr>
        <w:t xml:space="preserve">the Track 2 share will rise progressively. For the initial transition phase, the weighted average cost per application is approximately </w:t>
      </w:r>
      <w:r>
        <w:rPr>
          <w:b/>
          <w:bCs/>
          <w:lang w:val="en-US"/>
        </w:rPr>
        <w:t>EUR 12</w:t>
      </w:r>
      <w:r w:rsidRPr="00531EC1">
        <w:rPr>
          <w:b/>
          <w:bCs/>
          <w:lang w:val="en-US"/>
        </w:rPr>
        <w:t>,</w:t>
      </w:r>
      <w:r>
        <w:rPr>
          <w:b/>
          <w:bCs/>
          <w:lang w:val="en-US"/>
        </w:rPr>
        <w:t>8</w:t>
      </w:r>
      <w:r w:rsidRPr="00531EC1">
        <w:rPr>
          <w:b/>
          <w:bCs/>
          <w:lang w:val="en-US"/>
        </w:rPr>
        <w:t>00</w:t>
      </w:r>
      <w:r w:rsidR="00270049">
        <w:rPr>
          <w:b/>
          <w:bCs/>
          <w:lang w:val="en-US"/>
        </w:rPr>
        <w:t>.</w:t>
      </w:r>
    </w:p>
    <w:p w14:paraId="28747000" w14:textId="7C6152B6" w:rsidR="00E37E25" w:rsidRPr="00531EC1" w:rsidRDefault="00AA375A" w:rsidP="00E37E25">
      <w:pPr>
        <w:rPr>
          <w:lang w:val="en-US"/>
        </w:rPr>
      </w:pPr>
      <w:r w:rsidRPr="00D60FAE">
        <w:rPr>
          <w:lang w:val="en-US"/>
        </w:rPr>
        <w:t>T</w:t>
      </w:r>
      <w:r w:rsidR="00E37E25" w:rsidRPr="005769F7">
        <w:rPr>
          <w:lang w:val="en-US"/>
        </w:rPr>
        <w:t xml:space="preserve">he </w:t>
      </w:r>
      <w:r w:rsidR="00E37E25" w:rsidRPr="00531EC1">
        <w:rPr>
          <w:lang w:val="en-US"/>
        </w:rPr>
        <w:t xml:space="preserve">total </w:t>
      </w:r>
      <w:r>
        <w:rPr>
          <w:lang w:val="en-US"/>
        </w:rPr>
        <w:t>EU-27</w:t>
      </w:r>
      <w:r w:rsidR="00E37E25" w:rsidRPr="00531EC1">
        <w:rPr>
          <w:lang w:val="en-US"/>
        </w:rPr>
        <w:t xml:space="preserve"> administrative burden depends on the volume of authorisation applications. This is estimated as follows, anchored </w:t>
      </w:r>
      <w:r w:rsidR="00E37E25">
        <w:rPr>
          <w:lang w:val="en-US"/>
        </w:rPr>
        <w:t>in stakeholder consultations</w:t>
      </w:r>
      <w:r w:rsidR="00E37E25" w:rsidRPr="00531EC1">
        <w:rPr>
          <w:lang w:val="en-US"/>
        </w:rPr>
        <w:t>:</w:t>
      </w:r>
    </w:p>
    <w:p w14:paraId="15F98ABE" w14:textId="1156395D" w:rsidR="00E37E25" w:rsidRDefault="00E37E25" w:rsidP="00E37E25">
      <w:pPr>
        <w:pStyle w:val="ListParagraph"/>
        <w:numPr>
          <w:ilvl w:val="0"/>
          <w:numId w:val="267"/>
        </w:numPr>
        <w:spacing w:after="270" w:line="270" w:lineRule="atLeast"/>
        <w:ind w:right="284"/>
        <w:rPr>
          <w:b/>
          <w:bCs/>
          <w:lang w:val="en-US"/>
        </w:rPr>
      </w:pPr>
      <w:r w:rsidRPr="0047053F">
        <w:rPr>
          <w:b/>
          <w:bCs/>
          <w:lang w:val="en-US"/>
        </w:rPr>
        <w:t>Initial transition phase (years 1-3 post-transposition, approximately 202</w:t>
      </w:r>
      <w:r>
        <w:rPr>
          <w:b/>
          <w:bCs/>
          <w:lang w:val="en-US"/>
        </w:rPr>
        <w:t>9</w:t>
      </w:r>
      <w:r w:rsidRPr="0047053F">
        <w:rPr>
          <w:b/>
          <w:bCs/>
          <w:lang w:val="en-US"/>
        </w:rPr>
        <w:t xml:space="preserve">-2031): </w:t>
      </w:r>
      <w:r w:rsidRPr="0047053F">
        <w:rPr>
          <w:lang w:val="en-US"/>
        </w:rPr>
        <w:t xml:space="preserve">The entry into force of the regime will generate a transitional surge of applications as centres seek to regularise processing techniques already in clinical use. At T0, approximately 195 programmes across an estimated 120-160 centres have active processing capability. Each centre will need to secure authorisation for each distinct processing technique it employs. The number of distinct techniques requiring separate authorisation per centre is estimated at 1-3. However, a competent authority's assessment of a given technique may apply to multiple centres within the same jurisdiction. </w:t>
      </w:r>
      <w:r w:rsidR="009E79B0" w:rsidDel="005926C3">
        <w:rPr>
          <w:lang w:val="en-US"/>
        </w:rPr>
        <w:t>T</w:t>
      </w:r>
      <w:r w:rsidRPr="0047053F" w:rsidDel="005926C3">
        <w:rPr>
          <w:lang w:val="en-US"/>
        </w:rPr>
        <w:t>herefore</w:t>
      </w:r>
      <w:r w:rsidR="005926C3" w:rsidRPr="0047053F">
        <w:rPr>
          <w:lang w:val="en-US"/>
        </w:rPr>
        <w:t>,</w:t>
      </w:r>
      <w:r w:rsidRPr="0047053F">
        <w:rPr>
          <w:lang w:val="en-US"/>
        </w:rPr>
        <w:t xml:space="preserve"> the total initial application volume at the M</w:t>
      </w:r>
      <w:r w:rsidR="009D0960">
        <w:rPr>
          <w:lang w:val="en-US"/>
        </w:rPr>
        <w:t xml:space="preserve">ember </w:t>
      </w:r>
      <w:r w:rsidRPr="0047053F">
        <w:rPr>
          <w:lang w:val="en-US"/>
        </w:rPr>
        <w:t>S</w:t>
      </w:r>
      <w:r w:rsidR="009D0960">
        <w:rPr>
          <w:lang w:val="en-US"/>
        </w:rPr>
        <w:t>tate</w:t>
      </w:r>
      <w:r w:rsidRPr="0047053F">
        <w:rPr>
          <w:lang w:val="en-US"/>
        </w:rPr>
        <w:t xml:space="preserve"> level</w:t>
      </w:r>
      <w:r w:rsidR="009E79B0">
        <w:rPr>
          <w:lang w:val="en-US"/>
        </w:rPr>
        <w:t xml:space="preserve"> is estimated at:</w:t>
      </w:r>
      <w:r w:rsidRPr="0047053F">
        <w:rPr>
          <w:lang w:val="en-US"/>
        </w:rPr>
        <w:t xml:space="preserve"> approximately 15-18 Member States with active processing centres, each processing 4-8 distinct technique-level applications during the transition, yielding approximately </w:t>
      </w:r>
      <w:r w:rsidRPr="0047053F">
        <w:rPr>
          <w:b/>
          <w:bCs/>
          <w:lang w:val="en-US"/>
        </w:rPr>
        <w:t>60-</w:t>
      </w:r>
      <w:r w:rsidRPr="0047053F">
        <w:rPr>
          <w:b/>
          <w:bCs/>
          <w:lang w:val="en-US"/>
        </w:rPr>
        <w:lastRenderedPageBreak/>
        <w:t>145 applications across the EU-27 during the transition period</w:t>
      </w:r>
      <w:r w:rsidRPr="0047053F">
        <w:rPr>
          <w:lang w:val="en-US"/>
        </w:rPr>
        <w:t xml:space="preserve"> (central estimate: ~100). At a weighted average cost of ~EUR 12,800 per application, </w:t>
      </w:r>
      <w:r w:rsidRPr="00D60FAE">
        <w:rPr>
          <w:b/>
          <w:lang w:val="en-US"/>
        </w:rPr>
        <w:t xml:space="preserve">the total transition-phase administrative cost for transplantation centres is approximately </w:t>
      </w:r>
      <w:r w:rsidRPr="005769F7">
        <w:rPr>
          <w:b/>
          <w:lang w:val="en-US"/>
        </w:rPr>
        <w:t>EUR 768,000-1,856,000, spread over three</w:t>
      </w:r>
      <w:r w:rsidRPr="0047053F">
        <w:rPr>
          <w:b/>
          <w:bCs/>
          <w:lang w:val="en-US"/>
        </w:rPr>
        <w:t xml:space="preserve"> years.</w:t>
      </w:r>
    </w:p>
    <w:p w14:paraId="156D70A8" w14:textId="33E37230" w:rsidR="00E37E25" w:rsidRPr="00D60FAE" w:rsidRDefault="00E37E25" w:rsidP="00D60FAE">
      <w:pPr>
        <w:rPr>
          <w:b/>
          <w:lang w:val="en-US"/>
        </w:rPr>
      </w:pPr>
      <w:r w:rsidRPr="005769F7">
        <w:rPr>
          <w:lang w:val="en-US"/>
        </w:rPr>
        <w:t>For Track 2 authorisations, the ongoing monitoring obligation generates a persistent annual cost. If approximately 25</w:t>
      </w:r>
      <w:r w:rsidR="006856C2">
        <w:rPr>
          <w:lang w:val="en-US"/>
        </w:rPr>
        <w:t>%</w:t>
      </w:r>
      <w:r w:rsidRPr="005769F7">
        <w:rPr>
          <w:lang w:val="en-US"/>
        </w:rPr>
        <w:t xml:space="preserve"> of all authorisations issued are Track 2</w:t>
      </w:r>
      <w:r w:rsidRPr="00D92E04">
        <w:rPr>
          <w:lang w:val="en-US"/>
        </w:rPr>
        <w:t>, and at and additional EUR 9,000 per monitoring plan per year (</w:t>
      </w:r>
      <w:r w:rsidR="5A47DC77" w:rsidRPr="00D92E04">
        <w:rPr>
          <w:lang w:val="en-US"/>
        </w:rPr>
        <w:t xml:space="preserve">EUR </w:t>
      </w:r>
      <w:r w:rsidR="652EF740" w:rsidRPr="005769F7">
        <w:rPr>
          <w:lang w:val="en-US"/>
        </w:rPr>
        <w:t>27</w:t>
      </w:r>
      <w:r w:rsidR="34AA1817" w:rsidRPr="00D92E04">
        <w:rPr>
          <w:lang w:val="en-US"/>
        </w:rPr>
        <w:t xml:space="preserve">,000 </w:t>
      </w:r>
      <w:r w:rsidRPr="00D92E04">
        <w:rPr>
          <w:lang w:val="en-US"/>
        </w:rPr>
        <w:t xml:space="preserve">over three years), the aggregate recurrent monitoring cost over </w:t>
      </w:r>
      <w:r w:rsidRPr="005769F7">
        <w:rPr>
          <w:lang w:val="en-US"/>
        </w:rPr>
        <w:t xml:space="preserve">the three years is </w:t>
      </w:r>
      <w:r w:rsidRPr="00D92E04">
        <w:rPr>
          <w:b/>
          <w:lang w:val="en-US"/>
        </w:rPr>
        <w:t>approximately EUR 405,000-980,000</w:t>
      </w:r>
      <w:r w:rsidR="007F6354">
        <w:rPr>
          <w:b/>
          <w:bCs/>
          <w:lang w:val="en-US"/>
        </w:rPr>
        <w:t xml:space="preserve">. </w:t>
      </w:r>
      <w:r w:rsidRPr="00D60FAE">
        <w:rPr>
          <w:b/>
          <w:lang w:val="en-US"/>
        </w:rPr>
        <w:t>This brings the total to EUR 1,173,000-2,836,000 (</w:t>
      </w:r>
      <w:r w:rsidRPr="005769F7">
        <w:rPr>
          <w:b/>
          <w:lang w:val="en-US"/>
        </w:rPr>
        <w:t>central estimate</w:t>
      </w:r>
      <w:r w:rsidRPr="00D92E04">
        <w:rPr>
          <w:b/>
          <w:lang w:val="en-US"/>
        </w:rPr>
        <w:t xml:space="preserve"> per year: ~EUR </w:t>
      </w:r>
      <w:r w:rsidRPr="005769F7">
        <w:rPr>
          <w:b/>
          <w:lang w:val="en-US"/>
        </w:rPr>
        <w:t>670,000).</w:t>
      </w:r>
    </w:p>
    <w:p w14:paraId="228797ED" w14:textId="77777777" w:rsidR="00E37E25" w:rsidRPr="0047053F" w:rsidRDefault="00E37E25" w:rsidP="00E37E25">
      <w:pPr>
        <w:pStyle w:val="ListParagraph"/>
        <w:rPr>
          <w:b/>
          <w:bCs/>
          <w:lang w:val="en-US"/>
        </w:rPr>
      </w:pPr>
    </w:p>
    <w:p w14:paraId="46DC3018" w14:textId="37A06744" w:rsidR="00E37E25" w:rsidRPr="0047053F" w:rsidRDefault="00E37E25" w:rsidP="00E37E25">
      <w:pPr>
        <w:pStyle w:val="ListParagraph"/>
        <w:numPr>
          <w:ilvl w:val="0"/>
          <w:numId w:val="267"/>
        </w:numPr>
        <w:spacing w:after="270" w:line="270" w:lineRule="atLeast"/>
        <w:ind w:right="284"/>
        <w:rPr>
          <w:b/>
          <w:bCs/>
          <w:lang w:val="en-US"/>
        </w:rPr>
      </w:pPr>
      <w:r w:rsidRPr="0047053F">
        <w:rPr>
          <w:b/>
          <w:bCs/>
          <w:lang w:val="en-US"/>
        </w:rPr>
        <w:t xml:space="preserve">Steady-state phase (from </w:t>
      </w:r>
      <w:r w:rsidRPr="00C9707C">
        <w:rPr>
          <w:b/>
          <w:bCs/>
          <w:lang w:val="en-US"/>
        </w:rPr>
        <w:t>approximately 2032 onwards):</w:t>
      </w:r>
      <w:r w:rsidRPr="00C9707C">
        <w:rPr>
          <w:lang w:val="en-US"/>
        </w:rPr>
        <w:t xml:space="preserve"> </w:t>
      </w:r>
      <w:r w:rsidR="002A0FFC" w:rsidRPr="00C9707C">
        <w:rPr>
          <w:lang w:val="en-US"/>
        </w:rPr>
        <w:t>One national transplant authority</w:t>
      </w:r>
      <w:r w:rsidR="00377C8C" w:rsidRPr="00C9707C">
        <w:rPr>
          <w:lang w:val="en-US"/>
        </w:rPr>
        <w:t xml:space="preserve"> consulted </w:t>
      </w:r>
      <w:r w:rsidRPr="00C9707C">
        <w:rPr>
          <w:lang w:val="en-US"/>
        </w:rPr>
        <w:t>estimate</w:t>
      </w:r>
      <w:r w:rsidR="00C9707C" w:rsidRPr="00C9707C">
        <w:rPr>
          <w:lang w:val="en-US"/>
        </w:rPr>
        <w:t xml:space="preserve"> </w:t>
      </w:r>
      <w:r w:rsidR="002A0FFC" w:rsidRPr="00C9707C">
        <w:rPr>
          <w:lang w:val="en-US"/>
        </w:rPr>
        <w:t>of</w:t>
      </w:r>
      <w:r w:rsidRPr="00C9707C">
        <w:rPr>
          <w:lang w:val="en-US"/>
        </w:rPr>
        <w:t xml:space="preserve"> 2-3 applications per year </w:t>
      </w:r>
      <w:r w:rsidR="00C62B0D" w:rsidRPr="00C9707C">
        <w:rPr>
          <w:lang w:val="en-US"/>
        </w:rPr>
        <w:t xml:space="preserve">for </w:t>
      </w:r>
      <w:r w:rsidR="002A0FFC" w:rsidRPr="00C9707C">
        <w:rPr>
          <w:lang w:val="en-US"/>
        </w:rPr>
        <w:t>its</w:t>
      </w:r>
      <w:r w:rsidR="00C62B0D" w:rsidRPr="00C9707C">
        <w:rPr>
          <w:lang w:val="en-US"/>
        </w:rPr>
        <w:t xml:space="preserve"> M</w:t>
      </w:r>
      <w:r w:rsidR="002A0FFC" w:rsidRPr="00C9707C">
        <w:rPr>
          <w:lang w:val="en-US"/>
        </w:rPr>
        <w:t xml:space="preserve">ember </w:t>
      </w:r>
      <w:r w:rsidR="00C62B0D" w:rsidRPr="00C9707C">
        <w:rPr>
          <w:lang w:val="en-US"/>
        </w:rPr>
        <w:t>S</w:t>
      </w:r>
      <w:r w:rsidR="002A0FFC" w:rsidRPr="00C9707C">
        <w:rPr>
          <w:lang w:val="en-US"/>
        </w:rPr>
        <w:t>tate</w:t>
      </w:r>
      <w:r w:rsidRPr="00C9707C">
        <w:rPr>
          <w:lang w:val="en-US"/>
        </w:rPr>
        <w:t xml:space="preserve"> provides the anchor. Assuming 2 applications per M</w:t>
      </w:r>
      <w:r w:rsidR="002A0FFC" w:rsidRPr="00C9707C">
        <w:rPr>
          <w:lang w:val="en-US"/>
        </w:rPr>
        <w:t xml:space="preserve">ember </w:t>
      </w:r>
      <w:r w:rsidRPr="00C9707C">
        <w:rPr>
          <w:lang w:val="en-US"/>
        </w:rPr>
        <w:t>S</w:t>
      </w:r>
      <w:r w:rsidR="002A0FFC" w:rsidRPr="00C9707C">
        <w:rPr>
          <w:lang w:val="en-US"/>
        </w:rPr>
        <w:t>tate</w:t>
      </w:r>
      <w:r w:rsidRPr="00C9707C">
        <w:rPr>
          <w:lang w:val="en-US"/>
        </w:rPr>
        <w:t xml:space="preserve"> and extrapolating to the EU-27 by scaling for the number of active processing centres relative </w:t>
      </w:r>
      <w:r w:rsidR="002A0FFC" w:rsidRPr="00C9707C">
        <w:rPr>
          <w:lang w:val="en-US"/>
        </w:rPr>
        <w:t>to</w:t>
      </w:r>
      <w:r w:rsidR="00C62B0D" w:rsidRPr="00C9707C">
        <w:rPr>
          <w:lang w:val="en-US"/>
        </w:rPr>
        <w:t xml:space="preserve"> </w:t>
      </w:r>
      <w:r w:rsidR="00895D82" w:rsidRPr="00C9707C">
        <w:rPr>
          <w:lang w:val="en-US"/>
        </w:rPr>
        <w:t>this same M</w:t>
      </w:r>
      <w:r w:rsidR="002A0FFC" w:rsidRPr="00C9707C">
        <w:rPr>
          <w:lang w:val="en-US"/>
        </w:rPr>
        <w:t xml:space="preserve">ember </w:t>
      </w:r>
      <w:r w:rsidR="00895D82" w:rsidRPr="00C9707C">
        <w:rPr>
          <w:lang w:val="en-US"/>
        </w:rPr>
        <w:t>S</w:t>
      </w:r>
      <w:r w:rsidR="002A0FFC" w:rsidRPr="00C9707C">
        <w:rPr>
          <w:lang w:val="en-US"/>
        </w:rPr>
        <w:t>tate</w:t>
      </w:r>
      <w:r w:rsidRPr="00C9707C">
        <w:rPr>
          <w:lang w:val="en-US"/>
        </w:rPr>
        <w:t xml:space="preserve">, the steady-state flow is estimated at approximately </w:t>
      </w:r>
      <w:r w:rsidRPr="00C9707C">
        <w:rPr>
          <w:b/>
          <w:bCs/>
          <w:lang w:val="en-US"/>
        </w:rPr>
        <w:t>7-10 applications per year</w:t>
      </w:r>
      <w:r w:rsidRPr="0047053F">
        <w:rPr>
          <w:b/>
          <w:bCs/>
          <w:lang w:val="en-US"/>
        </w:rPr>
        <w:t xml:space="preserve"> across the EU-27</w:t>
      </w:r>
      <w:r w:rsidRPr="0047053F">
        <w:rPr>
          <w:lang w:val="en-US"/>
        </w:rPr>
        <w:t>. The annual steady-state administrative cost on transplantation centres is therefore approximately EUR 90,000-128,000 per year. An additional EUR 16,000-22,500 in recurrent monitoring costs can be expected</w:t>
      </w:r>
      <w:r>
        <w:rPr>
          <w:lang w:val="en-US"/>
        </w:rPr>
        <w:t xml:space="preserve">, bringing the </w:t>
      </w:r>
      <w:r w:rsidRPr="0047053F">
        <w:rPr>
          <w:b/>
          <w:bCs/>
          <w:lang w:val="en-US"/>
        </w:rPr>
        <w:t>total to approximately EUR 106,000-150,500 (</w:t>
      </w:r>
      <w:r w:rsidRPr="00531EC1">
        <w:rPr>
          <w:b/>
          <w:bCs/>
          <w:lang w:val="en-US"/>
        </w:rPr>
        <w:t>central estimate: ~</w:t>
      </w:r>
      <w:r w:rsidRPr="0047053F">
        <w:rPr>
          <w:b/>
          <w:bCs/>
          <w:lang w:val="en-US"/>
        </w:rPr>
        <w:t>EUR 130,000).</w:t>
      </w:r>
    </w:p>
    <w:p w14:paraId="082DF020" w14:textId="77777777" w:rsidR="00E37E25" w:rsidRPr="00531EC1" w:rsidRDefault="00E37E25" w:rsidP="00E37E25">
      <w:pPr>
        <w:rPr>
          <w:lang w:val="en-US"/>
        </w:rPr>
      </w:pPr>
      <w:r w:rsidRPr="00531EC1">
        <w:rPr>
          <w:lang w:val="en-US"/>
        </w:rPr>
        <w:t>Over the 2029</w:t>
      </w:r>
      <w:r>
        <w:rPr>
          <w:lang w:val="en-US"/>
        </w:rPr>
        <w:t>-</w:t>
      </w:r>
      <w:r w:rsidRPr="00531EC1">
        <w:rPr>
          <w:lang w:val="en-US"/>
        </w:rPr>
        <w:t xml:space="preserve">2035 assessment period, the cumulative administrative cost on transplantation centres is estimated at approximately </w:t>
      </w:r>
      <w:r>
        <w:rPr>
          <w:b/>
          <w:bCs/>
          <w:lang w:val="en-US"/>
        </w:rPr>
        <w:t>EUR 2.5 million.</w:t>
      </w:r>
    </w:p>
    <w:p w14:paraId="6D98E05C" w14:textId="1FA66EA7" w:rsidR="00E37E25" w:rsidRPr="00A56D6C" w:rsidRDefault="00E37E25" w:rsidP="00E37E25">
      <w:pPr>
        <w:rPr>
          <w:lang w:val="en-US"/>
        </w:rPr>
      </w:pPr>
      <w:r w:rsidRPr="00531EC1">
        <w:rPr>
          <w:lang w:val="en-US"/>
        </w:rPr>
        <w:t>Th</w:t>
      </w:r>
      <w:r w:rsidR="00B45DC1">
        <w:rPr>
          <w:lang w:val="en-US"/>
        </w:rPr>
        <w:t>is</w:t>
      </w:r>
      <w:r w:rsidRPr="00531EC1">
        <w:rPr>
          <w:lang w:val="en-US"/>
        </w:rPr>
        <w:t xml:space="preserve"> </w:t>
      </w:r>
      <w:r w:rsidR="00B45DC1">
        <w:rPr>
          <w:lang w:val="en-US"/>
        </w:rPr>
        <w:t>estimated</w:t>
      </w:r>
      <w:r w:rsidRPr="00531EC1">
        <w:rPr>
          <w:lang w:val="en-US"/>
        </w:rPr>
        <w:t xml:space="preserve"> gross administrative cost must be assessed against the counterfactual baseline costs. Under the baseline, transplantation centres in Member States that develop national oversight arrangements bear jurisdiction-specific documentation, reporting, and approval costs that are fragmented, duplicative, and non-standardised. The harmonised EU framework replaces this patchwork with a standardised administrative process that delivers two efficiency gains: a) centres can use common templates and evidentiary standards, reducing duplicative preparation effort; and b) the published list of authorised processing operations (Article 6a(11)) means that a technique authorised in one Member State generates transferable evidence </w:t>
      </w:r>
      <w:r>
        <w:rPr>
          <w:lang w:val="en-US"/>
        </w:rPr>
        <w:t>for</w:t>
      </w:r>
      <w:r w:rsidRPr="00531EC1">
        <w:rPr>
          <w:lang w:val="en-US"/>
        </w:rPr>
        <w:t xml:space="preserve"> formal authorisation at the national level. The net incremental administrative cost of the policy, relative to the baseline, is therefore lower than the gross estimates above</w:t>
      </w:r>
      <w:r>
        <w:rPr>
          <w:lang w:val="en-US"/>
        </w:rPr>
        <w:t>.</w:t>
      </w:r>
    </w:p>
    <w:p w14:paraId="1CE41519" w14:textId="77777777" w:rsidR="00E37E25" w:rsidRPr="004570F2" w:rsidRDefault="00E37E25" w:rsidP="00673811">
      <w:pPr>
        <w:rPr>
          <w:b/>
        </w:rPr>
      </w:pPr>
      <w:bookmarkStart w:id="327" w:name="_Toc224136221"/>
      <w:r w:rsidRPr="004570F2">
        <w:rPr>
          <w:b/>
        </w:rPr>
        <w:t>Functioning of the internal market and competition</w:t>
      </w:r>
      <w:bookmarkEnd w:id="327"/>
    </w:p>
    <w:p w14:paraId="750A144E" w14:textId="77777777" w:rsidR="00E37E25" w:rsidRPr="004570F2" w:rsidRDefault="00E37E25" w:rsidP="00D60FAE">
      <w:pPr>
        <w:rPr>
          <w:color w:val="3071C3" w:themeColor="text2" w:themeTint="BF"/>
          <w:u w:val="single"/>
          <w:lang w:val="en-US"/>
        </w:rPr>
      </w:pPr>
      <w:r w:rsidRPr="004570F2">
        <w:rPr>
          <w:u w:val="single"/>
          <w:lang w:val="en-US"/>
        </w:rPr>
        <w:t>Cross-border organ exchange</w:t>
      </w:r>
    </w:p>
    <w:p w14:paraId="1EB9E555" w14:textId="3C4A30C6" w:rsidR="00E37E25" w:rsidRPr="007E5BD0" w:rsidRDefault="002F074A" w:rsidP="00E37E25">
      <w:pPr>
        <w:rPr>
          <w:lang w:val="en-US"/>
        </w:rPr>
      </w:pPr>
      <w:r>
        <w:rPr>
          <w:lang w:val="en-US"/>
        </w:rPr>
        <w:t>B</w:t>
      </w:r>
      <w:r w:rsidR="00E37E25" w:rsidRPr="007E5BD0">
        <w:rPr>
          <w:lang w:val="en-US"/>
        </w:rPr>
        <w:t xml:space="preserve">y establishing common EU-level quality and safety standards for organ processing, the framework enables competent authorities in receiving Member States to accept processed organs originating elsewhere on the basis of a recognised authorisation rather than ad hoc bilateral assessment. </w:t>
      </w:r>
      <w:r w:rsidR="00E37E25">
        <w:rPr>
          <w:lang w:val="en-US"/>
        </w:rPr>
        <w:t>MP</w:t>
      </w:r>
      <w:r w:rsidR="00E37E25" w:rsidRPr="007E5BD0">
        <w:rPr>
          <w:lang w:val="en-US"/>
        </w:rPr>
        <w:t xml:space="preserve"> </w:t>
      </w:r>
      <w:r w:rsidR="00084404">
        <w:rPr>
          <w:lang w:val="en-US"/>
        </w:rPr>
        <w:t xml:space="preserve">also </w:t>
      </w:r>
      <w:r w:rsidR="00E37E25" w:rsidRPr="007E5BD0">
        <w:rPr>
          <w:lang w:val="en-US"/>
        </w:rPr>
        <w:t xml:space="preserve">extends the viable preservation time of organs, thereby widening the geographic catchment area within which an organ can be allocated. </w:t>
      </w:r>
    </w:p>
    <w:p w14:paraId="1F153923" w14:textId="4BBA5189" w:rsidR="00E37E25" w:rsidRPr="007E5BD0" w:rsidRDefault="00E37E25" w:rsidP="00E37E25">
      <w:pPr>
        <w:rPr>
          <w:lang w:val="en-US"/>
        </w:rPr>
      </w:pPr>
      <w:r w:rsidRPr="007E5BD0">
        <w:rPr>
          <w:lang w:val="en-US"/>
        </w:rPr>
        <w:lastRenderedPageBreak/>
        <w:t xml:space="preserve">The policy is expected to generate a </w:t>
      </w:r>
      <w:r w:rsidRPr="007E5BD0">
        <w:rPr>
          <w:b/>
          <w:bCs/>
          <w:lang w:val="en-US"/>
        </w:rPr>
        <w:t>modest but real upward shift in cross-border exchange</w:t>
      </w:r>
      <w:r w:rsidRPr="007E5BD0">
        <w:rPr>
          <w:lang w:val="en-US"/>
        </w:rPr>
        <w:t xml:space="preserve">, operating primarily through the trust channel rather than through an increase in the absolute number of organs available for export. </w:t>
      </w:r>
      <w:r w:rsidR="00BA0DC4">
        <w:rPr>
          <w:lang w:val="en-US"/>
        </w:rPr>
        <w:t>Based on stakeholder consultations, t</w:t>
      </w:r>
      <w:r w:rsidR="00167933">
        <w:rPr>
          <w:lang w:val="en-US"/>
        </w:rPr>
        <w:t>h</w:t>
      </w:r>
      <w:r w:rsidRPr="007E5BD0">
        <w:rPr>
          <w:lang w:val="en-US"/>
        </w:rPr>
        <w:t>e magnitude of this effect</w:t>
      </w:r>
      <w:r w:rsidR="00167933">
        <w:rPr>
          <w:lang w:val="en-US"/>
        </w:rPr>
        <w:t xml:space="preserve"> is</w:t>
      </w:r>
      <w:r w:rsidR="00B04B8D">
        <w:rPr>
          <w:lang w:val="en-US"/>
        </w:rPr>
        <w:t xml:space="preserve"> </w:t>
      </w:r>
      <w:r w:rsidR="00BA0DC4">
        <w:rPr>
          <w:lang w:val="en-US"/>
        </w:rPr>
        <w:t xml:space="preserve">expected to be </w:t>
      </w:r>
      <w:r w:rsidR="00B04B8D">
        <w:rPr>
          <w:lang w:val="en-US"/>
        </w:rPr>
        <w:t>limited b</w:t>
      </w:r>
      <w:r w:rsidR="00215E87">
        <w:rPr>
          <w:lang w:val="en-US"/>
        </w:rPr>
        <w:t xml:space="preserve">y the fact that </w:t>
      </w:r>
      <w:r w:rsidRPr="007E5BD0">
        <w:rPr>
          <w:lang w:val="en-US"/>
        </w:rPr>
        <w:t xml:space="preserve">domestic demand absorbs the </w:t>
      </w:r>
      <w:r w:rsidR="00EB25C3">
        <w:rPr>
          <w:lang w:val="en-US"/>
        </w:rPr>
        <w:t>large</w:t>
      </w:r>
      <w:r w:rsidR="00EB25C3" w:rsidRPr="007E5BD0">
        <w:rPr>
          <w:lang w:val="en-US"/>
        </w:rPr>
        <w:t xml:space="preserve"> </w:t>
      </w:r>
      <w:r w:rsidRPr="007E5BD0">
        <w:rPr>
          <w:lang w:val="en-US"/>
        </w:rPr>
        <w:t>majority of processing-enabled additional organs</w:t>
      </w:r>
      <w:r w:rsidR="001A59DC">
        <w:rPr>
          <w:lang w:val="en-US"/>
        </w:rPr>
        <w:t xml:space="preserve">; by </w:t>
      </w:r>
      <w:r w:rsidR="00101537">
        <w:rPr>
          <w:lang w:val="en-US"/>
        </w:rPr>
        <w:t>the cumbersome</w:t>
      </w:r>
      <w:r w:rsidRPr="007E5BD0">
        <w:rPr>
          <w:lang w:val="en-US"/>
        </w:rPr>
        <w:t xml:space="preserve"> logistical burden of cross-border transport of organs on perfusion devices</w:t>
      </w:r>
      <w:r w:rsidR="00101537">
        <w:rPr>
          <w:lang w:val="en-US"/>
        </w:rPr>
        <w:t xml:space="preserve">; and by </w:t>
      </w:r>
      <w:r w:rsidR="00EB25C3">
        <w:rPr>
          <w:lang w:val="en-US"/>
        </w:rPr>
        <w:t>the fact that</w:t>
      </w:r>
      <w:r w:rsidRPr="007E5BD0">
        <w:rPr>
          <w:lang w:val="en-US"/>
        </w:rPr>
        <w:t xml:space="preserve"> cross-border kidney exchange programmes primarily serve hyperimmunised patients</w:t>
      </w:r>
      <w:r w:rsidR="00EB25C3">
        <w:rPr>
          <w:lang w:val="en-US"/>
        </w:rPr>
        <w:t xml:space="preserve"> (</w:t>
      </w:r>
      <w:r w:rsidRPr="007E5BD0">
        <w:rPr>
          <w:lang w:val="en-US"/>
        </w:rPr>
        <w:t>approximately 5</w:t>
      </w:r>
      <w:r w:rsidR="006856C2">
        <w:rPr>
          <w:lang w:val="en-US"/>
        </w:rPr>
        <w:t>%</w:t>
      </w:r>
      <w:r w:rsidRPr="007E5BD0">
        <w:rPr>
          <w:lang w:val="en-US"/>
        </w:rPr>
        <w:t xml:space="preserve"> of kidney waiting lists</w:t>
      </w:r>
      <w:r w:rsidR="00EB25C3">
        <w:rPr>
          <w:lang w:val="en-US"/>
        </w:rPr>
        <w:t>)</w:t>
      </w:r>
      <w:r w:rsidRPr="007E5BD0">
        <w:rPr>
          <w:lang w:val="en-US"/>
        </w:rPr>
        <w:t>.</w:t>
      </w:r>
    </w:p>
    <w:p w14:paraId="0C3DB189" w14:textId="1B883090" w:rsidR="00E37E25" w:rsidRPr="00D60FAE" w:rsidRDefault="00EB25C3" w:rsidP="00E37E25">
      <w:pPr>
        <w:rPr>
          <w:b/>
          <w:lang w:val="en-US"/>
        </w:rPr>
      </w:pPr>
      <w:r>
        <w:rPr>
          <w:lang w:val="en-US"/>
        </w:rPr>
        <w:t>T</w:t>
      </w:r>
      <w:r w:rsidR="00E37E25" w:rsidRPr="007E5BD0">
        <w:rPr>
          <w:lang w:val="en-US"/>
        </w:rPr>
        <w:t xml:space="preserve">he </w:t>
      </w:r>
      <w:r w:rsidR="00E37E25" w:rsidRPr="007E5BD0">
        <w:rPr>
          <w:b/>
          <w:bCs/>
          <w:lang w:val="en-US"/>
        </w:rPr>
        <w:t>harmonisation effect is important for two reasons.</w:t>
      </w:r>
      <w:r w:rsidR="00E37E25" w:rsidRPr="007E5BD0">
        <w:rPr>
          <w:lang w:val="en-US"/>
        </w:rPr>
        <w:t xml:space="preserve"> First, within existing exchange organisations, the proportion of exchanged organs that have undergone processing is expected to rise materially over the assessment </w:t>
      </w:r>
      <w:r w:rsidR="00E37E25" w:rsidRPr="00716470">
        <w:rPr>
          <w:lang w:val="en-US"/>
        </w:rPr>
        <w:t xml:space="preserve">period. </w:t>
      </w:r>
      <w:r w:rsidR="00594CB4" w:rsidRPr="004570F2">
        <w:rPr>
          <w:lang w:val="en-US"/>
        </w:rPr>
        <w:t>I</w:t>
      </w:r>
      <w:r w:rsidR="00E37E25" w:rsidRPr="004570F2">
        <w:rPr>
          <w:lang w:val="en-US"/>
        </w:rPr>
        <w:t>f the share of transplanted organs that undergo processing rises to 25-30</w:t>
      </w:r>
      <w:r w:rsidR="005926C3" w:rsidRPr="004570F2">
        <w:rPr>
          <w:lang w:val="en-US"/>
        </w:rPr>
        <w:t xml:space="preserve"> </w:t>
      </w:r>
      <w:r w:rsidR="00E37E25" w:rsidRPr="004570F2">
        <w:rPr>
          <w:lang w:val="en-US"/>
        </w:rPr>
        <w:t>% by 2035 under the moderate scenario, then approximately</w:t>
      </w:r>
      <w:r w:rsidR="00E37E25" w:rsidRPr="00D60FAE">
        <w:rPr>
          <w:b/>
          <w:lang w:val="en-US"/>
        </w:rPr>
        <w:t xml:space="preserve"> one in four cross-border organs would be a processed organ, a proportion at which the absence of harmonised standards would constitute a material barrier</w:t>
      </w:r>
      <w:r w:rsidR="00E37E25" w:rsidRPr="007E5BD0">
        <w:rPr>
          <w:lang w:val="en-US"/>
        </w:rPr>
        <w:t xml:space="preserve">. </w:t>
      </w:r>
      <w:r w:rsidR="00E37E25" w:rsidRPr="00C166C8">
        <w:rPr>
          <w:lang w:val="en-US"/>
        </w:rPr>
        <w:t xml:space="preserve">Second, </w:t>
      </w:r>
      <w:r w:rsidR="00E37E25" w:rsidRPr="004570F2">
        <w:rPr>
          <w:lang w:val="en-US"/>
        </w:rPr>
        <w:t>the extension of viable preservation time enabled by wider perfusion adoption</w:t>
      </w:r>
      <w:r w:rsidR="00E37E25" w:rsidRPr="00D60FAE">
        <w:rPr>
          <w:b/>
          <w:lang w:val="en-US"/>
        </w:rPr>
        <w:t xml:space="preserve"> enlarges the effective catchment area for organ allocation within existing exchange systems. </w:t>
      </w:r>
    </w:p>
    <w:p w14:paraId="14C468B4" w14:textId="2CB99E1F" w:rsidR="0038558D" w:rsidRDefault="00E37E25" w:rsidP="00673811">
      <w:pPr>
        <w:rPr>
          <w:u w:val="single"/>
        </w:rPr>
      </w:pPr>
      <w:r w:rsidRPr="007E5BD0">
        <w:rPr>
          <w:lang w:val="en-US"/>
        </w:rPr>
        <w:t xml:space="preserve">Under the moderate policy scenario, total EU-27 transplant volumes are projected at approximately 39,635 by 2035 (38,200 baseline + ~1,435 additional). Within Eurotransplant, which performs </w:t>
      </w:r>
      <w:r>
        <w:rPr>
          <w:lang w:val="en-US"/>
        </w:rPr>
        <w:t>over</w:t>
      </w:r>
      <w:r w:rsidRPr="007E5BD0">
        <w:rPr>
          <w:lang w:val="en-US"/>
        </w:rPr>
        <w:t xml:space="preserve"> 2</w:t>
      </w:r>
      <w:r>
        <w:rPr>
          <w:lang w:val="en-US"/>
        </w:rPr>
        <w:t>2</w:t>
      </w:r>
      <w:r w:rsidR="006856C2">
        <w:rPr>
          <w:lang w:val="en-US"/>
        </w:rPr>
        <w:t>%</w:t>
      </w:r>
      <w:r w:rsidRPr="007E5BD0">
        <w:rPr>
          <w:lang w:val="en-US"/>
        </w:rPr>
        <w:t xml:space="preserve"> of EU transplants</w:t>
      </w:r>
      <w:r>
        <w:rPr>
          <w:lang w:val="en-US"/>
        </w:rPr>
        <w:t xml:space="preserve"> (7,160/</w:t>
      </w:r>
      <w:r w:rsidRPr="00786E4C">
        <w:rPr>
          <w:lang w:val="en-US"/>
        </w:rPr>
        <w:t>32</w:t>
      </w:r>
      <w:r>
        <w:rPr>
          <w:lang w:val="en-US"/>
        </w:rPr>
        <w:t>,</w:t>
      </w:r>
      <w:r w:rsidRPr="00786E4C">
        <w:rPr>
          <w:lang w:val="en-US"/>
        </w:rPr>
        <w:t>222</w:t>
      </w:r>
      <w:r>
        <w:rPr>
          <w:lang w:val="en-US"/>
        </w:rPr>
        <w:t>),</w:t>
      </w:r>
      <w:r w:rsidRPr="007E5BD0">
        <w:rPr>
          <w:lang w:val="en-US"/>
        </w:rPr>
        <w:t xml:space="preserve"> this implies approximately 9,100 allocated organs by 2035. If the harmonised framework enables an increase in the cross-border exchange rate of 1</w:t>
      </w:r>
      <w:r>
        <w:rPr>
          <w:lang w:val="en-US"/>
        </w:rPr>
        <w:t>-</w:t>
      </w:r>
      <w:r w:rsidRPr="007E5BD0">
        <w:rPr>
          <w:lang w:val="en-US"/>
        </w:rPr>
        <w:t>2 percentage points (from the baseline ~20</w:t>
      </w:r>
      <w:r>
        <w:rPr>
          <w:lang w:val="en-US"/>
        </w:rPr>
        <w:t>-</w:t>
      </w:r>
      <w:r w:rsidRPr="007E5BD0">
        <w:rPr>
          <w:lang w:val="en-US"/>
        </w:rPr>
        <w:t>23</w:t>
      </w:r>
      <w:r w:rsidR="006856C2">
        <w:rPr>
          <w:lang w:val="en-US"/>
        </w:rPr>
        <w:t>%</w:t>
      </w:r>
      <w:r w:rsidRPr="007E5BD0">
        <w:rPr>
          <w:lang w:val="en-US"/>
        </w:rPr>
        <w:t xml:space="preserve"> to ~22</w:t>
      </w:r>
      <w:r>
        <w:rPr>
          <w:lang w:val="en-US"/>
        </w:rPr>
        <w:t>-</w:t>
      </w:r>
      <w:r w:rsidRPr="007E5BD0">
        <w:rPr>
          <w:lang w:val="en-US"/>
        </w:rPr>
        <w:t>25</w:t>
      </w:r>
      <w:r w:rsidR="006856C2">
        <w:rPr>
          <w:lang w:val="en-US"/>
        </w:rPr>
        <w:t>%</w:t>
      </w:r>
      <w:r w:rsidRPr="007E5BD0">
        <w:rPr>
          <w:lang w:val="en-US"/>
        </w:rPr>
        <w:t>), this would correspond to approximately 90</w:t>
      </w:r>
      <w:r w:rsidRPr="00786E4C">
        <w:rPr>
          <w:lang w:val="en-US"/>
        </w:rPr>
        <w:t>-</w:t>
      </w:r>
      <w:r w:rsidRPr="007E5BD0">
        <w:rPr>
          <w:lang w:val="en-US"/>
        </w:rPr>
        <w:t xml:space="preserve">180 additional cross-border organ exchanges per year within the Eurotransplant system alone. Extrapolating proportionally to the full EU-27, the total increment is estimated at approximately </w:t>
      </w:r>
      <w:r w:rsidRPr="007E5BD0">
        <w:rPr>
          <w:b/>
          <w:bCs/>
          <w:lang w:val="en-US"/>
        </w:rPr>
        <w:t>120</w:t>
      </w:r>
      <w:r>
        <w:rPr>
          <w:b/>
          <w:bCs/>
          <w:lang w:val="en-US"/>
        </w:rPr>
        <w:t>-</w:t>
      </w:r>
      <w:r w:rsidRPr="007E5BD0">
        <w:rPr>
          <w:b/>
          <w:bCs/>
          <w:lang w:val="en-US"/>
        </w:rPr>
        <w:t>250 additional cross-border organ exchanges per year by 2035</w:t>
      </w:r>
      <w:r w:rsidRPr="007E5BD0">
        <w:rPr>
          <w:lang w:val="en-US"/>
        </w:rPr>
        <w:t xml:space="preserve">. The effect is concentrated in hearts and lungs, where cross-border exchange rates are already highest (31.8% and 28.9% respectively within Eurotransplant at T0) and where </w:t>
      </w:r>
      <w:r>
        <w:rPr>
          <w:lang w:val="en-US"/>
        </w:rPr>
        <w:t>MP</w:t>
      </w:r>
      <w:r w:rsidRPr="007E5BD0">
        <w:rPr>
          <w:lang w:val="en-US"/>
        </w:rPr>
        <w:t xml:space="preserve"> most directly extends the allocation radius.</w:t>
      </w:r>
      <w:r>
        <w:rPr>
          <w:lang w:val="en-US"/>
        </w:rPr>
        <w:t xml:space="preserve"> </w:t>
      </w:r>
      <w:r w:rsidRPr="007E5BD0">
        <w:rPr>
          <w:lang w:val="en-US"/>
        </w:rPr>
        <w:t xml:space="preserve">This estimate </w:t>
      </w:r>
      <w:r w:rsidR="009B118F">
        <w:rPr>
          <w:lang w:val="en-US"/>
        </w:rPr>
        <w:t>reflects</w:t>
      </w:r>
      <w:r w:rsidRPr="007E5BD0">
        <w:rPr>
          <w:lang w:val="en-US"/>
        </w:rPr>
        <w:t xml:space="preserve"> both the stakeholder </w:t>
      </w:r>
      <w:r w:rsidR="009B118F">
        <w:rPr>
          <w:lang w:val="en-US"/>
        </w:rPr>
        <w:t>views</w:t>
      </w:r>
      <w:r w:rsidR="009B118F" w:rsidRPr="007E5BD0">
        <w:rPr>
          <w:lang w:val="en-US"/>
        </w:rPr>
        <w:t xml:space="preserve"> </w:t>
      </w:r>
      <w:r w:rsidRPr="007E5BD0">
        <w:rPr>
          <w:lang w:val="en-US"/>
        </w:rPr>
        <w:t xml:space="preserve">on the structural constraints described above and the observation that Eurotransplant's cross-border exchange rate has remained stable at </w:t>
      </w:r>
      <w:r w:rsidRPr="00D60FAE">
        <w:rPr>
          <w:b/>
          <w:lang w:val="en-US"/>
        </w:rPr>
        <w:t>20-</w:t>
      </w:r>
      <w:r w:rsidRPr="00D60FAE">
        <w:rPr>
          <w:b/>
        </w:rPr>
        <w:t>23</w:t>
      </w:r>
      <w:r w:rsidR="006856C2">
        <w:rPr>
          <w:b/>
          <w:bCs/>
        </w:rPr>
        <w:t>%</w:t>
      </w:r>
      <w:r w:rsidRPr="00D60FAE">
        <w:rPr>
          <w:b/>
        </w:rPr>
        <w:t xml:space="preserve"> over recent years despite concurrent processing adoption.</w:t>
      </w:r>
      <w:r w:rsidRPr="00673811">
        <w:rPr>
          <w:b/>
          <w:bCs/>
          <w:i/>
          <w:iCs/>
        </w:rPr>
        <w:t xml:space="preserve"> </w:t>
      </w:r>
      <w:bookmarkStart w:id="328" w:name="_Toc224136222"/>
    </w:p>
    <w:p w14:paraId="1B301443" w14:textId="77777777" w:rsidR="00E37E25" w:rsidRPr="004570F2" w:rsidRDefault="00E37E25" w:rsidP="00673811">
      <w:pPr>
        <w:rPr>
          <w:b/>
        </w:rPr>
      </w:pPr>
      <w:r w:rsidRPr="004570F2">
        <w:rPr>
          <w:b/>
        </w:rPr>
        <w:t>Innovation and research</w:t>
      </w:r>
      <w:bookmarkEnd w:id="328"/>
      <w:r w:rsidRPr="004570F2">
        <w:rPr>
          <w:b/>
        </w:rPr>
        <w:t xml:space="preserve"> </w:t>
      </w:r>
    </w:p>
    <w:p w14:paraId="1E86038B" w14:textId="77777777" w:rsidR="00E37E25" w:rsidRPr="00D60FAE" w:rsidRDefault="00E37E25" w:rsidP="00D60FAE">
      <w:pPr>
        <w:rPr>
          <w:u w:val="single"/>
        </w:rPr>
      </w:pPr>
      <w:r w:rsidRPr="00D60FAE">
        <w:rPr>
          <w:u w:val="single"/>
        </w:rPr>
        <w:t>Transplantation centres actively performing advanced organ processing</w:t>
      </w:r>
    </w:p>
    <w:p w14:paraId="16429DA0" w14:textId="0750C0B2" w:rsidR="00E37E25" w:rsidRPr="007E5BD0" w:rsidRDefault="00E55DAD" w:rsidP="00E37E25">
      <w:pPr>
        <w:rPr>
          <w:lang w:val="en-US"/>
        </w:rPr>
      </w:pPr>
      <w:r w:rsidRPr="00D60FAE">
        <w:rPr>
          <w:lang w:val="en-US"/>
        </w:rPr>
        <w:t>F</w:t>
      </w:r>
      <w:r w:rsidR="00E37E25" w:rsidRPr="007E5BD0">
        <w:rPr>
          <w:lang w:val="en-US"/>
        </w:rPr>
        <w:t>irst</w:t>
      </w:r>
      <w:r>
        <w:rPr>
          <w:lang w:val="en-US"/>
        </w:rPr>
        <w:t>, t</w:t>
      </w:r>
      <w:r w:rsidR="00E37E25" w:rsidRPr="007E5BD0">
        <w:rPr>
          <w:lang w:val="en-US"/>
        </w:rPr>
        <w:t>he establishment of a defined EU-level pathway for organ processing</w:t>
      </w:r>
      <w:r w:rsidR="00E37E25">
        <w:rPr>
          <w:lang w:val="en-US"/>
        </w:rPr>
        <w:t xml:space="preserve"> </w:t>
      </w:r>
      <w:r w:rsidR="00E37E25" w:rsidRPr="007E5BD0">
        <w:rPr>
          <w:lang w:val="en-US"/>
        </w:rPr>
        <w:t xml:space="preserve">removes the legal uncertainty that, under the baseline, functions as a structural deterrent to institutional investment in processing capability. </w:t>
      </w:r>
      <w:r>
        <w:rPr>
          <w:lang w:val="en-US"/>
        </w:rPr>
        <w:t>Second,</w:t>
      </w:r>
      <w:r w:rsidR="00E37E25" w:rsidRPr="007E5BD0">
        <w:rPr>
          <w:lang w:val="en-US"/>
        </w:rPr>
        <w:t xml:space="preserve"> the mandatory clinical-outcome monitoring plans generate structured, standardised outcome data that do not currently exist at the EU level. This data infrastructure enables cross-centre and cross-country comparison of processing outcomes, supports the progressive strengthening of the evidence base for specific techniques, and provides the empirical foundation for future evidence-based regulatory refinement. </w:t>
      </w:r>
      <w:r>
        <w:rPr>
          <w:lang w:val="en-US"/>
        </w:rPr>
        <w:t>T</w:t>
      </w:r>
      <w:r w:rsidR="00E37E25" w:rsidRPr="007E5BD0">
        <w:rPr>
          <w:lang w:val="en-US"/>
        </w:rPr>
        <w:t>hird</w:t>
      </w:r>
      <w:r>
        <w:rPr>
          <w:lang w:val="en-US"/>
        </w:rPr>
        <w:t xml:space="preserve">, </w:t>
      </w:r>
      <w:r w:rsidR="00E37E25" w:rsidRPr="007E5BD0">
        <w:rPr>
          <w:lang w:val="en-US"/>
        </w:rPr>
        <w:t xml:space="preserve">the dual-track authorisation model </w:t>
      </w:r>
      <w:r>
        <w:rPr>
          <w:lang w:val="en-US"/>
        </w:rPr>
        <w:t>seeks to</w:t>
      </w:r>
      <w:r w:rsidR="00E37E25" w:rsidRPr="007E5BD0">
        <w:rPr>
          <w:lang w:val="en-US"/>
        </w:rPr>
        <w:t xml:space="preserve"> accommodate next-generation processing technologies that are at earlier stages of clinical development. </w:t>
      </w:r>
    </w:p>
    <w:p w14:paraId="3754C159" w14:textId="53515822" w:rsidR="00E37E25" w:rsidRPr="007E5BD0" w:rsidRDefault="00E37E25" w:rsidP="00E37E25">
      <w:pPr>
        <w:rPr>
          <w:lang w:val="en-US"/>
        </w:rPr>
      </w:pPr>
      <w:r w:rsidRPr="007E5BD0">
        <w:rPr>
          <w:lang w:val="en-US"/>
        </w:rPr>
        <w:lastRenderedPageBreak/>
        <w:t xml:space="preserve">The quantitative impact of the policy on the </w:t>
      </w:r>
      <w:r w:rsidRPr="00D60FAE">
        <w:rPr>
          <w:b/>
          <w:lang w:val="en-US"/>
        </w:rPr>
        <w:t>rate of processing technology adoption</w:t>
      </w:r>
      <w:r w:rsidRPr="007E5BD0">
        <w:rPr>
          <w:lang w:val="en-US"/>
        </w:rPr>
        <w:t xml:space="preserve"> </w:t>
      </w:r>
      <w:r w:rsidR="00BF3FDB">
        <w:rPr>
          <w:lang w:val="en-US"/>
        </w:rPr>
        <w:t xml:space="preserve">can be </w:t>
      </w:r>
      <w:r w:rsidRPr="007E5BD0">
        <w:rPr>
          <w:lang w:val="en-US"/>
        </w:rPr>
        <w:t xml:space="preserve">summarised </w:t>
      </w:r>
      <w:r w:rsidR="00BF3FDB">
        <w:rPr>
          <w:lang w:val="en-US"/>
        </w:rPr>
        <w:t>as follows</w:t>
      </w:r>
      <w:r w:rsidRPr="007E5BD0">
        <w:rPr>
          <w:lang w:val="en-US"/>
        </w:rPr>
        <w:t>. Under the baseline, the share of EU-27 programmes with active processing capability is projected to rise from approximately 27</w:t>
      </w:r>
      <w:r w:rsidR="006856C2">
        <w:rPr>
          <w:lang w:val="en-US"/>
        </w:rPr>
        <w:t>%</w:t>
      </w:r>
      <w:r w:rsidRPr="007E5BD0">
        <w:rPr>
          <w:lang w:val="en-US"/>
        </w:rPr>
        <w:t xml:space="preserve"> at T0 to 42</w:t>
      </w:r>
      <w:r>
        <w:rPr>
          <w:lang w:val="en-US"/>
        </w:rPr>
        <w:t>-</w:t>
      </w:r>
      <w:r w:rsidRPr="007E5BD0">
        <w:rPr>
          <w:lang w:val="en-US"/>
        </w:rPr>
        <w:t>48</w:t>
      </w:r>
      <w:r w:rsidR="006856C2">
        <w:rPr>
          <w:lang w:val="en-US"/>
        </w:rPr>
        <w:t>%</w:t>
      </w:r>
      <w:r w:rsidRPr="007E5BD0">
        <w:rPr>
          <w:lang w:val="en-US"/>
        </w:rPr>
        <w:t xml:space="preserve"> by 2035, plateauing at 48</w:t>
      </w:r>
      <w:r>
        <w:rPr>
          <w:lang w:val="en-US"/>
        </w:rPr>
        <w:t>-</w:t>
      </w:r>
      <w:r w:rsidRPr="007E5BD0">
        <w:rPr>
          <w:lang w:val="en-US"/>
        </w:rPr>
        <w:t>55</w:t>
      </w:r>
      <w:r w:rsidR="006856C2">
        <w:rPr>
          <w:lang w:val="en-US"/>
        </w:rPr>
        <w:t>%</w:t>
      </w:r>
      <w:r w:rsidRPr="007E5BD0">
        <w:rPr>
          <w:lang w:val="en-US"/>
        </w:rPr>
        <w:t xml:space="preserve"> by 2040. The clinical ceiling, derived from benchmarking against Spain, Germany, and Italy, is estimated at 65</w:t>
      </w:r>
      <w:r>
        <w:rPr>
          <w:lang w:val="en-US"/>
        </w:rPr>
        <w:t>-</w:t>
      </w:r>
      <w:r w:rsidRPr="007E5BD0">
        <w:rPr>
          <w:lang w:val="en-US"/>
        </w:rPr>
        <w:t>80</w:t>
      </w:r>
      <w:r w:rsidR="006856C2">
        <w:rPr>
          <w:lang w:val="en-US"/>
        </w:rPr>
        <w:t>%</w:t>
      </w:r>
      <w:r w:rsidRPr="007E5BD0">
        <w:rPr>
          <w:lang w:val="en-US"/>
        </w:rPr>
        <w:t xml:space="preserve"> of programmes. </w:t>
      </w:r>
      <w:r w:rsidRPr="00D60FAE">
        <w:rPr>
          <w:b/>
          <w:lang w:val="en-US"/>
        </w:rPr>
        <w:t>Under the moderate policy scenario, adoption reaches 55-63</w:t>
      </w:r>
      <w:r w:rsidR="006856C2">
        <w:rPr>
          <w:b/>
          <w:bCs/>
          <w:lang w:val="en-US"/>
        </w:rPr>
        <w:t>%</w:t>
      </w:r>
      <w:r w:rsidRPr="00D60FAE">
        <w:rPr>
          <w:b/>
          <w:lang w:val="en-US"/>
        </w:rPr>
        <w:t xml:space="preserve"> by 2035, representing approximately 70-110 additional programmes</w:t>
      </w:r>
      <w:r w:rsidRPr="007E5BD0">
        <w:rPr>
          <w:lang w:val="en-US"/>
        </w:rPr>
        <w:t xml:space="preserve"> (residing in an estimated 50</w:t>
      </w:r>
      <w:r>
        <w:rPr>
          <w:lang w:val="en-US"/>
        </w:rPr>
        <w:t>-</w:t>
      </w:r>
      <w:r w:rsidRPr="007E5BD0">
        <w:rPr>
          <w:lang w:val="en-US"/>
        </w:rPr>
        <w:t>80 additional unique centres) transitioning to active processing capability beyond the baseline.</w:t>
      </w:r>
    </w:p>
    <w:p w14:paraId="56FF2257" w14:textId="47401498" w:rsidR="00E37E25" w:rsidRPr="007E5BD0" w:rsidRDefault="0038514B" w:rsidP="00E37E25">
      <w:pPr>
        <w:rPr>
          <w:lang w:val="en-US"/>
        </w:rPr>
      </w:pPr>
      <w:r>
        <w:rPr>
          <w:lang w:val="en-US"/>
        </w:rPr>
        <w:t>W</w:t>
      </w:r>
      <w:r w:rsidR="00A60941">
        <w:rPr>
          <w:lang w:val="en-US"/>
        </w:rPr>
        <w:t>ith regards to the</w:t>
      </w:r>
      <w:r w:rsidR="00E37E25" w:rsidRPr="007E5BD0">
        <w:rPr>
          <w:lang w:val="en-US"/>
        </w:rPr>
        <w:t xml:space="preserve"> </w:t>
      </w:r>
      <w:r w:rsidR="00E37E25" w:rsidRPr="00D60FAE">
        <w:rPr>
          <w:b/>
          <w:lang w:val="en-US"/>
        </w:rPr>
        <w:t>clinical evidence base</w:t>
      </w:r>
      <w:r w:rsidR="00E37E25" w:rsidRPr="007E5BD0">
        <w:rPr>
          <w:lang w:val="en-US"/>
        </w:rPr>
        <w:t xml:space="preserve"> for organ processing</w:t>
      </w:r>
      <w:r w:rsidR="00A60941">
        <w:rPr>
          <w:lang w:val="en-US"/>
        </w:rPr>
        <w:t>, t</w:t>
      </w:r>
      <w:r w:rsidR="00E37E25" w:rsidRPr="007E5BD0">
        <w:rPr>
          <w:lang w:val="en-US"/>
        </w:rPr>
        <w:t>he policy transforms th</w:t>
      </w:r>
      <w:r w:rsidR="00A60941">
        <w:rPr>
          <w:lang w:val="en-US"/>
        </w:rPr>
        <w:t xml:space="preserve">e nationally siloed </w:t>
      </w:r>
      <w:r w:rsidR="00E37E25" w:rsidRPr="007E5BD0">
        <w:rPr>
          <w:lang w:val="en-US"/>
        </w:rPr>
        <w:t xml:space="preserve">environment </w:t>
      </w:r>
      <w:r w:rsidR="00190725" w:rsidRPr="00D60FAE">
        <w:rPr>
          <w:b/>
          <w:bCs/>
          <w:lang w:val="en-US"/>
        </w:rPr>
        <w:t>as</w:t>
      </w:r>
      <w:r w:rsidR="00E37E25" w:rsidRPr="00D60FAE">
        <w:rPr>
          <w:b/>
          <w:lang w:val="en-US"/>
        </w:rPr>
        <w:t xml:space="preserve"> the clinical-outcome monitoring plans generate structured, prospective outcome data for novel or higher-risk processing techniques.</w:t>
      </w:r>
      <w:r w:rsidR="00E37E25" w:rsidRPr="007E5BD0">
        <w:rPr>
          <w:lang w:val="en-US"/>
        </w:rPr>
        <w:t xml:space="preserve"> Assuming that approximately 25</w:t>
      </w:r>
      <w:r w:rsidR="006856C2">
        <w:rPr>
          <w:lang w:val="en-US"/>
        </w:rPr>
        <w:t>%</w:t>
      </w:r>
      <w:r w:rsidR="00E37E25" w:rsidRPr="007E5BD0">
        <w:rPr>
          <w:lang w:val="en-US"/>
        </w:rPr>
        <w:t xml:space="preserve"> of authorisations issued during the transition phase are Track 2, this implies approximately </w:t>
      </w:r>
      <w:r w:rsidR="00E37E25" w:rsidRPr="00043499">
        <w:rPr>
          <w:b/>
          <w:bCs/>
          <w:lang w:val="en-US"/>
        </w:rPr>
        <w:t>15-36 active monitoring plans across the EU-27 during the transition period</w:t>
      </w:r>
      <w:r w:rsidR="00E37E25" w:rsidRPr="007E5BD0">
        <w:rPr>
          <w:lang w:val="en-US"/>
        </w:rPr>
        <w:t xml:space="preserve">, each generating structured data on processing-specific outcomes. </w:t>
      </w:r>
      <w:r w:rsidR="00A91AE3">
        <w:rPr>
          <w:lang w:val="en-US"/>
        </w:rPr>
        <w:t>Moreover</w:t>
      </w:r>
      <w:r w:rsidR="00E37E25" w:rsidRPr="007E5BD0">
        <w:rPr>
          <w:lang w:val="en-US"/>
        </w:rPr>
        <w:t xml:space="preserve">, </w:t>
      </w:r>
      <w:r w:rsidR="00E37E25" w:rsidRPr="00D60FAE">
        <w:rPr>
          <w:b/>
          <w:lang w:val="en-US"/>
        </w:rPr>
        <w:t xml:space="preserve">the addition of "Processing" as a data field in the complementary data set (Part B of the Annex) </w:t>
      </w:r>
      <w:r w:rsidR="00E37E25" w:rsidRPr="007E5BD0">
        <w:rPr>
          <w:lang w:val="en-US"/>
        </w:rPr>
        <w:t>creates the taxonomic infrastructure to disaggregate processing-attributable outcomes from those attributable to other causes</w:t>
      </w:r>
      <w:r w:rsidR="00E37E25">
        <w:rPr>
          <w:lang w:val="en-US"/>
        </w:rPr>
        <w:t>.</w:t>
      </w:r>
    </w:p>
    <w:p w14:paraId="6AED6608" w14:textId="15C239A0" w:rsidR="0038558D" w:rsidRPr="00D60FAE" w:rsidRDefault="00E37E25" w:rsidP="00E37E25">
      <w:pPr>
        <w:rPr>
          <w:lang w:val="en-US"/>
        </w:rPr>
      </w:pPr>
      <w:r w:rsidRPr="007E5BD0">
        <w:rPr>
          <w:lang w:val="en-US"/>
        </w:rPr>
        <w:t xml:space="preserve">The most consequential long-term innovation effect may be the framework's impact on </w:t>
      </w:r>
      <w:r w:rsidRPr="00D60FAE">
        <w:rPr>
          <w:b/>
          <w:lang w:val="en-US"/>
        </w:rPr>
        <w:t>next-generation processing technologies</w:t>
      </w:r>
      <w:r>
        <w:rPr>
          <w:lang w:val="en-US"/>
        </w:rPr>
        <w:t xml:space="preserve">. </w:t>
      </w:r>
      <w:r w:rsidRPr="007E5BD0">
        <w:rPr>
          <w:lang w:val="en-US"/>
        </w:rPr>
        <w:t>Under the baseline, these technologies face an uncertain and fragmented regulatory environment that could deter the private investment necessary for clinical translation. The conditional-authorisation pathway under Article 6</w:t>
      </w:r>
      <w:r w:rsidR="55BF8858" w:rsidRPr="3578E6B1">
        <w:rPr>
          <w:lang w:val="en-US"/>
        </w:rPr>
        <w:t>a (</w:t>
      </w:r>
      <w:r w:rsidRPr="007E5BD0">
        <w:rPr>
          <w:lang w:val="en-US"/>
        </w:rPr>
        <w:t>3) is specifically designed to address this</w:t>
      </w:r>
      <w:r>
        <w:rPr>
          <w:lang w:val="en-US"/>
        </w:rPr>
        <w:t xml:space="preserve">. </w:t>
      </w:r>
      <w:r w:rsidRPr="007E5BD0">
        <w:rPr>
          <w:lang w:val="en-US"/>
        </w:rPr>
        <w:t xml:space="preserve">The absence of such a pathway risks either driving innovation outside the EU or allowing unregulated experimentation that could compromise patient safety and undermine public trust in the </w:t>
      </w:r>
      <w:r w:rsidRPr="00D60FAE">
        <w:rPr>
          <w:lang w:val="en-US"/>
        </w:rPr>
        <w:t>technology.</w:t>
      </w:r>
    </w:p>
    <w:p w14:paraId="55665BC8" w14:textId="77777777" w:rsidR="00E37E25" w:rsidRPr="004570F2" w:rsidRDefault="00E37E25" w:rsidP="00673811">
      <w:pPr>
        <w:rPr>
          <w:b/>
        </w:rPr>
      </w:pPr>
      <w:bookmarkStart w:id="329" w:name="_Toc224136223"/>
      <w:r w:rsidRPr="004570F2">
        <w:rPr>
          <w:b/>
        </w:rPr>
        <w:t>Public authorities</w:t>
      </w:r>
      <w:bookmarkEnd w:id="329"/>
      <w:r w:rsidRPr="004570F2">
        <w:rPr>
          <w:b/>
        </w:rPr>
        <w:t xml:space="preserve"> </w:t>
      </w:r>
    </w:p>
    <w:p w14:paraId="52DBE637" w14:textId="77777777" w:rsidR="00E37E25" w:rsidRPr="004570F2" w:rsidRDefault="00E37E25" w:rsidP="00D60FAE">
      <w:pPr>
        <w:rPr>
          <w:u w:val="single"/>
          <w:lang w:val="en-US"/>
        </w:rPr>
      </w:pPr>
      <w:r w:rsidRPr="004570F2">
        <w:rPr>
          <w:u w:val="single"/>
          <w:lang w:val="en-US"/>
        </w:rPr>
        <w:t>Organ processing authorisations granted</w:t>
      </w:r>
    </w:p>
    <w:p w14:paraId="591BAEA9" w14:textId="4A5076FC" w:rsidR="00E37E25" w:rsidRPr="007E5BD0" w:rsidRDefault="00E37E25" w:rsidP="00E37E25">
      <w:pPr>
        <w:rPr>
          <w:lang w:val="en-US"/>
        </w:rPr>
      </w:pPr>
      <w:r w:rsidRPr="007E5BD0">
        <w:rPr>
          <w:lang w:val="en-US"/>
        </w:rPr>
        <w:t xml:space="preserve">The proposed Article 6a regime introduces a new supervisory mandate for national competent authorities, requiring them to receive, assess, and determine applications for organ processing </w:t>
      </w:r>
      <w:r>
        <w:rPr>
          <w:lang w:val="en-US"/>
        </w:rPr>
        <w:t>authorization.</w:t>
      </w:r>
      <w:r w:rsidRPr="007E5BD0">
        <w:rPr>
          <w:lang w:val="en-US"/>
        </w:rPr>
        <w:t xml:space="preserve"> </w:t>
      </w:r>
    </w:p>
    <w:p w14:paraId="610172AF" w14:textId="6120CFB7" w:rsidR="00E37E25" w:rsidRPr="007E5BD0" w:rsidRDefault="002D26F7" w:rsidP="00E37E25">
      <w:pPr>
        <w:rPr>
          <w:lang w:val="en-US"/>
        </w:rPr>
      </w:pPr>
      <w:r w:rsidRPr="004570F2">
        <w:rPr>
          <w:lang w:val="en-US"/>
        </w:rPr>
        <w:t>D</w:t>
      </w:r>
      <w:r w:rsidRPr="00D60FAE">
        <w:rPr>
          <w:lang w:val="en-US"/>
        </w:rPr>
        <w:t xml:space="preserve">uring the </w:t>
      </w:r>
      <w:r w:rsidRPr="009C53AC">
        <w:rPr>
          <w:b/>
          <w:bCs/>
          <w:lang w:val="en-US"/>
        </w:rPr>
        <w:t>t</w:t>
      </w:r>
      <w:r w:rsidR="00E37E25" w:rsidRPr="007E5BD0">
        <w:rPr>
          <w:b/>
          <w:bCs/>
          <w:lang w:val="en-US"/>
        </w:rPr>
        <w:t>ransition phase (approximately 2029–2031</w:t>
      </w:r>
      <w:r w:rsidR="00E37E25" w:rsidRPr="009C53AC">
        <w:rPr>
          <w:b/>
          <w:bCs/>
          <w:lang w:val="en-US"/>
        </w:rPr>
        <w:t>)</w:t>
      </w:r>
      <w:r w:rsidRPr="00D60FAE">
        <w:rPr>
          <w:b/>
          <w:bCs/>
          <w:lang w:val="en-US"/>
        </w:rPr>
        <w:t>,</w:t>
      </w:r>
      <w:r>
        <w:rPr>
          <w:lang w:val="en-US"/>
        </w:rPr>
        <w:t xml:space="preserve"> th</w:t>
      </w:r>
      <w:r w:rsidR="00E37E25" w:rsidRPr="007E5BD0">
        <w:rPr>
          <w:lang w:val="en-US"/>
        </w:rPr>
        <w:t xml:space="preserve">e authorisation regime's entry into force generates a transitional surge of applications as centres regularise processing </w:t>
      </w:r>
      <w:r w:rsidR="00E37E25" w:rsidRPr="00D60FAE">
        <w:rPr>
          <w:lang w:val="en-US"/>
        </w:rPr>
        <w:t xml:space="preserve">techniques already in clinical use. </w:t>
      </w:r>
      <w:r w:rsidRPr="00D60FAE">
        <w:rPr>
          <w:lang w:val="en-US"/>
        </w:rPr>
        <w:t>T</w:t>
      </w:r>
      <w:r w:rsidR="00E37E25" w:rsidRPr="00D60FAE">
        <w:rPr>
          <w:lang w:val="en-US"/>
        </w:rPr>
        <w:t xml:space="preserve">he total initial application volume </w:t>
      </w:r>
      <w:r w:rsidRPr="00D60FAE">
        <w:rPr>
          <w:lang w:val="en-US"/>
        </w:rPr>
        <w:t>is estimated</w:t>
      </w:r>
      <w:r w:rsidR="00E37E25" w:rsidRPr="00D60FAE">
        <w:rPr>
          <w:lang w:val="en-US"/>
        </w:rPr>
        <w:t xml:space="preserve"> at approximately 60-145 applications across the EU-27 over this three-year period (central estimate: ~100). Each application requires competent-authority assessment. The </w:t>
      </w:r>
      <w:r w:rsidRPr="00D60FAE">
        <w:rPr>
          <w:lang w:val="en-US"/>
        </w:rPr>
        <w:t>national transplant authority</w:t>
      </w:r>
      <w:r w:rsidR="00451EBE" w:rsidRPr="00D60FAE">
        <w:rPr>
          <w:lang w:val="en-US"/>
        </w:rPr>
        <w:t xml:space="preserve"> consulted</w:t>
      </w:r>
      <w:r w:rsidR="00E37E25" w:rsidRPr="00D60FAE">
        <w:rPr>
          <w:lang w:val="en-US"/>
        </w:rPr>
        <w:t xml:space="preserve"> estimated the processing time per assessment at approximately 15 working days for one person, excluding external expert consultations. Applying this estimate, and incorporating the cost of external expert consultations (estimated at 3-5 days per assessment at approximately EUR 400-500 per day for clinical and pharmacological specialists), the per-assessment cost on the competent authority side is estimated as follows:</w:t>
      </w:r>
    </w:p>
    <w:p w14:paraId="0F998762" w14:textId="77777777" w:rsidR="00E37E25" w:rsidRPr="004D7034" w:rsidRDefault="00E37E25" w:rsidP="00E37E25">
      <w:pPr>
        <w:pStyle w:val="ListParagraph"/>
        <w:numPr>
          <w:ilvl w:val="0"/>
          <w:numId w:val="269"/>
        </w:numPr>
        <w:spacing w:after="270" w:line="270" w:lineRule="atLeast"/>
        <w:ind w:right="284"/>
        <w:rPr>
          <w:lang w:val="en-US"/>
        </w:rPr>
      </w:pPr>
      <w:r w:rsidRPr="004D7034">
        <w:rPr>
          <w:lang w:val="en-US"/>
        </w:rPr>
        <w:lastRenderedPageBreak/>
        <w:t>Internal assessment staff: 15 working days × EUR 350</w:t>
      </w:r>
      <w:r>
        <w:rPr>
          <w:lang w:val="en-US"/>
        </w:rPr>
        <w:t>-</w:t>
      </w:r>
      <w:r w:rsidRPr="004D7034">
        <w:rPr>
          <w:lang w:val="en-US"/>
        </w:rPr>
        <w:t>450 per day (loaded labour cost for senior health-authority officials, Eurostat NACE Q) = EUR 5,250</w:t>
      </w:r>
      <w:r>
        <w:rPr>
          <w:lang w:val="en-US"/>
        </w:rPr>
        <w:t>-</w:t>
      </w:r>
      <w:r w:rsidRPr="004D7034">
        <w:rPr>
          <w:lang w:val="en-US"/>
        </w:rPr>
        <w:t>6,750</w:t>
      </w:r>
    </w:p>
    <w:p w14:paraId="0FEB6BFC" w14:textId="77777777" w:rsidR="00E37E25" w:rsidRPr="004D7034" w:rsidRDefault="00E37E25" w:rsidP="00E37E25">
      <w:pPr>
        <w:pStyle w:val="ListParagraph"/>
        <w:numPr>
          <w:ilvl w:val="0"/>
          <w:numId w:val="269"/>
        </w:numPr>
        <w:spacing w:after="270" w:line="270" w:lineRule="atLeast"/>
        <w:ind w:right="284"/>
        <w:rPr>
          <w:lang w:val="en-US"/>
        </w:rPr>
      </w:pPr>
      <w:r w:rsidRPr="004D7034">
        <w:rPr>
          <w:lang w:val="en-US"/>
        </w:rPr>
        <w:t>External expert consultation: 3</w:t>
      </w:r>
      <w:r>
        <w:rPr>
          <w:lang w:val="en-US"/>
        </w:rPr>
        <w:t>-</w:t>
      </w:r>
      <w:r w:rsidRPr="004D7034">
        <w:rPr>
          <w:lang w:val="en-US"/>
        </w:rPr>
        <w:t>5 days × EUR 400</w:t>
      </w:r>
      <w:r>
        <w:rPr>
          <w:lang w:val="en-US"/>
        </w:rPr>
        <w:t>-</w:t>
      </w:r>
      <w:r w:rsidRPr="004D7034">
        <w:rPr>
          <w:lang w:val="en-US"/>
        </w:rPr>
        <w:t>500 per day = EUR 1,200</w:t>
      </w:r>
      <w:r>
        <w:rPr>
          <w:lang w:val="en-US"/>
        </w:rPr>
        <w:t>-</w:t>
      </w:r>
      <w:r w:rsidRPr="004D7034">
        <w:rPr>
          <w:lang w:val="en-US"/>
        </w:rPr>
        <w:t>2,500</w:t>
      </w:r>
    </w:p>
    <w:p w14:paraId="559A4A8F" w14:textId="76196DCF" w:rsidR="00E37E25" w:rsidRPr="004D7034" w:rsidRDefault="00E37E25" w:rsidP="00E37E25">
      <w:pPr>
        <w:pStyle w:val="ListParagraph"/>
        <w:numPr>
          <w:ilvl w:val="0"/>
          <w:numId w:val="269"/>
        </w:numPr>
        <w:spacing w:after="270" w:line="270" w:lineRule="atLeast"/>
        <w:ind w:right="284"/>
        <w:rPr>
          <w:lang w:val="en-US"/>
        </w:rPr>
      </w:pPr>
      <w:r w:rsidRPr="004D7034">
        <w:rPr>
          <w:lang w:val="en-US"/>
        </w:rPr>
        <w:t>Administrative overhead (documentation, correspondence, cross-framework verification under Articles 6</w:t>
      </w:r>
      <w:r w:rsidR="7711649C" w:rsidRPr="3578E6B1">
        <w:rPr>
          <w:lang w:val="en-US"/>
        </w:rPr>
        <w:t>a (</w:t>
      </w:r>
      <w:r w:rsidRPr="004D7034">
        <w:rPr>
          <w:lang w:val="en-US"/>
        </w:rPr>
        <w:t>4)</w:t>
      </w:r>
      <w:r w:rsidR="1C671D9A" w:rsidRPr="3578E6B1">
        <w:rPr>
          <w:lang w:val="en-US"/>
        </w:rPr>
        <w:t>– (</w:t>
      </w:r>
      <w:r w:rsidRPr="004D7034">
        <w:rPr>
          <w:lang w:val="en-US"/>
        </w:rPr>
        <w:t>7)): estimated at approximately EUR 500</w:t>
      </w:r>
      <w:r>
        <w:rPr>
          <w:lang w:val="en-US"/>
        </w:rPr>
        <w:t>-</w:t>
      </w:r>
      <w:r w:rsidRPr="004D7034">
        <w:rPr>
          <w:lang w:val="en-US"/>
        </w:rPr>
        <w:t>750 per assessment</w:t>
      </w:r>
    </w:p>
    <w:p w14:paraId="1B2B29A4" w14:textId="77777777" w:rsidR="00E37E25" w:rsidRPr="004D7034" w:rsidRDefault="00E37E25" w:rsidP="00E37E25">
      <w:pPr>
        <w:pStyle w:val="ListParagraph"/>
        <w:numPr>
          <w:ilvl w:val="0"/>
          <w:numId w:val="269"/>
        </w:numPr>
        <w:spacing w:after="270" w:line="270" w:lineRule="atLeast"/>
        <w:ind w:right="284"/>
        <w:rPr>
          <w:lang w:val="en-US"/>
        </w:rPr>
      </w:pPr>
      <w:r w:rsidRPr="004D7034">
        <w:rPr>
          <w:b/>
          <w:bCs/>
          <w:lang w:val="en-US"/>
        </w:rPr>
        <w:t>Total per-assessment cost on the competent authority side: approximately EUR 7,000</w:t>
      </w:r>
      <w:r>
        <w:rPr>
          <w:b/>
          <w:bCs/>
          <w:lang w:val="en-US"/>
        </w:rPr>
        <w:t>-</w:t>
      </w:r>
      <w:r w:rsidRPr="004D7034">
        <w:rPr>
          <w:b/>
          <w:bCs/>
          <w:lang w:val="en-US"/>
        </w:rPr>
        <w:t>10,000</w:t>
      </w:r>
      <w:r w:rsidRPr="004D7034">
        <w:rPr>
          <w:lang w:val="en-US"/>
        </w:rPr>
        <w:t xml:space="preserve"> (central estimate: ~EUR 8,500)</w:t>
      </w:r>
    </w:p>
    <w:p w14:paraId="61E93C50" w14:textId="2145AE4D" w:rsidR="00E37E25" w:rsidRPr="007E5BD0" w:rsidRDefault="00E37E25" w:rsidP="00E37E25">
      <w:pPr>
        <w:rPr>
          <w:lang w:val="en-US"/>
        </w:rPr>
      </w:pPr>
      <w:r w:rsidRPr="007E5BD0">
        <w:rPr>
          <w:lang w:val="en-US"/>
        </w:rPr>
        <w:t xml:space="preserve">For the transition phase, the aggregate competent-authority cost is therefore approximately </w:t>
      </w:r>
      <w:r w:rsidRPr="007E5BD0">
        <w:rPr>
          <w:b/>
          <w:bCs/>
          <w:lang w:val="en-US"/>
        </w:rPr>
        <w:t>EUR 420,000</w:t>
      </w:r>
      <w:r>
        <w:rPr>
          <w:b/>
          <w:bCs/>
          <w:lang w:val="en-US"/>
        </w:rPr>
        <w:t>-</w:t>
      </w:r>
      <w:r w:rsidRPr="007E5BD0">
        <w:rPr>
          <w:b/>
          <w:bCs/>
          <w:lang w:val="en-US"/>
        </w:rPr>
        <w:t>1,450,000 over three years</w:t>
      </w:r>
      <w:r w:rsidRPr="007E5BD0">
        <w:rPr>
          <w:lang w:val="en-US"/>
        </w:rPr>
        <w:t xml:space="preserve"> (central estimate: ~EUR 850,000, or ~EUR 280,000 per year). Distributed across 15</w:t>
      </w:r>
      <w:r>
        <w:rPr>
          <w:lang w:val="en-US"/>
        </w:rPr>
        <w:t>-</w:t>
      </w:r>
      <w:r w:rsidRPr="007E5BD0">
        <w:rPr>
          <w:lang w:val="en-US"/>
        </w:rPr>
        <w:t xml:space="preserve">18 Member States with active processing centres, this equates to approximately </w:t>
      </w:r>
      <w:r w:rsidRPr="007E5BD0">
        <w:rPr>
          <w:b/>
          <w:bCs/>
          <w:lang w:val="en-US"/>
        </w:rPr>
        <w:t>EUR 28,000</w:t>
      </w:r>
      <w:r w:rsidRPr="004D7034">
        <w:rPr>
          <w:b/>
          <w:bCs/>
          <w:lang w:val="en-US"/>
        </w:rPr>
        <w:t>-</w:t>
      </w:r>
      <w:r w:rsidRPr="007E5BD0">
        <w:rPr>
          <w:b/>
          <w:bCs/>
          <w:lang w:val="en-US"/>
        </w:rPr>
        <w:t>96,000 per Member State over the full transition period</w:t>
      </w:r>
      <w:r w:rsidR="00AF7A34">
        <w:rPr>
          <w:lang w:val="en-US"/>
        </w:rPr>
        <w:t>.</w:t>
      </w:r>
    </w:p>
    <w:p w14:paraId="4BBBAAB2" w14:textId="5FDD1A48" w:rsidR="00E37E25" w:rsidRPr="007E5BD0" w:rsidRDefault="006C155A" w:rsidP="00E37E25">
      <w:pPr>
        <w:rPr>
          <w:lang w:val="en-US"/>
        </w:rPr>
      </w:pPr>
      <w:r>
        <w:rPr>
          <w:lang w:val="en-US"/>
        </w:rPr>
        <w:t xml:space="preserve">During the </w:t>
      </w:r>
      <w:r w:rsidRPr="00D60FAE">
        <w:rPr>
          <w:b/>
          <w:bCs/>
          <w:lang w:val="en-US"/>
        </w:rPr>
        <w:t>s</w:t>
      </w:r>
      <w:r w:rsidR="00E37E25" w:rsidRPr="007E5BD0">
        <w:rPr>
          <w:b/>
          <w:bCs/>
          <w:lang w:val="en-US"/>
        </w:rPr>
        <w:t>teady-state phase (from approximately 2032 onwards</w:t>
      </w:r>
      <w:r w:rsidR="00E37E25" w:rsidRPr="007E5BD0">
        <w:rPr>
          <w:lang w:val="en-US"/>
        </w:rPr>
        <w:t>)</w:t>
      </w:r>
      <w:r>
        <w:rPr>
          <w:lang w:val="en-US"/>
        </w:rPr>
        <w:t xml:space="preserve">, </w:t>
      </w:r>
      <w:r w:rsidR="00E37E25" w:rsidRPr="007E5BD0">
        <w:rPr>
          <w:lang w:val="en-US"/>
        </w:rPr>
        <w:t xml:space="preserve">the steady-state application flow </w:t>
      </w:r>
      <w:r>
        <w:rPr>
          <w:lang w:val="en-US"/>
        </w:rPr>
        <w:t xml:space="preserve">is estimated </w:t>
      </w:r>
      <w:r w:rsidR="00E37E25" w:rsidRPr="007E5BD0">
        <w:rPr>
          <w:lang w:val="en-US"/>
        </w:rPr>
        <w:t>at approximately 7</w:t>
      </w:r>
      <w:r w:rsidR="00E37E25">
        <w:rPr>
          <w:lang w:val="en-US"/>
        </w:rPr>
        <w:t>-</w:t>
      </w:r>
      <w:r w:rsidR="00E37E25" w:rsidRPr="007E5BD0">
        <w:rPr>
          <w:lang w:val="en-US"/>
        </w:rPr>
        <w:t xml:space="preserve">10 applications per year across the EU-27. At the per-assessment cost of ~EUR 8,500, the annual steady-state competent-authority assessment cost is approximately </w:t>
      </w:r>
      <w:r w:rsidR="00E37E25" w:rsidRPr="007E5BD0">
        <w:rPr>
          <w:b/>
          <w:bCs/>
          <w:lang w:val="en-US"/>
        </w:rPr>
        <w:t>EUR 60,000</w:t>
      </w:r>
      <w:r w:rsidR="00E37E25">
        <w:rPr>
          <w:b/>
          <w:bCs/>
          <w:lang w:val="en-US"/>
        </w:rPr>
        <w:t>-</w:t>
      </w:r>
      <w:r w:rsidR="00E37E25" w:rsidRPr="007E5BD0">
        <w:rPr>
          <w:b/>
          <w:bCs/>
          <w:lang w:val="en-US"/>
        </w:rPr>
        <w:t>85,000 per year</w:t>
      </w:r>
      <w:r w:rsidR="00E37E25" w:rsidRPr="007E5BD0">
        <w:rPr>
          <w:lang w:val="en-US"/>
        </w:rPr>
        <w:t xml:space="preserve"> across the EU-27. This is a modest recurrent cost in absolute terms, but it is unevenly distributed: larger Member States with multiple active processing centres (Germany, France, Italy, Spain) will handle the majority of applications, while smaller Member States may process one application every several years or none at all.</w:t>
      </w:r>
    </w:p>
    <w:p w14:paraId="79903C23" w14:textId="04DC364D" w:rsidR="00E37E25" w:rsidRPr="007E5BD0" w:rsidRDefault="009C4AE0" w:rsidP="00E37E25">
      <w:pPr>
        <w:rPr>
          <w:lang w:val="en-US"/>
        </w:rPr>
      </w:pPr>
      <w:r w:rsidRPr="00D60FAE">
        <w:rPr>
          <w:lang w:val="en-US"/>
        </w:rPr>
        <w:t>In addition, f</w:t>
      </w:r>
      <w:r w:rsidR="00E37E25" w:rsidRPr="00C96199">
        <w:rPr>
          <w:lang w:val="en-US"/>
        </w:rPr>
        <w:t>or processing</w:t>
      </w:r>
      <w:r w:rsidR="00E37E25" w:rsidRPr="007E5BD0">
        <w:rPr>
          <w:lang w:val="en-US"/>
        </w:rPr>
        <w:t xml:space="preserve"> techniques authorised under Track 2 (conditional authorisation with clinical-outcome monitoring), competent authorities </w:t>
      </w:r>
      <w:r w:rsidR="009C53AC">
        <w:rPr>
          <w:lang w:val="en-US"/>
        </w:rPr>
        <w:t>must</w:t>
      </w:r>
      <w:r w:rsidR="00E37E25" w:rsidRPr="007E5BD0">
        <w:rPr>
          <w:lang w:val="en-US"/>
        </w:rPr>
        <w:t xml:space="preserve"> review periodic monitoring reports, </w:t>
      </w:r>
      <w:r w:rsidR="00A667D2" w:rsidRPr="007E5BD0">
        <w:rPr>
          <w:lang w:val="en-US"/>
        </w:rPr>
        <w:t>asses</w:t>
      </w:r>
      <w:r w:rsidR="00A667D2">
        <w:rPr>
          <w:lang w:val="en-US"/>
        </w:rPr>
        <w:t>sed</w:t>
      </w:r>
      <w:r w:rsidR="00E37E25" w:rsidRPr="007E5BD0">
        <w:rPr>
          <w:lang w:val="en-US"/>
        </w:rPr>
        <w:t xml:space="preserve"> whether the evidence supports transition to full authorisation or warrants withdrawal, and coordinat</w:t>
      </w:r>
      <w:r w:rsidR="009C53AC">
        <w:rPr>
          <w:lang w:val="en-US"/>
        </w:rPr>
        <w:t>e</w:t>
      </w:r>
      <w:r w:rsidR="00E37E25" w:rsidRPr="007E5BD0">
        <w:rPr>
          <w:lang w:val="en-US"/>
        </w:rPr>
        <w:t xml:space="preserve"> data interpretation with the centres. </w:t>
      </w:r>
      <w:r w:rsidR="00E37E25" w:rsidRPr="00D60FAE">
        <w:rPr>
          <w:b/>
          <w:lang w:val="en-US"/>
        </w:rPr>
        <w:t xml:space="preserve">This </w:t>
      </w:r>
      <w:r w:rsidR="003C4DB1" w:rsidRPr="00D60FAE">
        <w:rPr>
          <w:b/>
          <w:lang w:val="en-US"/>
        </w:rPr>
        <w:t>recurrent monitoring oversight</w:t>
      </w:r>
      <w:r w:rsidR="003C4DB1">
        <w:rPr>
          <w:lang w:val="en-US"/>
        </w:rPr>
        <w:t xml:space="preserve"> </w:t>
      </w:r>
      <w:r w:rsidR="00E37E25" w:rsidRPr="007E5BD0">
        <w:rPr>
          <w:lang w:val="en-US"/>
        </w:rPr>
        <w:t>is estimated at approximately 3</w:t>
      </w:r>
      <w:r w:rsidR="00E37E25">
        <w:rPr>
          <w:lang w:val="en-US"/>
        </w:rPr>
        <w:t>-</w:t>
      </w:r>
      <w:r w:rsidR="00E37E25" w:rsidRPr="007E5BD0">
        <w:rPr>
          <w:lang w:val="en-US"/>
        </w:rPr>
        <w:t>5 working days per active monitoring plan per reporting cycle (assumed quarterly), equating to approximately 12</w:t>
      </w:r>
      <w:r w:rsidR="00E37E25">
        <w:rPr>
          <w:lang w:val="en-US"/>
        </w:rPr>
        <w:t>-</w:t>
      </w:r>
      <w:r w:rsidR="00E37E25" w:rsidRPr="007E5BD0">
        <w:rPr>
          <w:lang w:val="en-US"/>
        </w:rPr>
        <w:t>20 days per year per active Track 2 authorisation. If approximately 15–36 monitoring plans are active during the transition phase (25</w:t>
      </w:r>
      <w:r w:rsidR="006856C2">
        <w:rPr>
          <w:lang w:val="en-US"/>
        </w:rPr>
        <w:t>%</w:t>
      </w:r>
      <w:r w:rsidR="00E37E25" w:rsidRPr="007E5BD0">
        <w:rPr>
          <w:lang w:val="en-US"/>
        </w:rPr>
        <w:t xml:space="preserve"> of ~60–145 authorisations), the </w:t>
      </w:r>
      <w:r w:rsidR="00E37E25" w:rsidRPr="007E5BD0">
        <w:rPr>
          <w:b/>
          <w:bCs/>
          <w:lang w:val="en-US"/>
        </w:rPr>
        <w:t>aggregate monitoring oversight cost is approximately EUR 63,000</w:t>
      </w:r>
      <w:r w:rsidR="00E37E25" w:rsidRPr="004D7034">
        <w:rPr>
          <w:b/>
          <w:bCs/>
          <w:lang w:val="en-US"/>
        </w:rPr>
        <w:t>-</w:t>
      </w:r>
      <w:r w:rsidR="00E37E25" w:rsidRPr="007E5BD0">
        <w:rPr>
          <w:b/>
          <w:bCs/>
          <w:lang w:val="en-US"/>
        </w:rPr>
        <w:t>216,000 per year during the transition phase</w:t>
      </w:r>
      <w:r w:rsidR="00E37E25" w:rsidRPr="007E5BD0">
        <w:rPr>
          <w:lang w:val="en-US"/>
        </w:rPr>
        <w:t xml:space="preserve"> (declining in the steady state as monitoring plans convert to full authorisations or are withdrawn).</w:t>
      </w:r>
    </w:p>
    <w:p w14:paraId="2D6003E0" w14:textId="045CA128" w:rsidR="00E37E25" w:rsidRPr="007E5BD0" w:rsidRDefault="009C4AE0" w:rsidP="00E37E25">
      <w:pPr>
        <w:rPr>
          <w:lang w:val="en-US"/>
        </w:rPr>
      </w:pPr>
      <w:r w:rsidRPr="00D60FAE">
        <w:rPr>
          <w:lang w:val="en-US"/>
        </w:rPr>
        <w:t>Furthermore,</w:t>
      </w:r>
      <w:r w:rsidR="00E37E25" w:rsidRPr="00C96199">
        <w:rPr>
          <w:lang w:val="en-US"/>
        </w:rPr>
        <w:t xml:space="preserve"> the upfront i</w:t>
      </w:r>
      <w:r w:rsidR="00E37E25" w:rsidRPr="007E5BD0">
        <w:rPr>
          <w:lang w:val="en-US"/>
        </w:rPr>
        <w:t>nstitutional investment required to establish the assessment capability</w:t>
      </w:r>
      <w:r>
        <w:rPr>
          <w:lang w:val="en-US"/>
        </w:rPr>
        <w:t xml:space="preserve"> (</w:t>
      </w:r>
      <w:r w:rsidR="00E37E25" w:rsidRPr="007E5BD0">
        <w:rPr>
          <w:lang w:val="en-US"/>
        </w:rPr>
        <w:t>capacity-building cost</w:t>
      </w:r>
      <w:r>
        <w:rPr>
          <w:lang w:val="en-US"/>
        </w:rPr>
        <w:t>)</w:t>
      </w:r>
      <w:r w:rsidR="00E37E25" w:rsidRPr="007E5BD0">
        <w:rPr>
          <w:lang w:val="en-US"/>
        </w:rPr>
        <w:t xml:space="preserve"> </w:t>
      </w:r>
      <w:r w:rsidR="63B0F721" w:rsidRPr="64F39086">
        <w:rPr>
          <w:lang w:val="en-US"/>
        </w:rPr>
        <w:t>encompasses</w:t>
      </w:r>
      <w:r w:rsidR="00E37E25" w:rsidRPr="007E5BD0">
        <w:rPr>
          <w:lang w:val="en-US"/>
        </w:rPr>
        <w:t xml:space="preserve"> recruitment or training of staff with multidisciplinary assessment expertise; establishment of formal cooperation channels with pharmaceutical, medical device, and SoHO authorities (as mandated by Articles 6</w:t>
      </w:r>
      <w:r w:rsidR="63A53848" w:rsidRPr="64F39086">
        <w:rPr>
          <w:lang w:val="en-US"/>
        </w:rPr>
        <w:t>a (</w:t>
      </w:r>
      <w:r w:rsidR="00E37E25" w:rsidRPr="007E5BD0">
        <w:rPr>
          <w:lang w:val="en-US"/>
        </w:rPr>
        <w:t>4)</w:t>
      </w:r>
      <w:r w:rsidR="37622BBB" w:rsidRPr="64F39086">
        <w:rPr>
          <w:lang w:val="en-US"/>
        </w:rPr>
        <w:t>– (</w:t>
      </w:r>
      <w:r w:rsidR="00E37E25" w:rsidRPr="007E5BD0">
        <w:rPr>
          <w:lang w:val="en-US"/>
        </w:rPr>
        <w:t>8)); and development of internal procedures and assessment templates.</w:t>
      </w:r>
      <w:r w:rsidR="00E37E25">
        <w:rPr>
          <w:lang w:val="en-US"/>
        </w:rPr>
        <w:t xml:space="preserve"> </w:t>
      </w:r>
      <w:r w:rsidR="00E37E25" w:rsidRPr="00D60FAE">
        <w:rPr>
          <w:b/>
          <w:lang w:val="en-US"/>
        </w:rPr>
        <w:t>Quantification of these one-time institutional costs is not possible with precision from the available evidence</w:t>
      </w:r>
      <w:r w:rsidR="00E37E25" w:rsidRPr="007E5BD0">
        <w:rPr>
          <w:lang w:val="en-US"/>
        </w:rPr>
        <w:t xml:space="preserve">. </w:t>
      </w:r>
    </w:p>
    <w:p w14:paraId="57817746" w14:textId="61145F02" w:rsidR="00E37E25" w:rsidRPr="007E5BD0" w:rsidRDefault="00DF6614" w:rsidP="00E37E25">
      <w:pPr>
        <w:rPr>
          <w:lang w:val="en-US"/>
        </w:rPr>
      </w:pPr>
      <w:r w:rsidRPr="004570F2">
        <w:rPr>
          <w:lang w:val="en-US"/>
        </w:rPr>
        <w:t xml:space="preserve">Moreover, </w:t>
      </w:r>
      <w:r w:rsidR="00A95920" w:rsidRPr="00B76ED4">
        <w:rPr>
          <w:lang w:val="en-US"/>
        </w:rPr>
        <w:t>the</w:t>
      </w:r>
      <w:r w:rsidR="00A95920" w:rsidRPr="00D60FAE">
        <w:rPr>
          <w:lang w:val="en-US"/>
        </w:rPr>
        <w:t xml:space="preserve"> proposal</w:t>
      </w:r>
      <w:r w:rsidR="00E37E25" w:rsidRPr="00C96199">
        <w:rPr>
          <w:lang w:val="en-US"/>
        </w:rPr>
        <w:t xml:space="preserve"> formalises</w:t>
      </w:r>
      <w:r w:rsidR="00E37E25" w:rsidRPr="007E5BD0">
        <w:rPr>
          <w:lang w:val="en-US"/>
        </w:rPr>
        <w:t xml:space="preserve"> and mandates coordination with pharmaceutical, medical device, and SoHO authorities regarding the regulatory status and clinical outcome data of products used in organ processing. The recurrent cost of this coordination is </w:t>
      </w:r>
      <w:r w:rsidR="00E37E25" w:rsidRPr="007E5BD0">
        <w:rPr>
          <w:lang w:val="en-US"/>
        </w:rPr>
        <w:lastRenderedPageBreak/>
        <w:t xml:space="preserve">difficult to isolate from the per-assessment cost estimated above (which already includes cross-framework verification time), </w:t>
      </w:r>
      <w:r w:rsidR="00E37E25" w:rsidRPr="00D60FAE">
        <w:rPr>
          <w:b/>
          <w:lang w:val="en-US"/>
        </w:rPr>
        <w:t>but it represents a qualitative expansion of the competent authority's relational network that, over time, will require established inter-authority communication protocols and possibly joint assessment procedures</w:t>
      </w:r>
      <w:r w:rsidR="00E37E25" w:rsidRPr="007E5BD0">
        <w:rPr>
          <w:lang w:val="en-US"/>
        </w:rPr>
        <w:t xml:space="preserve">. </w:t>
      </w:r>
      <w:r w:rsidR="00E37E25">
        <w:rPr>
          <w:lang w:val="en-US"/>
        </w:rPr>
        <w:t>It is worth noting that</w:t>
      </w:r>
      <w:r w:rsidR="00E37E25" w:rsidRPr="007E5BD0">
        <w:rPr>
          <w:lang w:val="en-US"/>
        </w:rPr>
        <w:t xml:space="preserve"> cooperation with the medicines agency in the SoHO context is already smooth and operational in </w:t>
      </w:r>
      <w:r w:rsidR="00E37E25">
        <w:rPr>
          <w:lang w:val="en-US"/>
        </w:rPr>
        <w:t>some Member States</w:t>
      </w:r>
      <w:r w:rsidR="00A95920">
        <w:rPr>
          <w:lang w:val="en-US"/>
        </w:rPr>
        <w:t xml:space="preserve">; </w:t>
      </w:r>
      <w:r w:rsidR="00E37E25" w:rsidRPr="007E5BD0">
        <w:rPr>
          <w:lang w:val="en-US"/>
        </w:rPr>
        <w:t>the marginal effort to extend this model to the organ processing context is expected to be limited in Member States with existing cooperation infrastructure but more substantial in those without.</w:t>
      </w:r>
    </w:p>
    <w:p w14:paraId="1CC99C89" w14:textId="0308E2D4" w:rsidR="00E37E25" w:rsidRPr="007E5BD0" w:rsidRDefault="00E37E25" w:rsidP="00E37E25">
      <w:pPr>
        <w:rPr>
          <w:lang w:val="en-US"/>
        </w:rPr>
      </w:pPr>
      <w:r w:rsidRPr="007E5BD0">
        <w:rPr>
          <w:lang w:val="en-US"/>
        </w:rPr>
        <w:t xml:space="preserve">The proposal also generates </w:t>
      </w:r>
      <w:r w:rsidRPr="00D60FAE">
        <w:rPr>
          <w:b/>
          <w:lang w:val="en-US"/>
        </w:rPr>
        <w:t>administrative costs at the EU level</w:t>
      </w:r>
      <w:r w:rsidRPr="007E5BD0">
        <w:rPr>
          <w:lang w:val="en-US"/>
        </w:rPr>
        <w:t>. The Commission is tasked with: adopting implementing acts to establish the detailed authorisation procedure (Article 6a(12)); maintaining and updating the publicly accessible list of authorised processing operations (Article 6a(11)); and facilitating the exchange of clinical outcome data between competent authorities (Article 8, as amended). The magnitude of the Commission-level investment is not quantifiable from the available evidence, but the SoHO Regulation (2024/1938), which establishes a comparable framework for SoHO preparation authorisation, provides an indicative precedent.</w:t>
      </w:r>
    </w:p>
    <w:p w14:paraId="10C0F3FE" w14:textId="389C9E18" w:rsidR="00E518B4" w:rsidRPr="00D60FAE" w:rsidRDefault="00A95920" w:rsidP="00D60FAE">
      <w:pPr>
        <w:rPr>
          <w:b/>
        </w:rPr>
      </w:pPr>
      <w:r w:rsidRPr="00D60FAE">
        <w:rPr>
          <w:lang w:val="en-US"/>
        </w:rPr>
        <w:t xml:space="preserve">Overall, </w:t>
      </w:r>
      <w:r w:rsidR="00E37E25" w:rsidRPr="007E5BD0">
        <w:rPr>
          <w:b/>
          <w:bCs/>
          <w:lang w:val="en-US"/>
        </w:rPr>
        <w:t>the marginal cost per assessment should decline over time as the body of authorised techniques grows.</w:t>
      </w:r>
      <w:r w:rsidR="00E37E25" w:rsidRPr="007E5BD0">
        <w:rPr>
          <w:lang w:val="en-US"/>
        </w:rPr>
        <w:t xml:space="preserve"> The net incremental cost of the policy on public authorities, relative to the baseline, is therefore </w:t>
      </w:r>
      <w:r w:rsidR="00E37E25" w:rsidRPr="00D60FAE">
        <w:rPr>
          <w:b/>
          <w:lang w:val="en-US"/>
        </w:rPr>
        <w:t>lower than the gross estimates above, and the qualitative benefits</w:t>
      </w:r>
      <w:r w:rsidR="00E37E25" w:rsidRPr="007E5BD0">
        <w:rPr>
          <w:lang w:val="en-US"/>
        </w:rPr>
        <w:t xml:space="preserve"> (systematic oversight capability, cross-framework coordination, EU-level evidence infrastructure) </w:t>
      </w:r>
      <w:r w:rsidR="00E37E25" w:rsidRPr="00D60FAE">
        <w:rPr>
          <w:b/>
          <w:lang w:val="en-US"/>
        </w:rPr>
        <w:t>represent a structural improvement in the public-authority governance of organ transplantation that cannot be replicated by fragmented national action.</w:t>
      </w:r>
    </w:p>
    <w:p w14:paraId="5FAA46BE" w14:textId="5D81369B" w:rsidR="00403D88" w:rsidRPr="009C25AA" w:rsidRDefault="008D7CC6" w:rsidP="00D60FAE">
      <w:pPr>
        <w:pStyle w:val="Heading1"/>
      </w:pPr>
      <w:bookmarkStart w:id="330" w:name="_Toc225783211"/>
      <w:bookmarkStart w:id="331" w:name="_Toc225969817"/>
      <w:bookmarkStart w:id="332" w:name="_Toc225979149"/>
      <w:r w:rsidRPr="00AD6816">
        <w:t xml:space="preserve">Intervention n°9: </w:t>
      </w:r>
      <w:r w:rsidR="00A637EA" w:rsidRPr="00D60FAE">
        <w:t>R</w:t>
      </w:r>
      <w:r w:rsidRPr="00AD6816">
        <w:t>ecognition and support of strategic health biotechnology projects</w:t>
      </w:r>
      <w:bookmarkEnd w:id="330"/>
      <w:bookmarkEnd w:id="331"/>
      <w:bookmarkEnd w:id="332"/>
    </w:p>
    <w:p w14:paraId="7CE36617" w14:textId="77777777" w:rsidR="00146A16" w:rsidRPr="00A90616" w:rsidRDefault="00146A16" w:rsidP="00D60FAE">
      <w:pPr>
        <w:pStyle w:val="Heading2"/>
      </w:pPr>
      <w:bookmarkStart w:id="333" w:name="_Toc225969818"/>
      <w:bookmarkStart w:id="334" w:name="_Toc225979150"/>
      <w:r w:rsidRPr="00A90616">
        <w:t>Detailed description</w:t>
      </w:r>
      <w:r w:rsidRPr="00802F4D">
        <w:t xml:space="preserve"> of the proposed measures</w:t>
      </w:r>
      <w:bookmarkEnd w:id="333"/>
      <w:bookmarkEnd w:id="334"/>
    </w:p>
    <w:p w14:paraId="76D49C61" w14:textId="0D8AEF34" w:rsidR="00403D88" w:rsidRPr="00403D88" w:rsidRDefault="00403D88" w:rsidP="004570F2">
      <w:pPr>
        <w:rPr>
          <w:lang w:val="en-IE"/>
        </w:rPr>
      </w:pPr>
      <w:r w:rsidRPr="00146A16">
        <w:rPr>
          <w:lang w:val="en-IE"/>
        </w:rPr>
        <w:t xml:space="preserve">The measure establishes a framework for the </w:t>
      </w:r>
      <w:r w:rsidRPr="00D60FAE">
        <w:rPr>
          <w:lang w:val="en-IE"/>
        </w:rPr>
        <w:t>recognition and support of health biotechnology strategic projects</w:t>
      </w:r>
      <w:r w:rsidRPr="00146A16">
        <w:rPr>
          <w:lang w:val="en-IE"/>
        </w:rPr>
        <w:t xml:space="preserve"> within the Union</w:t>
      </w:r>
      <w:r w:rsidR="0071171B">
        <w:rPr>
          <w:lang w:val="en-IE"/>
        </w:rPr>
        <w:t>, with the objective</w:t>
      </w:r>
      <w:r w:rsidR="0071171B" w:rsidRPr="0071171B">
        <w:rPr>
          <w:lang w:val="en-IE"/>
        </w:rPr>
        <w:t xml:space="preserve"> </w:t>
      </w:r>
      <w:r w:rsidR="0071171B" w:rsidRPr="00146A16">
        <w:rPr>
          <w:lang w:val="en-IE"/>
        </w:rPr>
        <w:t>to address bottlenecks in project execution and scale-up by reducing regulatory fragmentation, shortening permitting timelines, improving administrative coordination, and facilitating access to funding and investment.</w:t>
      </w:r>
    </w:p>
    <w:p w14:paraId="40FF7D91" w14:textId="721E3648" w:rsidR="00403D88" w:rsidRPr="00403D88" w:rsidRDefault="00403D88" w:rsidP="004570F2">
      <w:pPr>
        <w:rPr>
          <w:lang w:val="en-IE"/>
        </w:rPr>
      </w:pPr>
      <w:r w:rsidRPr="00403D88">
        <w:rPr>
          <w:lang w:val="en-IE"/>
        </w:rPr>
        <w:t>Under this framework, Member States designate, by reasoned decision, projects located in the Union that make a substantial contribution to the objectives of strengthening industrial capacity, securing value chains, and accelerating the development and deployment of biotechnology products. Recognised projects are then granted access to a coordinated package of regulatory, administrative and financial support measures:</w:t>
      </w:r>
    </w:p>
    <w:p w14:paraId="57552ABD" w14:textId="126DE6B8" w:rsidR="00655458" w:rsidRPr="004570F2" w:rsidRDefault="00655458" w:rsidP="004570F2">
      <w:pPr>
        <w:pStyle w:val="ListParagraph"/>
        <w:numPr>
          <w:ilvl w:val="0"/>
          <w:numId w:val="269"/>
        </w:numPr>
        <w:spacing w:after="270" w:line="270" w:lineRule="atLeast"/>
        <w:ind w:right="284"/>
        <w:rPr>
          <w:lang w:val="en-US"/>
        </w:rPr>
      </w:pPr>
      <w:r w:rsidRPr="004570F2">
        <w:rPr>
          <w:lang w:val="en-US"/>
        </w:rPr>
        <w:t>Access to single points of contact (SPOCs) to coordinate the permit-granting process and provide information on administrative, technical and financial support.</w:t>
      </w:r>
    </w:p>
    <w:p w14:paraId="7764F091" w14:textId="575BBCC6" w:rsidR="00655458" w:rsidRPr="004570F2" w:rsidRDefault="00655458" w:rsidP="004570F2">
      <w:pPr>
        <w:pStyle w:val="ListParagraph"/>
        <w:numPr>
          <w:ilvl w:val="0"/>
          <w:numId w:val="269"/>
        </w:numPr>
        <w:spacing w:after="270" w:line="270" w:lineRule="atLeast"/>
        <w:ind w:right="284"/>
        <w:rPr>
          <w:lang w:val="en-US"/>
        </w:rPr>
      </w:pPr>
      <w:r w:rsidRPr="004570F2">
        <w:rPr>
          <w:lang w:val="en-US"/>
        </w:rPr>
        <w:t xml:space="preserve">Administrative support, including: (a) assistance to ensure compliance with administrative, regulatory and reporting obligations; (b) support and facilitation </w:t>
      </w:r>
      <w:r w:rsidRPr="004570F2">
        <w:rPr>
          <w:lang w:val="en-US"/>
        </w:rPr>
        <w:lastRenderedPageBreak/>
        <w:t>of permitting and authorisation procedures; and (c) assistance to inform the public and those in the vicinity of the project.</w:t>
      </w:r>
    </w:p>
    <w:p w14:paraId="766DD8AB" w14:textId="683716D7" w:rsidR="00655458" w:rsidRPr="004570F2" w:rsidRDefault="00655458" w:rsidP="004570F2">
      <w:pPr>
        <w:pStyle w:val="ListParagraph"/>
        <w:numPr>
          <w:ilvl w:val="0"/>
          <w:numId w:val="269"/>
        </w:numPr>
        <w:spacing w:after="270" w:line="270" w:lineRule="atLeast"/>
        <w:ind w:right="284"/>
        <w:rPr>
          <w:lang w:val="en-US"/>
        </w:rPr>
      </w:pPr>
      <w:r w:rsidRPr="004570F2">
        <w:rPr>
          <w:lang w:val="en-US"/>
        </w:rPr>
        <w:t>Permit-granting deadlines</w:t>
      </w:r>
      <w:r w:rsidR="004623A7" w:rsidRPr="004570F2">
        <w:rPr>
          <w:lang w:val="en-US"/>
        </w:rPr>
        <w:t xml:space="preserve"> -</w:t>
      </w:r>
      <w:r w:rsidRPr="004570F2">
        <w:rPr>
          <w:lang w:val="en-US"/>
        </w:rPr>
        <w:t xml:space="preserve"> 10 months from acknowledgement that the application is complete, with a possible extension of up to 3 months in duly justified complex cases.</w:t>
      </w:r>
    </w:p>
    <w:p w14:paraId="6F1E0AD5" w14:textId="3865D0C8" w:rsidR="00655458" w:rsidRPr="004570F2" w:rsidRDefault="00655458" w:rsidP="004570F2">
      <w:pPr>
        <w:pStyle w:val="ListParagraph"/>
        <w:numPr>
          <w:ilvl w:val="0"/>
          <w:numId w:val="269"/>
        </w:numPr>
        <w:spacing w:after="270" w:line="270" w:lineRule="atLeast"/>
        <w:ind w:right="284"/>
        <w:rPr>
          <w:lang w:val="en-US"/>
        </w:rPr>
      </w:pPr>
      <w:r w:rsidRPr="004570F2">
        <w:rPr>
          <w:lang w:val="en-US"/>
        </w:rPr>
        <w:t>Priority status / public interest</w:t>
      </w:r>
      <w:r w:rsidR="004623A7" w:rsidRPr="004570F2">
        <w:rPr>
          <w:lang w:val="en-US"/>
        </w:rPr>
        <w:t>: c</w:t>
      </w:r>
      <w:r w:rsidRPr="004570F2">
        <w:rPr>
          <w:lang w:val="en-US"/>
        </w:rPr>
        <w:t>onsidered as contributing to strengthening biomanufacturing capacity and supply resilience of biotechnology products in the Union and therefore considered in the public interest.</w:t>
      </w:r>
    </w:p>
    <w:p w14:paraId="5A066A7F" w14:textId="73DA1F84" w:rsidR="00CF0485" w:rsidRPr="004570F2" w:rsidRDefault="00655458" w:rsidP="004570F2">
      <w:pPr>
        <w:pStyle w:val="ListParagraph"/>
        <w:numPr>
          <w:ilvl w:val="0"/>
          <w:numId w:val="269"/>
        </w:numPr>
        <w:spacing w:after="270" w:line="270" w:lineRule="atLeast"/>
        <w:ind w:right="284"/>
        <w:rPr>
          <w:lang w:val="en-US"/>
        </w:rPr>
      </w:pPr>
      <w:r w:rsidRPr="004570F2">
        <w:rPr>
          <w:lang w:val="en-US"/>
        </w:rPr>
        <w:t>Accelerated procedures</w:t>
      </w:r>
      <w:r w:rsidR="00F473F7" w:rsidRPr="005035FA">
        <w:rPr>
          <w:lang w:val="en-US"/>
        </w:rPr>
        <w:t>.</w:t>
      </w:r>
      <w:r w:rsidR="00CE09DF" w:rsidRPr="004570F2">
        <w:rPr>
          <w:lang w:val="en-US"/>
        </w:rPr>
        <w:t xml:space="preserve"> </w:t>
      </w:r>
    </w:p>
    <w:p w14:paraId="6E92912D" w14:textId="6A264A89" w:rsidR="00655458" w:rsidRPr="004570F2" w:rsidRDefault="00655458" w:rsidP="004570F2">
      <w:pPr>
        <w:pStyle w:val="ListParagraph"/>
        <w:numPr>
          <w:ilvl w:val="0"/>
          <w:numId w:val="269"/>
        </w:numPr>
        <w:spacing w:after="270" w:line="270" w:lineRule="atLeast"/>
        <w:ind w:right="284"/>
        <w:rPr>
          <w:lang w:val="en-US"/>
        </w:rPr>
      </w:pPr>
      <w:r w:rsidRPr="004570F2">
        <w:rPr>
          <w:lang w:val="en-US"/>
        </w:rPr>
        <w:t>Highest national significance status available in national law and ensure the most rapid permit-granting and licensing procedures possible, including environmental and spatial-planning procedures.</w:t>
      </w:r>
    </w:p>
    <w:p w14:paraId="07D858AC" w14:textId="6A320F5D" w:rsidR="00655458" w:rsidRPr="004570F2" w:rsidRDefault="00D04C41" w:rsidP="004570F2">
      <w:pPr>
        <w:pStyle w:val="ListParagraph"/>
        <w:numPr>
          <w:ilvl w:val="0"/>
          <w:numId w:val="269"/>
        </w:numPr>
        <w:spacing w:after="270" w:line="270" w:lineRule="atLeast"/>
        <w:ind w:right="284"/>
        <w:rPr>
          <w:lang w:val="en-US"/>
        </w:rPr>
      </w:pPr>
      <w:r w:rsidRPr="004570F2">
        <w:rPr>
          <w:lang w:val="en-US"/>
        </w:rPr>
        <w:t>Urgent treatment for d</w:t>
      </w:r>
      <w:r w:rsidR="00655458" w:rsidRPr="004570F2">
        <w:rPr>
          <w:lang w:val="en-US"/>
        </w:rPr>
        <w:t>ispute resolution and judicial remedies relating to such projects</w:t>
      </w:r>
      <w:r w:rsidRPr="004570F2">
        <w:rPr>
          <w:lang w:val="en-US"/>
        </w:rPr>
        <w:t>,</w:t>
      </w:r>
      <w:r w:rsidR="00655458" w:rsidRPr="004570F2">
        <w:rPr>
          <w:lang w:val="en-US"/>
        </w:rPr>
        <w:t xml:space="preserve"> to the extent national law allows.</w:t>
      </w:r>
    </w:p>
    <w:p w14:paraId="11CE7290" w14:textId="692DBC71" w:rsidR="00655458" w:rsidRPr="004570F2" w:rsidRDefault="00655458" w:rsidP="004570F2">
      <w:pPr>
        <w:pStyle w:val="ListParagraph"/>
        <w:numPr>
          <w:ilvl w:val="0"/>
          <w:numId w:val="269"/>
        </w:numPr>
        <w:spacing w:after="270" w:line="270" w:lineRule="atLeast"/>
        <w:ind w:right="284"/>
        <w:rPr>
          <w:lang w:val="en-US"/>
        </w:rPr>
      </w:pPr>
      <w:r w:rsidRPr="004570F2">
        <w:rPr>
          <w:lang w:val="en-US"/>
        </w:rPr>
        <w:t>National support eligibility</w:t>
      </w:r>
      <w:r w:rsidR="00D04C41" w:rsidRPr="004570F2">
        <w:rPr>
          <w:lang w:val="en-US"/>
        </w:rPr>
        <w:t xml:space="preserve">: </w:t>
      </w:r>
      <w:r w:rsidRPr="004570F2">
        <w:rPr>
          <w:lang w:val="en-US"/>
        </w:rPr>
        <w:t>Member States may use relevant frameworks for providing public support, including national promotional banks and other public support instruments, in line with State aid rules, to support health biotechnology strategic projects.</w:t>
      </w:r>
    </w:p>
    <w:p w14:paraId="380DBB01" w14:textId="2D5566C7" w:rsidR="00655458" w:rsidRPr="004570F2" w:rsidRDefault="00655458" w:rsidP="004570F2">
      <w:pPr>
        <w:pStyle w:val="ListParagraph"/>
        <w:numPr>
          <w:ilvl w:val="0"/>
          <w:numId w:val="269"/>
        </w:numPr>
        <w:spacing w:after="270" w:line="270" w:lineRule="atLeast"/>
        <w:ind w:right="284"/>
        <w:rPr>
          <w:lang w:val="en-US"/>
        </w:rPr>
      </w:pPr>
      <w:r w:rsidRPr="004570F2">
        <w:rPr>
          <w:lang w:val="en-US"/>
        </w:rPr>
        <w:t>Union-level financial support</w:t>
      </w:r>
      <w:r w:rsidR="00D04C41" w:rsidRPr="004570F2">
        <w:rPr>
          <w:lang w:val="en-US"/>
        </w:rPr>
        <w:t xml:space="preserve">: </w:t>
      </w:r>
      <w:r w:rsidRPr="004570F2">
        <w:rPr>
          <w:lang w:val="en-US"/>
        </w:rPr>
        <w:t>Projects can be supported under Union programmes, funds and financial instruments, but without an explicit priority label.</w:t>
      </w:r>
    </w:p>
    <w:p w14:paraId="01CBF427" w14:textId="306E584E" w:rsidR="00655458" w:rsidRPr="004570F2" w:rsidRDefault="00655458" w:rsidP="004570F2">
      <w:pPr>
        <w:pStyle w:val="ListParagraph"/>
        <w:numPr>
          <w:ilvl w:val="0"/>
          <w:numId w:val="269"/>
        </w:numPr>
        <w:spacing w:after="270" w:line="270" w:lineRule="atLeast"/>
        <w:ind w:right="284"/>
        <w:rPr>
          <w:lang w:val="en-US"/>
        </w:rPr>
      </w:pPr>
      <w:r w:rsidRPr="004570F2">
        <w:rPr>
          <w:lang w:val="en-US"/>
        </w:rPr>
        <w:t>Access to EU Health Biotechnology Support Network and related services</w:t>
      </w:r>
      <w:r w:rsidR="0071171B" w:rsidRPr="004570F2">
        <w:rPr>
          <w:lang w:val="en-US"/>
        </w:rPr>
        <w:t>:</w:t>
      </w:r>
      <w:r w:rsidRPr="004570F2">
        <w:rPr>
          <w:lang w:val="en-US"/>
        </w:rPr>
        <w:t xml:space="preserve"> project promoters receive support for identifying Union-level funding opportunities, liaison with investors. They are also directed by SPOCs to national and regional antennas of the Network.</w:t>
      </w:r>
    </w:p>
    <w:p w14:paraId="3AD122C9" w14:textId="77777777" w:rsidR="008D7CC6" w:rsidRPr="005A3401" w:rsidRDefault="008D7CC6" w:rsidP="00D60FAE">
      <w:pPr>
        <w:pStyle w:val="Heading2"/>
      </w:pPr>
      <w:bookmarkStart w:id="335" w:name="_Toc225969819"/>
      <w:bookmarkStart w:id="336" w:name="_Toc225979151"/>
      <w:r>
        <w:t>Baseline and counterfactual scenario</w:t>
      </w:r>
      <w:bookmarkEnd w:id="335"/>
      <w:bookmarkEnd w:id="336"/>
    </w:p>
    <w:p w14:paraId="059A9155" w14:textId="58FA051B" w:rsidR="003C4947" w:rsidRDefault="00B1667D" w:rsidP="008D7CC6">
      <w:pPr>
        <w:rPr>
          <w:bCs/>
          <w:lang w:val="en-IE"/>
        </w:rPr>
      </w:pPr>
      <w:r w:rsidRPr="005035FA">
        <w:rPr>
          <w:lang w:val="en-IE"/>
        </w:rPr>
        <w:t>Under the baseline,</w:t>
      </w:r>
      <w:r w:rsidR="00374F90">
        <w:rPr>
          <w:bCs/>
          <w:lang w:val="en-IE"/>
        </w:rPr>
        <w:t xml:space="preserve"> the following </w:t>
      </w:r>
      <w:r w:rsidR="003C4947">
        <w:rPr>
          <w:bCs/>
          <w:lang w:val="en-IE"/>
        </w:rPr>
        <w:t>conditions are expected to persist:</w:t>
      </w:r>
    </w:p>
    <w:p w14:paraId="4C848313" w14:textId="2338E228" w:rsidR="003C4947" w:rsidRDefault="003C4947" w:rsidP="008D7CC6">
      <w:pPr>
        <w:rPr>
          <w:b/>
        </w:rPr>
      </w:pPr>
      <w:r>
        <w:rPr>
          <w:bCs/>
          <w:lang w:val="en-IE"/>
        </w:rPr>
        <w:t>-</w:t>
      </w:r>
      <w:r w:rsidR="00EE7318">
        <w:rPr>
          <w:bCs/>
          <w:lang w:val="en-IE"/>
        </w:rPr>
        <w:t xml:space="preserve"> </w:t>
      </w:r>
      <w:r w:rsidR="00B1667D" w:rsidRPr="005035FA">
        <w:rPr>
          <w:lang w:val="en-IE"/>
        </w:rPr>
        <w:t xml:space="preserve"> </w:t>
      </w:r>
      <w:r w:rsidR="00B1667D" w:rsidRPr="00B1667D">
        <w:rPr>
          <w:bCs/>
        </w:rPr>
        <w:t>p</w:t>
      </w:r>
      <w:r w:rsidR="008D7CC6" w:rsidRPr="00B1667D">
        <w:rPr>
          <w:bCs/>
        </w:rPr>
        <w:t>roject</w:t>
      </w:r>
      <w:r w:rsidR="008D7CC6" w:rsidRPr="00EF35E0">
        <w:t xml:space="preserve"> delivery in health biotechnology remains characterised by slow and fragmented administrative pathways, with complex procedures and uncertain timelines. The burden is expected to be disproportionate for SMEs, start-ups and scale-ups, with barriers to scaling up production linked to complex and fragmented permitting, overlapping legislative requirements and uneven implementation across Member States.</w:t>
      </w:r>
    </w:p>
    <w:p w14:paraId="2C0979A4" w14:textId="5848E568" w:rsidR="008D7CC6" w:rsidRPr="00EF35E0" w:rsidRDefault="003C4947" w:rsidP="008D7CC6">
      <w:pPr>
        <w:rPr>
          <w:b/>
        </w:rPr>
      </w:pPr>
      <w:r w:rsidRPr="004570F2">
        <w:rPr>
          <w:b/>
        </w:rPr>
        <w:t xml:space="preserve">- </w:t>
      </w:r>
      <w:r w:rsidR="00EE7318">
        <w:rPr>
          <w:b/>
        </w:rPr>
        <w:t xml:space="preserve"> </w:t>
      </w:r>
      <w:r>
        <w:t>n</w:t>
      </w:r>
      <w:r w:rsidR="008D7CC6" w:rsidRPr="00EF35E0">
        <w:t>o dedicated EU-level priority-project recognition or fast-track governance track exists</w:t>
      </w:r>
      <w:r w:rsidR="00257E9D">
        <w:t xml:space="preserve"> under the baseline</w:t>
      </w:r>
      <w:r w:rsidR="008D7CC6" w:rsidRPr="00EF35E0">
        <w:t>, meaning there is no recognised strategic project pipeline and no project-specific signal or coordinated “front door” for investors and public financiers to identify, diligence and prioritise strategic-scale projects.</w:t>
      </w:r>
    </w:p>
    <w:p w14:paraId="028C5D8D" w14:textId="7F95AE8E" w:rsidR="008D7CC6" w:rsidRPr="00EF35E0" w:rsidRDefault="003C4947" w:rsidP="008D7CC6">
      <w:pPr>
        <w:rPr>
          <w:b/>
        </w:rPr>
      </w:pPr>
      <w:r>
        <w:t xml:space="preserve">- </w:t>
      </w:r>
      <w:r w:rsidR="00EE7318">
        <w:t xml:space="preserve"> </w:t>
      </w:r>
      <w:r>
        <w:t>s</w:t>
      </w:r>
      <w:r w:rsidR="008D7CC6" w:rsidRPr="00EF35E0">
        <w:t>tructural finance constraints at scale-up and industrial deployment stages persist, reflecting fragmented capital markets and limited depth of pan-European late-stage funds, while access to public and private investment instruments (including debt and equity) remains difficult and is often perceived as not worth applying for.</w:t>
      </w:r>
    </w:p>
    <w:p w14:paraId="40C34D67" w14:textId="2C566D61" w:rsidR="003C4947" w:rsidRPr="004570F2" w:rsidRDefault="003C4947" w:rsidP="008D7CC6">
      <w:r>
        <w:lastRenderedPageBreak/>
        <w:t xml:space="preserve">- </w:t>
      </w:r>
      <w:r w:rsidR="00EE7318">
        <w:t xml:space="preserve">  </w:t>
      </w:r>
      <w:r w:rsidRPr="003C4947">
        <w:rPr>
          <w:bCs/>
        </w:rPr>
        <w:t>b</w:t>
      </w:r>
      <w:r w:rsidR="008D7CC6" w:rsidRPr="003C4947">
        <w:rPr>
          <w:bCs/>
        </w:rPr>
        <w:t>iotechnology ecosystems remain fragmented, with clusters, infrastructures and support schemes often operating in isolation, limiting critical mass, cross-border collaboration and EU-scale valu</w:t>
      </w:r>
      <w:r w:rsidR="008D7CC6" w:rsidRPr="003C4947">
        <w:t>e chain formation.</w:t>
      </w:r>
    </w:p>
    <w:p w14:paraId="7FAAEEFE" w14:textId="0AAEFC61" w:rsidR="008D7CC6" w:rsidRPr="003C4947" w:rsidRDefault="003C4947" w:rsidP="003C4947">
      <w:r>
        <w:t>-</w:t>
      </w:r>
      <w:r w:rsidR="00EE7318">
        <w:t xml:space="preserve"> </w:t>
      </w:r>
      <w:r w:rsidRPr="003C4947">
        <w:t>i</w:t>
      </w:r>
      <w:r w:rsidR="008D7CC6" w:rsidRPr="003C4947">
        <w:t xml:space="preserve">nvestment decisions for strategic-scale deployments remain constrained by a combination of the wider financing environment and project-level execution risk, including permitting uncertainty and time-to-revenue risk. </w:t>
      </w:r>
    </w:p>
    <w:p w14:paraId="5B9F7983" w14:textId="77777777" w:rsidR="008D7CC6" w:rsidRPr="00D60FAE" w:rsidRDefault="008D7CC6" w:rsidP="008D7CC6">
      <w:pPr>
        <w:rPr>
          <w:b/>
          <w:lang w:val="en-IE"/>
        </w:rPr>
      </w:pPr>
      <w:r w:rsidRPr="00D60FAE">
        <w:rPr>
          <w:b/>
          <w:lang w:val="en-IE"/>
        </w:rPr>
        <w:t>2025 baseline (status quo)</w:t>
      </w:r>
    </w:p>
    <w:p w14:paraId="10057E85" w14:textId="1958E424" w:rsidR="008D7CC6" w:rsidRPr="00EF35E0" w:rsidRDefault="76823F93" w:rsidP="008D7CC6">
      <w:pPr>
        <w:rPr>
          <w:b/>
        </w:rPr>
      </w:pPr>
      <w:r w:rsidRPr="00EF35E0">
        <w:t>In 2025, the baseline issue was that health biotechnology projects were materially affected by fragmented administrative pathways and limited predictability. Stakeholder inputs pointed to duplication and uncertainty, with repeated calls for a one-stop shop for regulation and permitting and for maximum timelines and accelerated approval concepts to reduce friction, particularly for SMEs and start-ups. Public consultation</w:t>
      </w:r>
      <w:r w:rsidR="00CA2BCB">
        <w:rPr>
          <w:rStyle w:val="FootnoteReference"/>
        </w:rPr>
        <w:footnoteReference w:id="258"/>
      </w:r>
      <w:r w:rsidRPr="00EF35E0">
        <w:t xml:space="preserve"> results reinforced the salience of permitting as a bottleneck: 61.6</w:t>
      </w:r>
      <w:r w:rsidR="006856C2">
        <w:t>%</w:t>
      </w:r>
      <w:r w:rsidRPr="00EF35E0">
        <w:t xml:space="preserve"> (286 out of 464) agreed or strongly agreed that the length and or complexity of permitting processes for new facilities is a challenge for biotechnology manufacturing in the EU, rising to 75.4</w:t>
      </w:r>
      <w:r w:rsidR="006856C2">
        <w:t>%</w:t>
      </w:r>
      <w:r w:rsidRPr="00EF35E0">
        <w:t xml:space="preserve"> (153 out of 203) among industry respondents.</w:t>
      </w:r>
    </w:p>
    <w:p w14:paraId="3DD36552" w14:textId="77777777" w:rsidR="008D7CC6" w:rsidRPr="00EF35E0" w:rsidRDefault="008D7CC6" w:rsidP="008D7CC6">
      <w:pPr>
        <w:rPr>
          <w:b/>
        </w:rPr>
      </w:pPr>
      <w:r w:rsidRPr="00EF35E0">
        <w:t>The core conduct-of-business baseline metric concerned permit-granting duration and predictability, measured from acknowledgement of completeness to the final decision, including the share completed within a 10-month benchmark and the use of extensions. Health-biotechnology-specific permitting duration statistics are not available, but comparable strategic industrial project evidence indicated that permitting timelines can vary from months to multiple years, with substantial outliers and with environmental assessment durations ranging widely across Member States.</w:t>
      </w:r>
    </w:p>
    <w:p w14:paraId="71E2CCAF" w14:textId="7B82D053" w:rsidR="008D7CC6" w:rsidRPr="00EF35E0" w:rsidRDefault="6E690F01" w:rsidP="008D7CC6">
      <w:r>
        <w:t>Competitiveness and investment conditions reflected a pronounced scale gap. As background context on the wider financing environment</w:t>
      </w:r>
      <w:r w:rsidR="009A400E">
        <w:t>.</w:t>
      </w:r>
      <w:r w:rsidR="4088A192" w:rsidRPr="4EC480EB">
        <w:rPr>
          <w:rFonts w:eastAsia="Times New Roman"/>
        </w:rPr>
        <w:t xml:space="preserve"> Over the last 10 years, US biopharma start-ups received around nine times more late-stage funding than EU biopharma start-ups, with around EUR 219 billion of venture capital focused on health biotechnology invested in the US compared to EUR 25 billion in the EU between 2015 and June 2025</w:t>
      </w:r>
      <w:r w:rsidRPr="00495051">
        <w:rPr>
          <w:vertAlign w:val="superscript"/>
        </w:rPr>
        <w:footnoteReference w:id="259"/>
      </w:r>
      <w:r>
        <w:t>. At project level, the baseline constraint for strategic-scale deployments was not only the general funding gap, but also the absence of a recognised project pipeline and associated project-specific signal for investors and public financiers, with projects remaining exposed to permitting uncertainty and execution risk, delaying financing decisions and extending time-to-close.</w:t>
      </w:r>
    </w:p>
    <w:p w14:paraId="24D343DF" w14:textId="6D728122" w:rsidR="008D7CC6" w:rsidRPr="00EF35E0" w:rsidRDefault="76823F93" w:rsidP="008D7CC6">
      <w:pPr>
        <w:rPr>
          <w:b/>
        </w:rPr>
      </w:pPr>
      <w:r w:rsidRPr="00EF35E0">
        <w:t>Public consultation</w:t>
      </w:r>
      <w:r w:rsidR="00030F70">
        <w:rPr>
          <w:rStyle w:val="FootnoteReference"/>
        </w:rPr>
        <w:footnoteReference w:id="260"/>
      </w:r>
      <w:r w:rsidRPr="00EF35E0">
        <w:t xml:space="preserve"> evidence further indicated persistent hurdles in accessing finance. Only 18.8</w:t>
      </w:r>
      <w:r w:rsidR="006856C2">
        <w:t>%</w:t>
      </w:r>
      <w:r w:rsidRPr="00EF35E0">
        <w:t xml:space="preserve"> (87 out of 464) agreed or strongly agreed that it is easy to access EU grants and subsidies such as Horizon or EU4Health, while 45.9</w:t>
      </w:r>
      <w:r w:rsidR="006856C2">
        <w:t>%</w:t>
      </w:r>
      <w:r w:rsidRPr="00EF35E0">
        <w:t xml:space="preserve"> (213 out of 464) disagreed or strongly disagreed. For debt and equity instruments such as the EIC, EIB or STEP, only </w:t>
      </w:r>
      <w:r w:rsidRPr="00EF35E0">
        <w:lastRenderedPageBreak/>
        <w:t>5.2</w:t>
      </w:r>
      <w:r w:rsidR="006856C2">
        <w:t>%</w:t>
      </w:r>
      <w:r w:rsidRPr="00EF35E0">
        <w:t xml:space="preserve"> (24 out of 464) agreed or strongly agreed that access is easy, compared with 46.3% (215 out of 464) who disagreed or strongly disagreed, while neutral and not applicable or I do not know responses together accounted for 48.5</w:t>
      </w:r>
      <w:r w:rsidR="006856C2">
        <w:t>%</w:t>
      </w:r>
      <w:r w:rsidRPr="00EF35E0">
        <w:t xml:space="preserve"> (225 out of 464). This reinforced the perception that companies do not see a clear, coordinated pathway to identify and access relevant instruments and that the expected costs of applying can outweigh perceived benefits.</w:t>
      </w:r>
    </w:p>
    <w:p w14:paraId="57DF83DF" w14:textId="18590A80" w:rsidR="008D7CC6" w:rsidRPr="00EF35E0" w:rsidRDefault="6E690F01" w:rsidP="008D7CC6">
      <w:pPr>
        <w:rPr>
          <w:b/>
        </w:rPr>
      </w:pPr>
      <w:r>
        <w:t>Innovation performance combined strong science with weaker translation. The EU produced more biotechnology publications than the US, yet the US consistently filed more IP5 biotechnology patent families since the mid-1980s and China had almost reached EU patenting levels by 2020. Over the last decade, US biotech companies raised around 870</w:t>
      </w:r>
      <w:r w:rsidR="006856C2">
        <w:t>%</w:t>
      </w:r>
      <w:r>
        <w:t xml:space="preserve"> more Series C capital and around 945</w:t>
      </w:r>
      <w:r w:rsidR="006856C2">
        <w:t>%</w:t>
      </w:r>
      <w:r>
        <w:t xml:space="preserve"> more in IPO proceeds (</w:t>
      </w:r>
      <w:r w:rsidR="452A0C83">
        <w:t>EUR</w:t>
      </w:r>
      <w:r w:rsidDel="6E690F01">
        <w:t xml:space="preserve"> </w:t>
      </w:r>
      <w:r w:rsidR="452A0C83">
        <w:t xml:space="preserve">45.4 </w:t>
      </w:r>
      <w:r>
        <w:t xml:space="preserve">billion versus </w:t>
      </w:r>
      <w:r w:rsidR="50BD30FC">
        <w:t>EUR</w:t>
      </w:r>
      <w:r w:rsidDel="6E690F01">
        <w:t xml:space="preserve"> </w:t>
      </w:r>
      <w:r w:rsidR="50BD30FC">
        <w:t xml:space="preserve">4.28 </w:t>
      </w:r>
      <w:r>
        <w:t>billion). US business sector biotech R&amp;D intensity rose to over 0.4</w:t>
      </w:r>
      <w:r w:rsidR="006856C2">
        <w:t>%</w:t>
      </w:r>
      <w:r>
        <w:t xml:space="preserve"> of GDP compared to 0.04-0.12</w:t>
      </w:r>
      <w:r w:rsidR="006856C2">
        <w:t>%</w:t>
      </w:r>
      <w:r>
        <w:t xml:space="preserve"> in the EU</w:t>
      </w:r>
      <w:r w:rsidR="008D7CC6">
        <w:rPr>
          <w:rStyle w:val="FootnoteReference"/>
        </w:rPr>
        <w:footnoteReference w:id="261"/>
      </w:r>
      <w:r>
        <w:t>. This translation gap was reinforced by perceived ecosystem fragmentation, including reported barriers linked to insufficient collaboration among clusters (45.9</w:t>
      </w:r>
      <w:r w:rsidR="006856C2">
        <w:t>%</w:t>
      </w:r>
      <w:r>
        <w:t xml:space="preserve"> agreement) and incapacity to reach a critical mass of stakeholders (46.3</w:t>
      </w:r>
      <w:r w:rsidR="006856C2">
        <w:t>%</w:t>
      </w:r>
      <w:r>
        <w:t xml:space="preserve"> agreement).</w:t>
      </w:r>
    </w:p>
    <w:p w14:paraId="34D2F541" w14:textId="77777777" w:rsidR="008D7CC6" w:rsidRPr="00D60FAE" w:rsidRDefault="008D7CC6" w:rsidP="008D7CC6">
      <w:pPr>
        <w:rPr>
          <w:b/>
          <w:lang w:val="en-IE"/>
        </w:rPr>
      </w:pPr>
      <w:r w:rsidRPr="00D60FAE">
        <w:rPr>
          <w:b/>
          <w:lang w:val="en-IE"/>
        </w:rPr>
        <w:t>Baseline evolution 2025-2030 (near term)</w:t>
      </w:r>
    </w:p>
    <w:p w14:paraId="1C178007" w14:textId="77777777" w:rsidR="008D7CC6" w:rsidRPr="00EF35E0" w:rsidRDefault="008D7CC6" w:rsidP="008D7CC6">
      <w:pPr>
        <w:rPr>
          <w:b/>
        </w:rPr>
      </w:pPr>
      <w:r w:rsidRPr="00EF35E0">
        <w:t>Over 2025-2030, baseline evolution implies continuity of regulatory and administrative complexity, with limited automatic compression of permitting durations in the absence of sector-specific streamlining. Any improvements in permitting predictability are expected to be gradual and uneven, driven mainly by horizontal measures such as administrative digitalisation and modernisation rather than a step-change in governance. Under this trajectory, the distribution of permit durations is expected to remain wide, with only limited improvement in the share of complex projects permitted in under one year.</w:t>
      </w:r>
    </w:p>
    <w:p w14:paraId="4C9755F9" w14:textId="77777777" w:rsidR="008D7CC6" w:rsidRPr="00EF35E0" w:rsidRDefault="008D7CC6" w:rsidP="008D7CC6">
      <w:pPr>
        <w:rPr>
          <w:b/>
        </w:rPr>
      </w:pPr>
      <w:r w:rsidRPr="00EF35E0">
        <w:t>Administrative costs for promoters are expected to remain case-specific and potentially significant, particularly where technology novelty increases interpretative uncertainty and reliance on external consultants and legal support.</w:t>
      </w:r>
    </w:p>
    <w:p w14:paraId="64CA0B98" w14:textId="77777777" w:rsidR="008D7CC6" w:rsidRPr="00EF35E0" w:rsidRDefault="008D7CC6" w:rsidP="008D7CC6">
      <w:pPr>
        <w:rPr>
          <w:b/>
        </w:rPr>
      </w:pPr>
      <w:r w:rsidRPr="00EF35E0">
        <w:t>On finance and competitiveness, near-term evolution implies continued policy attention but persistent structural constraints in late-stage capital availability. Time-to-financial-close for capital-intensive projects is expected to remain constrained and sensitive to bankability and execution risk, with continued dispersion across Member States and project types. Aggregate mobilisation through transversal instruments is expected to continue, but without generating a traceable cohort of projects benefiting from a common governance track and without creating a project-specific signal or coordinated pathway that could systematically accelerate investment decisions. Ecosystem fragmentation and limited inter-cluster collaboration are expected to continue to constrain EU-scale collaboration and diffusion effects.</w:t>
      </w:r>
    </w:p>
    <w:p w14:paraId="362BB3C4" w14:textId="77777777" w:rsidR="008D7CC6" w:rsidRPr="00D60FAE" w:rsidRDefault="008D7CC6" w:rsidP="008D7CC6">
      <w:pPr>
        <w:rPr>
          <w:b/>
          <w:lang w:val="en-IE"/>
        </w:rPr>
      </w:pPr>
      <w:r w:rsidRPr="00D60FAE">
        <w:rPr>
          <w:b/>
          <w:lang w:val="en-IE"/>
        </w:rPr>
        <w:t>Baseline evolution 2030-2038 (medium term)</w:t>
      </w:r>
    </w:p>
    <w:p w14:paraId="459C2F1C" w14:textId="77777777" w:rsidR="008D7CC6" w:rsidRPr="00EF35E0" w:rsidRDefault="008D7CC6" w:rsidP="008D7CC6">
      <w:pPr>
        <w:rPr>
          <w:b/>
        </w:rPr>
      </w:pPr>
      <w:r w:rsidRPr="00EF35E0">
        <w:t xml:space="preserve">Over 2030-2038, baseline evolution implies gradual modernisation and some learning effects from parallel strategic-project approaches in other sectors, but not systematic </w:t>
      </w:r>
      <w:r w:rsidRPr="00EF35E0">
        <w:lastRenderedPageBreak/>
        <w:t>convergence towards predictable, capped permitting timelines for health biotechnology. In comparable strategic-project settings, the impact of introducing permitting provisions has been framed as potentially reducing average permitting duration materially, for example using a one-third reduction assumption derived from other infrastructure contexts. Under baseline conditions, such a structural reduction would not be expected to materialise at scale, meaning permitting uncertainty would continue to weigh on bankability and time-to-revenue, especially for multi-site and multi-purpose industrial projects.</w:t>
      </w:r>
    </w:p>
    <w:p w14:paraId="13C814E6" w14:textId="77777777" w:rsidR="008D7CC6" w:rsidRPr="00EF35E0" w:rsidRDefault="6E690F01" w:rsidP="008D7CC6">
      <w:pPr>
        <w:rPr>
          <w:b/>
        </w:rPr>
      </w:pPr>
      <w:r>
        <w:t>Administrative uncertainty is expected to sustain material economic exposure for large strategic deployments. Delay and uncertainty remain economically material for capital-intensive investments, with an indicative benchmark suggesting that regulatory delays of more than 12 months beyond initial projections have been associated with an average 34% increase in total development costs, alongside a high incidence of additional funding rounds and some programme abandonment, highlighting the potential magnitude of delay-related economic exposure for capital-intensive, timeline-sensitive innovation investments</w:t>
      </w:r>
      <w:r w:rsidRPr="3F982D60">
        <w:rPr>
          <w:rStyle w:val="FootnoteReference"/>
        </w:rPr>
        <w:t xml:space="preserve"> </w:t>
      </w:r>
      <w:r w:rsidR="008D7CC6">
        <w:rPr>
          <w:rStyle w:val="FootnoteReference"/>
        </w:rPr>
        <w:footnoteReference w:id="262"/>
      </w:r>
      <w:r>
        <w:t>.</w:t>
      </w:r>
    </w:p>
    <w:p w14:paraId="7DD67938" w14:textId="77777777" w:rsidR="008D7CC6" w:rsidRDefault="008D7CC6" w:rsidP="008D7CC6">
      <w:r w:rsidRPr="00EF35E0">
        <w:t>In the medium term, competitiveness and investment flows are expected to improve only gradually and unevenly, with continued sensitivity of investment timing and location decisions to execution risks and persistent late-stage funding asymmetries. The baseline continues to lack a recognised project pipeline, a project-specific signal and a coordinated support pathway that would, in itself, reduce time-to-close for large strategic projects or produce a traceable uplift in public-private co-investment and leverage associated with a recognised portfolio. In parallel, ecosystem fragmentation and uneven collaboration across clusters are expected to remain a structural constraint on EU-scale value chain development and on stronger links between innovation outputs and industrial deployment decisions.</w:t>
      </w:r>
    </w:p>
    <w:p w14:paraId="27F545FE" w14:textId="77777777" w:rsidR="008D7CC6" w:rsidRPr="005A3401" w:rsidRDefault="008D7CC6" w:rsidP="00D60FAE">
      <w:pPr>
        <w:pStyle w:val="Heading2"/>
      </w:pPr>
      <w:bookmarkStart w:id="337" w:name="_Toc225969820"/>
      <w:bookmarkStart w:id="338" w:name="_Toc225979152"/>
      <w:r w:rsidRPr="005A3401">
        <w:t>Expected impacts</w:t>
      </w:r>
      <w:bookmarkEnd w:id="337"/>
      <w:bookmarkEnd w:id="338"/>
    </w:p>
    <w:p w14:paraId="078AE370" w14:textId="77777777" w:rsidR="008D7CC6" w:rsidRPr="00CB43CD" w:rsidRDefault="008D7CC6" w:rsidP="008D7CC6">
      <w:pPr>
        <w:rPr>
          <w:b/>
          <w:bCs/>
          <w:lang w:val="en-IE"/>
        </w:rPr>
      </w:pPr>
      <w:r w:rsidRPr="00CB43CD">
        <w:rPr>
          <w:b/>
          <w:bCs/>
          <w:lang w:val="en-IE"/>
        </w:rPr>
        <w:t>Conduct of business</w:t>
      </w:r>
    </w:p>
    <w:p w14:paraId="76440212" w14:textId="77777777" w:rsidR="008D7CC6" w:rsidRPr="00CB43CD" w:rsidRDefault="008D7CC6" w:rsidP="008D7CC6">
      <w:pPr>
        <w:rPr>
          <w:lang w:val="en-IE"/>
        </w:rPr>
      </w:pPr>
      <w:r w:rsidRPr="00CB43CD">
        <w:rPr>
          <w:lang w:val="en-IE"/>
        </w:rPr>
        <w:t>The strongest effects are expected to arise at project level through a reduction in administrative uncertainty and execution risk. More specifically, the framework changes the operational conditions under which project promoters organise permitting and project preparation. Instead of dealing with multiple, partly sequential interfaces, promoters would benefit from coordinated case management through single points of contact, combined with a legally anchored maximum permit-granting timeline and associated facilitation measures. The practical importance of this change lies not only in the potential shortening of average timelines, but in the reduction of variability and unpredictability across cases.</w:t>
      </w:r>
    </w:p>
    <w:p w14:paraId="2A106A32" w14:textId="77777777" w:rsidR="008D7CC6" w:rsidRPr="00CB43CD" w:rsidRDefault="008D7CC6" w:rsidP="008D7CC6">
      <w:pPr>
        <w:rPr>
          <w:lang w:val="en-IE"/>
        </w:rPr>
      </w:pPr>
      <w:r w:rsidRPr="00CB43CD">
        <w:rPr>
          <w:lang w:val="en-IE"/>
        </w:rPr>
        <w:t xml:space="preserve">This distinction is important. For strategic industrial projects, the main business effect of administrative streamlining is often a reduction in the volatility of project schedules rather than a uniform shortening of every phase. Lower volatility improves planning horizons, contracting and procurement sequencing, and the alignment of financing drawdowns with </w:t>
      </w:r>
      <w:r w:rsidRPr="00CB43CD">
        <w:rPr>
          <w:lang w:val="en-IE"/>
        </w:rPr>
        <w:lastRenderedPageBreak/>
        <w:t>project milestones. In other words, the effect is not limited to “faster permitting” in a narrow sense, but extends to more reliable project execution.</w:t>
      </w:r>
    </w:p>
    <w:p w14:paraId="2F6D03A5" w14:textId="77777777" w:rsidR="008D7CC6" w:rsidRPr="00CB43CD" w:rsidRDefault="008D7CC6" w:rsidP="008D7CC6">
      <w:pPr>
        <w:rPr>
          <w:lang w:val="en-IE"/>
        </w:rPr>
      </w:pPr>
      <w:r w:rsidRPr="00CB43CD">
        <w:rPr>
          <w:lang w:val="en-IE"/>
        </w:rPr>
        <w:t>A key caveat is that the size of the benefit remains sensitive to project complexity and to the use of justified extensions. In practice, more complex projects, especially those involving multiple sites or interfaces with environmental procedures, are likely to continue to require more intensive handling. The expected gain is therefore best understood as a structured reduction in uncertainty and schedule risk, not as the elimination of all timing frictions.</w:t>
      </w:r>
    </w:p>
    <w:p w14:paraId="04318E50" w14:textId="77777777" w:rsidR="008D7CC6" w:rsidRPr="00CB43CD" w:rsidRDefault="008D7CC6" w:rsidP="008D7CC6">
      <w:pPr>
        <w:rPr>
          <w:b/>
          <w:bCs/>
          <w:lang w:val="en-IE"/>
        </w:rPr>
      </w:pPr>
      <w:r w:rsidRPr="00CB43CD">
        <w:rPr>
          <w:b/>
          <w:bCs/>
          <w:lang w:val="en-IE"/>
        </w:rPr>
        <w:t>Administrative costs on businesses, including SMEs</w:t>
      </w:r>
    </w:p>
    <w:p w14:paraId="7C2D3D78" w14:textId="31E0E11A" w:rsidR="008D7CC6" w:rsidRPr="00CB43CD" w:rsidRDefault="00271B74" w:rsidP="008D7CC6">
      <w:pPr>
        <w:rPr>
          <w:lang w:val="en-IE"/>
        </w:rPr>
      </w:pPr>
      <w:r>
        <w:rPr>
          <w:lang w:val="en-IE"/>
        </w:rPr>
        <w:t>R</w:t>
      </w:r>
      <w:r w:rsidR="008D7CC6" w:rsidRPr="00CB43CD">
        <w:rPr>
          <w:lang w:val="en-IE"/>
        </w:rPr>
        <w:t xml:space="preserve">educed transaction costs and avoided delay costs </w:t>
      </w:r>
      <w:r>
        <w:rPr>
          <w:lang w:val="en-IE"/>
        </w:rPr>
        <w:t>are</w:t>
      </w:r>
      <w:r w:rsidR="008D7CC6" w:rsidRPr="00CB43CD">
        <w:rPr>
          <w:lang w:val="en-IE"/>
        </w:rPr>
        <w:t xml:space="preserve"> the core administrative-cost effects</w:t>
      </w:r>
      <w:r>
        <w:rPr>
          <w:lang w:val="en-IE"/>
        </w:rPr>
        <w:t xml:space="preserve"> that are expected, based on</w:t>
      </w:r>
      <w:r w:rsidR="008D7CC6">
        <w:rPr>
          <w:lang w:val="en-IE"/>
        </w:rPr>
        <w:t xml:space="preserve"> several mechanisms</w:t>
      </w:r>
      <w:r>
        <w:rPr>
          <w:lang w:val="en-IE"/>
        </w:rPr>
        <w:t xml:space="preserve">: </w:t>
      </w:r>
    </w:p>
    <w:p w14:paraId="6E9C1D73" w14:textId="77777777" w:rsidR="008D7CC6" w:rsidRPr="00CB43CD" w:rsidRDefault="008D7CC6" w:rsidP="008D7CC6">
      <w:pPr>
        <w:rPr>
          <w:lang w:val="en-IE"/>
        </w:rPr>
      </w:pPr>
      <w:r w:rsidRPr="00CB43CD">
        <w:rPr>
          <w:lang w:val="en-IE"/>
        </w:rPr>
        <w:t>First, the framework creates a predictable recognition stage. This is analytically relevant because, under business-as-usual, there is no equivalent standardised entry point. A recognition decision within a defined period provides earlier certainty for promoters on whether a project qualifies for the support architecture and can therefore benefit from the related facilitation measures. This reduces the search and coordination costs associated with navigating fragmented support arrangements.</w:t>
      </w:r>
    </w:p>
    <w:p w14:paraId="7622C487" w14:textId="77777777" w:rsidR="008D7CC6" w:rsidRPr="00CB43CD" w:rsidRDefault="008D7CC6" w:rsidP="008D7CC6">
      <w:pPr>
        <w:rPr>
          <w:lang w:val="en-IE"/>
        </w:rPr>
      </w:pPr>
      <w:r w:rsidRPr="00CB43CD">
        <w:rPr>
          <w:lang w:val="en-IE"/>
        </w:rPr>
        <w:t>Second, administrative burden is expected to fall through fewer parallel interfaces, lower duplication of exchanges and reduced reliance on external consultants and legal support. This is expected to matter in particular for SMEs, start-ups and scale-ups, which tend to have a more limited internal regulatory capacity. Th</w:t>
      </w:r>
      <w:r>
        <w:rPr>
          <w:lang w:val="en-IE"/>
        </w:rPr>
        <w:t xml:space="preserve">is is confirmed by stakeholder </w:t>
      </w:r>
      <w:r w:rsidRPr="00CB43CD">
        <w:rPr>
          <w:lang w:val="en-IE"/>
        </w:rPr>
        <w:t>consultation</w:t>
      </w:r>
      <w:r>
        <w:rPr>
          <w:lang w:val="en-IE"/>
        </w:rPr>
        <w:t xml:space="preserve"> responses</w:t>
      </w:r>
      <w:r w:rsidRPr="00CB43CD">
        <w:rPr>
          <w:lang w:val="en-IE"/>
        </w:rPr>
        <w:t xml:space="preserve"> calling for one-stop-shop arrangements, simplified evidence requirements and dedicated channels for smaller operators.</w:t>
      </w:r>
    </w:p>
    <w:p w14:paraId="2EDA63B5" w14:textId="77777777" w:rsidR="008D7CC6" w:rsidRPr="00CB43CD" w:rsidRDefault="008D7CC6" w:rsidP="008D7CC6">
      <w:pPr>
        <w:rPr>
          <w:lang w:val="en-IE"/>
        </w:rPr>
      </w:pPr>
      <w:r w:rsidRPr="00CB43CD">
        <w:rPr>
          <w:lang w:val="en-IE"/>
        </w:rPr>
        <w:t>Third, the regulatory design contains specific features that support lower compliance costs over time. These include electronic submission and the possibility to reuse existing data, studies and authorisations where the evidence remains applicable and up to date. This is important because, for complex projects, repeated preparation of similar documentation across procedures is a significant source of administrative burden.</w:t>
      </w:r>
    </w:p>
    <w:p w14:paraId="0B2FE98E" w14:textId="03A58668" w:rsidR="008D7CC6" w:rsidRPr="00CB43CD" w:rsidRDefault="6E690F01" w:rsidP="008D7CC6">
      <w:pPr>
        <w:rPr>
          <w:lang w:val="en-IE"/>
        </w:rPr>
      </w:pPr>
      <w:r w:rsidRPr="3F982D60">
        <w:rPr>
          <w:lang w:val="en-IE"/>
        </w:rPr>
        <w:t xml:space="preserve">The monetisation of avoided delay costs can be illustrated on the basis of indicative project values, for which a range of EUR 60–200 million is considered reasonable, </w:t>
      </w:r>
      <w:r w:rsidR="6AD1356D">
        <w:t>noting that the strategic-project portfolio is expected to be heterogeneous and may include smaller-scale deployments. On</w:t>
      </w:r>
      <w:r w:rsidRPr="3F982D60">
        <w:rPr>
          <w:lang w:val="en-IE"/>
        </w:rPr>
        <w:t xml:space="preserve"> the basis of </w:t>
      </w:r>
      <w:r w:rsidR="0AD6296E">
        <w:t>indications</w:t>
      </w:r>
      <w:r w:rsidR="4FD1C046">
        <w:t xml:space="preserve"> from a closely regulated medical technology context</w:t>
      </w:r>
      <w:r w:rsidRPr="3F982D60">
        <w:rPr>
          <w:lang w:val="en-IE"/>
        </w:rPr>
        <w:t xml:space="preserve"> that regulatory delays of more than 12 months beyond initial projections may be associated with an average increase in total development costs of 34</w:t>
      </w:r>
      <w:r w:rsidR="006856C2">
        <w:rPr>
          <w:lang w:val="en-IE"/>
        </w:rPr>
        <w:t>%</w:t>
      </w:r>
      <w:r w:rsidR="00016015">
        <w:rPr>
          <w:rStyle w:val="FootnoteReference"/>
          <w:lang w:val="en-IE"/>
        </w:rPr>
        <w:footnoteReference w:id="263"/>
      </w:r>
      <w:r w:rsidR="6AD1356D" w:rsidRPr="3F982D60">
        <w:rPr>
          <w:lang w:val="en-IE"/>
        </w:rPr>
        <w:t>,</w:t>
      </w:r>
      <w:r w:rsidRPr="3F982D60">
        <w:rPr>
          <w:lang w:val="en-IE"/>
        </w:rPr>
        <w:t xml:space="preserve"> the implied cost exposure in the event of a major delay would be roughly EUR 20.4–68.0 million per project. Assuming, for illustration, that the framework reduces the probability of such a delay by 25</w:t>
      </w:r>
      <w:r w:rsidR="006856C2">
        <w:rPr>
          <w:lang w:val="en-IE"/>
        </w:rPr>
        <w:t>%</w:t>
      </w:r>
      <w:r w:rsidRPr="3F982D60">
        <w:rPr>
          <w:lang w:val="en-IE"/>
        </w:rPr>
        <w:t>, the expected avoided delay cost is estimated at around EUR 5.1–17.0 million per mature project. Combined with the assumption that roughly 70–80</w:t>
      </w:r>
      <w:r w:rsidR="006856C2">
        <w:rPr>
          <w:lang w:val="en-IE"/>
        </w:rPr>
        <w:t>%</w:t>
      </w:r>
      <w:r w:rsidRPr="3F982D60">
        <w:rPr>
          <w:lang w:val="en-IE"/>
        </w:rPr>
        <w:t xml:space="preserve"> of </w:t>
      </w:r>
      <w:r w:rsidRPr="3F982D60">
        <w:rPr>
          <w:lang w:val="en-IE"/>
        </w:rPr>
        <w:lastRenderedPageBreak/>
        <w:t>recognised projects reach sufficient maturity for this exposure to be economically material, this underpins the cumulative ranges reported in the main text.</w:t>
      </w:r>
    </w:p>
    <w:p w14:paraId="481F950C" w14:textId="77777777" w:rsidR="008D7CC6" w:rsidRPr="00CB43CD" w:rsidRDefault="008D7CC6" w:rsidP="008D7CC6">
      <w:pPr>
        <w:rPr>
          <w:lang w:val="en-IE"/>
        </w:rPr>
      </w:pPr>
      <w:r w:rsidRPr="00CB43CD">
        <w:rPr>
          <w:lang w:val="en-IE"/>
        </w:rPr>
        <w:t xml:space="preserve">The main caveat is that these values are illustrative and highly sensitive to project size, maturity and implementation conditions. They should therefore be interpreted as showing the scale of the mechanism, not as a fixed per-project saving. The largest gains </w:t>
      </w:r>
      <w:r>
        <w:rPr>
          <w:lang w:val="en-IE"/>
        </w:rPr>
        <w:t>can be expected to be</w:t>
      </w:r>
      <w:r w:rsidRPr="00CB43CD">
        <w:rPr>
          <w:lang w:val="en-IE"/>
        </w:rPr>
        <w:t xml:space="preserve"> concentrated in the most capital-intensive projects, where schedule adherence lies on the critical path.</w:t>
      </w:r>
    </w:p>
    <w:p w14:paraId="7EA5CA7E" w14:textId="77777777" w:rsidR="008D7CC6" w:rsidRPr="00CB43CD" w:rsidRDefault="008D7CC6" w:rsidP="008D7CC6">
      <w:pPr>
        <w:rPr>
          <w:b/>
          <w:bCs/>
          <w:lang w:val="en-IE"/>
        </w:rPr>
      </w:pPr>
      <w:r w:rsidRPr="00CB43CD">
        <w:rPr>
          <w:b/>
          <w:bCs/>
          <w:lang w:val="en-IE"/>
        </w:rPr>
        <w:t>Competitiveness, trade and investment flows</w:t>
      </w:r>
    </w:p>
    <w:p w14:paraId="39563B82" w14:textId="77777777" w:rsidR="008D7CC6" w:rsidRPr="00CB43CD" w:rsidRDefault="008D7CC6" w:rsidP="008D7CC6">
      <w:pPr>
        <w:rPr>
          <w:lang w:val="en-IE"/>
        </w:rPr>
      </w:pPr>
      <w:r w:rsidRPr="00CB43CD">
        <w:rPr>
          <w:lang w:val="en-IE"/>
        </w:rPr>
        <w:t xml:space="preserve">The central </w:t>
      </w:r>
      <w:r>
        <w:rPr>
          <w:lang w:val="en-IE"/>
        </w:rPr>
        <w:t xml:space="preserve">impact </w:t>
      </w:r>
      <w:r w:rsidRPr="00CB43CD">
        <w:rPr>
          <w:lang w:val="en-IE"/>
        </w:rPr>
        <w:t xml:space="preserve">channel </w:t>
      </w:r>
      <w:r>
        <w:rPr>
          <w:lang w:val="en-IE"/>
        </w:rPr>
        <w:t xml:space="preserve">for </w:t>
      </w:r>
      <w:r w:rsidRPr="00CB43CD">
        <w:rPr>
          <w:lang w:val="en-IE"/>
        </w:rPr>
        <w:t>competitiveness is the creation of a more “investable” project pipeline. Recognition</w:t>
      </w:r>
      <w:r>
        <w:rPr>
          <w:lang w:val="en-IE"/>
        </w:rPr>
        <w:t xml:space="preserve"> as a strategic project</w:t>
      </w:r>
      <w:r w:rsidRPr="00CB43CD">
        <w:rPr>
          <w:lang w:val="en-IE"/>
        </w:rPr>
        <w:t xml:space="preserve"> matters not only because it is linked to administrative streamlining, but because it provides a structured signal to investors and public financiers that a project is strategic, publicly relevant and embedded in a coordinated support architecture. This signalling effect is expected to interact with lower execution risk resulting from more predictable permitting and support services.</w:t>
      </w:r>
    </w:p>
    <w:p w14:paraId="3C35CE42" w14:textId="77777777" w:rsidR="008D7CC6" w:rsidRPr="00CB43CD" w:rsidRDefault="008D7CC6" w:rsidP="008D7CC6">
      <w:pPr>
        <w:rPr>
          <w:lang w:val="en-IE"/>
        </w:rPr>
      </w:pPr>
      <w:r w:rsidRPr="00CB43CD">
        <w:rPr>
          <w:lang w:val="en-IE"/>
        </w:rPr>
        <w:t>The framework</w:t>
      </w:r>
      <w:r>
        <w:rPr>
          <w:lang w:val="en-IE"/>
        </w:rPr>
        <w:t xml:space="preserve"> for strategic biotechnology projects</w:t>
      </w:r>
      <w:r w:rsidRPr="00CB43CD">
        <w:rPr>
          <w:lang w:val="en-IE"/>
        </w:rPr>
        <w:t xml:space="preserve"> is expected to affect </w:t>
      </w:r>
      <w:r w:rsidRPr="00D76666">
        <w:rPr>
          <w:lang w:val="en-IE"/>
        </w:rPr>
        <w:t xml:space="preserve">both the </w:t>
      </w:r>
      <w:r w:rsidRPr="005A3401">
        <w:rPr>
          <w:lang w:val="en-IE"/>
        </w:rPr>
        <w:t>speed from recognition to funding decision and financial close</w:t>
      </w:r>
      <w:r w:rsidRPr="00D76666">
        <w:rPr>
          <w:lang w:val="en-IE"/>
        </w:rPr>
        <w:t xml:space="preserve"> and the </w:t>
      </w:r>
      <w:r w:rsidRPr="005A3401">
        <w:rPr>
          <w:lang w:val="en-IE"/>
        </w:rPr>
        <w:t>amount of total investment mobilised</w:t>
      </w:r>
      <w:r w:rsidRPr="00D76666">
        <w:rPr>
          <w:lang w:val="en-IE"/>
        </w:rPr>
        <w:t>. In practical terms, the reduction in permitting uncertainty is expe</w:t>
      </w:r>
      <w:r w:rsidRPr="00CB43CD">
        <w:rPr>
          <w:lang w:val="en-IE"/>
        </w:rPr>
        <w:t>cted to lower risk premia and reduce the probability that financing is delayed pending administrative milestones. This supports shorter time-to-close and improves the likelihood that large-scale industrial deployment takes place in the Union rather than being relocated elsewhere.</w:t>
      </w:r>
    </w:p>
    <w:p w14:paraId="77D6AE72" w14:textId="0021FCF5" w:rsidR="00E2517B" w:rsidRPr="00E2517B" w:rsidRDefault="087F7B31" w:rsidP="00E2517B">
      <w:pPr>
        <w:rPr>
          <w:lang w:val="en-IE"/>
        </w:rPr>
      </w:pPr>
      <w:r w:rsidRPr="3F982D60">
        <w:rPr>
          <w:lang w:val="en-IE"/>
        </w:rPr>
        <w:t xml:space="preserve">To give substance to the mobilisation estimates, indicative capital values for biopharma manufacturing and related infrastructure can be used as a proxy for the investment envelope of relevant industrial deployments. Evidence from recent investments suggests that large-scale manufacturing facilities typically fall in the range of approximately </w:t>
      </w:r>
      <w:r w:rsidR="78540F1B" w:rsidRPr="4EC480EB">
        <w:rPr>
          <w:lang w:val="en-IE"/>
        </w:rPr>
        <w:t xml:space="preserve">EUR </w:t>
      </w:r>
      <w:r w:rsidR="00AE0097" w:rsidRPr="4EC480EB">
        <w:rPr>
          <w:lang w:val="en-IE"/>
        </w:rPr>
        <w:t>316</w:t>
      </w:r>
      <w:r w:rsidRPr="3F982D60">
        <w:rPr>
          <w:lang w:val="en-IE"/>
        </w:rPr>
        <w:t>–</w:t>
      </w:r>
      <w:r w:rsidR="78540F1B" w:rsidRPr="4EC480EB">
        <w:rPr>
          <w:lang w:val="en-IE"/>
        </w:rPr>
        <w:t xml:space="preserve">428 </w:t>
      </w:r>
      <w:r w:rsidRPr="3F982D60">
        <w:rPr>
          <w:lang w:val="en-IE"/>
        </w:rPr>
        <w:t>million</w:t>
      </w:r>
      <w:r w:rsidR="00773024">
        <w:rPr>
          <w:rStyle w:val="FootnoteReference"/>
          <w:lang w:val="en-IE"/>
        </w:rPr>
        <w:footnoteReference w:id="264"/>
      </w:r>
      <w:r w:rsidRPr="3F982D60">
        <w:rPr>
          <w:lang w:val="en-IE"/>
        </w:rPr>
        <w:t>, while smaller-scale or modular facilities and specialised production units may require lower investment levels, for example in the range of EUR 60–200 million as used elsewhere in this analysis.</w:t>
      </w:r>
    </w:p>
    <w:p w14:paraId="01EF506A" w14:textId="32F1E6D2" w:rsidR="00E2517B" w:rsidRPr="00E2517B" w:rsidRDefault="00E2517B" w:rsidP="00E2517B">
      <w:pPr>
        <w:rPr>
          <w:lang w:val="en-IE"/>
        </w:rPr>
      </w:pPr>
      <w:r w:rsidRPr="00E2517B">
        <w:rPr>
          <w:lang w:val="en-IE"/>
        </w:rPr>
        <w:t>Taken together, this supports the use of a broad investment envelope spanning medium to large-scale deployments. Combined with the assumption that approximately 70–80</w:t>
      </w:r>
      <w:r w:rsidR="006856C2">
        <w:rPr>
          <w:lang w:val="en-IE"/>
        </w:rPr>
        <w:t>%</w:t>
      </w:r>
      <w:r w:rsidRPr="00E2517B">
        <w:rPr>
          <w:lang w:val="en-IE"/>
        </w:rPr>
        <w:t xml:space="preserve"> of recognised projects would reach financial close (the point at which a project’s financing is fully secured, contractually committed, and ready for disbursement)</w:t>
      </w:r>
      <w:r w:rsidR="00082DD9">
        <w:rPr>
          <w:lang w:val="en-IE"/>
        </w:rPr>
        <w:t xml:space="preserve"> </w:t>
      </w:r>
      <w:r w:rsidR="00082DD9" w:rsidRPr="00082DD9">
        <w:t>under standard project-development conditions</w:t>
      </w:r>
      <w:r w:rsidRPr="00E2517B">
        <w:rPr>
          <w:lang w:val="en-IE"/>
        </w:rPr>
        <w:t>, this provides a plausible basis for the mobilisation ranges set out in Section 5.</w:t>
      </w:r>
    </w:p>
    <w:p w14:paraId="00E34C5B" w14:textId="0530D964" w:rsidR="008D7CC6" w:rsidRPr="00CB43CD" w:rsidRDefault="008D7CC6" w:rsidP="008D7CC6">
      <w:pPr>
        <w:rPr>
          <w:lang w:val="en-IE"/>
        </w:rPr>
      </w:pPr>
      <w:r w:rsidRPr="00CB43CD">
        <w:rPr>
          <w:lang w:val="en-IE"/>
        </w:rPr>
        <w:t xml:space="preserve">The main caveat is that competitiveness impacts are especially sensitive to uptake and project maturity. Under low uptake, the effects may be economically meaningful but remain localised to a relatively small portfolio. Under medium and high uptake, the project pipeline becomes more visible and more likely to generate crowding-in effects. The </w:t>
      </w:r>
      <w:r w:rsidRPr="00CB43CD">
        <w:rPr>
          <w:lang w:val="en-IE"/>
        </w:rPr>
        <w:lastRenderedPageBreak/>
        <w:t xml:space="preserve">measure therefore improves the conditions for </w:t>
      </w:r>
      <w:r w:rsidRPr="00CB43CD" w:rsidDel="00EA79B9">
        <w:rPr>
          <w:lang w:val="en-IE"/>
        </w:rPr>
        <w:t>investment</w:t>
      </w:r>
      <w:r w:rsidR="00EA79B9" w:rsidRPr="00CB43CD">
        <w:rPr>
          <w:lang w:val="en-IE"/>
        </w:rPr>
        <w:t xml:space="preserve"> but</w:t>
      </w:r>
      <w:r w:rsidRPr="00CB43CD">
        <w:rPr>
          <w:lang w:val="en-IE"/>
        </w:rPr>
        <w:t xml:space="preserve"> does not remove broader structural financing constraints in the Union.</w:t>
      </w:r>
    </w:p>
    <w:p w14:paraId="2AF4F396" w14:textId="77777777" w:rsidR="008D7CC6" w:rsidRPr="00CB43CD" w:rsidRDefault="008D7CC6" w:rsidP="008D7CC6">
      <w:pPr>
        <w:rPr>
          <w:b/>
          <w:bCs/>
          <w:lang w:val="en-IE"/>
        </w:rPr>
      </w:pPr>
      <w:r w:rsidRPr="00CB43CD">
        <w:rPr>
          <w:b/>
          <w:bCs/>
          <w:lang w:val="en-IE"/>
        </w:rPr>
        <w:t>Functioning of the internal market and competition</w:t>
      </w:r>
    </w:p>
    <w:p w14:paraId="123181A3" w14:textId="77777777" w:rsidR="008D7CC6" w:rsidRPr="00CB43CD" w:rsidRDefault="008D7CC6" w:rsidP="008D7CC6">
      <w:pPr>
        <w:rPr>
          <w:lang w:val="en-IE"/>
        </w:rPr>
      </w:pPr>
      <w:r w:rsidRPr="00CB43CD">
        <w:rPr>
          <w:lang w:val="en-IE"/>
        </w:rPr>
        <w:t>The key effect is not harmonisation of national permitting systems as such, but the creation of a more visible, comparable and coordinated pipeline of strategic projects. In that sense, the measure reduces information asymmetries and lowers dispersion in execution risk across Member States.</w:t>
      </w:r>
    </w:p>
    <w:p w14:paraId="1046F56A" w14:textId="77777777" w:rsidR="008D7CC6" w:rsidRPr="00CB43CD" w:rsidRDefault="008D7CC6" w:rsidP="008D7CC6">
      <w:pPr>
        <w:rPr>
          <w:lang w:val="en-IE"/>
        </w:rPr>
      </w:pPr>
      <w:r w:rsidRPr="00CB43CD">
        <w:rPr>
          <w:lang w:val="en-IE"/>
        </w:rPr>
        <w:t>A particularly important operational feature is cross-border recognition for projects located in two or more Member States.</w:t>
      </w:r>
      <w:r>
        <w:rPr>
          <w:lang w:val="en-IE"/>
        </w:rPr>
        <w:t xml:space="preserve"> W</w:t>
      </w:r>
      <w:r w:rsidRPr="00CB43CD">
        <w:rPr>
          <w:lang w:val="en-IE"/>
        </w:rPr>
        <w:t>here one designated authority issues a recognition decision, that recognition is then to be acknowledged by the designated authorities of the other Member States concerned. This does not eliminate differences in national procedures, but it does reduce duplicative recognition steps and supports greater consistency of treatment for genuinely cross-border projects.</w:t>
      </w:r>
    </w:p>
    <w:p w14:paraId="0D419F44" w14:textId="77777777" w:rsidR="008D7CC6" w:rsidRPr="00CB43CD" w:rsidRDefault="6E690F01" w:rsidP="008D7CC6">
      <w:pPr>
        <w:rPr>
          <w:lang w:val="en-IE"/>
        </w:rPr>
      </w:pPr>
      <w:r w:rsidRPr="3F982D60">
        <w:rPr>
          <w:lang w:val="en-IE"/>
        </w:rPr>
        <w:t xml:space="preserve">The report also provides a plausibility benchmark by referring to other EU priority-project mechanisms operating across many jurisdictions, including the first Union list of Projects of Common Interest and Projects of Mutual Interest, which comprised </w:t>
      </w:r>
      <w:r w:rsidRPr="3F982D60">
        <w:rPr>
          <w:b/>
          <w:bCs/>
          <w:lang w:val="en-IE"/>
        </w:rPr>
        <w:t>166 projects</w:t>
      </w:r>
      <w:r w:rsidR="008D7CC6">
        <w:rPr>
          <w:rStyle w:val="FootnoteReference"/>
          <w:b/>
          <w:bCs/>
          <w:lang w:val="en-IE"/>
        </w:rPr>
        <w:footnoteReference w:id="265"/>
      </w:r>
      <w:r w:rsidRPr="3F982D60">
        <w:rPr>
          <w:lang w:val="en-IE"/>
        </w:rPr>
        <w:t>. While health biotechnology is narrower in scope, the comparison is used to support the proposition that a sufficiently large recognised pipeline could, over time, begin to reduce perceived fragmentation and strengthen contestability of investment across the internal market.</w:t>
      </w:r>
    </w:p>
    <w:p w14:paraId="2987B4EE" w14:textId="77777777" w:rsidR="008D7CC6" w:rsidRPr="00CB43CD" w:rsidRDefault="008D7CC6" w:rsidP="008D7CC6">
      <w:pPr>
        <w:rPr>
          <w:lang w:val="en-IE"/>
        </w:rPr>
      </w:pPr>
      <w:r w:rsidRPr="00CB43CD">
        <w:rPr>
          <w:lang w:val="en-IE"/>
        </w:rPr>
        <w:t>The corresponding caveat is that the effect should not be read as implying uniform convergence of national permitting outcomes. The relevant signal is improved transparency and comparability, particularly for multi-country projects, rather than complete alignment of administrative regimes. The size of the effect remains dependent on uptake, cross-border footprint and implementation capacity.</w:t>
      </w:r>
    </w:p>
    <w:p w14:paraId="5634D9A7" w14:textId="77777777" w:rsidR="008D7CC6" w:rsidRPr="00CB43CD" w:rsidRDefault="008D7CC6" w:rsidP="008D7CC6">
      <w:pPr>
        <w:rPr>
          <w:b/>
          <w:bCs/>
          <w:lang w:val="en-IE"/>
        </w:rPr>
      </w:pPr>
      <w:r w:rsidRPr="00CB43CD">
        <w:rPr>
          <w:b/>
          <w:bCs/>
          <w:lang w:val="en-IE"/>
        </w:rPr>
        <w:t>Innovation and research</w:t>
      </w:r>
    </w:p>
    <w:p w14:paraId="448EACEE" w14:textId="77777777" w:rsidR="008D7CC6" w:rsidRPr="00CB43CD" w:rsidRDefault="008D7CC6" w:rsidP="008D7CC6">
      <w:pPr>
        <w:rPr>
          <w:lang w:val="en-IE"/>
        </w:rPr>
      </w:pPr>
      <w:r w:rsidRPr="00CB43CD">
        <w:rPr>
          <w:lang w:val="en-IE"/>
        </w:rPr>
        <w:t>The measure is expected to support faster translation of scientific and technological capabilities into industrial deployment by facilitating projects that strengthen industrial capacity, scale up or upgrade research and technology infrastructures, and support collaboration across actors.</w:t>
      </w:r>
    </w:p>
    <w:p w14:paraId="308CECBF" w14:textId="3E107DB0" w:rsidR="008D7CC6" w:rsidRPr="00CB43CD" w:rsidRDefault="6E690F01" w:rsidP="008D7CC6">
      <w:pPr>
        <w:rPr>
          <w:lang w:val="en-IE"/>
        </w:rPr>
      </w:pPr>
      <w:r w:rsidRPr="3F982D60">
        <w:rPr>
          <w:lang w:val="en-IE"/>
        </w:rPr>
        <w:t>As a rough comparator for portfolio effects, benchmarks from other sectors can be considered, such as the microelectronics IPCEIs, which comprise 100 projects across 14 Member States</w:t>
      </w:r>
      <w:r w:rsidR="008D7CC6">
        <w:rPr>
          <w:rStyle w:val="FootnoteReference"/>
          <w:lang w:val="en-IE"/>
        </w:rPr>
        <w:footnoteReference w:id="266"/>
      </w:r>
      <w:r w:rsidRPr="3F982D60">
        <w:rPr>
          <w:lang w:val="en-IE"/>
        </w:rPr>
        <w:t>. The point of the comparison is not to equate the sectors, but to support the logic that a sufficiently large portfolio of recognised projects can generate visible infrastructure and collaboration outputs over time.</w:t>
      </w:r>
    </w:p>
    <w:p w14:paraId="29631D66" w14:textId="19B290CC" w:rsidR="008D7CC6" w:rsidRPr="00CB43CD" w:rsidRDefault="008D7CC6" w:rsidP="008D7CC6">
      <w:pPr>
        <w:rPr>
          <w:lang w:val="en-IE"/>
        </w:rPr>
      </w:pPr>
      <w:r w:rsidRPr="00CB43CD">
        <w:rPr>
          <w:lang w:val="en-IE"/>
        </w:rPr>
        <w:lastRenderedPageBreak/>
        <w:t xml:space="preserve">The main caveat is that innovation impacts are expected to be strongly dependent on project composition. If the recognised portfolio contains relatively few projects with material </w:t>
      </w:r>
      <w:r w:rsidR="00FA3E8A">
        <w:rPr>
          <w:lang w:val="en-IE"/>
        </w:rPr>
        <w:t>research and innovation</w:t>
      </w:r>
      <w:r w:rsidRPr="00CB43CD">
        <w:rPr>
          <w:lang w:val="en-IE"/>
        </w:rPr>
        <w:t>, pilot or testing components, the effect on this category will remain limited. The framework therefore contributes incrementally to innovation and research by strengthening late-stage translation conditions, rather than by directly altering the broader research system.</w:t>
      </w:r>
    </w:p>
    <w:p w14:paraId="5A6BACDE" w14:textId="77777777" w:rsidR="008D7CC6" w:rsidRPr="00CB43CD" w:rsidRDefault="008D7CC6" w:rsidP="008D7CC6">
      <w:pPr>
        <w:rPr>
          <w:b/>
          <w:bCs/>
          <w:lang w:val="en-IE"/>
        </w:rPr>
      </w:pPr>
      <w:r w:rsidRPr="00CB43CD">
        <w:rPr>
          <w:b/>
          <w:bCs/>
          <w:lang w:val="en-IE"/>
        </w:rPr>
        <w:t>Public authorities</w:t>
      </w:r>
    </w:p>
    <w:p w14:paraId="24B4F541" w14:textId="17C1C8D1" w:rsidR="008D7CC6" w:rsidRPr="00CB43CD" w:rsidRDefault="008D7CC6" w:rsidP="0000204B">
      <w:pPr>
        <w:rPr>
          <w:lang w:val="en-IE"/>
        </w:rPr>
      </w:pPr>
      <w:r>
        <w:rPr>
          <w:lang w:val="en-IE"/>
        </w:rPr>
        <w:t>I</w:t>
      </w:r>
      <w:r w:rsidRPr="00CB43CD">
        <w:rPr>
          <w:lang w:val="en-IE"/>
        </w:rPr>
        <w:t>mpacts for public authorities</w:t>
      </w:r>
      <w:r>
        <w:rPr>
          <w:lang w:val="en-IE"/>
        </w:rPr>
        <w:t xml:space="preserve"> </w:t>
      </w:r>
      <w:r w:rsidRPr="00CB43CD">
        <w:rPr>
          <w:lang w:val="en-IE"/>
        </w:rPr>
        <w:t>are expected to be front-loaded because implementation requires the establishment or designation of single points of contact, the operation of recognition processes and the provision of structured support services. However,</w:t>
      </w:r>
      <w:r w:rsidRPr="00CB43CD" w:rsidDel="003A13EB">
        <w:rPr>
          <w:lang w:val="en-IE"/>
        </w:rPr>
        <w:t xml:space="preserve"> </w:t>
      </w:r>
      <w:r w:rsidRPr="00CB43CD">
        <w:rPr>
          <w:lang w:val="en-IE"/>
        </w:rPr>
        <w:t>this should not be interpreted as requiring entirely new administrative bodies in all Member States</w:t>
      </w:r>
      <w:r w:rsidR="000A2539">
        <w:rPr>
          <w:lang w:val="en-IE"/>
        </w:rPr>
        <w:t>, given that such bodies have already been set up in other</w:t>
      </w:r>
      <w:r w:rsidR="0000204B">
        <w:rPr>
          <w:lang w:val="en-IE"/>
        </w:rPr>
        <w:t xml:space="preserve"> frameworks for </w:t>
      </w:r>
      <w:r w:rsidRPr="00CB43CD">
        <w:rPr>
          <w:lang w:val="en-IE"/>
        </w:rPr>
        <w:t>EU strategic-project regimes, including the Net-Zero Industry Act, the Critical Raw Materials Act and the European Chips Act, all of which allow Member States to designate or adapt existing authorities and coordination mechanisms rather than build new institutions from scratch. This supports the conclusion that the main public authority cost is likely to arise from process design, workload reallocation and service standards rather than from the creation of wholly new structures.</w:t>
      </w:r>
    </w:p>
    <w:p w14:paraId="4D3191DC" w14:textId="77777777" w:rsidR="008D7CC6" w:rsidRPr="00CB43CD" w:rsidRDefault="008D7CC6" w:rsidP="008D7CC6">
      <w:pPr>
        <w:rPr>
          <w:lang w:val="en-IE"/>
        </w:rPr>
      </w:pPr>
      <w:r>
        <w:rPr>
          <w:lang w:val="en-IE"/>
        </w:rPr>
        <w:t>As regards</w:t>
      </w:r>
      <w:r w:rsidRPr="00CB43CD">
        <w:rPr>
          <w:lang w:val="en-IE"/>
        </w:rPr>
        <w:t xml:space="preserve"> workload implications</w:t>
      </w:r>
      <w:r>
        <w:rPr>
          <w:lang w:val="en-IE"/>
        </w:rPr>
        <w:t>, it should be underlined that</w:t>
      </w:r>
      <w:r w:rsidRPr="00CB43CD">
        <w:rPr>
          <w:lang w:val="en-IE"/>
        </w:rPr>
        <w:t xml:space="preserve"> impact </w:t>
      </w:r>
      <w:r>
        <w:rPr>
          <w:lang w:val="en-IE"/>
        </w:rPr>
        <w:t xml:space="preserve">can be expected to </w:t>
      </w:r>
      <w:r w:rsidRPr="00CB43CD">
        <w:rPr>
          <w:lang w:val="en-IE"/>
        </w:rPr>
        <w:t xml:space="preserve">scale with uptake because recognition decisions, coordination and support functions are workload-driven. Using illustrative assumptions on </w:t>
      </w:r>
      <w:r w:rsidRPr="00E40A6B">
        <w:rPr>
          <w:lang w:val="en-IE"/>
        </w:rPr>
        <w:t xml:space="preserve">project activity and active case management over a </w:t>
      </w:r>
      <w:r w:rsidRPr="005A3401">
        <w:rPr>
          <w:lang w:val="en-IE"/>
        </w:rPr>
        <w:t>2–3 year</w:t>
      </w:r>
      <w:r w:rsidRPr="00E40A6B">
        <w:rPr>
          <w:lang w:val="en-IE"/>
        </w:rPr>
        <w:t xml:space="preserve"> period, and assuming that one FTE can manage around </w:t>
      </w:r>
      <w:r w:rsidRPr="005A3401">
        <w:rPr>
          <w:lang w:val="en-IE"/>
        </w:rPr>
        <w:t>10–15 active cases per year</w:t>
      </w:r>
      <w:r w:rsidRPr="00E40A6B">
        <w:rPr>
          <w:lang w:val="en-IE"/>
        </w:rPr>
        <w:t>, indicative capacity</w:t>
      </w:r>
      <w:r w:rsidRPr="00CB43CD">
        <w:rPr>
          <w:lang w:val="en-IE"/>
        </w:rPr>
        <w:t xml:space="preserve"> ranges </w:t>
      </w:r>
      <w:r>
        <w:rPr>
          <w:lang w:val="en-IE"/>
        </w:rPr>
        <w:t>can be calculated as indicated in section 5</w:t>
      </w:r>
      <w:r w:rsidRPr="00CB43CD">
        <w:rPr>
          <w:lang w:val="en-IE"/>
        </w:rPr>
        <w:t xml:space="preserve">. These ranges </w:t>
      </w:r>
      <w:r>
        <w:rPr>
          <w:lang w:val="en-IE"/>
        </w:rPr>
        <w:t>should only be considered as</w:t>
      </w:r>
      <w:r w:rsidRPr="00CB43CD">
        <w:rPr>
          <w:lang w:val="en-IE"/>
        </w:rPr>
        <w:t xml:space="preserve"> indicative illustrations of scale rather than staffing forecasts.</w:t>
      </w:r>
    </w:p>
    <w:p w14:paraId="01B57733" w14:textId="77777777" w:rsidR="008D7CC6" w:rsidRPr="00CB43CD" w:rsidRDefault="008D7CC6" w:rsidP="008D7CC6">
      <w:pPr>
        <w:rPr>
          <w:lang w:val="en-IE"/>
        </w:rPr>
      </w:pPr>
      <w:r w:rsidRPr="00CB43CD">
        <w:rPr>
          <w:lang w:val="en-IE"/>
        </w:rPr>
        <w:t>The key caveat is that implementation effects are highly context-dependent. Where Member States already have strong coordination structures, incremental resource needs may be relatively modest. Where baseline coordination is more fragmented, implementation may be more demanding. Over time, however, routinised handling, digital tools and reduced duplication are expected to improve efficiency per case.</w:t>
      </w:r>
    </w:p>
    <w:p w14:paraId="29AA7D93" w14:textId="77777777" w:rsidR="008D7CC6" w:rsidRPr="00CB43CD" w:rsidRDefault="008D7CC6" w:rsidP="008D7CC6">
      <w:pPr>
        <w:rPr>
          <w:b/>
          <w:bCs/>
          <w:lang w:val="en-IE"/>
        </w:rPr>
      </w:pPr>
      <w:r w:rsidRPr="00CB43CD">
        <w:rPr>
          <w:b/>
          <w:bCs/>
          <w:lang w:val="en-IE"/>
        </w:rPr>
        <w:t>Public health and safety</w:t>
      </w:r>
    </w:p>
    <w:p w14:paraId="0CA04407" w14:textId="77777777" w:rsidR="008D7CC6" w:rsidRPr="00CB43CD" w:rsidRDefault="008D7CC6" w:rsidP="008D7CC6">
      <w:pPr>
        <w:rPr>
          <w:lang w:val="en-IE"/>
        </w:rPr>
      </w:pPr>
      <w:r w:rsidRPr="00CB43CD">
        <w:rPr>
          <w:lang w:val="en-IE"/>
        </w:rPr>
        <w:t xml:space="preserve">The </w:t>
      </w:r>
      <w:r>
        <w:rPr>
          <w:lang w:val="en-IE"/>
        </w:rPr>
        <w:t>key</w:t>
      </w:r>
      <w:r w:rsidRPr="00CB43CD">
        <w:rPr>
          <w:lang w:val="en-IE"/>
        </w:rPr>
        <w:t xml:space="preserve"> </w:t>
      </w:r>
      <w:r>
        <w:rPr>
          <w:lang w:val="en-IE"/>
        </w:rPr>
        <w:t xml:space="preserve">impact mechanism </w:t>
      </w:r>
      <w:r w:rsidRPr="00CB43CD">
        <w:rPr>
          <w:lang w:val="en-IE"/>
        </w:rPr>
        <w:t>is that faster and more predictable project delivery enables earlier commissioning of EU-based capacity for selected strategic biotechnology products, which can then contribute to supply resilience.</w:t>
      </w:r>
    </w:p>
    <w:p w14:paraId="7B5E7FEE" w14:textId="77777777" w:rsidR="008D7CC6" w:rsidRPr="00CB43CD" w:rsidRDefault="008D7CC6" w:rsidP="008D7CC6">
      <w:pPr>
        <w:rPr>
          <w:lang w:val="en-IE"/>
        </w:rPr>
      </w:pPr>
      <w:r>
        <w:rPr>
          <w:lang w:val="en-IE"/>
        </w:rPr>
        <w:t>At the same time, p</w:t>
      </w:r>
      <w:r w:rsidRPr="00CB43CD">
        <w:rPr>
          <w:lang w:val="en-IE"/>
        </w:rPr>
        <w:t>ublic health and resilience outcomes depend on wider market and system conditions and cannot be inferred mechanically from project recognition alone. For that reason, the scenario logic remains outcome-oriented and attribution-aware: uptake and earlier capacity commissioning may be linked to observable resilience proxies, but the effect on realised health outcomes will still depend on product mix, external shocks and broader supply conditions.</w:t>
      </w:r>
    </w:p>
    <w:p w14:paraId="735EC0EC" w14:textId="77777777" w:rsidR="008D7CC6" w:rsidRPr="00CB43CD" w:rsidRDefault="008D7CC6" w:rsidP="008D7CC6">
      <w:pPr>
        <w:rPr>
          <w:lang w:val="en-IE"/>
        </w:rPr>
      </w:pPr>
      <w:r w:rsidRPr="00CB43CD">
        <w:rPr>
          <w:lang w:val="en-IE"/>
        </w:rPr>
        <w:lastRenderedPageBreak/>
        <w:t>This means that the value of the measure in this category is best understood as improving the conditions under which resilience-enhancing capacity can materialise earlier, rather than as guaranteeing a given health-system result.</w:t>
      </w:r>
    </w:p>
    <w:p w14:paraId="151C1A7E" w14:textId="77777777" w:rsidR="008D7CC6" w:rsidRPr="00CB43CD" w:rsidRDefault="008D7CC6" w:rsidP="008D7CC6">
      <w:pPr>
        <w:rPr>
          <w:b/>
          <w:bCs/>
          <w:lang w:val="en-IE"/>
        </w:rPr>
      </w:pPr>
      <w:r w:rsidRPr="00CB43CD">
        <w:rPr>
          <w:b/>
          <w:bCs/>
          <w:lang w:val="en-IE"/>
        </w:rPr>
        <w:t>Cross-cutting drivers, caveats and limitations</w:t>
      </w:r>
    </w:p>
    <w:p w14:paraId="723117E1" w14:textId="77777777" w:rsidR="008D7CC6" w:rsidRPr="00CB43CD" w:rsidRDefault="008D7CC6" w:rsidP="008D7CC6">
      <w:pPr>
        <w:rPr>
          <w:lang w:val="en-IE"/>
        </w:rPr>
      </w:pPr>
      <w:r w:rsidRPr="00CB43CD">
        <w:rPr>
          <w:lang w:val="en-IE"/>
        </w:rPr>
        <w:t xml:space="preserve">Across all categories, the magnitude of impacts depends </w:t>
      </w:r>
      <w:r w:rsidRPr="00570AC3">
        <w:rPr>
          <w:lang w:val="en-IE"/>
        </w:rPr>
        <w:t xml:space="preserve">primarily on </w:t>
      </w:r>
      <w:r w:rsidRPr="005A3401">
        <w:rPr>
          <w:lang w:val="en-IE"/>
        </w:rPr>
        <w:t>uptake</w:t>
      </w:r>
      <w:r w:rsidRPr="00570AC3">
        <w:rPr>
          <w:lang w:val="en-IE"/>
        </w:rPr>
        <w:t xml:space="preserve">, </w:t>
      </w:r>
      <w:r w:rsidRPr="005A3401">
        <w:rPr>
          <w:lang w:val="en-IE"/>
        </w:rPr>
        <w:t>project maturity</w:t>
      </w:r>
      <w:r w:rsidRPr="00570AC3">
        <w:rPr>
          <w:lang w:val="en-IE"/>
        </w:rPr>
        <w:t xml:space="preserve"> and </w:t>
      </w:r>
      <w:r w:rsidRPr="005A3401">
        <w:rPr>
          <w:lang w:val="en-IE"/>
        </w:rPr>
        <w:t>implementation capacity</w:t>
      </w:r>
      <w:r w:rsidRPr="00570AC3">
        <w:rPr>
          <w:lang w:val="en-IE"/>
        </w:rPr>
        <w:t>. Uptake matters because the framework is voluntary and the aggregate effect is proportional to the number of projects entering</w:t>
      </w:r>
      <w:r w:rsidRPr="00CB43CD">
        <w:rPr>
          <w:lang w:val="en-IE"/>
        </w:rPr>
        <w:t xml:space="preserve"> the recognised pipeline. Project maturity matters because the most material business, administrative-cost and investment effects are concentrated in projects that are sufficiently advanced to face economically relevant delay exposure and to reach financial close. Implementation capacity matters because the effectiveness of single points of contact and coordinated support will vary across Member States.</w:t>
      </w:r>
    </w:p>
    <w:p w14:paraId="606E1736" w14:textId="77777777" w:rsidR="008D7CC6" w:rsidRPr="00CB43CD" w:rsidRDefault="008D7CC6" w:rsidP="008D7CC6">
      <w:pPr>
        <w:rPr>
          <w:lang w:val="en-IE"/>
        </w:rPr>
      </w:pPr>
      <w:r>
        <w:rPr>
          <w:lang w:val="en-IE"/>
        </w:rPr>
        <w:t>In terms of</w:t>
      </w:r>
      <w:r w:rsidRPr="00CB43CD">
        <w:rPr>
          <w:lang w:val="en-IE"/>
        </w:rPr>
        <w:t xml:space="preserve"> limitations</w:t>
      </w:r>
      <w:r>
        <w:rPr>
          <w:lang w:val="en-IE"/>
        </w:rPr>
        <w:t xml:space="preserve"> of the analysis, it should be noted that </w:t>
      </w:r>
      <w:r w:rsidRPr="00CB43CD">
        <w:rPr>
          <w:lang w:val="en-IE"/>
        </w:rPr>
        <w:t>quantified effects rely on illustrative assumptions rather than observed implementation data, because the framework does not yet exist. Comparisons with other EU strategic-project regimes and other industrial sectors are analytically useful, but they are not one-to-one proxies for health biotechnology. Finally, some categories, in particular innovation and public health, are inherently more difficult to quantify.</w:t>
      </w:r>
    </w:p>
    <w:p w14:paraId="7A7D51D9" w14:textId="4DB0D82A" w:rsidR="008D7CC6" w:rsidRDefault="008D7CC6" w:rsidP="008D7CC6">
      <w:pPr>
        <w:rPr>
          <w:lang w:val="en-IE"/>
        </w:rPr>
      </w:pPr>
      <w:r w:rsidRPr="00CE2CE2">
        <w:rPr>
          <w:lang w:val="en-IE"/>
        </w:rPr>
        <w:t xml:space="preserve">For these reasons, the quantified results in </w:t>
      </w:r>
      <w:r>
        <w:rPr>
          <w:lang w:val="en-IE"/>
        </w:rPr>
        <w:t>section 5</w:t>
      </w:r>
      <w:r w:rsidRPr="00CE2CE2">
        <w:rPr>
          <w:lang w:val="en-IE"/>
        </w:rPr>
        <w:t xml:space="preserve"> </w:t>
      </w:r>
      <w:r w:rsidR="00892F4D">
        <w:rPr>
          <w:lang w:val="en-IE"/>
        </w:rPr>
        <w:t xml:space="preserve">of the SWD </w:t>
      </w:r>
      <w:r w:rsidRPr="00CE2CE2">
        <w:rPr>
          <w:lang w:val="en-IE"/>
        </w:rPr>
        <w:t xml:space="preserve">should be interpreted as </w:t>
      </w:r>
      <w:r w:rsidRPr="005A3401">
        <w:rPr>
          <w:lang w:val="en-IE"/>
        </w:rPr>
        <w:t>orders of magnitude</w:t>
      </w:r>
      <w:r w:rsidRPr="00CE2CE2">
        <w:rPr>
          <w:lang w:val="en-IE"/>
        </w:rPr>
        <w:t xml:space="preserve"> that support the plausibility and direction of impacts, rather than as precise forecasts</w:t>
      </w:r>
      <w:r w:rsidRPr="00CB43CD">
        <w:rPr>
          <w:lang w:val="en-IE"/>
        </w:rPr>
        <w:t>.</w:t>
      </w:r>
    </w:p>
    <w:p w14:paraId="44D3A427" w14:textId="04077C39" w:rsidR="00774979" w:rsidRPr="00802F4D" w:rsidRDefault="00774979" w:rsidP="00D60FAE">
      <w:pPr>
        <w:pStyle w:val="Heading1"/>
      </w:pPr>
      <w:bookmarkStart w:id="339" w:name="_Toc225783212"/>
      <w:bookmarkStart w:id="340" w:name="_Toc225969821"/>
      <w:bookmarkStart w:id="341" w:name="_Toc225979153"/>
      <w:r w:rsidRPr="00802F4D">
        <w:t>Intervention n°</w:t>
      </w:r>
      <w:r w:rsidR="00463F57">
        <w:t>10</w:t>
      </w:r>
      <w:r w:rsidRPr="00802F4D">
        <w:t xml:space="preserve">: </w:t>
      </w:r>
      <w:r w:rsidR="00A637EA">
        <w:t>R</w:t>
      </w:r>
      <w:r w:rsidRPr="00802F4D">
        <w:t xml:space="preserve">ecognition and support of </w:t>
      </w:r>
      <w:r w:rsidR="00463F57">
        <w:t xml:space="preserve">high impact </w:t>
      </w:r>
      <w:r w:rsidRPr="00802F4D">
        <w:t>strategic health biotechnology projects</w:t>
      </w:r>
      <w:bookmarkEnd w:id="339"/>
      <w:bookmarkEnd w:id="340"/>
      <w:bookmarkEnd w:id="341"/>
    </w:p>
    <w:p w14:paraId="4702B0E6" w14:textId="77777777" w:rsidR="00463F57" w:rsidRPr="00D60FAE" w:rsidRDefault="00463F57" w:rsidP="00D60FAE">
      <w:pPr>
        <w:pStyle w:val="Heading2"/>
      </w:pPr>
      <w:bookmarkStart w:id="342" w:name="_Toc225969822"/>
      <w:bookmarkStart w:id="343" w:name="_Toc225979154"/>
      <w:r w:rsidRPr="00D60FAE">
        <w:t>Detailed description of the proposed measures</w:t>
      </w:r>
      <w:bookmarkEnd w:id="342"/>
      <w:bookmarkEnd w:id="343"/>
    </w:p>
    <w:p w14:paraId="4D4951BA" w14:textId="2E5D10B2" w:rsidR="00463F57" w:rsidRPr="00463F57" w:rsidRDefault="000B0D4A" w:rsidP="00463F57">
      <w:pPr>
        <w:rPr>
          <w:lang w:val="en-IE"/>
        </w:rPr>
      </w:pPr>
      <w:r w:rsidRPr="000B0D4A">
        <w:t>The measure establishes a framework for the recognition and support of high impact strategic health biotechnology projects, i.e. projects with the potential to contribute to the Union’s biotechnology objectives in a systemic manner and to generate catalytic effects across the Union biotechnology ecosystem. High-impact projects may cover different types of interventions defined in the Regulation, including biotechnology development accelerators, centres of excellence for advanced therapies, projects linked to late-stage financing, AI-enabled innovation infrastructures and biodefence capabilities</w:t>
      </w:r>
      <w:r w:rsidR="00463F57" w:rsidRPr="00463F57">
        <w:rPr>
          <w:lang w:val="en-IE"/>
        </w:rPr>
        <w:t>.</w:t>
      </w:r>
    </w:p>
    <w:p w14:paraId="0977670B" w14:textId="3E08F351" w:rsidR="009C2C80" w:rsidRPr="009C2C80" w:rsidRDefault="009C2C80" w:rsidP="009C2C80">
      <w:pPr>
        <w:rPr>
          <w:lang w:val="en-IE"/>
        </w:rPr>
      </w:pPr>
      <w:r w:rsidRPr="009C2C80">
        <w:rPr>
          <w:lang w:val="en-IE"/>
        </w:rPr>
        <w:t>For the purpose of this analysis, the measure focuses on two categories of high-impact projects: biotechnology development accelerators and centres of excellence for advanced therapies</w:t>
      </w:r>
      <w:r w:rsidR="00640B61">
        <w:rPr>
          <w:lang w:val="en-IE"/>
        </w:rPr>
        <w:t xml:space="preserve"> (as</w:t>
      </w:r>
      <w:r w:rsidR="00542BFF">
        <w:rPr>
          <w:lang w:val="en-IE"/>
        </w:rPr>
        <w:t xml:space="preserve"> impacts expected from</w:t>
      </w:r>
      <w:r w:rsidR="00640B61">
        <w:rPr>
          <w:lang w:val="en-IE"/>
        </w:rPr>
        <w:t xml:space="preserve"> </w:t>
      </w:r>
      <w:r w:rsidR="00640B61" w:rsidRPr="000B0D4A">
        <w:t>projects linked to late-stage financing, AI-enabled innovation infrastructures and biodefence capabilities</w:t>
      </w:r>
      <w:r w:rsidR="00542BFF">
        <w:t xml:space="preserve"> are assessed in the respective sections)</w:t>
      </w:r>
      <w:r w:rsidRPr="009C2C80">
        <w:rPr>
          <w:lang w:val="en-IE"/>
        </w:rPr>
        <w:t xml:space="preserve">. Biotechnology development accelerators are shared infrastructures providing trusted testing and demonstration facilities that replicate real-world biomanufacturing conditions, including GMP-compliant processes, and support process testing, validation and small-batch manufacturing, including for investigational medicinal products. They combine state-of-the-art equipment, applied research, training activities and partnerships </w:t>
      </w:r>
      <w:r w:rsidRPr="009C2C80">
        <w:rPr>
          <w:lang w:val="en-IE"/>
        </w:rPr>
        <w:lastRenderedPageBreak/>
        <w:t>between industry, academia and public authorities to integrate research, innovation and skills development.</w:t>
      </w:r>
    </w:p>
    <w:p w14:paraId="44B8BB41" w14:textId="77777777" w:rsidR="009C2C80" w:rsidRPr="009C2C80" w:rsidRDefault="009C2C80" w:rsidP="009C2C80">
      <w:pPr>
        <w:rPr>
          <w:lang w:val="en-IE"/>
        </w:rPr>
      </w:pPr>
      <w:r w:rsidRPr="009C2C80">
        <w:rPr>
          <w:lang w:val="en-IE"/>
        </w:rPr>
        <w:t>Centres of excellence for advanced therapies are specialised infrastructures aimed at strengthening the Union’s capabilities in advanced therapies, including cell and gene therapies. They provide or coordinate advanced manufacturing and downstream processing infrastructures, integrate regulatory science, quality and safety functions, and support the transition from laboratory research to commercial manufacturing. They offer services such as acceleration and incubation programmes, access to GMP facilities, partnership facilitation and connections to clinical and hospital settings for testing and validation. A key feature is cross-border accessibility, enabling users from all Member States to access their services and supporting Union-wide development and deployment of advanced therapies.</w:t>
      </w:r>
    </w:p>
    <w:p w14:paraId="44F1A257" w14:textId="77777777" w:rsidR="00463F57" w:rsidRPr="00463F57" w:rsidRDefault="00463F57" w:rsidP="00463F57">
      <w:pPr>
        <w:rPr>
          <w:lang w:val="en-IE"/>
        </w:rPr>
      </w:pPr>
      <w:r w:rsidRPr="00463F57">
        <w:rPr>
          <w:lang w:val="en-IE"/>
        </w:rPr>
        <w:t>As regards the general support architecture, high impact strategic health biotechnology projects benefit from the same package of regulatory, administrative and financial support measures as strategic health biotechnology projects, as described under Intervention n°9. This includes, in particular, access to single points of contact, administrative support, priority treatment in relevant procedures, access to the EU Health Biotechnology Support Network and eligibility for national and Union support instruments.</w:t>
      </w:r>
    </w:p>
    <w:p w14:paraId="2E89BB99" w14:textId="6A21033D" w:rsidR="00463F57" w:rsidRPr="00463F57" w:rsidRDefault="005579E2" w:rsidP="004570F2">
      <w:pPr>
        <w:rPr>
          <w:lang w:val="en-IE"/>
        </w:rPr>
      </w:pPr>
      <w:r>
        <w:rPr>
          <w:lang w:val="en-IE"/>
        </w:rPr>
        <w:t>In addition,</w:t>
      </w:r>
      <w:r w:rsidR="00463F57" w:rsidRPr="00463F57">
        <w:rPr>
          <w:lang w:val="en-IE"/>
        </w:rPr>
        <w:t xml:space="preserve"> high impact projects benefit from enhanced treatment reflecting their systemic relevance and expected multiplier effects. In particular:</w:t>
      </w:r>
    </w:p>
    <w:p w14:paraId="1435C7AE" w14:textId="0041AA8F" w:rsidR="00E854C5" w:rsidRPr="004570F2" w:rsidRDefault="00463F57" w:rsidP="004570F2">
      <w:pPr>
        <w:pStyle w:val="ListParagraph"/>
        <w:numPr>
          <w:ilvl w:val="0"/>
          <w:numId w:val="269"/>
        </w:numPr>
        <w:spacing w:after="270" w:line="270" w:lineRule="atLeast"/>
        <w:ind w:right="284"/>
        <w:rPr>
          <w:lang w:val="en-US"/>
        </w:rPr>
      </w:pPr>
      <w:r w:rsidRPr="004570F2">
        <w:rPr>
          <w:lang w:val="en-US"/>
        </w:rPr>
        <w:t>they are recognised at Union level, either at the request of Member States or following dedicated calls for proposals;</w:t>
      </w:r>
    </w:p>
    <w:p w14:paraId="6E0079EE" w14:textId="7238DF00" w:rsidR="00E854C5" w:rsidRPr="004570F2" w:rsidRDefault="00463F57" w:rsidP="004570F2">
      <w:pPr>
        <w:pStyle w:val="ListParagraph"/>
        <w:numPr>
          <w:ilvl w:val="0"/>
          <w:numId w:val="269"/>
        </w:numPr>
        <w:spacing w:after="270" w:line="270" w:lineRule="atLeast"/>
        <w:ind w:right="284"/>
        <w:rPr>
          <w:lang w:val="en-US"/>
        </w:rPr>
      </w:pPr>
      <w:r w:rsidRPr="004570F2">
        <w:rPr>
          <w:lang w:val="en-US"/>
        </w:rPr>
        <w:t>they benefit from priority access across procedures</w:t>
      </w:r>
      <w:r w:rsidR="005579E2" w:rsidRPr="004570F2">
        <w:rPr>
          <w:lang w:val="en-US"/>
        </w:rPr>
        <w:t xml:space="preserve">, in the context of the administrative support </w:t>
      </w:r>
      <w:r w:rsidR="003D12C4" w:rsidRPr="004570F2">
        <w:rPr>
          <w:lang w:val="en-US"/>
        </w:rPr>
        <w:t>measures</w:t>
      </w:r>
      <w:r w:rsidR="002C1AF3" w:rsidRPr="004570F2">
        <w:rPr>
          <w:lang w:val="en-US"/>
        </w:rPr>
        <w:t xml:space="preserve"> that</w:t>
      </w:r>
      <w:r w:rsidR="005579E2" w:rsidRPr="004570F2">
        <w:rPr>
          <w:lang w:val="en-US"/>
        </w:rPr>
        <w:t xml:space="preserve"> strategic projects</w:t>
      </w:r>
      <w:r w:rsidR="002C1AF3" w:rsidRPr="004570F2">
        <w:rPr>
          <w:lang w:val="en-US"/>
        </w:rPr>
        <w:t xml:space="preserve"> benefit from;</w:t>
      </w:r>
    </w:p>
    <w:p w14:paraId="7FA63F27" w14:textId="0AD005E8" w:rsidR="00E854C5" w:rsidRPr="004570F2" w:rsidRDefault="00463F57" w:rsidP="004570F2">
      <w:pPr>
        <w:pStyle w:val="ListParagraph"/>
        <w:numPr>
          <w:ilvl w:val="0"/>
          <w:numId w:val="269"/>
        </w:numPr>
        <w:spacing w:after="270" w:line="270" w:lineRule="atLeast"/>
        <w:ind w:right="284"/>
        <w:rPr>
          <w:lang w:val="en-US"/>
        </w:rPr>
      </w:pPr>
      <w:r w:rsidRPr="004570F2">
        <w:rPr>
          <w:lang w:val="en-US"/>
        </w:rPr>
        <w:t>they are subject to a shorter permit-granting timeline of 8 months, instead of 10 months for strategic projects, with a possible extension of up to 3 months in duly justified complex cases;</w:t>
      </w:r>
    </w:p>
    <w:p w14:paraId="0E85ACBF" w14:textId="697F3D5E" w:rsidR="00463F57" w:rsidRPr="004570F2" w:rsidRDefault="00463F57" w:rsidP="004570F2">
      <w:pPr>
        <w:pStyle w:val="ListParagraph"/>
        <w:numPr>
          <w:ilvl w:val="0"/>
          <w:numId w:val="269"/>
        </w:numPr>
        <w:spacing w:after="270" w:line="270" w:lineRule="atLeast"/>
        <w:ind w:right="284"/>
        <w:rPr>
          <w:lang w:val="en-US"/>
        </w:rPr>
      </w:pPr>
      <w:r w:rsidRPr="004570F2">
        <w:rPr>
          <w:lang w:val="en-US"/>
        </w:rPr>
        <w:t>they are given particular consideration for Union financial support, including where relevant in the form of blended financing.</w:t>
      </w:r>
    </w:p>
    <w:p w14:paraId="3F126584" w14:textId="77777777" w:rsidR="00E6511F" w:rsidRPr="005A3401" w:rsidRDefault="00E6511F" w:rsidP="00D60FAE">
      <w:pPr>
        <w:pStyle w:val="Heading2"/>
      </w:pPr>
      <w:bookmarkStart w:id="344" w:name="_Toc225969823"/>
      <w:bookmarkStart w:id="345" w:name="_Toc225979155"/>
      <w:r>
        <w:t>Baseline and counterfactual scenario</w:t>
      </w:r>
      <w:bookmarkEnd w:id="344"/>
      <w:bookmarkEnd w:id="345"/>
    </w:p>
    <w:p w14:paraId="06A4E295" w14:textId="77777777" w:rsidR="000227E0" w:rsidRPr="004570F2" w:rsidRDefault="000227E0" w:rsidP="004570F2">
      <w:pPr>
        <w:rPr>
          <w:b/>
          <w:lang w:val="en-IE"/>
        </w:rPr>
      </w:pPr>
      <w:r w:rsidRPr="004570F2">
        <w:rPr>
          <w:b/>
          <w:lang w:val="en-IE"/>
        </w:rPr>
        <w:t>Key assumptions:</w:t>
      </w:r>
    </w:p>
    <w:p w14:paraId="7E952E44" w14:textId="04DC81C8" w:rsidR="000227E0" w:rsidRPr="004570F2" w:rsidRDefault="000227E0" w:rsidP="004570F2">
      <w:pPr>
        <w:pStyle w:val="ListParagraph"/>
        <w:numPr>
          <w:ilvl w:val="0"/>
          <w:numId w:val="269"/>
        </w:numPr>
        <w:spacing w:after="270" w:line="270" w:lineRule="atLeast"/>
        <w:ind w:right="284"/>
        <w:rPr>
          <w:lang w:val="en-US"/>
        </w:rPr>
      </w:pPr>
      <w:r w:rsidRPr="004570F2">
        <w:rPr>
          <w:lang w:val="en-US"/>
        </w:rPr>
        <w:t xml:space="preserve">Late-stage translation in health biotechnology remains constrained by limited availability and uneven distribution of advanced testing, validation and scale-up infrastructures, particularly for complex modalities such as advanced therapies. Existing infrastructures are fragmented, vary in capability and scale, and are not organised as a visible or coordinated Union-level portfolio. </w:t>
      </w:r>
    </w:p>
    <w:p w14:paraId="79556D4C" w14:textId="626A4C8A" w:rsidR="000227E0" w:rsidRPr="004570F2" w:rsidRDefault="000227E0" w:rsidP="004570F2">
      <w:pPr>
        <w:pStyle w:val="ListParagraph"/>
        <w:numPr>
          <w:ilvl w:val="0"/>
          <w:numId w:val="269"/>
        </w:numPr>
        <w:spacing w:after="270" w:line="270" w:lineRule="atLeast"/>
        <w:ind w:right="284"/>
        <w:rPr>
          <w:lang w:val="en-US"/>
        </w:rPr>
      </w:pPr>
      <w:r w:rsidRPr="004570F2">
        <w:rPr>
          <w:lang w:val="en-US"/>
        </w:rPr>
        <w:t xml:space="preserve">No dedicated EU-level framework exists to identify, recognise and support a limited number of catalytic, system-relevant infrastructures with cross-border accessibility, resulting in weak signalling to investors and users and limited ability to prioritise or coordinate support for such projects. </w:t>
      </w:r>
    </w:p>
    <w:p w14:paraId="38DC462C" w14:textId="77777777" w:rsidR="000227E0" w:rsidRPr="004570F2" w:rsidRDefault="000227E0" w:rsidP="004570F2">
      <w:pPr>
        <w:pStyle w:val="ListParagraph"/>
        <w:numPr>
          <w:ilvl w:val="0"/>
          <w:numId w:val="269"/>
        </w:numPr>
        <w:spacing w:after="270" w:line="270" w:lineRule="atLeast"/>
        <w:ind w:right="284"/>
        <w:rPr>
          <w:lang w:val="en-US"/>
        </w:rPr>
      </w:pPr>
      <w:r w:rsidRPr="004570F2">
        <w:rPr>
          <w:lang w:val="en-US"/>
        </w:rPr>
        <w:lastRenderedPageBreak/>
        <w:t xml:space="preserve">Project development for capital-intensive infrastructures remains exposed to administrative complexity and permitting uncertainty, with no differentiated fast-track or priority handling for projects with systemic relevance. </w:t>
      </w:r>
    </w:p>
    <w:p w14:paraId="757CCDC3" w14:textId="77777777" w:rsidR="000227E0" w:rsidRPr="004570F2" w:rsidRDefault="000227E0" w:rsidP="004570F2">
      <w:pPr>
        <w:pStyle w:val="ListParagraph"/>
        <w:numPr>
          <w:ilvl w:val="0"/>
          <w:numId w:val="269"/>
        </w:numPr>
        <w:spacing w:after="270" w:line="270" w:lineRule="atLeast"/>
        <w:ind w:right="284"/>
        <w:rPr>
          <w:lang w:val="en-US"/>
        </w:rPr>
      </w:pPr>
      <w:r w:rsidRPr="004570F2">
        <w:rPr>
          <w:lang w:val="en-US"/>
        </w:rPr>
        <w:t xml:space="preserve">Investment mobilisation for large, shared infrastructures remains constrained by execution risk, time-to-revenue uncertainty and the absence of a clearly identifiable pipeline of investable flagship projects, limiting the speed and scale of financing decisions. </w:t>
      </w:r>
    </w:p>
    <w:p w14:paraId="4FEEB27E" w14:textId="77777777" w:rsidR="000227E0" w:rsidRPr="004570F2" w:rsidRDefault="000227E0" w:rsidP="004570F2">
      <w:pPr>
        <w:pStyle w:val="ListParagraph"/>
        <w:numPr>
          <w:ilvl w:val="0"/>
          <w:numId w:val="269"/>
        </w:numPr>
        <w:spacing w:after="270" w:line="270" w:lineRule="atLeast"/>
        <w:ind w:right="284"/>
        <w:rPr>
          <w:lang w:val="en-US"/>
        </w:rPr>
      </w:pPr>
      <w:r w:rsidRPr="004570F2">
        <w:rPr>
          <w:lang w:val="en-US"/>
        </w:rPr>
        <w:t xml:space="preserve">Cross-border access to late-stage translation and manufacturing capabilities remains uneven and largely dependent on geographical proximity to established clusters, with limited transparency on available services and access conditions. </w:t>
      </w:r>
    </w:p>
    <w:p w14:paraId="134260F8" w14:textId="2814711A" w:rsidR="000227E0" w:rsidRPr="004570F2" w:rsidRDefault="000227E0" w:rsidP="004570F2">
      <w:pPr>
        <w:pStyle w:val="ListParagraph"/>
        <w:numPr>
          <w:ilvl w:val="0"/>
          <w:numId w:val="269"/>
        </w:numPr>
        <w:spacing w:after="270" w:line="270" w:lineRule="atLeast"/>
        <w:ind w:right="284"/>
        <w:rPr>
          <w:lang w:val="en-US"/>
        </w:rPr>
      </w:pPr>
      <w:r w:rsidRPr="004570F2">
        <w:rPr>
          <w:lang w:val="en-US"/>
        </w:rPr>
        <w:t xml:space="preserve">The translation of research into clinical development and scalable manufacturing remains constrained by bottlenecks in late-stage testing, validation, GMP capacity and regulatory integration, particularly for advanced therapies. </w:t>
      </w:r>
    </w:p>
    <w:p w14:paraId="5FD4DECE" w14:textId="51621FCE" w:rsidR="00CF0485" w:rsidRDefault="000227E0" w:rsidP="004570F2">
      <w:pPr>
        <w:rPr>
          <w:lang w:val="en-IE"/>
        </w:rPr>
      </w:pPr>
      <w:r w:rsidRPr="004570F2">
        <w:rPr>
          <w:b/>
          <w:lang w:val="en-IE"/>
        </w:rPr>
        <w:t>2025 baseline (status quo)</w:t>
      </w:r>
    </w:p>
    <w:p w14:paraId="748ED1B9" w14:textId="2B4A636C" w:rsidR="000227E0" w:rsidRPr="000227E0" w:rsidRDefault="000227E0" w:rsidP="00C60685">
      <w:pPr>
        <w:rPr>
          <w:lang w:val="en-IE"/>
        </w:rPr>
      </w:pPr>
      <w:r w:rsidRPr="000227E0">
        <w:rPr>
          <w:lang w:val="en-IE"/>
        </w:rPr>
        <w:t>In 2025, the baseline is characterised by the presence of relevant infrastructures and initiatives across Member States, including pilot facilities, testing platforms and specialised centres, but without a coordinated Union-level framework to identify and support a limited portfolio of high-impact, system-relevant projects. As a result, the key baseline issue is not the absence of capacity as such, but its fragmentation, uneven accessibility and limited visibility at Union level.</w:t>
      </w:r>
    </w:p>
    <w:p w14:paraId="261098ED" w14:textId="77777777" w:rsidR="000227E0" w:rsidRPr="000227E0" w:rsidRDefault="000227E0" w:rsidP="004570F2">
      <w:pPr>
        <w:rPr>
          <w:lang w:val="en-IE"/>
        </w:rPr>
      </w:pPr>
      <w:r w:rsidRPr="000227E0">
        <w:rPr>
          <w:lang w:val="en-IE"/>
        </w:rPr>
        <w:t>From a conduct-of-business perspective, access to late-stage capabilities remains case-specific and often dependent on informal networks or bilateral arrangements. While some infrastructures operate at high technical standards, access conditions, service scope and pricing structures vary significantly, and utilisation is not systematically optimised at Union level. Metrics such as number of firms served, service engagements or utilisation rates are not consolidated across facilities, limiting transparency over bottlenecks and capacity gaps.</w:t>
      </w:r>
    </w:p>
    <w:p w14:paraId="65C7732B" w14:textId="77777777" w:rsidR="000227E0" w:rsidRPr="000227E0" w:rsidRDefault="000227E0" w:rsidP="004570F2">
      <w:pPr>
        <w:rPr>
          <w:lang w:val="en-IE"/>
        </w:rPr>
      </w:pPr>
      <w:r w:rsidRPr="000227E0">
        <w:rPr>
          <w:lang w:val="en-IE"/>
        </w:rPr>
        <w:t>From an administrative perspective, project promoters of capital-intensive infrastructures face standard permitting and authorisation pathways, without systematic priority treatment or capped timelines linked to the systemic relevance of the project. Permit-granting duration remains variable across Member States and project types, and compliance costs remain case-specific, with particular challenges for smaller operators lacking internal regulatory capacity.</w:t>
      </w:r>
    </w:p>
    <w:p w14:paraId="2F9A25DE" w14:textId="77777777" w:rsidR="000227E0" w:rsidRPr="000227E0" w:rsidRDefault="000227E0" w:rsidP="004570F2">
      <w:pPr>
        <w:rPr>
          <w:lang w:val="en-IE"/>
        </w:rPr>
      </w:pPr>
      <w:r w:rsidRPr="000227E0">
        <w:rPr>
          <w:lang w:val="en-IE"/>
        </w:rPr>
        <w:t>From a competitiveness and investment perspective, the baseline is characterised by the absence of a clearly identifiable pipeline of flagship projects. While financing instruments exist at Union and national level, projects are not systematically packaged or signalled as strategic investment opportunities. This contributes to longer time-to-financial-close, fragmented financing structures and continued exposure to execution risk. Public consultation evidence points to persistent perceived difficulties in accessing support for capacity expansion and scaling.</w:t>
      </w:r>
    </w:p>
    <w:p w14:paraId="47AB890B" w14:textId="5335BAF2" w:rsidR="000227E0" w:rsidRPr="000227E0" w:rsidRDefault="000227E0" w:rsidP="004570F2">
      <w:pPr>
        <w:rPr>
          <w:lang w:val="en-IE"/>
        </w:rPr>
      </w:pPr>
      <w:r w:rsidRPr="000227E0">
        <w:rPr>
          <w:lang w:val="en-IE"/>
        </w:rPr>
        <w:t xml:space="preserve">For the internal market, cross-border access to specialised infrastructures remains uneven and largely driven by proximity to established ecosystems, with limited comparability of </w:t>
      </w:r>
      <w:r w:rsidRPr="000227E0">
        <w:rPr>
          <w:lang w:val="en-IE"/>
        </w:rPr>
        <w:lastRenderedPageBreak/>
        <w:t>access conditions and limited data on cross-border usage. For innovation and research, strong upstream scientific performance is not consistently matched by efficient late-stage translation into clinical development and manufacturing, particularly for advanced therapies. For public authorities, administrative handling remains dispersed across authorities and projects, with no dedicated framework for the selection, monitoring and coordination of a limited flagship portfolio.</w:t>
      </w:r>
    </w:p>
    <w:p w14:paraId="428D0E98" w14:textId="3C6B07D0" w:rsidR="00CF0485" w:rsidRPr="004570F2" w:rsidRDefault="000227E0">
      <w:pPr>
        <w:spacing w:before="240"/>
        <w:jc w:val="left"/>
        <w:rPr>
          <w:b/>
          <w:lang w:val="en-IE"/>
        </w:rPr>
      </w:pPr>
      <w:r w:rsidRPr="004570F2">
        <w:rPr>
          <w:b/>
          <w:lang w:val="en-IE"/>
        </w:rPr>
        <w:t>Baseline evolution 2025–2030 (near term)</w:t>
      </w:r>
    </w:p>
    <w:p w14:paraId="1AB54B35" w14:textId="0544FC3B" w:rsidR="000227E0" w:rsidRPr="000227E0" w:rsidRDefault="000227E0" w:rsidP="004570F2">
      <w:pPr>
        <w:rPr>
          <w:lang w:val="en-IE"/>
        </w:rPr>
      </w:pPr>
      <w:r w:rsidRPr="000227E0">
        <w:rPr>
          <w:lang w:val="en-IE"/>
        </w:rPr>
        <w:t>Over 2025–2030, the baseline implies gradual expansion of late-stage infrastructures through existing national initiatives, Union programmes and private investment, but without structural coordination at Union level. Improvements in access and capacity are expected to remain uneven and cluster-driven, with limited convergence in access conditions or service availability across Member States.</w:t>
      </w:r>
    </w:p>
    <w:p w14:paraId="3812EC6C" w14:textId="77777777" w:rsidR="000227E0" w:rsidRPr="000227E0" w:rsidRDefault="000227E0" w:rsidP="004570F2">
      <w:pPr>
        <w:rPr>
          <w:lang w:val="en-IE"/>
        </w:rPr>
      </w:pPr>
      <w:r w:rsidRPr="000227E0">
        <w:rPr>
          <w:lang w:val="en-IE"/>
        </w:rPr>
        <w:t>Administrative processes may benefit from incremental digitalisation and learning effects, but no systematic reduction in permitting timelines for catalytic infrastructures is expected in the absence of a differentiated high-impact track. Investment mobilisation is expected to continue through existing channels, but remains opportunistic rather than pipeline-driven, with time-to-close continuing to depend on project-specific risk profiles and administrative readiness.</w:t>
      </w:r>
    </w:p>
    <w:p w14:paraId="4904BF9A" w14:textId="6DA8BBE4" w:rsidR="000227E0" w:rsidRPr="000227E0" w:rsidRDefault="000227E0" w:rsidP="000227E0">
      <w:pPr>
        <w:spacing w:before="240"/>
        <w:rPr>
          <w:lang w:val="en-IE"/>
        </w:rPr>
      </w:pPr>
      <w:r w:rsidRPr="000227E0">
        <w:rPr>
          <w:lang w:val="en-IE"/>
        </w:rPr>
        <w:t>Cross-border collaboration and usage of infrastructures may increase gradually, but without a coordinated framework, barriers related to information asymmetries, access conditions and fragmentation are expected to persist. Innovation outcomes are expected to improve incrementally, but bottlenecks in late-stage translation and scale-up remain a structural constraint.</w:t>
      </w:r>
    </w:p>
    <w:p w14:paraId="54D9FCA2" w14:textId="71179891" w:rsidR="00CF0485" w:rsidRPr="004570F2" w:rsidRDefault="000227E0">
      <w:pPr>
        <w:spacing w:before="240"/>
        <w:jc w:val="left"/>
        <w:rPr>
          <w:b/>
          <w:lang w:val="en-IE"/>
        </w:rPr>
      </w:pPr>
      <w:r w:rsidRPr="004570F2">
        <w:rPr>
          <w:b/>
          <w:lang w:val="en-IE"/>
        </w:rPr>
        <w:t>Baseline evolution 2030–2038 (medium term)</w:t>
      </w:r>
    </w:p>
    <w:p w14:paraId="56376504" w14:textId="36E6F1E0" w:rsidR="000227E0" w:rsidRPr="000227E0" w:rsidRDefault="000227E0" w:rsidP="00D60FAE">
      <w:pPr>
        <w:rPr>
          <w:lang w:val="en-IE"/>
        </w:rPr>
      </w:pPr>
      <w:r w:rsidRPr="000227E0">
        <w:rPr>
          <w:lang w:val="en-IE"/>
        </w:rPr>
        <w:t>Over 2030–2038, the baseline implies continued maturation of the EU biotechnology ecosystem, with incremental improvements in infrastructure capacity, skills and collaboration. However, in the absence of a mechanism to identify and support a limited number of high-impact, system-relevant projects, fragmentation is expected to persist and convergence towards a coherent, Union-wide late-stage translation layer is not expected to materialise.</w:t>
      </w:r>
    </w:p>
    <w:p w14:paraId="262B1DC6" w14:textId="77777777" w:rsidR="000227E0" w:rsidRPr="000227E0" w:rsidRDefault="000227E0" w:rsidP="000227E0">
      <w:pPr>
        <w:spacing w:before="240"/>
        <w:rPr>
          <w:lang w:val="en-IE"/>
        </w:rPr>
      </w:pPr>
      <w:r w:rsidRPr="000227E0">
        <w:rPr>
          <w:lang w:val="en-IE"/>
        </w:rPr>
        <w:t>Conduct-of-business conditions for users of advanced infrastructures remain heterogeneous, with continued variability in access, cost and service scope. Administrative uncertainty for large, capital-intensive infrastructures remains economically relevant, with delays and coordination challenges continuing to affect project timelines and investment decisions.</w:t>
      </w:r>
    </w:p>
    <w:p w14:paraId="5F220E2B" w14:textId="77777777" w:rsidR="000227E0" w:rsidRPr="000227E0" w:rsidRDefault="000227E0" w:rsidP="000227E0">
      <w:pPr>
        <w:spacing w:before="240"/>
        <w:rPr>
          <w:lang w:val="en-IE"/>
        </w:rPr>
      </w:pPr>
      <w:r w:rsidRPr="000227E0">
        <w:rPr>
          <w:lang w:val="en-IE"/>
        </w:rPr>
        <w:t>Competitiveness and investment flows are expected to improve gradually but remain constrained by the absence of a visible flagship project pipeline capable of generating strong signalling and crowding-in effects. Internal market integration remains partial, with continued uneven access to specialised capabilities. Innovation performance continues to be shaped by strong upstream research but constrained by persistent bottlenecks in late-stage development and industrial deployment, particularly for advanced therapies.</w:t>
      </w:r>
    </w:p>
    <w:p w14:paraId="6335F602" w14:textId="77777777" w:rsidR="00DD7069" w:rsidRPr="005A3401" w:rsidRDefault="00DD7069" w:rsidP="00D60FAE">
      <w:pPr>
        <w:pStyle w:val="Heading2"/>
      </w:pPr>
      <w:bookmarkStart w:id="346" w:name="_Toc225969824"/>
      <w:bookmarkStart w:id="347" w:name="_Toc225979156"/>
      <w:r w:rsidRPr="005A3401">
        <w:lastRenderedPageBreak/>
        <w:t>Expected impacts</w:t>
      </w:r>
      <w:bookmarkEnd w:id="346"/>
      <w:bookmarkEnd w:id="347"/>
    </w:p>
    <w:p w14:paraId="0B58610E" w14:textId="77777777" w:rsidR="00DD7069" w:rsidRPr="00DD7069" w:rsidRDefault="00DD7069" w:rsidP="00DD7069">
      <w:pPr>
        <w:spacing w:before="240"/>
        <w:rPr>
          <w:b/>
          <w:bCs/>
        </w:rPr>
      </w:pPr>
      <w:r w:rsidRPr="00DD7069">
        <w:rPr>
          <w:b/>
          <w:bCs/>
        </w:rPr>
        <w:t>Conduct of business</w:t>
      </w:r>
    </w:p>
    <w:p w14:paraId="58901972" w14:textId="6012885F" w:rsidR="00DD7069" w:rsidRPr="00DD7069" w:rsidRDefault="00DD7069" w:rsidP="00DD7069">
      <w:pPr>
        <w:spacing w:before="240"/>
      </w:pPr>
      <w:r w:rsidRPr="00DD7069">
        <w:t>The high-impact designation is expected to facilitate development and use of specialised testing, validation and small-batch GMP services and related scale-up support for a wider set of firms than the project promoters themselves, thereby reducing coordination frictions and dependence on bespoke, network-based sourcing. The incremental effect relative to strategic project</w:t>
      </w:r>
      <w:r w:rsidR="00065E4A">
        <w:t>s</w:t>
      </w:r>
      <w:r w:rsidRPr="00DD7069">
        <w:t xml:space="preserve"> is that high-impact project</w:t>
      </w:r>
      <w:r w:rsidR="00065E4A">
        <w:t>s</w:t>
      </w:r>
      <w:r w:rsidRPr="00DD7069">
        <w:t xml:space="preserve"> </w:t>
      </w:r>
      <w:r w:rsidR="00065E4A">
        <w:t>are</w:t>
      </w:r>
      <w:r w:rsidRPr="00DD7069">
        <w:t xml:space="preserve"> expected to generate benefits that extend beyond the project boundary, through a structured service offer with cross-border accessibility, clear access conditions and a deliberate orientation towards broader ecosystem users, including SMEs, start-ups and scale-ups.</w:t>
      </w:r>
    </w:p>
    <w:p w14:paraId="2B2D0F92" w14:textId="597A603D" w:rsidR="00DD7069" w:rsidRPr="00DD7069" w:rsidRDefault="00DD7069" w:rsidP="00DD7069">
      <w:pPr>
        <w:spacing w:before="240"/>
      </w:pPr>
      <w:r w:rsidRPr="00DD7069">
        <w:t xml:space="preserve">These impacts are expected to be most observable through increased utilisation of the supported infrastructures and services, measured through the number of firms served (including SMEs), the number of service engagements delivered (such as testing, validation and small-batch GMP runs) and the utilisation rate of relevant facilities. The expected direction of change is an increase in both breadth of access and intensity of </w:t>
      </w:r>
      <w:r w:rsidR="00903FEA">
        <w:t xml:space="preserve">such </w:t>
      </w:r>
      <w:r w:rsidRPr="00DD7069">
        <w:t>service provision, reflecting reduced entry barriers, clearer access conditions and stronger coordination of demand for late-stage translation services at Union level</w:t>
      </w:r>
      <w:r w:rsidR="00903FEA">
        <w:t xml:space="preserve">. For </w:t>
      </w:r>
      <w:r w:rsidRPr="00DD7069">
        <w:t xml:space="preserve">recognised projects </w:t>
      </w:r>
      <w:r w:rsidR="00903FEA">
        <w:t>taking the form of</w:t>
      </w:r>
      <w:r w:rsidRPr="00DD7069">
        <w:t xml:space="preserve"> biotechnology development accelerators and centres of excellence for advanced therapies, conduct-of-business effects are expected to concentrate on improved planning horizons for development and scale-up activities, with less time spent on searching for suitable capacity, negotiating bespoke arrangements and managing discontinuities between development stages.</w:t>
      </w:r>
    </w:p>
    <w:p w14:paraId="7ABB0FC1" w14:textId="77777777" w:rsidR="00DD7069" w:rsidRPr="00DD7069" w:rsidRDefault="0400BC83" w:rsidP="00DD7069">
      <w:pPr>
        <w:spacing w:before="240"/>
      </w:pPr>
      <w:r>
        <w:t>Under a low uptake scenario (around 6-8 recognised projects by 2038), the portfolio would plausibly include around 2 promoter-led shared translation infrastructures with a service offer aimed at broader ecosystem users. On an illustrative utilisation assumption of around 30-60 firms served per year per infrastructure, with around 2-4 service engagements per firm</w:t>
      </w:r>
      <w:r w:rsidR="00DD7069" w:rsidRPr="00DD7069">
        <w:rPr>
          <w:vertAlign w:val="superscript"/>
        </w:rPr>
        <w:footnoteReference w:id="267"/>
      </w:r>
      <w:r>
        <w:t>, the order of magnitude would be around 60-120 firms served per year and roughly 120-480 service engagements per year once facilities are operational and demand stabilises. Under medium uptake (around 12-15 projects), assuming around 4-6 such infrastructures, the corresponding order of magnitude would increase to around 120-360 firms served per year and around 240-1,440 engagements per year. Under high uptake (around 20-25 projects), assuming around 8-10 infrastructures, the order of magnitude would rise to around 240-600 firms served per year and around 480-2,400 engagements per year.</w:t>
      </w:r>
    </w:p>
    <w:p w14:paraId="75585665" w14:textId="77777777" w:rsidR="00DD7069" w:rsidRPr="00DD7069" w:rsidRDefault="00DD7069" w:rsidP="00DD7069">
      <w:pPr>
        <w:spacing w:before="240"/>
      </w:pPr>
      <w:r w:rsidRPr="00DD7069">
        <w:lastRenderedPageBreak/>
        <w:t>These ranges should be interpreted as project-level throughput rather than market-wide effects. The incremental impact of the high-impact designation would be evidenced by the extent to which utilisation is cross-border, repeat usage is sustained and service offers reduce reliance on bespoke sourcing, relative to a baseline where comparable capacity, where it exists, is less visible and less structured as a Union-facing service layer.</w:t>
      </w:r>
    </w:p>
    <w:p w14:paraId="58F7677C" w14:textId="77777777" w:rsidR="00DD7069" w:rsidRPr="00DD7069" w:rsidRDefault="00DD7069" w:rsidP="00DD7069">
      <w:pPr>
        <w:spacing w:before="240"/>
        <w:rPr>
          <w:b/>
          <w:bCs/>
        </w:rPr>
      </w:pPr>
      <w:r w:rsidRPr="00DD7069">
        <w:rPr>
          <w:b/>
          <w:bCs/>
        </w:rPr>
        <w:t>Administrative costs on businesses, including SMEs</w:t>
      </w:r>
    </w:p>
    <w:p w14:paraId="2649F78F" w14:textId="52D8FB28" w:rsidR="00DD7069" w:rsidRPr="00DD7069" w:rsidRDefault="00DD7069" w:rsidP="00DD7069">
      <w:pPr>
        <w:spacing w:before="240"/>
      </w:pPr>
      <w:r w:rsidRPr="00DD7069">
        <w:t xml:space="preserve">The key additionality </w:t>
      </w:r>
      <w:r w:rsidR="009A149C">
        <w:t>in terms of a</w:t>
      </w:r>
      <w:r w:rsidR="009A149C" w:rsidRPr="00DD7069">
        <w:t xml:space="preserve">dministrative cost impacts attributable to the high-impact designation </w:t>
      </w:r>
      <w:r w:rsidRPr="00DD7069">
        <w:t xml:space="preserve">stems from the tighter time cap for permit granting and prioritised access to facilitation support for the recognised project cohort. This is expected to reduce schedule uncertainty for a small number of capital-intensive catalytic projects, which is economically material given their exposure to delay-related costs and knock-on effects on financing and procurement sequencing. </w:t>
      </w:r>
    </w:p>
    <w:p w14:paraId="7EAAF7EC" w14:textId="69280A11" w:rsidR="00DD7069" w:rsidRPr="00DD7069" w:rsidRDefault="00DD7069" w:rsidP="00DD7069">
      <w:pPr>
        <w:spacing w:before="240"/>
      </w:pPr>
      <w:r w:rsidRPr="00DD7069">
        <w:t>The principal quantification and monetisation route remains avoided delay costs for capital-intensive investments, as the high-impact designation reduces time-to-decision relative to what would otherwise be achieved.</w:t>
      </w:r>
    </w:p>
    <w:p w14:paraId="7FF603CE" w14:textId="77777777" w:rsidR="00DD7069" w:rsidRPr="00DD7069" w:rsidRDefault="00DD7069" w:rsidP="00DD7069">
      <w:pPr>
        <w:spacing w:before="240"/>
      </w:pPr>
      <w:r w:rsidRPr="00DD7069">
        <w:t>For SMEs, the expected incremental benefit is concentrated in reduced indirect transaction costs, including fewer iterations and lower reliance on external advisory support when interacting with a prioritised facilitation pathway for the small cohort of recognised high-impact projects, rather than a general reduction of administrative burden across the sector.</w:t>
      </w:r>
    </w:p>
    <w:p w14:paraId="1BFCE568" w14:textId="3AC50EE7" w:rsidR="00DD7069" w:rsidRPr="00DD7069" w:rsidRDefault="0400BC83" w:rsidP="00DD7069">
      <w:pPr>
        <w:spacing w:before="240"/>
      </w:pPr>
      <w:r>
        <w:t>With an illustrative project value range of EUR 60-200 million for capital-intensive catalytic projects, calibrated against biotechnology-relevant infrastructure proxies</w:t>
      </w:r>
      <w:r w:rsidR="00DD7069" w:rsidRPr="00DD7069">
        <w:rPr>
          <w:vertAlign w:val="superscript"/>
        </w:rPr>
        <w:footnoteReference w:id="268"/>
      </w:r>
      <w:r>
        <w:t>, combined with the assumption that regulatory delays of more than 12 months beyond initial projections can be associated with an average 34</w:t>
      </w:r>
      <w:r w:rsidR="006856C2">
        <w:t>%</w:t>
      </w:r>
      <w:r w:rsidR="00104C89">
        <w:rPr>
          <w:rStyle w:val="FootnoteReference"/>
        </w:rPr>
        <w:footnoteReference w:id="269"/>
      </w:r>
      <w:r>
        <w:t xml:space="preserve"> increase in total development costs, delay-related economic exposure can be material even for a small flagship portfolio. Under low uptake (6-8 projects), assuming around 4-5 projects reach sufficient maturity for delay-related exposure to be economically material, the order of magnitude effect is that a small subset of projects would benefit from reduced probability and duration of material delays. In this scenario, the implied cost exposure per project is EUR 20.4-68.0 million. If it is assumed, for illustration, that the high-impact pathway reduces the probability of such a &gt;12-month delay by 25</w:t>
      </w:r>
      <w:r w:rsidR="006856C2">
        <w:t>%</w:t>
      </w:r>
      <w:r>
        <w:t>, the resulting expected avoided delay costs are around EUR 20.4-85.0 million cumulatively for the low uptake case.</w:t>
      </w:r>
    </w:p>
    <w:p w14:paraId="4FF98C17" w14:textId="77777777" w:rsidR="00DD7069" w:rsidRPr="00DD7069" w:rsidRDefault="00DD7069" w:rsidP="00DD7069">
      <w:pPr>
        <w:spacing w:before="240"/>
      </w:pPr>
      <w:r w:rsidRPr="00DD7069">
        <w:lastRenderedPageBreak/>
        <w:t>Under medium uptake (12-15 projects), assuming around 10-12 projects reach this maturity, the expected avoided delay costs scale proportionately to around EUR 51.0-204.0 million cumulatively under the same assumptions. Under high uptake (20-25 projects), assuming around 18-20 projects reach maturity, the expected avoided delay costs increase to around EUR 91.8-340.0 million cumulatively, with the largest benefits concentrated in the most capital-intensive projects where schedule adherence is on the critical path and financing resilience is most sensitive to delay risk. Any reductions in routine administrative compliance costs (staff time and external advisory costs) are expected to be smaller than this delay-exposure channel and concentrated in the recognised project cohort, with proportionately larger relative benefits for SMEs where reduced iteration and clearer process milestones reduce reliance on external support.</w:t>
      </w:r>
    </w:p>
    <w:p w14:paraId="338028DF" w14:textId="77777777" w:rsidR="00DD7069" w:rsidRPr="00DD7069" w:rsidRDefault="00DD7069" w:rsidP="00DD7069">
      <w:pPr>
        <w:spacing w:before="240"/>
      </w:pPr>
      <w:r w:rsidRPr="00DD7069">
        <w:rPr>
          <w:b/>
          <w:bCs/>
        </w:rPr>
        <w:t>Competitiveness, trade and investment flows</w:t>
      </w:r>
    </w:p>
    <w:p w14:paraId="56ACB6AC" w14:textId="75645C5E" w:rsidR="00DD7069" w:rsidRPr="00DD7069" w:rsidRDefault="00020258" w:rsidP="00DD7069">
      <w:pPr>
        <w:spacing w:before="240"/>
      </w:pPr>
      <w:r>
        <w:t>The high-impact designation</w:t>
      </w:r>
      <w:r w:rsidR="00DD7069" w:rsidRPr="00DD7069">
        <w:t xml:space="preserve"> is expected to increase the probability that a small portfolio of flagship projects reaches financial close and proceeds to implementation in the Union by strengthening the credibility of delivery plans, improving comparability of project propositions and reducing perceived execution risk for investors and public financiers.</w:t>
      </w:r>
    </w:p>
    <w:p w14:paraId="3AE8BF26" w14:textId="68165949" w:rsidR="00DD7069" w:rsidRPr="00DD7069" w:rsidRDefault="00020258" w:rsidP="00DD7069">
      <w:pPr>
        <w:spacing w:before="240"/>
      </w:pPr>
      <w:r>
        <w:t>Relevant indicators to assess this include</w:t>
      </w:r>
      <w:r w:rsidR="00DD7069" w:rsidRPr="00DD7069">
        <w:t xml:space="preserve"> the volume of public financing mobilised for recognised high-impact projects and time to disbursement, including the share delivered as blended finance and the time profile from recognition to first disbursement, complemented by private capital mobilised alongside public support and the associated leverage ratio. The expected direction of change is faster progression from recognition to first disbursement and stronger mobilisation and leverage for sufficiently mature projects, reflecting improved signalling effects and a more “investable” project narrative. </w:t>
      </w:r>
    </w:p>
    <w:p w14:paraId="35E18A48" w14:textId="6EECF814" w:rsidR="00E0548B" w:rsidRDefault="0400BC83" w:rsidP="00DD7069">
      <w:pPr>
        <w:spacing w:before="240"/>
      </w:pPr>
      <w:r>
        <w:t>Evidence from cross-border flagship initiatives indicates that EU-level co-financing can be catalytic in expanding the scale of financing packages even where it does not determine initial participation decisions, and may encourage participation by Member States with limited prior engagement in such initiatives</w:t>
      </w:r>
      <w:r w:rsidR="00C11665">
        <w:rPr>
          <w:rStyle w:val="FootnoteReference"/>
        </w:rPr>
        <w:footnoteReference w:id="270"/>
      </w:r>
      <w:r>
        <w:t>. This supports the expectation that high-impact designation</w:t>
      </w:r>
      <w:r w:rsidR="599073AA">
        <w:t xml:space="preserve">, and in particular </w:t>
      </w:r>
      <w:r w:rsidR="599073AA" w:rsidRPr="3F982D60">
        <w:rPr>
          <w:lang w:val="en-IE"/>
        </w:rPr>
        <w:t>the particular consideration for Union financial support</w:t>
      </w:r>
      <w:r w:rsidR="599073AA">
        <w:t xml:space="preserve"> that high impact projects would be given, </w:t>
      </w:r>
      <w:r>
        <w:t xml:space="preserve">can help unlock larger financing packages for a small number of capital-intensive projects with multiplier effects. </w:t>
      </w:r>
    </w:p>
    <w:p w14:paraId="0DF9E668" w14:textId="66B12B93" w:rsidR="00DD7069" w:rsidRPr="00DD7069" w:rsidRDefault="00DD7069" w:rsidP="00DD7069">
      <w:pPr>
        <w:spacing w:before="240"/>
      </w:pPr>
      <w:r w:rsidRPr="00DD7069">
        <w:t>Public consultation evidence further indicates that access to public support for capacity expansion is widely perceived as difficult, particularly among industry respondents, reinforcing the relevance of mechanisms that improve packaging and “investability” for a targeted flagship portfolio rather than dispersing support thinly across many initiatives.</w:t>
      </w:r>
    </w:p>
    <w:p w14:paraId="4708CFD7" w14:textId="00A8AE90" w:rsidR="00DD7069" w:rsidRPr="00DD7069" w:rsidRDefault="0400BC83" w:rsidP="00DD7069">
      <w:pPr>
        <w:spacing w:before="240"/>
      </w:pPr>
      <w:r>
        <w:t xml:space="preserve">Comparator evidence from strategic-tech infrastructure programmes also supports the plausibility that concentrating resources into a small number of shared, state-of-the-art infrastructures can strengthen visibility and perceived credibility of flagship assets and </w:t>
      </w:r>
      <w:r>
        <w:lastRenderedPageBreak/>
        <w:t>support investment mobilisation, without implying an economy-wide solution to structural financing constraints</w:t>
      </w:r>
      <w:r w:rsidR="009060CA">
        <w:rPr>
          <w:rStyle w:val="FootnoteReference"/>
        </w:rPr>
        <w:footnoteReference w:id="271"/>
      </w:r>
      <w:r>
        <w:t>.</w:t>
      </w:r>
    </w:p>
    <w:p w14:paraId="381A3D74" w14:textId="049A29AA" w:rsidR="00DD7069" w:rsidRPr="00DD7069" w:rsidRDefault="0400BC83" w:rsidP="004570F2">
      <w:r>
        <w:t>Under low uptake (6-8 projects), the expected incremental competitiveness effect would be concentrated in a small flagship portfolio. For scenario purposes, if recognised projects mobilise total investment (public and private) of around EUR 300-800 million per project once they reach financial close</w:t>
      </w:r>
      <w:r w:rsidR="00DD7069" w:rsidRPr="00DD7069">
        <w:rPr>
          <w:vertAlign w:val="superscript"/>
        </w:rPr>
        <w:footnoteReference w:id="272"/>
      </w:r>
      <w:r>
        <w:t>, the implied order of magnitude would be around EUR 2-6 billion of total investment mobilised over the period, with the public component and leverage ratio dependent on the instrument mix and project risk profile.</w:t>
      </w:r>
    </w:p>
    <w:p w14:paraId="61B45684" w14:textId="05F1993C" w:rsidR="00DD7069" w:rsidRPr="00DD7069" w:rsidRDefault="00DD7069" w:rsidP="004570F2">
      <w:r w:rsidRPr="00DD7069">
        <w:t xml:space="preserve">Under medium uptake (12-15 projects), the order of magnitude would rise to around EUR 4-12 billion. Under high uptake (20-25 projects), the order of magnitude would rise to around EUR 6-20 billion. </w:t>
      </w:r>
    </w:p>
    <w:p w14:paraId="5E67FBD0" w14:textId="77777777" w:rsidR="00DD7069" w:rsidRPr="00DD7069" w:rsidRDefault="00DD7069" w:rsidP="00DD7069">
      <w:pPr>
        <w:spacing w:before="240"/>
        <w:rPr>
          <w:b/>
          <w:bCs/>
        </w:rPr>
      </w:pPr>
      <w:r w:rsidRPr="00DD7069">
        <w:rPr>
          <w:b/>
          <w:bCs/>
        </w:rPr>
        <w:t>Functioning of the internal market and competition</w:t>
      </w:r>
    </w:p>
    <w:p w14:paraId="5634500D" w14:textId="7ED0D04F" w:rsidR="00DD7069" w:rsidRPr="00DD7069" w:rsidRDefault="00DD7069" w:rsidP="00DD7069">
      <w:pPr>
        <w:spacing w:before="240"/>
      </w:pPr>
      <w:r w:rsidRPr="00DD7069">
        <w:t xml:space="preserve">Internal market and competition effects attributable to the high-impact designation are expected to arise from improved transparency and comparability of a limited flagship project pipeline and from strengthened cross-border accessibility of the services and capabilities delivered by recognised projects. The </w:t>
      </w:r>
      <w:r w:rsidR="00ED1D64">
        <w:t>key element is</w:t>
      </w:r>
      <w:r w:rsidRPr="00DD7069">
        <w:t xml:space="preserve"> the explicit systemic orientation of the high-impact cohort, which is expected to be selected and supported on the basis of Union-level added value, including cross-border relevance and broader ecosystem benefits, rather than on purely local or national considerations. This is expected to reduce information asymmetries for promoters, users and investors regarding where relevant capacity exists, what services are available and under what conditions access can be obtained.</w:t>
      </w:r>
    </w:p>
    <w:p w14:paraId="2FEFD55F" w14:textId="2DA4A6BB" w:rsidR="00DD7069" w:rsidRPr="00DD7069" w:rsidRDefault="00ED1D64" w:rsidP="00DD7069">
      <w:pPr>
        <w:spacing w:before="240"/>
      </w:pPr>
      <w:r>
        <w:t>Relevant indicators to assess progress in this area include</w:t>
      </w:r>
      <w:r w:rsidR="00DD7069" w:rsidRPr="00DD7069">
        <w:t xml:space="preserve"> take-up of the high-impact recognition framework, alongside cross-border usage patterns, including the share of users accessing supported services from a different Member State than the service location and the share of supported projects implemented across two or more Member States. The expected direction of change is increased cross-border usage and multi-country implementation for the recognised high-impact cohort, reflecting more contestable access conditions and reduced dependence on informal networks or proximity to established clusters.</w:t>
      </w:r>
    </w:p>
    <w:p w14:paraId="1ED95E67" w14:textId="77252C52" w:rsidR="00DD7069" w:rsidRPr="00DD7069" w:rsidRDefault="2C741F83" w:rsidP="00DD7069">
      <w:pPr>
        <w:spacing w:before="240"/>
      </w:pPr>
      <w:r>
        <w:t>E</w:t>
      </w:r>
      <w:r w:rsidR="0400BC83">
        <w:t>xperience</w:t>
      </w:r>
      <w:r w:rsidR="3D372648" w:rsidDel="3D372648">
        <w:t xml:space="preserve"> </w:t>
      </w:r>
      <w:r>
        <w:t xml:space="preserve">from cross-border initiatives in </w:t>
      </w:r>
      <w:r w:rsidR="0400BC83">
        <w:t xml:space="preserve">the medical device domain </w:t>
      </w:r>
      <w:r>
        <w:t>suggests that such initiatives can help address</w:t>
      </w:r>
      <w:r w:rsidR="0400BC83">
        <w:t xml:space="preserve"> fragmentation and </w:t>
      </w:r>
      <w:r w:rsidR="0DA50EBB">
        <w:t>support</w:t>
      </w:r>
      <w:r w:rsidR="0400BC83">
        <w:t xml:space="preserve"> investment</w:t>
      </w:r>
      <w:r w:rsidR="0DA50EBB">
        <w:t xml:space="preserve"> mobilisation</w:t>
      </w:r>
      <w:r w:rsidR="0400BC83">
        <w:t xml:space="preserve">, </w:t>
      </w:r>
      <w:r w:rsidR="0DA50EBB">
        <w:t xml:space="preserve">including </w:t>
      </w:r>
      <w:r w:rsidR="0400BC83">
        <w:t xml:space="preserve">for SMEs, </w:t>
      </w:r>
      <w:r w:rsidR="063CA900">
        <w:t>by</w:t>
      </w:r>
      <w:r w:rsidR="0400BC83">
        <w:t xml:space="preserve"> creating cross-border synergies, strengthening the internal market and building a structured ecosystem around priority innovation areas. This supports the logic that a small number of catalytic flagship initiatives can function as a practical lever to </w:t>
      </w:r>
      <w:r w:rsidR="0400BC83">
        <w:lastRenderedPageBreak/>
        <w:t>reduce fragmentation and generate observable cross-border ecosystem integration effects</w:t>
      </w:r>
      <w:r w:rsidR="00DD7069" w:rsidRPr="00DD7069">
        <w:rPr>
          <w:vertAlign w:val="superscript"/>
        </w:rPr>
        <w:footnoteReference w:id="273"/>
      </w:r>
      <w:r w:rsidR="0400BC83">
        <w:t>.</w:t>
      </w:r>
    </w:p>
    <w:p w14:paraId="14075470" w14:textId="68223402" w:rsidR="00DD7069" w:rsidRPr="00DD7069" w:rsidRDefault="0400BC83" w:rsidP="00DD7069">
      <w:pPr>
        <w:spacing w:before="240"/>
      </w:pPr>
      <w:r>
        <w:t xml:space="preserve">Under low uptake (6-8 projects), </w:t>
      </w:r>
      <w:r w:rsidR="218DD15A">
        <w:t>assuming f</w:t>
      </w:r>
      <w:r>
        <w:t>or scenario purposes</w:t>
      </w:r>
      <w:r w:rsidR="218DD15A">
        <w:t xml:space="preserve"> that</w:t>
      </w:r>
      <w:r>
        <w:t xml:space="preserve"> around 2-3 projects are implemented across two or more Member States and the subset of shared-capability projects supports cross-border users at a rate of around 20-40</w:t>
      </w:r>
      <w:r w:rsidR="006856C2">
        <w:t>%</w:t>
      </w:r>
      <w:r>
        <w:t xml:space="preserve"> of total users</w:t>
      </w:r>
      <w:r w:rsidR="00DD7069" w:rsidRPr="00DD7069">
        <w:rPr>
          <w:vertAlign w:val="superscript"/>
        </w:rPr>
        <w:footnoteReference w:id="274"/>
      </w:r>
      <w:r>
        <w:t>, the order of magnitude of cross-border users supported would be around 12-48 firms per year once services are operational, based on the low-uptake throughput assumptions in conduct of business.</w:t>
      </w:r>
    </w:p>
    <w:p w14:paraId="783EF6F2" w14:textId="03321210" w:rsidR="00DD7069" w:rsidRPr="00DD7069" w:rsidRDefault="00DD7069" w:rsidP="00DD7069">
      <w:pPr>
        <w:spacing w:before="240"/>
      </w:pPr>
      <w:r w:rsidRPr="00DD7069">
        <w:t>Under medium uptake (12-15 projects), assuming around 4-6 multi-country projects and 20-40</w:t>
      </w:r>
      <w:r w:rsidR="006856C2">
        <w:t>%</w:t>
      </w:r>
      <w:r w:rsidRPr="00DD7069">
        <w:t xml:space="preserve"> cross-border usage, the order of magnitude would increase to around 24-144 cross-border users per year. Under high uptake (20-25 projects), assuming around 7-10 multi-country projects and a similar cross-border share, the order of magnitude would increase to around 48-240 cross-border users per year. </w:t>
      </w:r>
    </w:p>
    <w:p w14:paraId="22948CD7" w14:textId="77777777" w:rsidR="00DD7069" w:rsidRPr="00DD7069" w:rsidRDefault="00DD7069" w:rsidP="00DD7069">
      <w:pPr>
        <w:spacing w:before="240"/>
        <w:rPr>
          <w:b/>
          <w:bCs/>
        </w:rPr>
      </w:pPr>
      <w:r w:rsidRPr="00DD7069">
        <w:rPr>
          <w:b/>
          <w:bCs/>
        </w:rPr>
        <w:t>Innovation and research</w:t>
      </w:r>
    </w:p>
    <w:p w14:paraId="37EBCF60" w14:textId="39177B0D" w:rsidR="00DD7069" w:rsidRPr="00DD7069" w:rsidRDefault="00DD7069" w:rsidP="00DD7069">
      <w:pPr>
        <w:spacing w:before="240"/>
      </w:pPr>
      <w:r w:rsidRPr="00DD7069">
        <w:t>The high-impact designation is not expected to improve the innovation system in general. Rather, it is expected to generate systemic translation effects by supporting promoter-led projects that provide shared infrastructures and services that directly de-risk and accelerate late-stage development steps, including specialised testing, validation and small-batch GMP activities, and, where relevant, integration with regulatory science and early engagement pathways.</w:t>
      </w:r>
    </w:p>
    <w:p w14:paraId="6C7F6359" w14:textId="0AEDCAC9" w:rsidR="00DD7069" w:rsidRPr="00DD7069" w:rsidRDefault="00222FFF" w:rsidP="00DD7069">
      <w:pPr>
        <w:spacing w:before="240"/>
      </w:pPr>
      <w:r>
        <w:t xml:space="preserve">The materialisation of such </w:t>
      </w:r>
      <w:r w:rsidR="00376DF9">
        <w:t>effects could be</w:t>
      </w:r>
      <w:r w:rsidR="00DD7069" w:rsidRPr="00DD7069">
        <w:t xml:space="preserve"> observable </w:t>
      </w:r>
      <w:r w:rsidR="00376DF9">
        <w:t xml:space="preserve">through </w:t>
      </w:r>
      <w:r w:rsidR="00DD7069" w:rsidRPr="00DD7069">
        <w:t>proxies linked to the recognised project portfolio, including clinical pipeline activity (applications and authorisations and median time from submission to authorisation decision) and knowledge creation and transfer outputs (patent families, licences and spin-offs attributable to supported projects and associated capabilities). The expected direction of change is improved throughput and timeliness for development and translation activities linked to the recognised portfolio, with the strongest effects expected where the supported assets address known late-stage bottlenecks and operate with broad user access.</w:t>
      </w:r>
    </w:p>
    <w:p w14:paraId="6E13467D" w14:textId="149C42CB" w:rsidR="00DD7069" w:rsidRPr="00DD7069" w:rsidRDefault="0400BC83" w:rsidP="00DD7069">
      <w:pPr>
        <w:spacing w:before="240"/>
      </w:pPr>
      <w:r>
        <w:t xml:space="preserve">The materiality of this translation focus is reinforced by the structural characteristics of advanced biomedical innovation, where development cycles are cited at 10-15 years and investment needs at </w:t>
      </w:r>
      <w:r w:rsidR="5158FEB7">
        <w:t xml:space="preserve">EUR </w:t>
      </w:r>
      <w:r>
        <w:t>1.</w:t>
      </w:r>
      <w:r w:rsidR="5158FEB7">
        <w:t>28</w:t>
      </w:r>
      <w:r>
        <w:t>-</w:t>
      </w:r>
      <w:r w:rsidR="3247CCB3">
        <w:t>1.71</w:t>
      </w:r>
      <w:r>
        <w:t xml:space="preserve"> billion to bring a new drug to market, with around half </w:t>
      </w:r>
      <w:r>
        <w:lastRenderedPageBreak/>
        <w:t>of time and investment occurring in clinical trial phases. In this context, catalytic late-stage assets can be expected to generate disproportionate value by reducing iteration cycles, improving readiness and shortening time-to-clinic and time-to-scale for a subset of high-potential programmes, even if broader innovation system dynamics remain unchanged</w:t>
      </w:r>
      <w:r w:rsidR="00DD7069" w:rsidRPr="00DD7069">
        <w:rPr>
          <w:vertAlign w:val="superscript"/>
        </w:rPr>
        <w:footnoteReference w:id="275"/>
      </w:r>
      <w:r>
        <w:t>.</w:t>
      </w:r>
    </w:p>
    <w:p w14:paraId="74841EAC" w14:textId="6AEEF573" w:rsidR="00DD7069" w:rsidRPr="00DD7069" w:rsidRDefault="00DD7069" w:rsidP="00DD7069">
      <w:pPr>
        <w:spacing w:before="240"/>
      </w:pPr>
      <w:r w:rsidRPr="00DD7069">
        <w:t xml:space="preserve">Under low uptake (6-8 projects), </w:t>
      </w:r>
      <w:r w:rsidR="00EB0E33">
        <w:t>if f</w:t>
      </w:r>
      <w:r w:rsidRPr="00DD7069">
        <w:t>or scenario purposes</w:t>
      </w:r>
      <w:r w:rsidR="00EB0E33">
        <w:t xml:space="preserve"> it is assumed</w:t>
      </w:r>
      <w:r w:rsidRPr="00DD7069">
        <w:t xml:space="preserve"> each such capability project supports around 10-20 development programmes per year with de-risking steps that shorten iteration cycles and improve readiness, and if around 2-4 programmes per infrastructure per year translate into clinical trial applications attributable to the supported capability, the order of magnitude would be around 4-8 clinical trial applications per year linked to the capability layer in steady state.</w:t>
      </w:r>
    </w:p>
    <w:p w14:paraId="0B9990AB" w14:textId="77777777" w:rsidR="00DD7069" w:rsidRPr="00DD7069" w:rsidRDefault="00DD7069" w:rsidP="00DD7069">
      <w:pPr>
        <w:spacing w:before="240"/>
      </w:pPr>
      <w:r w:rsidRPr="00DD7069">
        <w:t>Under medium uptake, assuming 4-6 capability projects, the order of magnitude would be around 8-24 such applications per year and under high uptake, assuming 8-10 capability projects, around 16-40 per year. Knowledge creation and transfer effects would be expected to scale in a broadly similar way, with the most policy-relevant signal being improved throughput and timeliness in late-stage translation steps rather than system-wide shifts in patenting or publication trends.</w:t>
      </w:r>
    </w:p>
    <w:p w14:paraId="1D4F9E0E" w14:textId="77777777" w:rsidR="00DD7069" w:rsidRPr="00DD7069" w:rsidRDefault="00DD7069" w:rsidP="00DD7069">
      <w:pPr>
        <w:spacing w:before="240"/>
        <w:rPr>
          <w:b/>
          <w:bCs/>
        </w:rPr>
      </w:pPr>
      <w:r w:rsidRPr="00DD7069">
        <w:rPr>
          <w:b/>
          <w:bCs/>
        </w:rPr>
        <w:t>Public authorities</w:t>
      </w:r>
    </w:p>
    <w:p w14:paraId="126F3FD4" w14:textId="519FC3CE" w:rsidR="00DD7069" w:rsidRPr="00DD7069" w:rsidRDefault="00DD7069" w:rsidP="00DD7069">
      <w:pPr>
        <w:spacing w:before="240"/>
      </w:pPr>
      <w:r w:rsidRPr="00DD7069">
        <w:t xml:space="preserve">Impacts for public authorities attributable specifically to the high-impact designation are expected to be limited </w:t>
      </w:r>
      <w:r w:rsidR="00DF700E">
        <w:t xml:space="preserve">and </w:t>
      </w:r>
      <w:r w:rsidR="0094682B">
        <w:t>not driven by</w:t>
      </w:r>
      <w:r w:rsidRPr="00DD7069">
        <w:t xml:space="preserve"> more demanding selection and monitoring requirements for the high-impact cohort, to ensure that the designation is reserved for projects with credible Union-level added value and measurable multiplier effects.</w:t>
      </w:r>
      <w:r w:rsidR="00DF3934">
        <w:t xml:space="preserve"> Co</w:t>
      </w:r>
      <w:r w:rsidR="00DF3934" w:rsidRPr="00DD7069">
        <w:t>st drivers associated with general project delivery facilitation, including standard administrative support arrangements and routine permitting operations, should not be attributed to the high-impact category again.</w:t>
      </w:r>
    </w:p>
    <w:p w14:paraId="50F05918" w14:textId="7D7C814A" w:rsidR="00DD7069" w:rsidRPr="00DD7069" w:rsidRDefault="0400BC83" w:rsidP="00DD7069">
      <w:pPr>
        <w:spacing w:before="240"/>
      </w:pPr>
      <w:r>
        <w:t>Experience from multi-country flagship initiatives underlines the importance of early, inclusive Member State engagement, a designated coordinator with sufficient administrative capacity and a jointly managed timeline and workplan to maintain manageability. It also highlights that overly large project portfolios are harder to coordinate, design and assess, supporting an approach that concentrates effort on a limited number of high-leverage projects. These lessons are directly relevant to the design and implementation of the high-impact designation and the associated governance model</w:t>
      </w:r>
      <w:r w:rsidR="00DD7069" w:rsidRPr="00DD7069">
        <w:rPr>
          <w:vertAlign w:val="superscript"/>
        </w:rPr>
        <w:footnoteReference w:id="276"/>
      </w:r>
      <w:r>
        <w:t>.</w:t>
      </w:r>
    </w:p>
    <w:p w14:paraId="2F96C696" w14:textId="35BDED4B" w:rsidR="00DD7069" w:rsidRPr="00DD7069" w:rsidRDefault="00DD7069" w:rsidP="00DD7069">
      <w:pPr>
        <w:spacing w:before="240"/>
      </w:pPr>
      <w:r w:rsidRPr="00DD7069">
        <w:t xml:space="preserve">Under low uptake (6-8 projects), </w:t>
      </w:r>
      <w:r w:rsidR="005102D8" w:rsidRPr="00DD7069">
        <w:t xml:space="preserve">impacts for public authorities </w:t>
      </w:r>
      <w:r w:rsidRPr="00DD7069">
        <w:t>would imply a small steady-state workload for processing applications, documenting decisions and collecting performance information, with the incremental burden broadly scaling with the number of recognised projects and the share that are multi-country.</w:t>
      </w:r>
    </w:p>
    <w:p w14:paraId="464D2C4D" w14:textId="56830607" w:rsidR="00DD7069" w:rsidRPr="00DD7069" w:rsidRDefault="00DD7069" w:rsidP="00DD7069">
      <w:pPr>
        <w:spacing w:before="240"/>
      </w:pPr>
      <w:r w:rsidRPr="00DD7069">
        <w:t xml:space="preserve">Under medium uptake (12-15 projects) and high uptake (20-25 projects), incremental workload would rise proportionately, but the scale would remain bounded by design, since </w:t>
      </w:r>
      <w:r w:rsidRPr="00DD7069">
        <w:lastRenderedPageBreak/>
        <w:t xml:space="preserve">the high-impact category is intended to remain a limited portfolio. The relevant quantification would therefore </w:t>
      </w:r>
      <w:r w:rsidR="005102D8">
        <w:t>depend</w:t>
      </w:r>
      <w:r w:rsidRPr="00DD7069">
        <w:t xml:space="preserve"> on the number of applications processed per year, the number of monitoring cycles completed, and the intensity of cross-border coordination required, rather than on general costs related to permitting and single point of contact operations that are not specific to the high-impact designation.</w:t>
      </w:r>
    </w:p>
    <w:p w14:paraId="19A96E93" w14:textId="77777777" w:rsidR="00DD7069" w:rsidRPr="00DD7069" w:rsidRDefault="00DD7069" w:rsidP="00DD7069">
      <w:pPr>
        <w:spacing w:before="240"/>
        <w:rPr>
          <w:b/>
          <w:bCs/>
        </w:rPr>
      </w:pPr>
      <w:r w:rsidRPr="00DD7069">
        <w:rPr>
          <w:b/>
          <w:bCs/>
        </w:rPr>
        <w:t>Public health and safety</w:t>
      </w:r>
    </w:p>
    <w:p w14:paraId="1403C6C3" w14:textId="734BEA2C" w:rsidR="00DD7069" w:rsidRPr="00DD7069" w:rsidRDefault="00DD7069" w:rsidP="00DD7069">
      <w:pPr>
        <w:spacing w:before="240"/>
      </w:pPr>
      <w:r w:rsidRPr="00DD7069">
        <w:t>Public health and safety impacts</w:t>
      </w:r>
      <w:r w:rsidR="00E61E89">
        <w:t>, e</w:t>
      </w:r>
      <w:r w:rsidRPr="00DD7069">
        <w:t>xpected to be positive but indirect and</w:t>
      </w:r>
      <w:r w:rsidR="00E61E89">
        <w:t xml:space="preserve"> in the</w:t>
      </w:r>
      <w:r w:rsidRPr="00DD7069">
        <w:t xml:space="preserve"> medium term, </w:t>
      </w:r>
      <w:r w:rsidR="00E61E89">
        <w:t xml:space="preserve">would be driven by the potential of the high-impact project </w:t>
      </w:r>
      <w:r w:rsidR="00E61E89" w:rsidRPr="00DD7069">
        <w:t xml:space="preserve">framework </w:t>
      </w:r>
      <w:r w:rsidR="00E61E89">
        <w:t>to</w:t>
      </w:r>
      <w:r w:rsidR="00E61E89" w:rsidRPr="00DD7069">
        <w:t xml:space="preserve"> facilitate the development and operation of shared capabilities that enable faster, safer and more efficient development of innovative therapies, in particular advanced therapies, through improved access to specialised testing, validation, small-batch GMP and quality-control services. </w:t>
      </w:r>
      <w:r w:rsidRPr="00DD7069">
        <w:t>This is expected to reduce late-stage bottlenecks and iteration cycles, support earlier identification and mitigation of quality and safety risks and improve readiness for clinical development and scale-up.</w:t>
      </w:r>
    </w:p>
    <w:p w14:paraId="6FECD3A5" w14:textId="6BAF9AFF" w:rsidR="00DD7069" w:rsidRPr="00DD7069" w:rsidRDefault="00DD7069" w:rsidP="00DD7069">
      <w:pPr>
        <w:spacing w:before="240"/>
      </w:pPr>
      <w:r w:rsidRPr="00DD7069">
        <w:t xml:space="preserve">In addition, where recognised high-impact projects are connected to relevant data and digital infrastructures, the framework can contribute to improved patient access across the Union by supporting more efficient development pathways and, indirectly, more consistent cross-border availability of innovative therapies. </w:t>
      </w:r>
    </w:p>
    <w:p w14:paraId="6B80529B" w14:textId="032DC6BC" w:rsidR="00DD7069" w:rsidRPr="00DD7069" w:rsidRDefault="00DD7069" w:rsidP="00DD7069">
      <w:pPr>
        <w:spacing w:before="240"/>
      </w:pPr>
      <w:r w:rsidRPr="00DD7069">
        <w:t xml:space="preserve">Under low uptake (6-8 projects), </w:t>
      </w:r>
      <w:r w:rsidR="00181DC1">
        <w:t>if f</w:t>
      </w:r>
      <w:r w:rsidRPr="00DD7069">
        <w:t>or scenario purposes</w:t>
      </w:r>
      <w:r w:rsidR="00181DC1">
        <w:t xml:space="preserve"> it is assumed</w:t>
      </w:r>
      <w:r w:rsidRPr="00DD7069">
        <w:t xml:space="preserve"> each capability project supports around 1-2 high-potential therapy programmes per year to progress more rapidly and with stronger quality assurance through specialised testing, validation, small-batch GMP and quality control, the order of magnitude would be around 2-4 programmes per year experiencing improved development pathways under low uptake, rising to around 4-12 under medium uptake and around 8-20 under high uptake.</w:t>
      </w:r>
    </w:p>
    <w:p w14:paraId="34EDF347" w14:textId="0367A0F1" w:rsidR="00DD7069" w:rsidRDefault="00DD7069" w:rsidP="00DD7069">
      <w:pPr>
        <w:spacing w:before="240"/>
      </w:pPr>
      <w:r w:rsidRPr="00DD7069">
        <w:t>These figures should be interpreted as indicative throughput effects rather than direct health outcomes, since patient access depends on downstream regulatory, reimbursement and health system conditions.</w:t>
      </w:r>
    </w:p>
    <w:p w14:paraId="6F3BB13B" w14:textId="77777777" w:rsidR="009B3557" w:rsidRPr="00AD6816" w:rsidRDefault="009B3557" w:rsidP="00D60FAE">
      <w:pPr>
        <w:pStyle w:val="Heading1"/>
      </w:pPr>
      <w:bookmarkStart w:id="348" w:name="_Toc225783213"/>
      <w:bookmarkStart w:id="349" w:name="_Toc225969825"/>
      <w:bookmarkStart w:id="350" w:name="_Toc225979157"/>
      <w:r w:rsidRPr="00AD6816">
        <w:t>Intervention n°11: Health biotechnology ecosystem support framework</w:t>
      </w:r>
      <w:bookmarkEnd w:id="348"/>
      <w:bookmarkEnd w:id="349"/>
      <w:bookmarkEnd w:id="350"/>
    </w:p>
    <w:p w14:paraId="2A6F2C2C" w14:textId="77777777" w:rsidR="00677B05" w:rsidRDefault="00677B05" w:rsidP="00D60FAE">
      <w:pPr>
        <w:pStyle w:val="Heading2"/>
      </w:pPr>
      <w:bookmarkStart w:id="351" w:name="_Toc225969826"/>
      <w:bookmarkStart w:id="352" w:name="_Toc225979158"/>
      <w:r w:rsidRPr="004D6895">
        <w:t>Detailed description of the proposed measures</w:t>
      </w:r>
      <w:bookmarkEnd w:id="351"/>
      <w:bookmarkEnd w:id="352"/>
    </w:p>
    <w:p w14:paraId="089EE798" w14:textId="78BCD985" w:rsidR="004C0686" w:rsidRPr="004C0686" w:rsidRDefault="004C0686" w:rsidP="004C0686">
      <w:pPr>
        <w:rPr>
          <w:lang w:val="en-IE"/>
        </w:rPr>
      </w:pPr>
      <w:r w:rsidRPr="004C0686">
        <w:rPr>
          <w:lang w:val="en-IE"/>
        </w:rPr>
        <w:t xml:space="preserve">This intervention includes four mutually reinforcing components: </w:t>
      </w:r>
      <w:r w:rsidRPr="00D60FAE">
        <w:rPr>
          <w:lang w:val="en-IE"/>
        </w:rPr>
        <w:t>(i) strategic mapping of the Union’s biotechnology ecosystem; (ii) networks of health biotechnology clusters; (iii) an EU Health Biotechnology Support Network; and (iv) a European Health Biotechnology Steering Group</w:t>
      </w:r>
      <w:r w:rsidRPr="004C0686">
        <w:rPr>
          <w:lang w:val="en-IE"/>
        </w:rPr>
        <w:t>. Together, these measures aim to reduce information asymmetries, improve coordination across Member States, facilitate access to regulatory support and funding, and strengthen ecosystem connectivity around strategic and high-impact strategic projects.</w:t>
      </w:r>
    </w:p>
    <w:p w14:paraId="53276C36" w14:textId="24350568" w:rsidR="004C0686" w:rsidRPr="004C0686" w:rsidRDefault="004C0686" w:rsidP="004C0686">
      <w:pPr>
        <w:rPr>
          <w:lang w:val="en-IE"/>
        </w:rPr>
      </w:pPr>
      <w:r w:rsidRPr="004C0686">
        <w:rPr>
          <w:lang w:val="en-IE"/>
        </w:rPr>
        <w:t>First, the</w:t>
      </w:r>
      <w:r>
        <w:rPr>
          <w:lang w:val="en-IE"/>
        </w:rPr>
        <w:t xml:space="preserve"> proposal </w:t>
      </w:r>
      <w:r w:rsidRPr="004C0686">
        <w:rPr>
          <w:lang w:val="en-IE"/>
        </w:rPr>
        <w:t xml:space="preserve">provides for a </w:t>
      </w:r>
      <w:r w:rsidRPr="00D60FAE">
        <w:rPr>
          <w:lang w:val="en-IE"/>
        </w:rPr>
        <w:t>strategic mapping of the Union’s biotechnology ecosystem</w:t>
      </w:r>
      <w:r w:rsidRPr="004C0686">
        <w:rPr>
          <w:lang w:val="en-IE"/>
        </w:rPr>
        <w:t xml:space="preserve">, to be carried out by the Commission in cooperation with Member States and maintained over time. The mapping is intended to deliver a comprehensive and up-to-date </w:t>
      </w:r>
      <w:r w:rsidRPr="004C0686">
        <w:rPr>
          <w:lang w:val="en-IE"/>
        </w:rPr>
        <w:lastRenderedPageBreak/>
        <w:t xml:space="preserve">overview of capacities, infrastructures, dependencies, gaps and investment needs across biotechnology value chains. It covers in particular industrial and research infrastructures, access to risk-tolerant capital, clusters and ecosystems, skills needs, and the availability and use of data and AI infrastructures. The mapping serves as the </w:t>
      </w:r>
      <w:r w:rsidRPr="00D60FAE">
        <w:rPr>
          <w:lang w:val="en-IE"/>
        </w:rPr>
        <w:t>evidence base</w:t>
      </w:r>
      <w:r w:rsidRPr="004C0686">
        <w:rPr>
          <w:lang w:val="en-IE"/>
        </w:rPr>
        <w:t xml:space="preserve"> for the identification and prioritisation of strategic and high-impact projects and informs Union and national policy and funding decisions, as well as the work of the Steering Group.</w:t>
      </w:r>
    </w:p>
    <w:p w14:paraId="2A6F4416" w14:textId="62387FD9" w:rsidR="004C0686" w:rsidRPr="004C0686" w:rsidRDefault="004C0686" w:rsidP="004C0686">
      <w:pPr>
        <w:rPr>
          <w:lang w:val="en-IE"/>
        </w:rPr>
      </w:pPr>
      <w:r w:rsidRPr="004C0686">
        <w:rPr>
          <w:lang w:val="en-IE"/>
        </w:rPr>
        <w:t xml:space="preserve">Second, the </w:t>
      </w:r>
      <w:r w:rsidR="008C51EE">
        <w:rPr>
          <w:lang w:val="en-IE"/>
        </w:rPr>
        <w:t>p</w:t>
      </w:r>
      <w:r>
        <w:rPr>
          <w:lang w:val="en-IE"/>
        </w:rPr>
        <w:t>roposal</w:t>
      </w:r>
      <w:r w:rsidR="008C51EE">
        <w:rPr>
          <w:lang w:val="en-IE"/>
        </w:rPr>
        <w:t xml:space="preserve"> </w:t>
      </w:r>
      <w:r w:rsidRPr="004C0686">
        <w:rPr>
          <w:lang w:val="en-IE"/>
        </w:rPr>
        <w:t xml:space="preserve">promotes the development of </w:t>
      </w:r>
      <w:r w:rsidRPr="00D60FAE">
        <w:rPr>
          <w:lang w:val="en-IE"/>
        </w:rPr>
        <w:t>networks of health biotechnology clusters</w:t>
      </w:r>
      <w:r w:rsidRPr="004C0686">
        <w:rPr>
          <w:lang w:val="en-IE"/>
        </w:rPr>
        <w:t xml:space="preserve">, facilitated by the Commission and Member States. These networks are intended to provide the </w:t>
      </w:r>
      <w:r w:rsidRPr="00D60FAE">
        <w:rPr>
          <w:lang w:val="en-IE"/>
        </w:rPr>
        <w:t>structural connectivity layer</w:t>
      </w:r>
      <w:r w:rsidRPr="004C0686">
        <w:rPr>
          <w:lang w:val="en-IE"/>
        </w:rPr>
        <w:t xml:space="preserve"> of the ecosystem by linking regional and national clusters and supporting cross-border collaboration. Their activities may include facilitating interregional value chains, pooling resources and infrastructures across Member States, enabling cross-border access to research and biomanufacturing facilities, supporting scale-up from research to industrial deployment, and promoting knowledge transfer, standardisation and inter-cluster cooperation. Where appropriate, such networks may adopt dedicated governance structures or legal entities to implement joint actions and investments.</w:t>
      </w:r>
    </w:p>
    <w:p w14:paraId="0993CC1F" w14:textId="40C8A071" w:rsidR="004C0686" w:rsidRPr="004C0686" w:rsidRDefault="004C0686" w:rsidP="004C0686">
      <w:pPr>
        <w:rPr>
          <w:lang w:val="en-IE"/>
        </w:rPr>
      </w:pPr>
      <w:r w:rsidRPr="004C0686">
        <w:rPr>
          <w:lang w:val="en-IE"/>
        </w:rPr>
        <w:t xml:space="preserve">Third, the </w:t>
      </w:r>
      <w:r w:rsidR="008C51EE">
        <w:rPr>
          <w:lang w:val="en-IE"/>
        </w:rPr>
        <w:t>p</w:t>
      </w:r>
      <w:r>
        <w:rPr>
          <w:lang w:val="en-IE"/>
        </w:rPr>
        <w:t>roposal</w:t>
      </w:r>
      <w:r w:rsidR="008C51EE">
        <w:rPr>
          <w:lang w:val="en-IE"/>
        </w:rPr>
        <w:t xml:space="preserve"> </w:t>
      </w:r>
      <w:r w:rsidRPr="004C0686">
        <w:rPr>
          <w:lang w:val="en-IE"/>
        </w:rPr>
        <w:t xml:space="preserve">establishes an </w:t>
      </w:r>
      <w:r w:rsidRPr="00D60FAE">
        <w:rPr>
          <w:lang w:val="en-IE"/>
        </w:rPr>
        <w:t>EU Health Biotechnology Support Network</w:t>
      </w:r>
      <w:r w:rsidRPr="004C0686">
        <w:rPr>
          <w:lang w:val="en-IE"/>
        </w:rPr>
        <w:t xml:space="preserve">, coordinated by the Commission and composed of national and regional antennas. The Network provides a </w:t>
      </w:r>
      <w:r w:rsidRPr="00D60FAE">
        <w:rPr>
          <w:lang w:val="en-IE"/>
        </w:rPr>
        <w:t>single</w:t>
      </w:r>
      <w:r w:rsidR="00153ADE">
        <w:rPr>
          <w:lang w:val="en-IE"/>
        </w:rPr>
        <w:t xml:space="preserve"> </w:t>
      </w:r>
      <w:r w:rsidRPr="00D60FAE">
        <w:rPr>
          <w:lang w:val="en-IE"/>
        </w:rPr>
        <w:t>entry point</w:t>
      </w:r>
      <w:r w:rsidRPr="004C0686">
        <w:rPr>
          <w:lang w:val="en-IE"/>
        </w:rPr>
        <w:t xml:space="preserve"> for biotechnology developers and project promoters—particularly SMEs, start-ups and scale-ups—to navigate the Union’s regulatory and funding landscape. Its functions include providing information on applicable Union and national rules and authorisation procedures, supporting access to relevant regulatory pathways and support mechanisms, and facilitating identification of funding, scaling-up and collaboration opportunities. The Network is designed to build on and complement existing structures and may be supported by digital tools to enhance accessibility and efficiency.</w:t>
      </w:r>
    </w:p>
    <w:p w14:paraId="060A89B9" w14:textId="24EFD78F" w:rsidR="004C0686" w:rsidRPr="004C0686" w:rsidRDefault="004C0686" w:rsidP="004C0686">
      <w:pPr>
        <w:rPr>
          <w:lang w:val="en-IE"/>
        </w:rPr>
      </w:pPr>
      <w:r w:rsidRPr="004C0686">
        <w:rPr>
          <w:lang w:val="en-IE"/>
        </w:rPr>
        <w:t xml:space="preserve">Fourth, the </w:t>
      </w:r>
      <w:r w:rsidR="008C51EE">
        <w:rPr>
          <w:lang w:val="en-IE"/>
        </w:rPr>
        <w:t>p</w:t>
      </w:r>
      <w:r>
        <w:rPr>
          <w:lang w:val="en-IE"/>
        </w:rPr>
        <w:t>roposal</w:t>
      </w:r>
      <w:r w:rsidR="008C51EE">
        <w:rPr>
          <w:lang w:val="en-IE"/>
        </w:rPr>
        <w:t xml:space="preserve"> </w:t>
      </w:r>
      <w:r w:rsidRPr="004C0686">
        <w:rPr>
          <w:lang w:val="en-IE"/>
        </w:rPr>
        <w:t xml:space="preserve">creates a </w:t>
      </w:r>
      <w:r w:rsidRPr="00D60FAE">
        <w:rPr>
          <w:lang w:val="en-IE"/>
        </w:rPr>
        <w:t>European Health Biotechnology Steering Group</w:t>
      </w:r>
      <w:r w:rsidRPr="004C0686">
        <w:rPr>
          <w:lang w:val="en-IE"/>
        </w:rPr>
        <w:t xml:space="preserve">, composed of Member State representatives and the Commission, to provide the </w:t>
      </w:r>
      <w:r w:rsidRPr="00D60FAE">
        <w:rPr>
          <w:lang w:val="en-IE"/>
        </w:rPr>
        <w:t>governance and coordination layer</w:t>
      </w:r>
      <w:r w:rsidRPr="004C0686">
        <w:rPr>
          <w:lang w:val="en-IE"/>
        </w:rPr>
        <w:t xml:space="preserve"> of the framework. The Steering Group facilitates the exchange of information and best practices, supports the effective recognition and implementation of strategic projects, and provides advice on ecosystem development, including cluster networking and funding coordination. It also contributes to identifying and addressing systemic challenges faced by biotechnology projects and supports broader coordination across Member States.</w:t>
      </w:r>
    </w:p>
    <w:p w14:paraId="05FE52DA" w14:textId="6A12D895" w:rsidR="00677B05" w:rsidRDefault="004C0686" w:rsidP="00677B05">
      <w:pPr>
        <w:rPr>
          <w:lang w:val="en-IE"/>
        </w:rPr>
      </w:pPr>
      <w:r w:rsidRPr="004C0686">
        <w:rPr>
          <w:lang w:val="en-IE"/>
        </w:rPr>
        <w:t xml:space="preserve">Taken together, these components form an integrated support architecture: the </w:t>
      </w:r>
      <w:r w:rsidRPr="00D60FAE">
        <w:rPr>
          <w:lang w:val="en-IE"/>
        </w:rPr>
        <w:t>mapping</w:t>
      </w:r>
      <w:r w:rsidRPr="004C0686">
        <w:rPr>
          <w:lang w:val="en-IE"/>
        </w:rPr>
        <w:t xml:space="preserve"> provides the analytical foundation; the </w:t>
      </w:r>
      <w:r w:rsidRPr="00D60FAE">
        <w:rPr>
          <w:lang w:val="en-IE"/>
        </w:rPr>
        <w:t>Steering Group</w:t>
      </w:r>
      <w:r w:rsidRPr="004C0686">
        <w:rPr>
          <w:lang w:val="en-IE"/>
        </w:rPr>
        <w:t xml:space="preserve"> ensures coordination and strategic guidance; the </w:t>
      </w:r>
      <w:r w:rsidRPr="00D60FAE">
        <w:rPr>
          <w:lang w:val="en-IE"/>
        </w:rPr>
        <w:t>Support Network</w:t>
      </w:r>
      <w:r w:rsidRPr="004C0686">
        <w:rPr>
          <w:lang w:val="en-IE"/>
        </w:rPr>
        <w:t xml:space="preserve"> delivers operational support to firms and project promoters; and </w:t>
      </w:r>
      <w:r w:rsidRPr="00D60FAE">
        <w:rPr>
          <w:lang w:val="en-IE"/>
        </w:rPr>
        <w:t>cluster networks</w:t>
      </w:r>
      <w:r w:rsidRPr="004C0686">
        <w:rPr>
          <w:lang w:val="en-IE"/>
        </w:rPr>
        <w:t xml:space="preserve"> strengthen cross-border linkages and access to infrastructures. The intervention therefore complements the strategic project framework by improving the functioning of the broader ecosystem in which such projects are developed and scaled.</w:t>
      </w:r>
    </w:p>
    <w:p w14:paraId="5844D8CC" w14:textId="77777777" w:rsidR="00104170" w:rsidRPr="004C0686" w:rsidRDefault="00104170" w:rsidP="00677B05"/>
    <w:p w14:paraId="08BD37E3" w14:textId="77777777" w:rsidR="00677B05" w:rsidRDefault="00677B05" w:rsidP="00D60FAE">
      <w:pPr>
        <w:pStyle w:val="Heading2"/>
      </w:pPr>
      <w:bookmarkStart w:id="353" w:name="_Toc225969827"/>
      <w:bookmarkStart w:id="354" w:name="_Toc225979159"/>
      <w:r>
        <w:lastRenderedPageBreak/>
        <w:t>Baseline and counterfactual scenario</w:t>
      </w:r>
      <w:bookmarkEnd w:id="353"/>
      <w:bookmarkEnd w:id="354"/>
    </w:p>
    <w:p w14:paraId="0C2BD52C" w14:textId="77777777" w:rsidR="00797F7F" w:rsidRPr="004570F2" w:rsidRDefault="00797F7F" w:rsidP="004570F2">
      <w:pPr>
        <w:spacing w:before="240"/>
        <w:rPr>
          <w:b/>
        </w:rPr>
      </w:pPr>
      <w:r w:rsidRPr="004570F2">
        <w:rPr>
          <w:b/>
        </w:rPr>
        <w:t>Core baseline assumptions (counterfactual without the ecosystem support measures)</w:t>
      </w:r>
    </w:p>
    <w:p w14:paraId="089DA246" w14:textId="49BB23B6" w:rsidR="00797F7F" w:rsidRPr="004570F2" w:rsidRDefault="00797F7F" w:rsidP="004570F2">
      <w:pPr>
        <w:pStyle w:val="ListParagraph"/>
        <w:numPr>
          <w:ilvl w:val="0"/>
          <w:numId w:val="269"/>
        </w:numPr>
        <w:spacing w:after="270" w:line="270" w:lineRule="atLeast"/>
        <w:ind w:right="284"/>
        <w:rPr>
          <w:lang w:val="en-US"/>
        </w:rPr>
      </w:pPr>
      <w:r w:rsidRPr="004570F2">
        <w:rPr>
          <w:lang w:val="en-US"/>
        </w:rPr>
        <w:t xml:space="preserve">No </w:t>
      </w:r>
      <w:r w:rsidR="00153ADE" w:rsidRPr="004570F2">
        <w:rPr>
          <w:lang w:val="en-US"/>
        </w:rPr>
        <w:t>single-entry</w:t>
      </w:r>
      <w:r w:rsidRPr="004570F2">
        <w:rPr>
          <w:lang w:val="en-US"/>
        </w:rPr>
        <w:t xml:space="preserve"> point exists for health biotechnology innovators to navigate the EU regulatory and funding landscape; developers must independently engage multiple national and EU-level bodies without coordinated guidance.</w:t>
      </w:r>
    </w:p>
    <w:p w14:paraId="22670E21" w14:textId="2B55DF46" w:rsidR="00797F7F" w:rsidRPr="004570F2" w:rsidRDefault="00797F7F" w:rsidP="004570F2">
      <w:pPr>
        <w:pStyle w:val="ListParagraph"/>
        <w:numPr>
          <w:ilvl w:val="0"/>
          <w:numId w:val="269"/>
        </w:numPr>
        <w:spacing w:after="270" w:line="270" w:lineRule="atLeast"/>
        <w:ind w:right="284"/>
        <w:rPr>
          <w:lang w:val="en-US"/>
        </w:rPr>
      </w:pPr>
      <w:r w:rsidRPr="004570F2">
        <w:rPr>
          <w:lang w:val="en-US"/>
        </w:rPr>
        <w:t>General support networks (EEN, national innovation agencies) lack health biotechnology-specific expertise and are not positioned to develop such specialisation without dedicated investment.</w:t>
      </w:r>
    </w:p>
    <w:p w14:paraId="6695D264" w14:textId="18635853" w:rsidR="00797F7F" w:rsidRPr="004570F2" w:rsidRDefault="00797F7F" w:rsidP="004570F2">
      <w:pPr>
        <w:pStyle w:val="ListParagraph"/>
        <w:numPr>
          <w:ilvl w:val="0"/>
          <w:numId w:val="269"/>
        </w:numPr>
        <w:spacing w:after="270" w:line="270" w:lineRule="atLeast"/>
        <w:ind w:right="284"/>
        <w:rPr>
          <w:lang w:val="en-US"/>
        </w:rPr>
      </w:pPr>
      <w:r w:rsidRPr="004570F2">
        <w:rPr>
          <w:lang w:val="en-US"/>
        </w:rPr>
        <w:t>No structured investor-innovator matchmaking mechanism exists at EU level for health biotechnology; connections remain ad hoc, network-dependent, and geographically concentrated in a few leading ecosystems.</w:t>
      </w:r>
    </w:p>
    <w:p w14:paraId="1CB52E55" w14:textId="36401E1A" w:rsidR="00797F7F" w:rsidRPr="004570F2" w:rsidRDefault="00797F7F" w:rsidP="004570F2">
      <w:pPr>
        <w:pStyle w:val="ListParagraph"/>
        <w:numPr>
          <w:ilvl w:val="0"/>
          <w:numId w:val="269"/>
        </w:numPr>
        <w:spacing w:after="270" w:line="270" w:lineRule="atLeast"/>
        <w:ind w:right="284"/>
        <w:rPr>
          <w:lang w:val="en-US"/>
        </w:rPr>
      </w:pPr>
      <w:r w:rsidRPr="004570F2">
        <w:rPr>
          <w:lang w:val="en-US"/>
        </w:rPr>
        <w:t>Support conditions for health biotechnology innovators vary significantly across Member States, creating an uneven playing field where a company's prospects depend substantially on location.</w:t>
      </w:r>
    </w:p>
    <w:p w14:paraId="6DBF2AD9" w14:textId="54CF9CE4" w:rsidR="00797F7F" w:rsidRPr="004570F2" w:rsidRDefault="00797F7F" w:rsidP="004570F2">
      <w:pPr>
        <w:pStyle w:val="ListParagraph"/>
        <w:numPr>
          <w:ilvl w:val="0"/>
          <w:numId w:val="269"/>
        </w:numPr>
        <w:spacing w:after="270" w:line="270" w:lineRule="atLeast"/>
        <w:ind w:right="284"/>
        <w:rPr>
          <w:lang w:val="en-US"/>
        </w:rPr>
      </w:pPr>
      <w:r w:rsidRPr="004570F2">
        <w:rPr>
          <w:lang w:val="en-US"/>
        </w:rPr>
        <w:t>Cross-border access to biomanufacturing facilities and research infrastructure is not systematically available; cluster cooperation remains fragmented with limited inter-cluster collaboration.</w:t>
      </w:r>
    </w:p>
    <w:p w14:paraId="59DBBAF8" w14:textId="3BC2C1AD" w:rsidR="00797F7F" w:rsidRPr="004570F2" w:rsidRDefault="00797F7F" w:rsidP="004570F2">
      <w:pPr>
        <w:pStyle w:val="ListParagraph"/>
        <w:numPr>
          <w:ilvl w:val="0"/>
          <w:numId w:val="269"/>
        </w:numPr>
        <w:spacing w:after="270" w:line="270" w:lineRule="atLeast"/>
        <w:ind w:right="284"/>
        <w:rPr>
          <w:lang w:val="en-US"/>
        </w:rPr>
      </w:pPr>
      <w:r w:rsidRPr="004570F2">
        <w:rPr>
          <w:lang w:val="en-US"/>
        </w:rPr>
        <w:t>No structured EU-level governance mechanism exists for coordinating health biotechnology ecosystem development; Member States set priorities independently without standardised mechanisms for discussing complementarity or identifying dependencies.</w:t>
      </w:r>
    </w:p>
    <w:p w14:paraId="5DA0AAE9" w14:textId="77777777" w:rsidR="00797F7F" w:rsidRPr="004570F2" w:rsidRDefault="00797F7F" w:rsidP="00797F7F">
      <w:pPr>
        <w:rPr>
          <w:b/>
        </w:rPr>
      </w:pPr>
      <w:r w:rsidRPr="004570F2">
        <w:rPr>
          <w:b/>
        </w:rPr>
        <w:t>2025 baseline (status quo)</w:t>
      </w:r>
    </w:p>
    <w:p w14:paraId="77C99F48" w14:textId="70642744" w:rsidR="00797F7F" w:rsidRDefault="338CB26E" w:rsidP="00797F7F">
      <w:r>
        <w:t xml:space="preserve">Health biotechnology SMEs and start-ups face substantial transaction costs when identifying applicable regulatory pathways, funding instruments, potential investors, and available infrastructure across the EU's multi-framework landscape. </w:t>
      </w:r>
      <w:r w:rsidR="3EEE2E94">
        <w:t>Companies seeking to scale across borders face engagement with national innovation agencies, regulatory authorities, funding bodies, and cluster organisations in each Member State, compounded by divergent national interpretations of EU frameworks</w:t>
      </w:r>
      <w:r w:rsidR="004E062C">
        <w:rPr>
          <w:rStyle w:val="FootnoteReference"/>
        </w:rPr>
        <w:footnoteReference w:id="277"/>
      </w:r>
      <w:r w:rsidR="3EEE2E94">
        <w:t>. SMEs struggle to identify available R&amp;D capacity, testing facilities, GMP manufacturing slots, and scale-up infrastructure due to fragmented information and poor visibility of clusters and support services across the EU</w:t>
      </w:r>
      <w:r w:rsidR="004E062C">
        <w:rPr>
          <w:rStyle w:val="FootnoteReference"/>
        </w:rPr>
        <w:footnoteReference w:id="278"/>
      </w:r>
      <w:r w:rsidR="3EEE2E94">
        <w:t>. These burdens fall disproportionately on SMEs and start-ups lacking in-house regulatory affairs capacity.</w:t>
      </w:r>
    </w:p>
    <w:p w14:paraId="0CF089EA" w14:textId="2E867F24" w:rsidR="00797F7F" w:rsidRDefault="00797F7F" w:rsidP="00797F7F">
      <w:r>
        <w:t>Investor perception of the EU biotechnology ecosystem remains shaped by fragmentation, poor navigability, and absence of a transparent overview of EU capabilities and investment opportunities.</w:t>
      </w:r>
    </w:p>
    <w:p w14:paraId="02E79A1F" w14:textId="77777777" w:rsidR="00797F7F" w:rsidRDefault="00797F7F" w:rsidP="00797F7F">
      <w:r>
        <w:lastRenderedPageBreak/>
        <w:t>Regional disparities in support availability persist, with biotechnology SMEs' ability to navigate the system depending heavily on which Member State they are located in. Cross-border access to pilot plants, testing facilities, and GMP capacity is not systematically available. Cluster cooperation remains fragmented, with health biotech clusters poorly integrated and lacking strong cross-border collaboration.</w:t>
      </w:r>
    </w:p>
    <w:p w14:paraId="0A104F03" w14:textId="5688851D" w:rsidR="00797F7F" w:rsidRDefault="338CB26E" w:rsidP="00797F7F">
      <w:r>
        <w:t>The EU's strong basic research output does not translate proportionally into commercial innovation. OECD analysis confirms that structural ecosystem weaknesses, not scientific capability, are the primary cause of the EU's underperformance in translating research into innovation</w:t>
      </w:r>
      <w:r w:rsidR="002566F3">
        <w:rPr>
          <w:rStyle w:val="FootnoteReference"/>
        </w:rPr>
        <w:footnoteReference w:id="279"/>
      </w:r>
      <w:r>
        <w:t>. Weak academic-industry linkages persist</w:t>
      </w:r>
      <w:r w:rsidR="00B937FF">
        <w:rPr>
          <w:rStyle w:val="FootnoteReference"/>
        </w:rPr>
        <w:footnoteReference w:id="280"/>
      </w:r>
      <w:r>
        <w:t>, knowledge transfer between clusters remains ad hoc and project-dependent, and no systematic mechanisms exist to identify R&amp;D capability gaps at EU level.</w:t>
      </w:r>
    </w:p>
    <w:p w14:paraId="2EB3DEF7" w14:textId="75C16ABA" w:rsidR="00797F7F" w:rsidRDefault="00797F7F" w:rsidP="00797F7F">
      <w:r>
        <w:t xml:space="preserve">At public authority level, no structured EU-level governance mechanism exists specifically for coordinating health biotechnology ecosystem development. </w:t>
      </w:r>
    </w:p>
    <w:p w14:paraId="457D6F08" w14:textId="77777777" w:rsidR="00797F7F" w:rsidRPr="004570F2" w:rsidRDefault="00797F7F" w:rsidP="00797F7F">
      <w:pPr>
        <w:rPr>
          <w:b/>
        </w:rPr>
      </w:pPr>
      <w:r w:rsidRPr="004570F2">
        <w:rPr>
          <w:b/>
        </w:rPr>
        <w:t>Baseline evolution (medium to long term)</w:t>
      </w:r>
    </w:p>
    <w:p w14:paraId="7819512B" w14:textId="3A8742D0" w:rsidR="00797F7F" w:rsidRDefault="00797F7F" w:rsidP="00797F7F">
      <w:r>
        <w:t>Without ecosystem support measures, current conditions are expected to persist or deteriorate. The navigational burden for SMEs is expected to increase as additional regulatory and policy frameworks become relevant, adding procedural steps and institutional contact points without corresponding enhancement in support capacity. General support networks will continue providing cross-sectoral SME services but are not positioned to develop health biotechnology-specific expertise given their mandate.</w:t>
      </w:r>
    </w:p>
    <w:p w14:paraId="7E4BDD3F" w14:textId="43FFA495" w:rsidR="00797F7F" w:rsidRDefault="338CB26E" w:rsidP="00797F7F">
      <w:r>
        <w:t xml:space="preserve">The competitive disadvantage relative to the </w:t>
      </w:r>
      <w:r w:rsidR="186A80CD">
        <w:t>other jurisdictions</w:t>
      </w:r>
      <w:r>
        <w:t xml:space="preserve"> is expected to persist, as </w:t>
      </w:r>
      <w:r w:rsidR="186A80CD">
        <w:t>g</w:t>
      </w:r>
      <w:r>
        <w:t>lobal competitors continue strengthening their positions: the US Biotechnology and Biomanufacturing Initiative provides coordinated federal support, while China deploys state-directed cluster development with substantial infrastructure investment</w:t>
      </w:r>
      <w:r w:rsidR="00C17E09">
        <w:rPr>
          <w:rStyle w:val="FootnoteReference"/>
        </w:rPr>
        <w:footnoteReference w:id="281"/>
      </w:r>
      <w:r>
        <w:t>. The cumulative effect is continued high attrition in the EU health biotechnology pipeline, with projects failing not due to inadequate science but because developers cannot efficiently access the support, funding, and infrastructure needed to progress.</w:t>
      </w:r>
    </w:p>
    <w:p w14:paraId="3F73B931" w14:textId="77777777" w:rsidR="00797F7F" w:rsidRDefault="00797F7F" w:rsidP="00797F7F">
      <w:r>
        <w:t>The intra-EU innovation divide is expected to persist, with leading ecosystems (Netherlands, Denmark, Germany, France) continuing to benefit from established clusters, stronger investor networks, and more developed support structures, while less developed ecosystems in Central and Eastern Europe and Southern Europe lack these foundations. Incompatible national frameworks will continue to limit cross-border value chain development.</w:t>
      </w:r>
    </w:p>
    <w:p w14:paraId="559457A7" w14:textId="77777777" w:rsidR="00797F7F" w:rsidRDefault="00797F7F" w:rsidP="00797F7F">
      <w:r>
        <w:lastRenderedPageBreak/>
        <w:t>The translation gap between EU research output and commercialisation is expected to persist or grow. The pipeline of frontier biotechnologies continues to expand (AI-enabled drug discovery, advanced therapies, precision medicine, synthetic biology), requiring increasingly sophisticated translation infrastructure that the current fragmented ecosystem is not positioned to deliver. EU-funded research projects will continue to produce high-quality science, but commercialisation will increasingly occur outside the EU.</w:t>
      </w:r>
    </w:p>
    <w:p w14:paraId="5E15A5E7" w14:textId="65F50EFF" w:rsidR="00677B05" w:rsidRPr="000717B7" w:rsidRDefault="00797F7F" w:rsidP="00797F7F">
      <w:r>
        <w:t>Without a Steering Group or equivalent coordination mechanism, the risk of duplicative national investments will persist. As EU-level biotechnology investment grows, particularly under the European Competitiveness Fund, the coordination gap becomes increasingly costly, with larger volumes of funding channelled through fragmented national systems increasing the probability of duplication and suboptimal resource allocation.</w:t>
      </w:r>
    </w:p>
    <w:p w14:paraId="7F8A6FB9" w14:textId="77777777" w:rsidR="00677B05" w:rsidRPr="005A3401" w:rsidRDefault="00677B05" w:rsidP="00D60FAE">
      <w:pPr>
        <w:pStyle w:val="Heading2"/>
      </w:pPr>
      <w:bookmarkStart w:id="355" w:name="_Toc225969828"/>
      <w:bookmarkStart w:id="356" w:name="_Toc225979160"/>
      <w:r w:rsidRPr="005A3401">
        <w:t>Expected impacts</w:t>
      </w:r>
      <w:bookmarkEnd w:id="355"/>
      <w:bookmarkEnd w:id="356"/>
    </w:p>
    <w:p w14:paraId="38E53D6C" w14:textId="77777777" w:rsidR="00153ADE" w:rsidRPr="00153ADE" w:rsidRDefault="00153ADE" w:rsidP="00153ADE">
      <w:pPr>
        <w:spacing w:before="240"/>
        <w:rPr>
          <w:b/>
          <w:bCs/>
        </w:rPr>
      </w:pPr>
      <w:r w:rsidRPr="00153ADE">
        <w:rPr>
          <w:b/>
          <w:bCs/>
        </w:rPr>
        <w:t>Conduct of business</w:t>
      </w:r>
    </w:p>
    <w:p w14:paraId="4D7223FD" w14:textId="398CE470" w:rsidR="00153ADE" w:rsidRPr="00153ADE" w:rsidRDefault="00153ADE" w:rsidP="00153ADE">
      <w:pPr>
        <w:spacing w:before="240"/>
      </w:pPr>
      <w:r w:rsidRPr="00153ADE">
        <w:t xml:space="preserve">The ecosystem support measures assessed may indirectly influence companies’ conduct of business, </w:t>
      </w:r>
      <w:r w:rsidR="00A71F30">
        <w:t xml:space="preserve">but </w:t>
      </w:r>
      <w:r w:rsidRPr="00153ADE">
        <w:t xml:space="preserve">these effects are difficult to isolate, as changes in companies’ behaviour are likely to result from the combined effect of several measures under the </w:t>
      </w:r>
      <w:r w:rsidR="00BC5A08">
        <w:t xml:space="preserve">European </w:t>
      </w:r>
      <w:r w:rsidRPr="00153ADE">
        <w:t xml:space="preserve">Biotech Act as well as other factors. The relevant pathways through which the intervention may affect conduct of business are captured under other impact areas. Given the difficulty of attributing conduct of business effects specifically to the ecosystem support measures, impacts on this category are considered neutral in the </w:t>
      </w:r>
      <w:r w:rsidR="004753CC">
        <w:t>multi-criteria analysis</w:t>
      </w:r>
      <w:r w:rsidRPr="00153ADE">
        <w:t xml:space="preserve"> scoring.</w:t>
      </w:r>
    </w:p>
    <w:p w14:paraId="2EDB6CE4" w14:textId="77777777" w:rsidR="00153ADE" w:rsidRPr="00153ADE" w:rsidRDefault="00153ADE" w:rsidP="00153ADE">
      <w:pPr>
        <w:spacing w:before="240"/>
        <w:rPr>
          <w:b/>
          <w:bCs/>
        </w:rPr>
      </w:pPr>
      <w:r w:rsidRPr="00153ADE">
        <w:rPr>
          <w:b/>
          <w:bCs/>
        </w:rPr>
        <w:t>Administrative costs on businesses, including SMEs</w:t>
      </w:r>
    </w:p>
    <w:p w14:paraId="32ED2159" w14:textId="3F7E437E" w:rsidR="00153ADE" w:rsidRPr="00153ADE" w:rsidRDefault="00153ADE" w:rsidP="00153ADE">
      <w:pPr>
        <w:spacing w:before="240"/>
      </w:pPr>
      <w:r w:rsidRPr="00153ADE">
        <w:t xml:space="preserve">The </w:t>
      </w:r>
      <w:r w:rsidRPr="00D60FAE">
        <w:t>EU Health Biotechnology Support Network</w:t>
      </w:r>
      <w:r w:rsidRPr="00153ADE">
        <w:t>, acting as a single entry point with health biotechnology-specific support and navigation</w:t>
      </w:r>
      <w:r w:rsidRPr="00153ADE" w:rsidDel="00BB1BCB">
        <w:t xml:space="preserve"> </w:t>
      </w:r>
      <w:r w:rsidRPr="00153ADE">
        <w:t>capacity, is expected to reduce the transaction costs currently borne by businesses and SMEs</w:t>
      </w:r>
      <w:r w:rsidR="006E4174">
        <w:t xml:space="preserve"> in particular</w:t>
      </w:r>
      <w:r w:rsidRPr="00153ADE">
        <w:t>. The proposal envisages that national and regional antennas may build on existing structures such as the European Enterprise Network (EEN) where appropriate.</w:t>
      </w:r>
    </w:p>
    <w:p w14:paraId="4E2527DA" w14:textId="0D54BE86" w:rsidR="00153ADE" w:rsidRPr="00153ADE" w:rsidRDefault="2BC8C0AD" w:rsidP="00153ADE">
      <w:pPr>
        <w:spacing w:before="240"/>
      </w:pPr>
      <w:r>
        <w:t xml:space="preserve">Evidence from comparable support networks indicates the potential scale of impact. The EEN impact evaluation shows that supported businesses report substantially higher </w:t>
      </w:r>
      <w:r w:rsidR="537B7A7B">
        <w:t>knowledge levels</w:t>
      </w:r>
      <w:r>
        <w:t xml:space="preserve"> across relevant areas compared to unsupported businesses: how to access funding and finance (57</w:t>
      </w:r>
      <w:r w:rsidR="006856C2">
        <w:t>%</w:t>
      </w:r>
      <w:r>
        <w:t xml:space="preserve"> vs 40</w:t>
      </w:r>
      <w:r w:rsidR="006856C2">
        <w:t>%</w:t>
      </w:r>
      <w:r>
        <w:t>)</w:t>
      </w:r>
      <w:r w:rsidR="537B7A7B">
        <w:t>;</w:t>
      </w:r>
      <w:r>
        <w:t xml:space="preserve"> the market in which they operate (88</w:t>
      </w:r>
      <w:r w:rsidR="006856C2">
        <w:t>%</w:t>
      </w:r>
      <w:r>
        <w:t xml:space="preserve"> vs 78%)</w:t>
      </w:r>
      <w:r w:rsidR="537B7A7B">
        <w:t xml:space="preserve">; </w:t>
      </w:r>
      <w:r>
        <w:t>regulation and standards (78</w:t>
      </w:r>
      <w:r w:rsidR="006856C2">
        <w:t>%</w:t>
      </w:r>
      <w:r>
        <w:t xml:space="preserve"> vs 72</w:t>
      </w:r>
      <w:r w:rsidR="006856C2">
        <w:t>%</w:t>
      </w:r>
      <w:r>
        <w:t>)</w:t>
      </w:r>
      <w:r w:rsidR="00153ADE" w:rsidRPr="00153ADE">
        <w:rPr>
          <w:vertAlign w:val="superscript"/>
        </w:rPr>
        <w:footnoteReference w:id="282"/>
      </w:r>
      <w:r>
        <w:t xml:space="preserve">. Among EEN-supported businesses reporting positive impacts, </w:t>
      </w:r>
      <w:r w:rsidR="537B7A7B">
        <w:t xml:space="preserve">improved knowledge was cited by </w:t>
      </w:r>
      <w:r>
        <w:t>57</w:t>
      </w:r>
      <w:r w:rsidR="006856C2">
        <w:t>%</w:t>
      </w:r>
      <w:r>
        <w:t xml:space="preserve"> </w:t>
      </w:r>
      <w:r w:rsidR="537B7A7B">
        <w:t>regarding</w:t>
      </w:r>
      <w:r>
        <w:t xml:space="preserve"> finance access, 50</w:t>
      </w:r>
      <w:r w:rsidR="006856C2">
        <w:t>%</w:t>
      </w:r>
      <w:r>
        <w:t xml:space="preserve"> </w:t>
      </w:r>
      <w:r w:rsidR="537B7A7B">
        <w:t xml:space="preserve">for </w:t>
      </w:r>
      <w:r>
        <w:t>market knowledge, and 35</w:t>
      </w:r>
      <w:r w:rsidR="006856C2">
        <w:t>%</w:t>
      </w:r>
      <w:r>
        <w:t xml:space="preserve"> </w:t>
      </w:r>
      <w:r w:rsidR="537B7A7B">
        <w:t>for</w:t>
      </w:r>
      <w:r>
        <w:t xml:space="preserve"> regulation</w:t>
      </w:r>
      <w:r w:rsidR="537B7A7B">
        <w:t>s</w:t>
      </w:r>
      <w:r>
        <w:t xml:space="preserve"> and standards. Similarly, evidence from the EMA SME office survey </w:t>
      </w:r>
      <w:r w:rsidR="537B7A7B">
        <w:t xml:space="preserve">found </w:t>
      </w:r>
      <w:r>
        <w:t>over 80</w:t>
      </w:r>
      <w:r w:rsidR="006856C2">
        <w:t>%</w:t>
      </w:r>
      <w:r>
        <w:t xml:space="preserve"> of respondents rated </w:t>
      </w:r>
      <w:r w:rsidR="537B7A7B">
        <w:t xml:space="preserve">assistance services </w:t>
      </w:r>
      <w:r>
        <w:t xml:space="preserve">as </w:t>
      </w:r>
      <w:r>
        <w:lastRenderedPageBreak/>
        <w:t>relevant to their needs – suggesting that the Support Network's advisory functions would be utilised and deliver value to the target population</w:t>
      </w:r>
      <w:r w:rsidR="00153ADE" w:rsidRPr="00153ADE">
        <w:rPr>
          <w:vertAlign w:val="superscript"/>
        </w:rPr>
        <w:footnoteReference w:id="283"/>
      </w:r>
      <w:r>
        <w:t>.</w:t>
      </w:r>
    </w:p>
    <w:p w14:paraId="0276ABD8" w14:textId="3C1521A5" w:rsidR="00153ADE" w:rsidRPr="00153ADE" w:rsidRDefault="005A1D2C" w:rsidP="00153ADE">
      <w:pPr>
        <w:spacing w:before="240"/>
      </w:pPr>
      <w:r>
        <w:t>Together,</w:t>
      </w:r>
      <w:r w:rsidR="00153ADE" w:rsidRPr="00153ADE">
        <w:t xml:space="preserve"> accessible single entry points and health biotechnology-specific advisory capacity </w:t>
      </w:r>
      <w:r>
        <w:t>are</w:t>
      </w:r>
      <w:r w:rsidR="00153ADE" w:rsidRPr="00153ADE">
        <w:t xml:space="preserve"> assumed to reduce FTE days spent on identifying applicable regulatory pathways, funding instruments, and scaling-up opportunities.</w:t>
      </w:r>
    </w:p>
    <w:p w14:paraId="1DAB2230" w14:textId="77777777" w:rsidR="00153ADE" w:rsidRPr="00153ADE" w:rsidRDefault="00153ADE" w:rsidP="00153ADE">
      <w:pPr>
        <w:spacing w:before="240"/>
        <w:rPr>
          <w:b/>
          <w:bCs/>
        </w:rPr>
      </w:pPr>
      <w:r w:rsidRPr="00153ADE">
        <w:rPr>
          <w:b/>
          <w:bCs/>
        </w:rPr>
        <w:t>Competitiveness, trade and investment flows</w:t>
      </w:r>
    </w:p>
    <w:p w14:paraId="494B3F11" w14:textId="77777777" w:rsidR="00153ADE" w:rsidRPr="00153ADE" w:rsidRDefault="00153ADE" w:rsidP="00153ADE">
      <w:pPr>
        <w:spacing w:before="240"/>
      </w:pPr>
      <w:r w:rsidRPr="00153ADE">
        <w:t xml:space="preserve">The competitiveness effect of the intervention is </w:t>
      </w:r>
      <w:r w:rsidRPr="00942076">
        <w:t xml:space="preserve">expected to operate primarily through the </w:t>
      </w:r>
      <w:r w:rsidRPr="00D60FAE">
        <w:t>EU Health Biotechnology Support Network's</w:t>
      </w:r>
      <w:r w:rsidRPr="00153ADE">
        <w:t xml:space="preserve"> matchmaking function. In addition, better ecosystem navigation, targeted support, and improved infrastructure access are expected to contribute to reduced time-to-market for health biotechnology products.</w:t>
      </w:r>
    </w:p>
    <w:p w14:paraId="66BF3F6C" w14:textId="6C3C4CE5" w:rsidR="00153ADE" w:rsidRPr="00153ADE" w:rsidRDefault="2BC8C0AD" w:rsidP="00153ADE">
      <w:pPr>
        <w:spacing w:before="240"/>
      </w:pPr>
      <w:r>
        <w:t>Evidence from existing EU-level networks indicates the potential scale of impact on investor access and matchmaking. The EEN impact evaluation shows that supported businesses report higher capability in investment-related areas compared to unsupported businesses: investment readiness (57</w:t>
      </w:r>
      <w:r w:rsidR="006856C2">
        <w:t>%</w:t>
      </w:r>
      <w:r>
        <w:t xml:space="preserve"> vs 42</w:t>
      </w:r>
      <w:r w:rsidR="006856C2">
        <w:t>%</w:t>
      </w:r>
      <w:r>
        <w:t>) and ability to access funding or finance (52</w:t>
      </w:r>
      <w:r w:rsidR="006856C2">
        <w:t>%</w:t>
      </w:r>
      <w:r>
        <w:t xml:space="preserve"> vs 44</w:t>
      </w:r>
      <w:r w:rsidR="006856C2">
        <w:t>%</w:t>
      </w:r>
      <w:r>
        <w:t>)</w:t>
      </w:r>
      <w:r w:rsidR="00153ADE" w:rsidRPr="00153ADE">
        <w:rPr>
          <w:vertAlign w:val="superscript"/>
        </w:rPr>
        <w:footnoteReference w:id="284"/>
      </w:r>
      <w:r>
        <w:t xml:space="preserve">. The Single Market Programme evaluation found that </w:t>
      </w:r>
      <w:r w:rsidR="7F1A78CA">
        <w:t>ove</w:t>
      </w:r>
      <w:r w:rsidR="581611E4">
        <w:t>r 84</w:t>
      </w:r>
      <w:r w:rsidR="006856C2">
        <w:t>%</w:t>
      </w:r>
      <w:r>
        <w:t xml:space="preserve"> of SMEs using EEN services reported either strong or reasonable impact on access to finance</w:t>
      </w:r>
      <w:r w:rsidR="581611E4">
        <w:t xml:space="preserve"> and</w:t>
      </w:r>
      <w:r>
        <w:t xml:space="preserve"> funding opportunities – the strongest impact areas among all assessed</w:t>
      </w:r>
      <w:r w:rsidR="00153ADE" w:rsidRPr="00153ADE">
        <w:rPr>
          <w:vertAlign w:val="superscript"/>
        </w:rPr>
        <w:footnoteReference w:id="285"/>
      </w:r>
      <w:r>
        <w:t xml:space="preserve">. This demonstrates that network antennas with matchmaking functions can result in improved access to investors and capital for developers. The European Innovation Council (EIC) provides further evidence that structured matchmaking can increase innovator-investor connections that translate into measurable funds raised. Since 2021, through its Business Acceleration Services, the EIC has facilitated over 20 000 one-on-one meetings between EIC awardees and corporates, procurers, and investors, resulting in 595 deals and </w:t>
      </w:r>
      <w:r w:rsidR="10011B7C">
        <w:t xml:space="preserve">EUR </w:t>
      </w:r>
      <w:r>
        <w:t>350 million raised through investor outreach</w:t>
      </w:r>
      <w:r w:rsidR="00153ADE" w:rsidRPr="00153ADE">
        <w:rPr>
          <w:vertAlign w:val="superscript"/>
        </w:rPr>
        <w:footnoteReference w:id="286"/>
      </w:r>
      <w:r>
        <w:t>.</w:t>
      </w:r>
    </w:p>
    <w:p w14:paraId="51F100AE" w14:textId="33BD9956" w:rsidR="00153ADE" w:rsidRPr="00153ADE" w:rsidRDefault="2BC8C0AD" w:rsidP="00153ADE">
      <w:pPr>
        <w:spacing w:before="240"/>
      </w:pPr>
      <w:r>
        <w:t>On time-to-market effects, several sources support the proposition that structured navigation and support in retrieving information systematically can reduce development timelines. EMA analysis of initial marketing authorisation applications indicates that applicant-side "clock-stops" represent a substantial portion of total procedure time, and in 2023, the average duration of clock-stops (198 days) was comparable to the assessment time itself (204 days)</w:t>
      </w:r>
      <w:r w:rsidR="00153ADE" w:rsidRPr="00153ADE">
        <w:rPr>
          <w:vertAlign w:val="superscript"/>
        </w:rPr>
        <w:footnoteReference w:id="287"/>
      </w:r>
      <w:r>
        <w:t>. EMA reports that 42</w:t>
      </w:r>
      <w:r w:rsidR="006856C2">
        <w:t>%</w:t>
      </w:r>
      <w:r>
        <w:t xml:space="preserve"> of applicants requested extended clock-stops because their data was not mature enough at submission, suggesting that interventions improving submission readiness could reduce elapsed time. Evidence from the EMA SME Office indicates persisting demand for support services that help SMEs prepare for regulatory interactions. Surveys show high satisfaction with existing services (80-90</w:t>
      </w:r>
      <w:r w:rsidR="006856C2">
        <w:t>%</w:t>
      </w:r>
      <w:r>
        <w:t xml:space="preserve"> depending on the specific service), but also consistent calls from SMEs to expand </w:t>
      </w:r>
      <w:r>
        <w:lastRenderedPageBreak/>
        <w:t>regulatory assistance, training, and pre-submission support</w:t>
      </w:r>
      <w:r w:rsidR="00153ADE" w:rsidRPr="00153ADE">
        <w:rPr>
          <w:vertAlign w:val="superscript"/>
        </w:rPr>
        <w:footnoteReference w:id="288"/>
      </w:r>
      <w:r>
        <w:t>. The Support Network would not itself provide regulatory advice. However, by helping SMEs navigate the complex landscape of documentation, requirements, and available pathways upstream of regulatory engagement, it could ensure that developers come better informed and prepared to their interactions with the EMA SME Office and, where eligible, with schemes such as PRIME</w:t>
      </w:r>
      <w:r w:rsidR="00153ADE" w:rsidRPr="00153ADE">
        <w:rPr>
          <w:vertAlign w:val="superscript"/>
        </w:rPr>
        <w:footnoteReference w:id="289"/>
      </w:r>
      <w:r>
        <w:t>. This improved preparedness would address the submission readiness gaps that contribute to extended clock-stops, thereby contributing to reduced overall time-to-market.</w:t>
      </w:r>
    </w:p>
    <w:p w14:paraId="25B3E303" w14:textId="77777777" w:rsidR="00153ADE" w:rsidRPr="00153ADE" w:rsidRDefault="2BC8C0AD" w:rsidP="00153ADE">
      <w:pPr>
        <w:spacing w:before="240"/>
      </w:pPr>
      <w:r>
        <w:t>The UK Regulatory Advice Service for Regenerative Medicine (RASRM) further offers a comparator to the proposed Support Network. RASRM operates as a "one-stop shop" providing a single point of access to coordinated expert responses, aiming to reduce the burden of navigating required standards and legislation for complex therapies</w:t>
      </w:r>
      <w:r w:rsidR="00153ADE" w:rsidRPr="00153ADE">
        <w:rPr>
          <w:vertAlign w:val="superscript"/>
        </w:rPr>
        <w:footnoteReference w:id="290"/>
      </w:r>
      <w:r>
        <w:t>. The UK Government response notes that the service resolved concerns regarding the complexity of the regulatory environment and provides an early opportunity to help speed access</w:t>
      </w:r>
      <w:r w:rsidR="00153ADE" w:rsidRPr="00153ADE">
        <w:rPr>
          <w:vertAlign w:val="superscript"/>
        </w:rPr>
        <w:footnoteReference w:id="291"/>
      </w:r>
      <w:r>
        <w:t>. Taken together, this evidence supports the expectation that the Support Network's function of helping navigate the system and retrieve relevant and timely information would contribute to reduced time-to-market.</w:t>
      </w:r>
    </w:p>
    <w:p w14:paraId="0118AEBA" w14:textId="77777777" w:rsidR="00153ADE" w:rsidRPr="00153ADE" w:rsidRDefault="00153ADE" w:rsidP="00153ADE">
      <w:pPr>
        <w:spacing w:before="240"/>
        <w:rPr>
          <w:b/>
          <w:bCs/>
        </w:rPr>
      </w:pPr>
      <w:r w:rsidRPr="00153ADE">
        <w:rPr>
          <w:b/>
          <w:bCs/>
        </w:rPr>
        <w:t>Functioning of the internal market and competition</w:t>
      </w:r>
    </w:p>
    <w:p w14:paraId="2AF3D7BC" w14:textId="7BAC1704" w:rsidR="00153ADE" w:rsidRPr="00153ADE" w:rsidRDefault="2BC8C0AD" w:rsidP="00153ADE">
      <w:pPr>
        <w:spacing w:before="240"/>
      </w:pPr>
      <w:r>
        <w:t xml:space="preserve">The </w:t>
      </w:r>
      <w:r w:rsidRPr="00D60FAE">
        <w:t>EU Health Biotechnology Support Network</w:t>
      </w:r>
      <w:r>
        <w:t xml:space="preserve"> is expected to reduce the effect of varying national support structures by providing comparable advisory services through antennas across all Member States. By establishing health biotechnology-specific antennas based on common criteria across the EU</w:t>
      </w:r>
      <w:r w:rsidR="00153ADE" w:rsidRPr="00153ADE">
        <w:rPr>
          <w:vertAlign w:val="superscript"/>
        </w:rPr>
        <w:footnoteReference w:id="292"/>
      </w:r>
      <w:r>
        <w:t>, the intervention would reduce the current dependence on national support structures that vary significantly in scope and capacity. This addresses the baseline condition where a health biotechnology SME's ability to navigate the system and access support depends on which Member State it is located in. Stakeholder consultations validated this approach, emphasising the importance of building on existing structures and instruments. Workshop participants noted that clusters already maintain connections across multiple levels, including innovation agencies, the ECCP, European Clusters Alliance, and industry associations, providing an established foundation for the proposed networks</w:t>
      </w:r>
      <w:r w:rsidR="00153ADE" w:rsidRPr="00153ADE">
        <w:rPr>
          <w:vertAlign w:val="superscript"/>
        </w:rPr>
        <w:footnoteReference w:id="293"/>
      </w:r>
      <w:r>
        <w:t>.</w:t>
      </w:r>
    </w:p>
    <w:p w14:paraId="67A809AF" w14:textId="50CF141A" w:rsidR="00153ADE" w:rsidRDefault="2BC8C0AD" w:rsidP="00153ADE">
      <w:pPr>
        <w:spacing w:before="240"/>
      </w:pPr>
      <w:r>
        <w:t xml:space="preserve">The cluster networks are intended to improve cross-border access to biomanufacturing facilities and research infrastructure. Although outcome-level data on facility access is limited, evidence on existing cluster initiatives supports the potential impact of this </w:t>
      </w:r>
      <w:r>
        <w:lastRenderedPageBreak/>
        <w:t>mechanism. The ECCP Cluster Panorama underlines the role of cluster networks as facilitating economic resilience and market integration by enabling firms to pool infrastructure and operate shared resources including testbeds, GMP facilities, and data spaces, and can arrange access to pilot lines and form cross-border consortia from demonstration to manufacturing</w:t>
      </w:r>
      <w:r w:rsidR="00153ADE" w:rsidRPr="00153ADE">
        <w:rPr>
          <w:vertAlign w:val="superscript"/>
        </w:rPr>
        <w:footnoteReference w:id="294"/>
      </w:r>
      <w:r>
        <w:t>. The importance of cluster collaboration for infrastructure access is recognised in other strategic sectors. For example, the Silicon Europe cluster alliance, connecting over 2 500 companies and research institutions in the electronics sector, acts as a single entry point with aligned shared infrastructures.</w:t>
      </w:r>
    </w:p>
    <w:p w14:paraId="3488615E" w14:textId="77777777" w:rsidR="00153ADE" w:rsidRPr="00153ADE" w:rsidRDefault="00153ADE" w:rsidP="00153ADE">
      <w:pPr>
        <w:spacing w:before="240"/>
        <w:rPr>
          <w:b/>
          <w:bCs/>
        </w:rPr>
      </w:pPr>
      <w:r w:rsidRPr="00153ADE">
        <w:rPr>
          <w:b/>
          <w:bCs/>
        </w:rPr>
        <w:t>Innovation and research</w:t>
      </w:r>
    </w:p>
    <w:p w14:paraId="6F0C2CC3" w14:textId="6FBB4C5C" w:rsidR="00153ADE" w:rsidRPr="00153ADE" w:rsidRDefault="00153ADE" w:rsidP="00153ADE">
      <w:pPr>
        <w:spacing w:before="240"/>
      </w:pPr>
      <w:r w:rsidRPr="00153ADE">
        <w:t>The cluster networks and Support Network measures are expected to contribute to innovation and research through complementary functions. The cluster networks bring together projects, research organisations, and market actors in cross-border collaborations, pooling resources and strengthening research-industry linkages that support the translation of research into market applications. The Support Network helps individual actors navigate the ecosystem and connect with relevant cluster networks and cooperation opportunities, thereby increasing the uptake of research collaboration.</w:t>
      </w:r>
    </w:p>
    <w:p w14:paraId="411E17F8" w14:textId="77777777" w:rsidR="00153ADE" w:rsidRPr="00153ADE" w:rsidRDefault="2BC8C0AD" w:rsidP="00153ADE">
      <w:pPr>
        <w:spacing w:before="240"/>
      </w:pPr>
      <w:r w:rsidRPr="3F982D60">
        <w:rPr>
          <w:b/>
          <w:bCs/>
        </w:rPr>
        <w:t>Cluster networks:</w:t>
      </w:r>
      <w:r>
        <w:t xml:space="preserve"> Evidence from other EU initiatives demonstrates that cluster-based approaches can generate measurable partnership activity and research-market connections. The 2021 evaluation of EU cluster initiatives under COSME and Horizon 2020 found that INNOSUP-1 supported 1,687 SMEs, bringing together companies and research organisations in cross-border consortia; ESCP-4i facilitated 64 partnerships across 32 countries; and ESCP-S3 strengthened interregional collaboration with 57 partners from 19 countries</w:t>
      </w:r>
      <w:r w:rsidR="00153ADE" w:rsidRPr="00153ADE">
        <w:rPr>
          <w:vertAlign w:val="superscript"/>
        </w:rPr>
        <w:footnoteReference w:id="295"/>
      </w:r>
      <w:r>
        <w:t>. Stakeholder consultations confirm that cluster organisations possess deep ecosystem knowledge developed over many years of close interaction with industry and research actors, positioning them to identify bottlenecks and facilitate targeted connections</w:t>
      </w:r>
      <w:r w:rsidR="00153ADE" w:rsidRPr="00153ADE">
        <w:rPr>
          <w:vertAlign w:val="superscript"/>
        </w:rPr>
        <w:footnoteReference w:id="296"/>
      </w:r>
      <w:r>
        <w:t>.</w:t>
      </w:r>
    </w:p>
    <w:p w14:paraId="3A8A6AEC" w14:textId="39ED0F6A" w:rsidR="00153ADE" w:rsidRPr="00153ADE" w:rsidRDefault="2BC8C0AD" w:rsidP="00153ADE">
      <w:pPr>
        <w:spacing w:before="240"/>
      </w:pPr>
      <w:r w:rsidRPr="3F982D60">
        <w:rPr>
          <w:b/>
          <w:bCs/>
        </w:rPr>
        <w:t>Support Network:</w:t>
      </w:r>
      <w:r>
        <w:t xml:space="preserve"> The Support Network is expected to contribute to innovation capacity at firm level by helping developers identify relevant research partnerships and access cluster networks. The EEN impact evaluation shows that firms receiving network support report higher capability across innovation-related areas compared to unsupported firms: knowledge sharing and collaboration (69</w:t>
      </w:r>
      <w:r w:rsidR="006856C2">
        <w:t>%</w:t>
      </w:r>
      <w:r>
        <w:t xml:space="preserve"> vs 55</w:t>
      </w:r>
      <w:r w:rsidR="006856C2">
        <w:t>%</w:t>
      </w:r>
      <w:r>
        <w:t>), management of innovation (79</w:t>
      </w:r>
      <w:r w:rsidR="006856C2">
        <w:t>%</w:t>
      </w:r>
      <w:r>
        <w:t xml:space="preserve"> vs 66</w:t>
      </w:r>
      <w:r w:rsidR="006856C2">
        <w:t>%</w:t>
      </w:r>
      <w:r>
        <w:t>), and culture of innovation (84</w:t>
      </w:r>
      <w:r w:rsidR="006856C2">
        <w:t>%</w:t>
      </w:r>
      <w:r>
        <w:t xml:space="preserve"> vs 74</w:t>
      </w:r>
      <w:r w:rsidR="006856C2">
        <w:t>%</w:t>
      </w:r>
      <w:r>
        <w:t>)</w:t>
      </w:r>
      <w:r w:rsidR="00153ADE" w:rsidRPr="00153ADE">
        <w:rPr>
          <w:vertAlign w:val="superscript"/>
        </w:rPr>
        <w:footnoteReference w:id="297"/>
      </w:r>
      <w:r>
        <w:t>. Among supported businesses, 55</w:t>
      </w:r>
      <w:r w:rsidR="006856C2">
        <w:t>%</w:t>
      </w:r>
      <w:r>
        <w:t xml:space="preserve"> reported positive impact on knowledge sharing and collaboration, 52</w:t>
      </w:r>
      <w:r w:rsidR="006856C2">
        <w:t>%</w:t>
      </w:r>
      <w:r>
        <w:t xml:space="preserve"> on management of innovation, and 43</w:t>
      </w:r>
      <w:r w:rsidR="006856C2">
        <w:t>%</w:t>
      </w:r>
      <w:r>
        <w:t xml:space="preserve"> on R&amp;D spend.</w:t>
      </w:r>
      <w:r w:rsidR="4F36F3A7">
        <w:t xml:space="preserve"> Workshop participants noted that current EU cluster instruments primarily attract early-stage start-ups, while mature scale-ups, whose priorities centre on industrialisation, regulatory acceleration, and market access, engage less </w:t>
      </w:r>
      <w:r w:rsidR="4F36F3A7">
        <w:lastRenderedPageBreak/>
        <w:t>frequently</w:t>
      </w:r>
      <w:r w:rsidR="00153ADE" w:rsidRPr="00153ADE">
        <w:rPr>
          <w:vertAlign w:val="superscript"/>
        </w:rPr>
        <w:footnoteReference w:id="298"/>
      </w:r>
      <w:r>
        <w:t>. The Support Network's functions are expected to help these actors identify and access relevant cluster networks, extending ecosystem support for research collaboration and innovation across the full development lifecycle.</w:t>
      </w:r>
    </w:p>
    <w:p w14:paraId="6B34B3CD" w14:textId="77777777" w:rsidR="00153ADE" w:rsidRPr="00153ADE" w:rsidRDefault="00153ADE" w:rsidP="00153ADE">
      <w:pPr>
        <w:spacing w:before="240"/>
        <w:rPr>
          <w:b/>
          <w:bCs/>
        </w:rPr>
      </w:pPr>
      <w:r w:rsidRPr="00153ADE">
        <w:rPr>
          <w:b/>
          <w:bCs/>
        </w:rPr>
        <w:t>Public authorities</w:t>
      </w:r>
    </w:p>
    <w:p w14:paraId="5FE2B808" w14:textId="77777777" w:rsidR="00153ADE" w:rsidRPr="00153ADE" w:rsidRDefault="00153ADE" w:rsidP="00153ADE">
      <w:pPr>
        <w:spacing w:before="240"/>
      </w:pPr>
      <w:r w:rsidRPr="00153ADE">
        <w:t xml:space="preserve">The intervention introduces several obligations for </w:t>
      </w:r>
      <w:r w:rsidRPr="00153ADE">
        <w:rPr>
          <w:b/>
          <w:bCs/>
        </w:rPr>
        <w:t>Member State authorities</w:t>
      </w:r>
      <w:r w:rsidRPr="00153ADE">
        <w:t>: participation in the European Health Biotechnology Steering Group (Article 20), data provision for strategic mapping upon Commission request (Article 17), facilitation of the Support Network's tasks (Article 19(7)), and designation of single points of contact for strategic projects (Article 11).</w:t>
      </w:r>
    </w:p>
    <w:p w14:paraId="17BAEECA" w14:textId="77777777" w:rsidR="00153ADE" w:rsidRPr="00153ADE" w:rsidRDefault="2BC8C0AD" w:rsidP="00153ADE">
      <w:pPr>
        <w:spacing w:before="240"/>
      </w:pPr>
      <w:r>
        <w:t>Comparable strategic project initiatives provide indicative benchmarks. The Net-Zero Industry Act estimates 1–2 FTEs for Member States to operationalise permitting one-stop shop functions, with potentially higher requirements depending on project volume and federal structures, and a maximum of 1 FTE per Member State for administrative support to strategic projects</w:t>
      </w:r>
      <w:r w:rsidR="00153ADE" w:rsidRPr="00153ADE">
        <w:rPr>
          <w:vertAlign w:val="superscript"/>
        </w:rPr>
        <w:footnoteReference w:id="299"/>
      </w:r>
      <w:r>
        <w:t>. The Critical Raw Materials Act estimates 0.25 FTE per year for reporting on the state of strategic projects and 2 FTEs per year for participation in the governance structure</w:t>
      </w:r>
      <w:r w:rsidR="00153ADE" w:rsidRPr="00153ADE">
        <w:rPr>
          <w:vertAlign w:val="superscript"/>
        </w:rPr>
        <w:footnoteReference w:id="300"/>
      </w:r>
      <w:r>
        <w:t>. Given that one-stop shop architectures will have already been established under these initiatives, Member States will have developed points of contact, coordination channels, and workflows, resulting in marginally lower set-up costs. Remaining incremental cost would primarily relate to scope extension – integrating health biotechnology strategic projects into existing workflows and developing sector-specific expertise. The costs associated with Steering Group participation, national coordination, and data submissions for strategic mapping will depend on the frequency of mapping requests and the intensity of Steering Group activity.</w:t>
      </w:r>
    </w:p>
    <w:p w14:paraId="796773BA" w14:textId="77777777" w:rsidR="00153ADE" w:rsidRPr="00153ADE" w:rsidRDefault="00153ADE" w:rsidP="00153ADE">
      <w:pPr>
        <w:spacing w:before="240"/>
      </w:pPr>
      <w:r w:rsidRPr="00153ADE">
        <w:t>These initial obligations are expected to yield efficiency gains over time. Member States gain access to a systematic evidence base (strategic mapping) and a coordination forum (Steering Group) that do not currently exist for biotechnology specifically, improving national decision-making and reducing duplicative investments by providing comparable information on capacities, gaps, and funding priorities across the Union. The Support Network would also alleviate the burden on national administrations that bear the full load of guiding health biotechnology applicants through complex EU funding and regulatory landscapes (see section on competitiveness, trade and investment flows).</w:t>
      </w:r>
    </w:p>
    <w:p w14:paraId="10CF9731" w14:textId="56751E90" w:rsidR="00153ADE" w:rsidRPr="00153ADE" w:rsidRDefault="00153ADE" w:rsidP="00153ADE">
      <w:pPr>
        <w:spacing w:before="240"/>
      </w:pPr>
      <w:r w:rsidRPr="00153ADE">
        <w:t xml:space="preserve">At </w:t>
      </w:r>
      <w:r w:rsidRPr="00153ADE">
        <w:rPr>
          <w:b/>
          <w:bCs/>
        </w:rPr>
        <w:t>EU level</w:t>
      </w:r>
      <w:r w:rsidRPr="00153ADE">
        <w:t xml:space="preserve">, administrative costs arise from operating the Steering Group secretariat, conducting and maintaining the strategic mapping, and coordinating the Support Network. </w:t>
      </w:r>
      <w:r w:rsidRPr="00153ADE">
        <w:lastRenderedPageBreak/>
        <w:t xml:space="preserve">The proposed act identifies relevant tasks including administrative and logistic support to Steering Group meetings, drafting calls for proposals for the Support Network, project selection and assessment for strategic projects, workflow management of Support Network queries, and promoting networking and cooperation among projects. Technical assistance appropriations of approximately </w:t>
      </w:r>
      <w:r w:rsidR="179662FB">
        <w:t xml:space="preserve">EUR </w:t>
      </w:r>
      <w:r w:rsidRPr="00153ADE">
        <w:t xml:space="preserve">2.6 million annually </w:t>
      </w:r>
      <w:r>
        <w:t>(</w:t>
      </w:r>
      <w:r w:rsidR="6E950345">
        <w:t xml:space="preserve">EUR </w:t>
      </w:r>
      <w:r w:rsidRPr="00153ADE">
        <w:t xml:space="preserve">18.4 million over the MFF period) include, among other tasks, financing the contract agents implementing these functions on the Commission side. The Critical Raw Materials Act estimates 2 FTEs for the governance structure secretariat plus </w:t>
      </w:r>
      <w:r w:rsidR="65825119">
        <w:t xml:space="preserve">EUR </w:t>
      </w:r>
      <w:r w:rsidRPr="00153ADE">
        <w:t>75</w:t>
      </w:r>
      <w:r w:rsidR="00DC6698">
        <w:t>,</w:t>
      </w:r>
      <w:r w:rsidRPr="00153ADE">
        <w:t>000 per year in organisational costs, and 1 FTE for supporting strategic project selection. As with other EU-coordinated support structures, the long-term sustainability of the Support Network and its antennas will depend on the development of sustainability strategies and funding diversification approaches.</w:t>
      </w:r>
    </w:p>
    <w:p w14:paraId="06E7E694" w14:textId="77777777" w:rsidR="00153ADE" w:rsidRPr="00153ADE" w:rsidRDefault="00153ADE" w:rsidP="00153ADE">
      <w:pPr>
        <w:spacing w:before="240"/>
        <w:rPr>
          <w:b/>
          <w:bCs/>
        </w:rPr>
      </w:pPr>
      <w:r w:rsidRPr="00153ADE">
        <w:rPr>
          <w:b/>
          <w:bCs/>
        </w:rPr>
        <w:t>Public health and safety</w:t>
      </w:r>
    </w:p>
    <w:p w14:paraId="098582F3" w14:textId="77777777" w:rsidR="00153ADE" w:rsidRPr="00153ADE" w:rsidRDefault="00153ADE" w:rsidP="00153ADE">
      <w:pPr>
        <w:spacing w:before="240"/>
      </w:pPr>
      <w:r w:rsidRPr="00153ADE">
        <w:t>The ecosystem support measures do not directly affect public health and safety outcomes. Given the absence of a direct transmission mechanism and the difficulty of isolating any indirect effects, impacts on this category are considered neutral.</w:t>
      </w:r>
    </w:p>
    <w:p w14:paraId="1ECC82B7" w14:textId="2E5EE955" w:rsidR="003F089E" w:rsidRDefault="003F089E" w:rsidP="00D60FAE">
      <w:pPr>
        <w:pStyle w:val="Heading1"/>
      </w:pPr>
      <w:bookmarkStart w:id="357" w:name="_Toc225783214"/>
      <w:bookmarkStart w:id="358" w:name="_Toc225969829"/>
      <w:bookmarkStart w:id="359" w:name="_Toc225979161"/>
      <w:r w:rsidRPr="00AD6816">
        <w:t>Intervention n°12: Biosimilars competitiveness framework</w:t>
      </w:r>
      <w:bookmarkEnd w:id="357"/>
      <w:bookmarkEnd w:id="358"/>
      <w:bookmarkEnd w:id="359"/>
    </w:p>
    <w:p w14:paraId="751AB673" w14:textId="77777777" w:rsidR="00677B05" w:rsidRDefault="00677B05" w:rsidP="00D60FAE">
      <w:pPr>
        <w:pStyle w:val="Heading2"/>
      </w:pPr>
      <w:bookmarkStart w:id="360" w:name="_Toc225969830"/>
      <w:bookmarkStart w:id="361" w:name="_Toc225979162"/>
      <w:r w:rsidRPr="004D6895">
        <w:t>Detailed description of the proposed measures</w:t>
      </w:r>
      <w:bookmarkEnd w:id="360"/>
      <w:bookmarkEnd w:id="361"/>
    </w:p>
    <w:p w14:paraId="5CF51EDB" w14:textId="77777777" w:rsidR="0092039A" w:rsidRPr="001B4ACA" w:rsidRDefault="0092039A" w:rsidP="0092039A">
      <w:pPr>
        <w:rPr>
          <w:rFonts w:eastAsia="Times New Roman"/>
          <w:color w:val="000000" w:themeColor="text1"/>
        </w:rPr>
      </w:pPr>
      <w:r w:rsidRPr="00DD0CE5">
        <w:rPr>
          <w:rFonts w:eastAsia="Times New Roman"/>
          <w:noProof/>
          <w:color w:val="000000" w:themeColor="text1"/>
        </w:rPr>
        <w:t xml:space="preserve">The proposal includes the update and development of </w:t>
      </w:r>
      <w:r w:rsidRPr="00DD0CE5">
        <w:rPr>
          <w:rFonts w:eastAsia="Times New Roman"/>
          <w:b/>
          <w:bCs/>
          <w:noProof/>
          <w:color w:val="000000" w:themeColor="text1"/>
        </w:rPr>
        <w:t>EMA guidelines</w:t>
      </w:r>
      <w:r w:rsidRPr="00DD0CE5">
        <w:rPr>
          <w:rFonts w:eastAsia="Times New Roman"/>
          <w:noProof/>
          <w:color w:val="000000" w:themeColor="text1"/>
        </w:rPr>
        <w:t xml:space="preserve"> on tailored </w:t>
      </w:r>
      <w:r w:rsidRPr="2E5A7F65">
        <w:rPr>
          <w:rFonts w:eastAsia="Times New Roman"/>
          <w:noProof/>
          <w:color w:val="000000" w:themeColor="text1"/>
        </w:rPr>
        <w:t>and risk-</w:t>
      </w:r>
      <w:r w:rsidRPr="0D40F5FC">
        <w:rPr>
          <w:rFonts w:eastAsia="Times New Roman"/>
          <w:noProof/>
          <w:color w:val="000000" w:themeColor="text1"/>
        </w:rPr>
        <w:t>proportionate regulatory</w:t>
      </w:r>
      <w:r w:rsidRPr="00DD0CE5">
        <w:rPr>
          <w:rFonts w:eastAsia="Times New Roman"/>
          <w:noProof/>
          <w:color w:val="000000" w:themeColor="text1"/>
        </w:rPr>
        <w:t xml:space="preserve"> approaches for biosimilar development, reflecting manufacturing and analytical testing advances. Guidance will consider potential reduction of clinical data requirements for </w:t>
      </w:r>
      <w:r w:rsidRPr="001B4ACA">
        <w:rPr>
          <w:rFonts w:eastAsia="Times New Roman"/>
          <w:noProof/>
          <w:color w:val="000000" w:themeColor="text1"/>
        </w:rPr>
        <w:t>biosimilar development and approval without affecting quality, safety and efficacy. They will aim at shortening the development and facilitating the authorisation of biosimilar medicinal products.</w:t>
      </w:r>
    </w:p>
    <w:p w14:paraId="1CD650EA" w14:textId="143E43C5" w:rsidR="00677B05" w:rsidRPr="000717B7" w:rsidRDefault="0092039A" w:rsidP="00D60FAE">
      <w:pPr>
        <w:pBdr>
          <w:top w:val="nil"/>
          <w:left w:val="nil"/>
          <w:bottom w:val="nil"/>
          <w:right w:val="nil"/>
          <w:between w:val="nil"/>
          <w:bar w:val="nil"/>
        </w:pBdr>
      </w:pPr>
      <w:r w:rsidRPr="001B4ACA">
        <w:rPr>
          <w:rFonts w:eastAsia="Times New Roman"/>
          <w:noProof/>
          <w:color w:val="000000" w:themeColor="text1"/>
        </w:rPr>
        <w:t xml:space="preserve">The </w:t>
      </w:r>
      <w:r>
        <w:rPr>
          <w:rFonts w:eastAsia="Times New Roman"/>
          <w:noProof/>
          <w:color w:val="000000" w:themeColor="text1"/>
        </w:rPr>
        <w:t>proposal</w:t>
      </w:r>
      <w:r w:rsidRPr="001B4ACA">
        <w:rPr>
          <w:rFonts w:eastAsia="Times New Roman"/>
          <w:noProof/>
          <w:color w:val="000000" w:themeColor="text1"/>
        </w:rPr>
        <w:t xml:space="preserve"> also includes the establishment of a framework for the </w:t>
      </w:r>
      <w:r w:rsidRPr="001B4ACA">
        <w:rPr>
          <w:rFonts w:eastAsia="Times New Roman"/>
          <w:b/>
          <w:bCs/>
          <w:noProof/>
          <w:color w:val="000000" w:themeColor="text1"/>
        </w:rPr>
        <w:t>recognition and the support</w:t>
      </w:r>
      <w:r w:rsidRPr="00DD0CE5">
        <w:rPr>
          <w:rFonts w:eastAsia="Times New Roman"/>
          <w:noProof/>
          <w:color w:val="000000" w:themeColor="text1"/>
        </w:rPr>
        <w:t xml:space="preserve"> </w:t>
      </w:r>
      <w:r w:rsidRPr="00DD0CE5">
        <w:rPr>
          <w:rFonts w:eastAsia="Times New Roman"/>
          <w:b/>
          <w:bCs/>
          <w:noProof/>
          <w:color w:val="000000" w:themeColor="text1"/>
        </w:rPr>
        <w:t>health biotechnology strategic projects focused on biosimilar</w:t>
      </w:r>
      <w:r w:rsidRPr="00DD0CE5">
        <w:rPr>
          <w:rFonts w:eastAsia="Times New Roman"/>
          <w:noProof/>
          <w:color w:val="000000" w:themeColor="text1"/>
        </w:rPr>
        <w:t xml:space="preserve"> research, development, manufacturing</w:t>
      </w:r>
      <w:r w:rsidRPr="00DD0CE5" w:rsidDel="00296B46">
        <w:rPr>
          <w:rFonts w:eastAsia="Times New Roman"/>
          <w:noProof/>
          <w:color w:val="000000" w:themeColor="text1"/>
        </w:rPr>
        <w:t xml:space="preserve"> and marketing authorisation</w:t>
      </w:r>
      <w:r w:rsidRPr="00DD0CE5">
        <w:rPr>
          <w:rFonts w:eastAsia="Times New Roman"/>
          <w:noProof/>
          <w:color w:val="000000" w:themeColor="text1"/>
        </w:rPr>
        <w:t>. The support package includes administrative, regulatory and financial and technical support at Member State level, also promoting international cooperation between economic operators and biotechnology clusters in this area.</w:t>
      </w:r>
    </w:p>
    <w:p w14:paraId="64EAF3A7" w14:textId="2A83A2C0" w:rsidR="00677B05" w:rsidRDefault="00677B05" w:rsidP="00D60FAE">
      <w:pPr>
        <w:pStyle w:val="Heading2"/>
      </w:pPr>
      <w:bookmarkStart w:id="362" w:name="_Toc225969831"/>
      <w:bookmarkStart w:id="363" w:name="_Toc225979163"/>
      <w:r>
        <w:t>Baseline and counterfactual scenario</w:t>
      </w:r>
      <w:bookmarkEnd w:id="362"/>
      <w:bookmarkEnd w:id="363"/>
    </w:p>
    <w:p w14:paraId="7ECCBE3E" w14:textId="4E95C73E" w:rsidR="00C006F4" w:rsidRPr="004570F2" w:rsidRDefault="003C1EAB" w:rsidP="00C006F4">
      <w:pPr>
        <w:rPr>
          <w:b/>
          <w:color w:val="000000" w:themeColor="text1"/>
        </w:rPr>
      </w:pPr>
      <w:r w:rsidRPr="005035FA">
        <w:rPr>
          <w:rFonts w:eastAsia="Times New Roman"/>
          <w:b/>
          <w:bCs/>
          <w:color w:val="000000" w:themeColor="text1"/>
        </w:rPr>
        <w:t>N</w:t>
      </w:r>
      <w:r w:rsidR="00C006F4" w:rsidRPr="005035FA">
        <w:rPr>
          <w:rFonts w:eastAsia="Times New Roman"/>
          <w:b/>
          <w:bCs/>
          <w:color w:val="000000" w:themeColor="text1"/>
        </w:rPr>
        <w:t>on</w:t>
      </w:r>
      <w:r w:rsidR="00C006F4" w:rsidRPr="004570F2">
        <w:rPr>
          <w:b/>
          <w:color w:val="000000" w:themeColor="text1"/>
        </w:rPr>
        <w:t>-binding guidance by the European Medicines Agency for a tailored regulatory approach for biosimilar development, reflecting advances in analytical science and considering potential reductions in clinical data requirements (Article 28</w:t>
      </w:r>
      <w:r w:rsidR="00C006F4" w:rsidRPr="005035FA">
        <w:rPr>
          <w:rFonts w:eastAsia="Times New Roman"/>
          <w:b/>
          <w:color w:val="000000" w:themeColor="text1"/>
        </w:rPr>
        <w:t>)</w:t>
      </w:r>
      <w:r w:rsidRPr="0023666B">
        <w:rPr>
          <w:rFonts w:eastAsia="Times New Roman"/>
          <w:b/>
          <w:color w:val="000000" w:themeColor="text1"/>
        </w:rPr>
        <w:t>:</w:t>
      </w:r>
    </w:p>
    <w:p w14:paraId="0FAB39CD" w14:textId="5AF7F7AC" w:rsidR="00C006F4" w:rsidRPr="008C2FAA" w:rsidRDefault="4F3BCB3C" w:rsidP="00C006F4">
      <w:pPr>
        <w:rPr>
          <w:lang w:val="en-IE"/>
        </w:rPr>
      </w:pPr>
      <w:r w:rsidRPr="3F982D60">
        <w:rPr>
          <w:lang w:val="en-IE"/>
        </w:rPr>
        <w:t xml:space="preserve">Biosimilar development currently entails costs of approximately </w:t>
      </w:r>
      <w:r w:rsidR="0614E4EA" w:rsidRPr="4EC480EB">
        <w:rPr>
          <w:lang w:val="en-IE"/>
        </w:rPr>
        <w:t>EUR 85.6</w:t>
      </w:r>
      <w:r w:rsidRPr="3F982D60">
        <w:rPr>
          <w:lang w:val="en-IE"/>
        </w:rPr>
        <w:t>–</w:t>
      </w:r>
      <w:r w:rsidR="0DCB0F19" w:rsidRPr="4EC480EB">
        <w:rPr>
          <w:lang w:val="en-IE"/>
        </w:rPr>
        <w:t>25</w:t>
      </w:r>
      <w:r w:rsidR="2BD5B8D4" w:rsidRPr="4EC480EB">
        <w:rPr>
          <w:lang w:val="en-IE"/>
        </w:rPr>
        <w:t>7</w:t>
      </w:r>
      <w:r w:rsidR="0DCB0F19" w:rsidRPr="4EC480EB">
        <w:rPr>
          <w:lang w:val="en-IE"/>
        </w:rPr>
        <w:t xml:space="preserve"> </w:t>
      </w:r>
      <w:r w:rsidRPr="3F982D60">
        <w:rPr>
          <w:lang w:val="en-IE"/>
        </w:rPr>
        <w:t>million and timelines of 6–9 years</w:t>
      </w:r>
      <w:r w:rsidR="00C006F4" w:rsidRPr="008C2FAA">
        <w:rPr>
          <w:vertAlign w:val="superscript"/>
          <w:lang w:val="en-IE"/>
        </w:rPr>
        <w:footnoteReference w:id="301"/>
      </w:r>
      <w:r w:rsidRPr="3F982D60">
        <w:rPr>
          <w:vertAlign w:val="superscript"/>
          <w:lang w:val="en-IE"/>
        </w:rPr>
        <w:t>.</w:t>
      </w:r>
      <w:r w:rsidRPr="3F982D60">
        <w:rPr>
          <w:lang w:val="en-IE"/>
        </w:rPr>
        <w:t xml:space="preserve"> A major cost and time driver is the comparative efficacy study (CES), which accounts for 20–50</w:t>
      </w:r>
      <w:r w:rsidR="006856C2">
        <w:rPr>
          <w:lang w:val="en-IE"/>
        </w:rPr>
        <w:t>%</w:t>
      </w:r>
      <w:r w:rsidRPr="3F982D60">
        <w:rPr>
          <w:lang w:val="en-IE"/>
        </w:rPr>
        <w:t xml:space="preserve"> of total development costs (approximately EUR </w:t>
      </w:r>
      <w:r w:rsidRPr="3F982D60">
        <w:rPr>
          <w:lang w:val="en-IE"/>
        </w:rPr>
        <w:lastRenderedPageBreak/>
        <w:t>14–46 million) and extends development timelines by 12–24 months</w:t>
      </w:r>
      <w:r w:rsidR="00C006F4" w:rsidRPr="00385F27">
        <w:rPr>
          <w:vertAlign w:val="superscript"/>
          <w:lang w:val="en-IE"/>
        </w:rPr>
        <w:footnoteReference w:id="302"/>
      </w:r>
      <w:r w:rsidR="76EF4222" w:rsidRPr="0023666B">
        <w:rPr>
          <w:vertAlign w:val="superscript"/>
          <w:lang w:val="en-IE"/>
        </w:rPr>
        <w:t>,</w:t>
      </w:r>
      <w:r w:rsidR="00C006F4" w:rsidRPr="008C2FAA">
        <w:rPr>
          <w:rStyle w:val="FootnoteReference"/>
          <w:rFonts w:eastAsia="Times New Roman"/>
          <w:color w:val="000000" w:themeColor="text1"/>
          <w:lang w:val="en-IE"/>
        </w:rPr>
        <w:footnoteReference w:id="303"/>
      </w:r>
      <w:r w:rsidRPr="3F982D60">
        <w:rPr>
          <w:lang w:val="en-IE"/>
        </w:rPr>
        <w:t>.</w:t>
      </w:r>
      <w:r>
        <w:t xml:space="preserve"> Europe is the leading region for biosimilar clinical trials with 83 trials conducted between 2020–2025 and roughly </w:t>
      </w:r>
      <w:r w:rsidDel="4F3BCB3C">
        <w:t xml:space="preserve">EUR </w:t>
      </w:r>
      <w:r w:rsidR="5677EE69" w:rsidRPr="4EC480EB">
        <w:rPr>
          <w:rFonts w:eastAsia="Arial"/>
        </w:rPr>
        <w:t>4.9 billion</w:t>
      </w:r>
      <w:r w:rsidR="1A6B38EA" w:rsidRPr="4EC480EB">
        <w:rPr>
          <w:rFonts w:eastAsia="Arial"/>
        </w:rPr>
        <w:t xml:space="preserve"> biosimilar trials investments</w:t>
      </w:r>
      <w:r w:rsidR="6ECA8161" w:rsidRPr="4EC480EB">
        <w:rPr>
          <w:rFonts w:eastAsia="Arial"/>
        </w:rPr>
        <w:t>,</w:t>
      </w:r>
      <w:r>
        <w:t xml:space="preserve">  71</w:t>
      </w:r>
      <w:r w:rsidR="006856C2">
        <w:t>%</w:t>
      </w:r>
      <w:r w:rsidRPr="4EC480EB">
        <w:rPr>
          <w:rFonts w:eastAsiaTheme="minorEastAsia"/>
        </w:rPr>
        <w:t xml:space="preserve"> </w:t>
      </w:r>
      <w:r w:rsidR="1A6B38EA" w:rsidRPr="4EC480EB">
        <w:rPr>
          <w:rFonts w:eastAsiaTheme="minorEastAsia"/>
        </w:rPr>
        <w:t xml:space="preserve"> of which dedicated to</w:t>
      </w:r>
      <w:r w:rsidRPr="4EC480EB">
        <w:rPr>
          <w:rFonts w:eastAsiaTheme="minorEastAsia"/>
        </w:rPr>
        <w:t xml:space="preserve"> CES.  </w:t>
      </w:r>
    </w:p>
    <w:p w14:paraId="7383D52C" w14:textId="525F3051" w:rsidR="005A6304" w:rsidRDefault="230DFAEF" w:rsidP="00D60FAE">
      <w:pPr>
        <w:rPr>
          <w:rFonts w:eastAsiaTheme="minorEastAsia"/>
        </w:rPr>
      </w:pPr>
      <w:r w:rsidRPr="4EC480EB">
        <w:rPr>
          <w:rFonts w:eastAsiaTheme="minorEastAsia"/>
          <w:lang w:val="en-IE"/>
        </w:rPr>
        <w:t xml:space="preserve">Regulatory practice has already begun to evolve toward a risk-based approach. </w:t>
      </w:r>
      <w:r w:rsidRPr="4EC480EB">
        <w:rPr>
          <w:rFonts w:eastAsiaTheme="minorEastAsia"/>
        </w:rPr>
        <w:t>For well-characterised, simpler products with accepted pharmacodynamic biomarkers the EMA has accepted PK/PD-based clinical packages without Phase III CES for many years. From the EMA Medicines Database, 41 of 151 authorised biosimilars (27.2</w:t>
      </w:r>
      <w:r w:rsidR="006856C2">
        <w:rPr>
          <w:rFonts w:eastAsiaTheme="minorEastAsia"/>
        </w:rPr>
        <w:t>%</w:t>
      </w:r>
      <w:r w:rsidRPr="4EC480EB">
        <w:rPr>
          <w:rFonts w:eastAsiaTheme="minorEastAsia"/>
        </w:rPr>
        <w:t>) are simple biologics in this category</w:t>
      </w:r>
      <w:r w:rsidR="00C006F4" w:rsidRPr="008C2FAA">
        <w:rPr>
          <w:rStyle w:val="FootnoteReference"/>
          <w:rFonts w:eastAsia="Times New Roman"/>
          <w:color w:val="000000" w:themeColor="text1"/>
          <w:lang w:val="en-IE"/>
        </w:rPr>
        <w:footnoteReference w:id="304"/>
      </w:r>
      <w:r w:rsidRPr="4EC480EB">
        <w:rPr>
          <w:rFonts w:eastAsiaTheme="minorEastAsia"/>
          <w:lang w:val="en-IE"/>
        </w:rPr>
        <w:t xml:space="preserve">. </w:t>
      </w:r>
      <w:r w:rsidRPr="4EC480EB">
        <w:rPr>
          <w:rFonts w:eastAsiaTheme="minorEastAsia"/>
        </w:rPr>
        <w:t>For monoclonal antibodies and fusion proteins, Phase III CES with clinical efficacy endpoints was included in 100</w:t>
      </w:r>
      <w:r w:rsidR="006856C2">
        <w:rPr>
          <w:rFonts w:eastAsiaTheme="minorEastAsia"/>
        </w:rPr>
        <w:t>%</w:t>
      </w:r>
      <w:r w:rsidRPr="4EC480EB">
        <w:rPr>
          <w:rFonts w:eastAsiaTheme="minorEastAsia"/>
        </w:rPr>
        <w:t xml:space="preserve"> of the 36 MAAs evaluated by EMA </w:t>
      </w:r>
    </w:p>
    <w:p w14:paraId="2A8E8E3E" w14:textId="77F3B0A9" w:rsidR="00C006F4" w:rsidRPr="008C2FAA" w:rsidRDefault="230DFAEF" w:rsidP="00D60FAE">
      <w:pPr>
        <w:rPr>
          <w:lang w:val="en-IE"/>
        </w:rPr>
      </w:pPr>
      <w:r w:rsidRPr="4EC480EB">
        <w:rPr>
          <w:rFonts w:eastAsiaTheme="minorEastAsia"/>
        </w:rPr>
        <w:t>between July 2012 and November 2022</w:t>
      </w:r>
      <w:r w:rsidR="00C006F4" w:rsidRPr="004570F2">
        <w:rPr>
          <w:vertAlign w:val="superscript"/>
        </w:rPr>
        <w:footnoteReference w:id="305"/>
      </w:r>
      <w:r w:rsidRPr="4EC480EB">
        <w:rPr>
          <w:rFonts w:eastAsiaTheme="minorEastAsia"/>
        </w:rPr>
        <w:t>. H</w:t>
      </w:r>
      <w:r w:rsidRPr="4EC480EB">
        <w:rPr>
          <w:rFonts w:eastAsiaTheme="minorEastAsia"/>
          <w:lang w:val="en-IE"/>
        </w:rPr>
        <w:t>owever, evidence shows that negative regulatory outcomes were linked to quality deficiencies rather than clinical efficacy results, indicating that CES has had limited regulatory impact in determining approval outcomes</w:t>
      </w:r>
      <w:r w:rsidR="00C006F4" w:rsidRPr="008C2FAA">
        <w:rPr>
          <w:rStyle w:val="FootnoteReference"/>
          <w:rFonts w:eastAsia="Times New Roman"/>
          <w:color w:val="000000" w:themeColor="text1"/>
          <w:lang w:val="en-IE"/>
        </w:rPr>
        <w:footnoteReference w:id="306"/>
      </w:r>
      <w:r w:rsidRPr="3F982D60">
        <w:rPr>
          <w:lang w:val="en-IE"/>
        </w:rPr>
        <w:t>.</w:t>
      </w:r>
    </w:p>
    <w:p w14:paraId="39F3AB14" w14:textId="3D063E92" w:rsidR="00C006F4" w:rsidRPr="008C2FAA" w:rsidRDefault="230DFAEF" w:rsidP="00C006F4">
      <w:pPr>
        <w:rPr>
          <w:lang w:val="en-IE"/>
        </w:rPr>
      </w:pPr>
      <w:r w:rsidRPr="3F982D60">
        <w:rPr>
          <w:lang w:val="en-IE"/>
        </w:rPr>
        <w:t>The European Medicines Agency draft Reflection Paper on a Tailored Clinical Approach in Biosimilar Development (2024) proposes formalised criteria for waiving CES requirements, marking a shift from case-by-case flexibility to a generalised scientific principle</w:t>
      </w:r>
      <w:r w:rsidR="00C006F4" w:rsidRPr="008C2FAA">
        <w:rPr>
          <w:vertAlign w:val="superscript"/>
          <w:lang w:val="en-IE"/>
        </w:rPr>
        <w:footnoteReference w:id="307"/>
      </w:r>
      <w:r w:rsidRPr="3F982D60">
        <w:rPr>
          <w:lang w:val="en-IE"/>
        </w:rPr>
        <w:t>. This approach aligns with international regulatory convergence. The U.S. Food and Drug Administration has removed switching study requirements and expanded flexibility in clinical evidence (2024–2025)</w:t>
      </w:r>
      <w:r w:rsidR="00C006F4" w:rsidRPr="008C2FAA">
        <w:rPr>
          <w:rStyle w:val="FootnoteReference"/>
          <w:rFonts w:eastAsia="Times New Roman"/>
          <w:color w:val="000000" w:themeColor="text1"/>
          <w:lang w:val="en-IE"/>
        </w:rPr>
        <w:footnoteReference w:id="308"/>
      </w:r>
      <w:r w:rsidRPr="3F982D60">
        <w:rPr>
          <w:lang w:val="en-IE"/>
        </w:rPr>
        <w:t>, while Canada is consulting on CES elimination for most biosimilars</w:t>
      </w:r>
      <w:r w:rsidR="00C006F4" w:rsidRPr="008C2FAA">
        <w:rPr>
          <w:rStyle w:val="FootnoteReference"/>
          <w:rFonts w:eastAsia="Times New Roman"/>
          <w:color w:val="000000" w:themeColor="text1"/>
          <w:lang w:val="en-IE"/>
        </w:rPr>
        <w:footnoteReference w:id="309"/>
      </w:r>
      <w:r w:rsidRPr="3F982D60">
        <w:rPr>
          <w:lang w:val="en-IE"/>
        </w:rPr>
        <w:t>. South Korea already applies CES waivers in practice</w:t>
      </w:r>
      <w:r w:rsidR="00C006F4" w:rsidRPr="008C2FAA">
        <w:rPr>
          <w:rStyle w:val="FootnoteReference"/>
          <w:rFonts w:eastAsia="Times New Roman"/>
          <w:color w:val="000000" w:themeColor="text1"/>
          <w:lang w:val="en-IE"/>
        </w:rPr>
        <w:footnoteReference w:id="310"/>
      </w:r>
      <w:r w:rsidRPr="3F982D60">
        <w:rPr>
          <w:lang w:val="en-IE"/>
        </w:rPr>
        <w:t>, and Japan is expected to adopt similar flexibility by 2028.</w:t>
      </w:r>
    </w:p>
    <w:p w14:paraId="53F6EDD7" w14:textId="77777777" w:rsidR="00C006F4" w:rsidRPr="008C2FAA" w:rsidRDefault="00C006F4" w:rsidP="00C006F4">
      <w:pPr>
        <w:rPr>
          <w:lang w:val="en-IE"/>
        </w:rPr>
      </w:pPr>
      <w:r w:rsidRPr="008C2FAA">
        <w:rPr>
          <w:lang w:val="en-IE"/>
        </w:rPr>
        <w:t xml:space="preserve">Under the baseline, the EMA continues a gradual shift toward tailored, risk-based approaches through non-binding guidance, without changes to formal regulatory standards for safety, quality, or efficacy. At the same time, global competitors streamline evidentiary requirements more rapidly. As a result, EU competitiveness in biosimilar development is </w:t>
      </w:r>
      <w:r w:rsidRPr="008C2FAA">
        <w:rPr>
          <w:lang w:val="en-IE"/>
        </w:rPr>
        <w:lastRenderedPageBreak/>
        <w:t>expected to weaken, with developers prioritising earlier submissions in jurisdictions with lighter requirements, potentially delaying EU market entry.</w:t>
      </w:r>
    </w:p>
    <w:p w14:paraId="430F2733" w14:textId="3F0057B6" w:rsidR="00C006F4" w:rsidRDefault="230DFAEF" w:rsidP="00D60FAE">
      <w:pPr>
        <w:rPr>
          <w:lang w:val="en-IE"/>
        </w:rPr>
      </w:pPr>
      <w:r w:rsidRPr="4EC480EB">
        <w:rPr>
          <w:rFonts w:eastAsiaTheme="minorEastAsia"/>
        </w:rPr>
        <w:t>Europe and the United States combined hold over 80</w:t>
      </w:r>
      <w:r w:rsidR="006856C2">
        <w:rPr>
          <w:rFonts w:eastAsiaTheme="minorEastAsia"/>
        </w:rPr>
        <w:t>%</w:t>
      </w:r>
      <w:r w:rsidRPr="4EC480EB">
        <w:rPr>
          <w:rFonts w:eastAsiaTheme="minorEastAsia"/>
        </w:rPr>
        <w:t xml:space="preserve"> of the global biosimilar market by revenue. However, the EU’s relative share is declining as the US market expands rapidly. The US biosimilar market grew from </w:t>
      </w:r>
      <w:r w:rsidR="59F8DB9C" w:rsidRPr="4EC480EB">
        <w:rPr>
          <w:rFonts w:eastAsiaTheme="minorEastAsia"/>
        </w:rPr>
        <w:t>EUR 6</w:t>
      </w:r>
      <w:r w:rsidRPr="4EC480EB">
        <w:rPr>
          <w:rFonts w:eastAsiaTheme="minorEastAsia"/>
        </w:rPr>
        <w:t xml:space="preserve">.1 billion in 2020 to an estimated </w:t>
      </w:r>
      <w:r w:rsidR="40BF39A5" w:rsidRPr="4EC480EB">
        <w:rPr>
          <w:rFonts w:eastAsiaTheme="minorEastAsia"/>
        </w:rPr>
        <w:t>EUR 10.1</w:t>
      </w:r>
      <w:r w:rsidRPr="4EC480EB">
        <w:rPr>
          <w:rFonts w:eastAsiaTheme="minorEastAsia"/>
        </w:rPr>
        <w:t xml:space="preserve"> billion in 2024, while the Asia-Pacific region - driven primarily by China - grew from </w:t>
      </w:r>
      <w:r w:rsidR="52FB106D" w:rsidRPr="4EC480EB">
        <w:rPr>
          <w:rFonts w:eastAsiaTheme="minorEastAsia"/>
        </w:rPr>
        <w:t xml:space="preserve">EUR </w:t>
      </w:r>
      <w:r w:rsidRPr="4EC480EB">
        <w:rPr>
          <w:rFonts w:eastAsiaTheme="minorEastAsia"/>
        </w:rPr>
        <w:t>1.</w:t>
      </w:r>
      <w:r w:rsidR="52FB106D" w:rsidRPr="4EC480EB">
        <w:rPr>
          <w:rFonts w:eastAsiaTheme="minorEastAsia"/>
        </w:rPr>
        <w:t xml:space="preserve">5 </w:t>
      </w:r>
      <w:r w:rsidRPr="4EC480EB">
        <w:rPr>
          <w:rFonts w:eastAsiaTheme="minorEastAsia"/>
        </w:rPr>
        <w:t xml:space="preserve">billion to approximately </w:t>
      </w:r>
      <w:r w:rsidR="4C8C4C69" w:rsidRPr="4EC480EB">
        <w:rPr>
          <w:rFonts w:eastAsiaTheme="minorEastAsia"/>
        </w:rPr>
        <w:t>EUR 4.5</w:t>
      </w:r>
      <w:r w:rsidRPr="4EC480EB">
        <w:rPr>
          <w:rFonts w:eastAsiaTheme="minorEastAsia"/>
        </w:rPr>
        <w:t xml:space="preserve"> billion over the same period</w:t>
      </w:r>
      <w:r w:rsidR="00C006F4" w:rsidRPr="004570F2">
        <w:rPr>
          <w:vertAlign w:val="superscript"/>
        </w:rPr>
        <w:footnoteReference w:id="311"/>
      </w:r>
      <w:r w:rsidRPr="4EC480EB">
        <w:rPr>
          <w:rFonts w:eastAsiaTheme="minorEastAsia"/>
        </w:rPr>
        <w:t>.</w:t>
      </w:r>
      <w:r w:rsidRPr="4EC480EB">
        <w:rPr>
          <w:rFonts w:eastAsiaTheme="minorEastAsia"/>
          <w:lang w:val="en-IE"/>
        </w:rPr>
        <w:t xml:space="preserve"> The E</w:t>
      </w:r>
      <w:r w:rsidRPr="3F982D60">
        <w:rPr>
          <w:lang w:val="en-IE"/>
        </w:rPr>
        <w:t>U biosimilar market projected to grow at a compound annual growth rate (CAGR) of approximately 17</w:t>
      </w:r>
      <w:r w:rsidR="006856C2">
        <w:rPr>
          <w:lang w:val="en-IE"/>
        </w:rPr>
        <w:t>%</w:t>
      </w:r>
      <w:r w:rsidRPr="3F982D60">
        <w:rPr>
          <w:lang w:val="en-IE"/>
        </w:rPr>
        <w:t xml:space="preserve">, increasing from </w:t>
      </w:r>
      <w:r w:rsidR="07467FE1" w:rsidRPr="4EC480EB">
        <w:rPr>
          <w:lang w:val="en-IE"/>
        </w:rPr>
        <w:t>EUR</w:t>
      </w:r>
      <w:r w:rsidRPr="3F982D60">
        <w:rPr>
          <w:lang w:val="en-IE"/>
        </w:rPr>
        <w:t xml:space="preserve"> </w:t>
      </w:r>
      <w:r w:rsidR="07467FE1" w:rsidRPr="4EC480EB">
        <w:rPr>
          <w:lang w:val="en-IE"/>
        </w:rPr>
        <w:t>13.2</w:t>
      </w:r>
      <w:r w:rsidRPr="3F982D60">
        <w:rPr>
          <w:lang w:val="en-IE"/>
        </w:rPr>
        <w:t xml:space="preserve"> billion in 2025 to </w:t>
      </w:r>
      <w:r w:rsidR="7FC553A6" w:rsidRPr="4EC480EB">
        <w:rPr>
          <w:lang w:val="en-IE"/>
        </w:rPr>
        <w:t>EUR</w:t>
      </w:r>
      <w:r w:rsidRPr="3F982D60">
        <w:rPr>
          <w:lang w:val="en-IE"/>
        </w:rPr>
        <w:t xml:space="preserve"> </w:t>
      </w:r>
      <w:r w:rsidR="7FC553A6" w:rsidRPr="4EC480EB">
        <w:rPr>
          <w:lang w:val="en-IE"/>
        </w:rPr>
        <w:t>62.9</w:t>
      </w:r>
      <w:r w:rsidRPr="3F982D60">
        <w:rPr>
          <w:lang w:val="en-IE"/>
        </w:rPr>
        <w:t xml:space="preserve"> billion by 203</w:t>
      </w:r>
      <w:r w:rsidR="25236F8B" w:rsidRPr="4EC480EB">
        <w:rPr>
          <w:lang w:val="en-IE"/>
        </w:rPr>
        <w:t>5</w:t>
      </w:r>
      <w:r w:rsidR="00C006F4" w:rsidRPr="008C2FAA">
        <w:rPr>
          <w:vertAlign w:val="superscript"/>
          <w:lang w:val="en-IE"/>
        </w:rPr>
        <w:footnoteReference w:id="312"/>
      </w:r>
      <w:r w:rsidRPr="3F982D60">
        <w:rPr>
          <w:lang w:val="en-IE"/>
        </w:rPr>
        <w:t xml:space="preserve"> driven primarily by patent expiries and expanding therapeutic applications. The estimated cumulative savings of EUR </w:t>
      </w:r>
      <w:r>
        <w:t>75 billion from biosimilar competition since 2006 with EUR 13 billion in 2024 continues to grow.</w:t>
      </w:r>
      <w:r w:rsidRPr="3F982D60">
        <w:rPr>
          <w:lang w:val="en-IE"/>
        </w:rPr>
        <w:t xml:space="preserve"> </w:t>
      </w:r>
    </w:p>
    <w:p w14:paraId="249234EC" w14:textId="2A659C85" w:rsidR="00677B05" w:rsidRPr="000717B7" w:rsidRDefault="00C006F4" w:rsidP="00677B05">
      <w:r w:rsidRPr="008C2FAA">
        <w:rPr>
          <w:lang w:val="en-IE"/>
        </w:rPr>
        <w:t>Advances in analytical sciences are expected to further strengthen the scientific consensus that Phase III CES provides limited additional value for well-characterised biosimilars. However, as development shifts toward more complex products (e.g. monoclonal antibodies, bispecific antibodies, antibody–drug conjugates), a proportion of applications will continue to require clinical data, particularly for immunogenicity assessment.</w:t>
      </w:r>
    </w:p>
    <w:p w14:paraId="481BC673" w14:textId="2175D0DE" w:rsidR="005A6304" w:rsidRPr="004570F2" w:rsidRDefault="005A6304" w:rsidP="005A6304">
      <w:pPr>
        <w:rPr>
          <w:b/>
        </w:rPr>
      </w:pPr>
      <w:r w:rsidRPr="004570F2">
        <w:rPr>
          <w:b/>
        </w:rPr>
        <w:t>Biosimilar strategic projects recognition and support (Article 29 -30)</w:t>
      </w:r>
    </w:p>
    <w:p w14:paraId="235D9468" w14:textId="4F74FDDD" w:rsidR="00914674" w:rsidRPr="004570F2" w:rsidRDefault="009B5580" w:rsidP="00D60FAE">
      <w:pPr>
        <w:rPr>
          <w:i/>
          <w:u w:val="single"/>
          <w:lang w:val="en-IE"/>
        </w:rPr>
      </w:pPr>
      <w:bookmarkStart w:id="364" w:name="_Toc222992822"/>
      <w:bookmarkStart w:id="365" w:name="_Toc225783215"/>
      <w:r w:rsidRPr="004570F2">
        <w:rPr>
          <w:i/>
          <w:u w:val="single"/>
          <w:lang w:val="en-IE"/>
        </w:rPr>
        <w:t>C</w:t>
      </w:r>
      <w:r w:rsidR="00914674" w:rsidRPr="004570F2">
        <w:rPr>
          <w:i/>
          <w:u w:val="single"/>
          <w:lang w:val="en-IE"/>
        </w:rPr>
        <w:t>onduct of business</w:t>
      </w:r>
      <w:bookmarkEnd w:id="364"/>
      <w:bookmarkEnd w:id="365"/>
    </w:p>
    <w:p w14:paraId="7D71E798" w14:textId="77777777" w:rsidR="008A6A4B" w:rsidRPr="0093322D" w:rsidRDefault="008A6A4B" w:rsidP="008A6A4B">
      <w:pPr>
        <w:rPr>
          <w:b/>
          <w:caps/>
        </w:rPr>
      </w:pPr>
      <w:r w:rsidRPr="0093322D">
        <w:t xml:space="preserve">Assumption </w:t>
      </w:r>
    </w:p>
    <w:p w14:paraId="3D2EE2F5" w14:textId="15CEBDD0" w:rsidR="008A6A4B" w:rsidRPr="005035FA" w:rsidRDefault="008A6A4B" w:rsidP="008A6A4B">
      <w:pPr>
        <w:rPr>
          <w:i/>
          <w:u w:val="single"/>
          <w:lang w:val="en-IE"/>
        </w:rPr>
      </w:pPr>
      <w:r w:rsidRPr="00BB5389">
        <w:rPr>
          <w:rFonts w:eastAsia="Arial" w:cs="Arial"/>
          <w:szCs w:val="20"/>
        </w:rPr>
        <w:t>The Chapter II strategic project support infrastructure (Articles 3–14) is operational for general health biotechnology projects, providing single points of contact (Art. 11), priority permit-granting (Art. 12), compliance assistance (Art. 13), and</w:t>
      </w:r>
      <w:r>
        <w:rPr>
          <w:rFonts w:eastAsia="Arial" w:cs="Arial"/>
          <w:szCs w:val="20"/>
        </w:rPr>
        <w:t xml:space="preserve"> pathways for</w:t>
      </w:r>
      <w:r w:rsidRPr="00BB5389">
        <w:rPr>
          <w:rFonts w:eastAsia="Arial" w:cs="Arial"/>
          <w:szCs w:val="20"/>
        </w:rPr>
        <w:t xml:space="preserve"> financial</w:t>
      </w:r>
      <w:r>
        <w:rPr>
          <w:rFonts w:eastAsia="Arial" w:cs="Arial"/>
          <w:szCs w:val="20"/>
        </w:rPr>
        <w:t xml:space="preserve"> and technical</w:t>
      </w:r>
      <w:r w:rsidRPr="00BB5389">
        <w:rPr>
          <w:rFonts w:eastAsia="Arial" w:cs="Arial"/>
          <w:szCs w:val="20"/>
        </w:rPr>
        <w:t xml:space="preserve"> support (Art. 14). However, biosimilar-specific eligibility criteria under Article 29 do not exist in the baseline. Biosimilar companies may compete for general industrial support but lack dedicated recognition.</w:t>
      </w:r>
    </w:p>
    <w:p w14:paraId="6C34E135" w14:textId="7CCCF39A" w:rsidR="00914674" w:rsidRPr="004570F2" w:rsidRDefault="00914674" w:rsidP="00D60FAE">
      <w:pPr>
        <w:rPr>
          <w:i/>
          <w:u w:val="single"/>
          <w:lang w:val="en-IE"/>
        </w:rPr>
      </w:pPr>
      <w:r w:rsidRPr="004570F2">
        <w:rPr>
          <w:i/>
          <w:u w:val="single"/>
          <w:lang w:val="en-IE"/>
        </w:rPr>
        <w:t>Administrative costs on businesses, including SMEs</w:t>
      </w:r>
    </w:p>
    <w:p w14:paraId="71CC2EEF" w14:textId="77777777" w:rsidR="008A6A4B" w:rsidRPr="0093322D" w:rsidRDefault="008A6A4B" w:rsidP="008A6A4B">
      <w:pPr>
        <w:rPr>
          <w:b/>
        </w:rPr>
      </w:pPr>
      <w:r w:rsidRPr="0093322D">
        <w:t xml:space="preserve">Assumption </w:t>
      </w:r>
    </w:p>
    <w:p w14:paraId="35ADD546" w14:textId="41317C63" w:rsidR="008A6A4B" w:rsidRPr="005035FA" w:rsidRDefault="008A6A4B" w:rsidP="008A6A4B">
      <w:pPr>
        <w:rPr>
          <w:i/>
          <w:u w:val="single"/>
          <w:lang w:val="en-IE"/>
        </w:rPr>
      </w:pPr>
      <w:r w:rsidRPr="00FD4072">
        <w:rPr>
          <w:rFonts w:eastAsia="Arial" w:cs="Arial"/>
          <w:szCs w:val="20"/>
        </w:rPr>
        <w:t>Chapter II administrative support infrastructure (single points of contact, compliance assistance, priority permitting under Articles 11–14) is operational for general health biotechnology projects but not accessible to biosimilar-specific projects absent Article 29 recognition.</w:t>
      </w:r>
    </w:p>
    <w:p w14:paraId="01F41732" w14:textId="574F5E94" w:rsidR="00914674" w:rsidRPr="004570F2" w:rsidRDefault="00914674" w:rsidP="00CF0485">
      <w:pPr>
        <w:rPr>
          <w:i/>
          <w:u w:val="single"/>
        </w:rPr>
      </w:pPr>
      <w:r w:rsidRPr="004570F2">
        <w:rPr>
          <w:i/>
          <w:u w:val="single"/>
        </w:rPr>
        <w:t>Competitiveness, trade and investment flows</w:t>
      </w:r>
    </w:p>
    <w:p w14:paraId="5651CA3B" w14:textId="1F0709B2" w:rsidR="009B5580" w:rsidRPr="00E463B3" w:rsidRDefault="009B5580" w:rsidP="00D60FAE">
      <w:r w:rsidRPr="00D31A60">
        <w:rPr>
          <w:rFonts w:eastAsia="Arial" w:cs="Arial"/>
          <w:szCs w:val="20"/>
        </w:rPr>
        <w:lastRenderedPageBreak/>
        <w:t xml:space="preserve">Biosimilar-specific investment data (venture capital, FDI) disaggregated from the broader health biotechnology sector is not publicly available. </w:t>
      </w:r>
      <w:r w:rsidR="00B926F8">
        <w:rPr>
          <w:rFonts w:eastAsia="Arial" w:cs="Arial"/>
          <w:szCs w:val="20"/>
        </w:rPr>
        <w:t>However, w</w:t>
      </w:r>
      <w:r w:rsidRPr="00D31A60">
        <w:rPr>
          <w:rFonts w:eastAsia="Arial" w:cs="Arial"/>
          <w:szCs w:val="20"/>
        </w:rPr>
        <w:t>hat can be stated with biosimilar-specific evidence is:</w:t>
      </w:r>
    </w:p>
    <w:p w14:paraId="1AC82EEC" w14:textId="77777777" w:rsidR="009B5580" w:rsidRPr="00764A70" w:rsidRDefault="48A03503" w:rsidP="00D60FAE">
      <w:pPr>
        <w:pStyle w:val="ListParagraph"/>
        <w:numPr>
          <w:ilvl w:val="0"/>
          <w:numId w:val="467"/>
        </w:numPr>
      </w:pPr>
      <w:r w:rsidRPr="3F982D60">
        <w:rPr>
          <w:rFonts w:eastAsia="Arial" w:cs="Arial"/>
        </w:rPr>
        <w:t>The EU retains significant biosimilar manufacturing capacity. Of the top five global biosimilar companies by revenue in 2024, two are EU-based (Sandoz, Austria/Germany; Fresenius Kabi, Germany) and two operate major EU manufacturing facilities despite non-EU headquarters (Samsung Bioepis, Netherlands operations; Celltrion, Hungarian operations).</w:t>
      </w:r>
      <w:r w:rsidR="009B5580" w:rsidRPr="00084560">
        <w:rPr>
          <w:rStyle w:val="FootnoteReference"/>
        </w:rPr>
        <w:footnoteReference w:id="313"/>
      </w:r>
    </w:p>
    <w:p w14:paraId="0CBCE662" w14:textId="6CAC8EAC" w:rsidR="009B5580" w:rsidRPr="00D60FAE" w:rsidRDefault="48A03503" w:rsidP="00D60FAE">
      <w:pPr>
        <w:pStyle w:val="ListParagraph"/>
        <w:numPr>
          <w:ilvl w:val="0"/>
          <w:numId w:val="467"/>
        </w:numPr>
      </w:pPr>
      <w:r w:rsidRPr="3F982D60">
        <w:rPr>
          <w:rFonts w:eastAsia="Arial" w:cs="Arial"/>
        </w:rPr>
        <w:t>Despite 77</w:t>
      </w:r>
      <w:r w:rsidR="006856C2">
        <w:rPr>
          <w:rFonts w:eastAsia="Arial" w:cs="Arial"/>
        </w:rPr>
        <w:t>%</w:t>
      </w:r>
      <w:r w:rsidRPr="3F982D60">
        <w:rPr>
          <w:rFonts w:eastAsia="Arial" w:cs="Arial"/>
        </w:rPr>
        <w:t xml:space="preserve"> of innovative biologic active ingredients being sourced within Europe</w:t>
      </w:r>
      <w:r w:rsidR="00D62A25">
        <w:rPr>
          <w:rStyle w:val="FootnoteReference"/>
          <w:rFonts w:eastAsia="Arial" w:cs="Arial"/>
        </w:rPr>
        <w:footnoteReference w:id="314"/>
      </w:r>
      <w:r w:rsidRPr="3F982D60">
        <w:rPr>
          <w:rFonts w:eastAsia="Arial" w:cs="Arial"/>
        </w:rPr>
        <w:t>, dedicated biosimilar manufacturing is increasingly migrating to Asia, particularly South Korea and India.</w:t>
      </w:r>
      <w:r w:rsidR="009B5580" w:rsidRPr="00084560">
        <w:rPr>
          <w:rStyle w:val="FootnoteReference"/>
        </w:rPr>
        <w:footnoteReference w:id="315"/>
      </w:r>
    </w:p>
    <w:p w14:paraId="7F54124F" w14:textId="7107EA3A" w:rsidR="009B5580" w:rsidRDefault="000506A2" w:rsidP="00D60FAE">
      <w:pPr>
        <w:pStyle w:val="ListParagraph"/>
        <w:numPr>
          <w:ilvl w:val="0"/>
          <w:numId w:val="467"/>
        </w:numPr>
      </w:pPr>
      <w:r>
        <w:t>Recent studies identified an increasing number of partnerships</w:t>
      </w:r>
      <w:r w:rsidRPr="004D2A14">
        <w:t xml:space="preserve"> involv</w:t>
      </w:r>
      <w:r>
        <w:t>ing</w:t>
      </w:r>
      <w:r w:rsidRPr="004D2A14">
        <w:t xml:space="preserve"> ex-EU </w:t>
      </w:r>
      <w:r>
        <w:t xml:space="preserve">biosimilar </w:t>
      </w:r>
      <w:r w:rsidRPr="004D2A14">
        <w:t xml:space="preserve">companies that </w:t>
      </w:r>
      <w:r>
        <w:t>collaborate</w:t>
      </w:r>
      <w:r w:rsidRPr="004D2A14">
        <w:t xml:space="preserve"> with European manufacturers to launch products in Europe. Historically, these partnerships were relatively uncommon</w:t>
      </w:r>
      <w:r>
        <w:t>, but their prevalence has increased.</w:t>
      </w:r>
      <w:r w:rsidRPr="004D2A14">
        <w:t xml:space="preserve"> Between 2006 and 2013, ex-EU partnerships represented 30</w:t>
      </w:r>
      <w:r w:rsidR="006856C2">
        <w:t>%</w:t>
      </w:r>
      <w:r w:rsidRPr="004D2A14">
        <w:t xml:space="preserve"> of all approvals, but more recently this figure increased to 45</w:t>
      </w:r>
      <w:r w:rsidR="006856C2">
        <w:t>%</w:t>
      </w:r>
      <w:r w:rsidRPr="004D2A14">
        <w:t xml:space="preserve"> (2014–2024)</w:t>
      </w:r>
      <w:r>
        <w:t>.</w:t>
      </w:r>
    </w:p>
    <w:p w14:paraId="3FA13B29" w14:textId="77777777" w:rsidR="007F5C2D" w:rsidRPr="008A6A4B" w:rsidRDefault="007F5C2D" w:rsidP="005035FA">
      <w:pPr>
        <w:rPr>
          <w:b/>
          <w:caps/>
        </w:rPr>
      </w:pPr>
      <w:r w:rsidRPr="0093322D">
        <w:t xml:space="preserve">Assumption </w:t>
      </w:r>
    </w:p>
    <w:p w14:paraId="480F94A5" w14:textId="3FDF2C93" w:rsidR="007F5C2D" w:rsidRPr="00CF0485" w:rsidRDefault="007F5C2D" w:rsidP="005035FA">
      <w:r w:rsidRPr="005035FA">
        <w:rPr>
          <w:rFonts w:eastAsia="Arial" w:cs="Arial"/>
        </w:rPr>
        <w:t>EU-based companies hold approximately 49</w:t>
      </w:r>
      <w:r w:rsidR="006856C2">
        <w:rPr>
          <w:rFonts w:eastAsia="Arial" w:cs="Arial"/>
        </w:rPr>
        <w:t>%</w:t>
      </w:r>
      <w:r w:rsidRPr="0023666B">
        <w:rPr>
          <w:rFonts w:eastAsia="Arial" w:cs="Arial"/>
        </w:rPr>
        <w:t xml:space="preserve"> of EU biosimilar authorisations, with South Korean companies (Samsung Bioepis, Celltrion) at 16</w:t>
      </w:r>
      <w:r w:rsidR="006856C2">
        <w:rPr>
          <w:rFonts w:eastAsia="Arial" w:cs="Arial"/>
        </w:rPr>
        <w:t>%</w:t>
      </w:r>
      <w:r w:rsidRPr="0023666B">
        <w:rPr>
          <w:rFonts w:eastAsia="Arial" w:cs="Arial"/>
        </w:rPr>
        <w:t xml:space="preserve"> and US/global pharma at 17</w:t>
      </w:r>
      <w:r w:rsidR="006856C2">
        <w:rPr>
          <w:rFonts w:eastAsia="Arial" w:cs="Arial"/>
        </w:rPr>
        <w:t>%</w:t>
      </w:r>
      <w:r w:rsidRPr="005035FA">
        <w:rPr>
          <w:rFonts w:eastAsia="Arial" w:cs="Arial"/>
        </w:rPr>
        <w:t>. While international cooperation among biosimilar economic actors is an increasing trend, there is increasing competitive pressure from developers from India, China, and Korea that expand their EU market presence.</w:t>
      </w:r>
      <w:r w:rsidRPr="61FCB7C3">
        <w:rPr>
          <w:vertAlign w:val="superscript"/>
        </w:rPr>
        <w:footnoteReference w:id="316"/>
      </w:r>
    </w:p>
    <w:p w14:paraId="650B46C1" w14:textId="44B25577" w:rsidR="00914674" w:rsidRPr="004570F2" w:rsidRDefault="00914674" w:rsidP="00CF0485">
      <w:pPr>
        <w:rPr>
          <w:i/>
          <w:u w:val="single"/>
        </w:rPr>
      </w:pPr>
      <w:r w:rsidRPr="004570F2">
        <w:rPr>
          <w:i/>
          <w:u w:val="single"/>
        </w:rPr>
        <w:t>Functioning of the internal market and competition</w:t>
      </w:r>
    </w:p>
    <w:p w14:paraId="59635D4D" w14:textId="77777777" w:rsidR="007F5C2D" w:rsidRPr="0093322D" w:rsidRDefault="007F5C2D" w:rsidP="007F5C2D">
      <w:pPr>
        <w:rPr>
          <w:b/>
          <w:caps/>
        </w:rPr>
      </w:pPr>
      <w:r w:rsidRPr="0093322D">
        <w:t xml:space="preserve">Assumption </w:t>
      </w:r>
    </w:p>
    <w:p w14:paraId="60C9906C" w14:textId="209409DD" w:rsidR="007F5C2D" w:rsidRDefault="007F5C2D" w:rsidP="00CF0485">
      <w:r w:rsidRPr="00D60FAE">
        <w:t>Biosimilar strategic project measure’s</w:t>
      </w:r>
      <w:r w:rsidRPr="008010A2">
        <w:t xml:space="preserve"> implementation depends on Member State establishment of Chapter II infrastructure. Differences in administrative capacity across Member States can be a potential implementation uncertainty</w:t>
      </w:r>
      <w:r w:rsidRPr="00D60FAE">
        <w:t xml:space="preserve"> for strategic projects</w:t>
      </w:r>
      <w:r w:rsidRPr="008010A2">
        <w:t xml:space="preserve">, as with other EU industrial support frameworks. This risk is mitigated by the </w:t>
      </w:r>
      <w:r>
        <w:t xml:space="preserve">European </w:t>
      </w:r>
      <w:r w:rsidRPr="008010A2">
        <w:t>Biotech Act's institutional design: the European Health Biotechnology Steering Group provides implementation guidance and facilitates best-practice exchange (Article 20); the Commission's strategic mapping identifies capacity gaps and investment needs (Article 22); and Member States may designate or adapt existing coordination mechanisms as single points of contact rather than creating new structures.</w:t>
      </w:r>
    </w:p>
    <w:p w14:paraId="30875023" w14:textId="77777777" w:rsidR="00434569" w:rsidRDefault="00434569" w:rsidP="00CF0485"/>
    <w:p w14:paraId="54E02DC4" w14:textId="77777777" w:rsidR="00434569" w:rsidRDefault="00434569" w:rsidP="00CF0485"/>
    <w:p w14:paraId="34A519C1" w14:textId="77777777" w:rsidR="00434569" w:rsidRPr="005035FA" w:rsidRDefault="00434569" w:rsidP="00CF0485">
      <w:pPr>
        <w:rPr>
          <w:i/>
          <w:u w:val="single"/>
        </w:rPr>
      </w:pPr>
    </w:p>
    <w:p w14:paraId="3D95A592" w14:textId="67B3D3D2" w:rsidR="00914674" w:rsidRPr="004570F2" w:rsidRDefault="00914674" w:rsidP="00CF0485">
      <w:pPr>
        <w:rPr>
          <w:i/>
          <w:u w:val="single"/>
        </w:rPr>
      </w:pPr>
      <w:r w:rsidRPr="004570F2">
        <w:rPr>
          <w:i/>
          <w:u w:val="single"/>
        </w:rPr>
        <w:t>Innovation and research</w:t>
      </w:r>
    </w:p>
    <w:p w14:paraId="18A23179" w14:textId="77777777" w:rsidR="006D6370" w:rsidRPr="0093322D" w:rsidRDefault="006D6370" w:rsidP="006D6370">
      <w:pPr>
        <w:rPr>
          <w:b/>
          <w:caps/>
        </w:rPr>
      </w:pPr>
      <w:r w:rsidRPr="0093322D">
        <w:t xml:space="preserve">Assumption </w:t>
      </w:r>
    </w:p>
    <w:p w14:paraId="31FDA58B" w14:textId="2150BC83" w:rsidR="006D6370" w:rsidRPr="005035FA" w:rsidRDefault="006D6370" w:rsidP="006D6370">
      <w:pPr>
        <w:rPr>
          <w:i/>
          <w:u w:val="single"/>
        </w:rPr>
      </w:pPr>
      <w:r>
        <w:t>Innovation in analytical science continues to advance, enabling increasingly precise characterisation of biosimilar products. Modern mass spectrometry, high-resolution chromatography, and functional assays can now characterise protein structures with extraordinary precision</w:t>
      </w:r>
      <w:r>
        <w:rPr>
          <w:rStyle w:val="FootnoteReference"/>
        </w:rPr>
        <w:footnoteReference w:id="317"/>
      </w:r>
      <w:r>
        <w:t>.</w:t>
      </w:r>
      <w:r w:rsidRPr="4EC480EB">
        <w:rPr>
          <w:b/>
          <w:bCs/>
          <w:caps/>
        </w:rPr>
        <w:t xml:space="preserve"> </w:t>
      </w:r>
      <w:r>
        <w:t>In absence of biosimilar strategic project recognition these advancements continue but are not candidates for potential support under Article 29’s measure.</w:t>
      </w:r>
    </w:p>
    <w:p w14:paraId="16454DF2" w14:textId="00A167B4" w:rsidR="00914674" w:rsidRPr="004570F2" w:rsidRDefault="00914674" w:rsidP="00CF0485">
      <w:pPr>
        <w:rPr>
          <w:i/>
          <w:u w:val="single"/>
        </w:rPr>
      </w:pPr>
      <w:r w:rsidRPr="004570F2">
        <w:rPr>
          <w:i/>
          <w:u w:val="single"/>
        </w:rPr>
        <w:t>Public authorities</w:t>
      </w:r>
    </w:p>
    <w:p w14:paraId="4E9711DE" w14:textId="77777777" w:rsidR="006D6370" w:rsidRPr="003D5A85" w:rsidRDefault="006D6370" w:rsidP="006D6370">
      <w:pPr>
        <w:rPr>
          <w:b/>
          <w:caps/>
        </w:rPr>
      </w:pPr>
      <w:r w:rsidRPr="003D5A85">
        <w:t>Assumption</w:t>
      </w:r>
    </w:p>
    <w:p w14:paraId="69CC1F07" w14:textId="14954CD7" w:rsidR="006D6370" w:rsidRPr="005035FA" w:rsidRDefault="006D6370" w:rsidP="006D6370">
      <w:pPr>
        <w:rPr>
          <w:b/>
          <w:i/>
          <w:u w:val="single"/>
        </w:rPr>
      </w:pPr>
      <w:r w:rsidRPr="003D5A85">
        <w:t>Chapter II infrastructure (single points of contact, priority permitting, compliance assistance under Articles 11–14) is operational for general health biotechnology projects but not accessible to biosimilar-specific projects absent Article 29 recognition.</w:t>
      </w:r>
    </w:p>
    <w:p w14:paraId="180500C0" w14:textId="77777777" w:rsidR="00677B05" w:rsidRPr="003D5A85" w:rsidRDefault="00677B05" w:rsidP="00D60FAE">
      <w:pPr>
        <w:pStyle w:val="Heading2"/>
      </w:pPr>
      <w:bookmarkStart w:id="366" w:name="_Toc225969832"/>
      <w:bookmarkStart w:id="367" w:name="_Toc225979164"/>
      <w:r w:rsidRPr="003D5A85">
        <w:t>Expected impacts</w:t>
      </w:r>
      <w:bookmarkEnd w:id="366"/>
      <w:bookmarkEnd w:id="367"/>
    </w:p>
    <w:p w14:paraId="4C53274D" w14:textId="57B19F7E" w:rsidR="005A6304" w:rsidRPr="004570F2" w:rsidRDefault="003C1EAB" w:rsidP="005A6304">
      <w:pPr>
        <w:rPr>
          <w:b/>
          <w:color w:val="000000" w:themeColor="text1"/>
        </w:rPr>
      </w:pPr>
      <w:r>
        <w:rPr>
          <w:rFonts w:eastAsia="Times New Roman"/>
          <w:b/>
          <w:bCs/>
          <w:color w:val="000000" w:themeColor="text1"/>
        </w:rPr>
        <w:t>N</w:t>
      </w:r>
      <w:r w:rsidR="005A6304" w:rsidRPr="005035FA">
        <w:rPr>
          <w:rFonts w:eastAsia="Times New Roman"/>
          <w:b/>
          <w:bCs/>
          <w:color w:val="000000" w:themeColor="text1"/>
        </w:rPr>
        <w:t>on</w:t>
      </w:r>
      <w:r w:rsidR="005A6304" w:rsidRPr="004570F2">
        <w:rPr>
          <w:b/>
          <w:color w:val="000000" w:themeColor="text1"/>
        </w:rPr>
        <w:t>-binding guidance by the European Medicines Agency for a tailored regulatory approach for biosimilar development, reflecting advances in analytical science and considering potential reductions in clinical data requirements (Article 28)</w:t>
      </w:r>
    </w:p>
    <w:p w14:paraId="6EE2D01E" w14:textId="095C3F84" w:rsidR="00F5430A" w:rsidRPr="004570F2" w:rsidRDefault="00F5430A" w:rsidP="00F5430A">
      <w:pPr>
        <w:spacing w:before="50" w:after="50"/>
        <w:rPr>
          <w:rStyle w:val="Hyperlink"/>
          <w:i/>
          <w:color w:val="353332"/>
          <w:sz w:val="20"/>
          <w:vertAlign w:val="superscript"/>
        </w:rPr>
      </w:pPr>
      <w:r w:rsidRPr="004570F2">
        <w:rPr>
          <w:i/>
          <w:u w:val="single"/>
        </w:rPr>
        <w:t>Administrative burden</w:t>
      </w:r>
    </w:p>
    <w:p w14:paraId="3D5E2505" w14:textId="2979DB60" w:rsidR="00F5430A" w:rsidRPr="003D5A85" w:rsidRDefault="00F5430A" w:rsidP="00D60FAE">
      <w:pPr>
        <w:rPr>
          <w:rFonts w:eastAsia="Times New Roman"/>
        </w:rPr>
      </w:pPr>
      <w:r w:rsidRPr="003D5A85">
        <w:rPr>
          <w:rFonts w:eastAsia="Times New Roman"/>
        </w:rPr>
        <w:t xml:space="preserve">The administrative burden and associated costs of preparing marketing authorisation applications (MAAs) for biosimilars, with or without a Phase III comparative efficacy study (CES) follows the methodology follows the Standard Cost Model (SCM) from the Better Regulation Toolbox, where administrative cost is calculated as person-days multiplied by labour rate and quantity. Labour rates are based on two Eurostat scenarios: €400 per person-day as a baseline and </w:t>
      </w:r>
      <w:r w:rsidR="5827B0D9" w:rsidRPr="458BC1E1">
        <w:rPr>
          <w:rFonts w:eastAsia="Times New Roman"/>
        </w:rPr>
        <w:t xml:space="preserve">EUR </w:t>
      </w:r>
      <w:r w:rsidRPr="003D5A85">
        <w:rPr>
          <w:rFonts w:eastAsia="Times New Roman"/>
        </w:rPr>
        <w:t>600 per person-day for specialised regulatory affairs or external consultancy. Task decomposition draws on common technical documentation (CTD) structure requirements, industry benchmarks for MAA team size and timeline (typically 20–30 people over 18–24 months), and EMA biosimilar-specific guidance on clinical data requirements.</w:t>
      </w:r>
    </w:p>
    <w:p w14:paraId="5FBF05C9" w14:textId="77777777" w:rsidR="00F5430A" w:rsidRPr="003D5A85" w:rsidRDefault="00F5430A" w:rsidP="00D60FAE">
      <w:pPr>
        <w:rPr>
          <w:rFonts w:eastAsia="Times New Roman"/>
        </w:rPr>
      </w:pPr>
      <w:r w:rsidRPr="003D5A85">
        <w:rPr>
          <w:rFonts w:eastAsia="Times New Roman"/>
        </w:rPr>
        <w:t xml:space="preserve">The administrative burden differs depending on whether a CES is included. Category A, representing a tailored clinical package (PK/PD plus immunogenicity, no CES), requires approximately 253 person-days, whereas Category B, representing a full Phase III CES </w:t>
      </w:r>
      <w:r w:rsidRPr="003D5A85">
        <w:rPr>
          <w:rFonts w:eastAsia="Times New Roman"/>
        </w:rPr>
        <w:lastRenderedPageBreak/>
        <w:t>package, requires approximately 328 person-days, giving a difference of 75 person-days (range: 50–100). This difference arises from three main workstreams:</w:t>
      </w:r>
    </w:p>
    <w:p w14:paraId="3E4DC91C" w14:textId="77777777" w:rsidR="00F5430A" w:rsidRPr="003D5A85" w:rsidRDefault="00F5430A" w:rsidP="00D60FAE">
      <w:pPr>
        <w:pStyle w:val="ListParagraph"/>
        <w:numPr>
          <w:ilvl w:val="0"/>
          <w:numId w:val="468"/>
        </w:numPr>
        <w:rPr>
          <w:rFonts w:eastAsia="Times New Roman"/>
        </w:rPr>
      </w:pPr>
      <w:r w:rsidRPr="003D5A85">
        <w:rPr>
          <w:rFonts w:eastAsia="Times New Roman"/>
        </w:rPr>
        <w:t xml:space="preserve">First, CES-specific clinical modules—including clinical study report drafting, efficacy analysis, and extended safety narratives—account for 40–80 person-days. These modules exist only in Category B, so if CES is eliminated, these sections are no longer required. </w:t>
      </w:r>
    </w:p>
    <w:p w14:paraId="49290FE3" w14:textId="77777777" w:rsidR="00F5430A" w:rsidRPr="003D5A85" w:rsidRDefault="00F5430A" w:rsidP="00D60FAE">
      <w:pPr>
        <w:pStyle w:val="ListParagraph"/>
        <w:numPr>
          <w:ilvl w:val="0"/>
          <w:numId w:val="468"/>
        </w:numPr>
        <w:rPr>
          <w:rFonts w:eastAsia="Times New Roman"/>
        </w:rPr>
      </w:pPr>
      <w:r w:rsidRPr="003D5A85">
        <w:rPr>
          <w:rFonts w:eastAsia="Times New Roman"/>
        </w:rPr>
        <w:t xml:space="preserve">Second, immunogenicity assessment contributes 5–10 person-days of additional effort. While both categories require immunogenicity data, Category A generates it within a combined PK/immunogenicity study (~100–400 subjects), whereas Category B generates it within the Phase III CES (~500–1,500 patients), producing a larger dataset requiring more documentation. </w:t>
      </w:r>
    </w:p>
    <w:p w14:paraId="475353B4" w14:textId="77777777" w:rsidR="00F5430A" w:rsidRPr="003D5A85" w:rsidRDefault="00F5430A" w:rsidP="00D60FAE">
      <w:pPr>
        <w:pStyle w:val="ListParagraph"/>
        <w:numPr>
          <w:ilvl w:val="0"/>
          <w:numId w:val="468"/>
        </w:numPr>
        <w:rPr>
          <w:rFonts w:eastAsia="Times New Roman"/>
        </w:rPr>
      </w:pPr>
      <w:r w:rsidRPr="003D5A85">
        <w:rPr>
          <w:rFonts w:eastAsia="Times New Roman"/>
        </w:rPr>
        <w:t>Third, eCTD publishing and submission accounts for 5–10 person-days difference. Without CES modules, the electronic common technical documentation is smaller, reducing formatting, cross-referencing, and quality control efforts. All other workstreams—including regulatory strategy, quality/chemistry/manufacturing/control (CMC) comparability, non-clinical comparability, and PK/PD modules—are identical between Categories A and B.</w:t>
      </w:r>
    </w:p>
    <w:p w14:paraId="62BEEADE" w14:textId="42E1CDBD" w:rsidR="00F5430A" w:rsidRPr="003D5A85" w:rsidRDefault="00F5430A" w:rsidP="00D60FAE">
      <w:pPr>
        <w:rPr>
          <w:rFonts w:eastAsia="Times New Roman"/>
        </w:rPr>
      </w:pPr>
      <w:r w:rsidRPr="003D5A85">
        <w:rPr>
          <w:rFonts w:eastAsia="Times New Roman"/>
        </w:rPr>
        <w:t xml:space="preserve">Applying the SCM formula, the 75 person-day difference translates into an administrative cost saving of EUR 30,000–45,000 per MAA (75 PD × </w:t>
      </w:r>
      <w:r w:rsidR="49A6A39A" w:rsidRPr="458BC1E1">
        <w:rPr>
          <w:rFonts w:eastAsia="Times New Roman"/>
        </w:rPr>
        <w:t xml:space="preserve">EUR </w:t>
      </w:r>
      <w:r w:rsidRPr="003D5A85">
        <w:rPr>
          <w:rFonts w:eastAsia="Times New Roman"/>
        </w:rPr>
        <w:t>400–600/PD). This saving applies only to dossier preparation labour and is deliberately separate from, and much smaller than, the CES trial execution cost saving, estimated at EUR 19–26 million per product. Both savings are additive but operate at very different scales.</w:t>
      </w:r>
    </w:p>
    <w:p w14:paraId="5145359E" w14:textId="44109A98" w:rsidR="00F5430A" w:rsidRPr="00D60FAE" w:rsidRDefault="00CF0485" w:rsidP="00F5430A">
      <w:pPr>
        <w:spacing w:before="80" w:after="80"/>
        <w:rPr>
          <w:rFonts w:eastAsiaTheme="minorEastAsia"/>
          <w:b/>
        </w:rPr>
      </w:pPr>
      <w:r w:rsidRPr="00D60FAE">
        <w:rPr>
          <w:rFonts w:eastAsiaTheme="minorEastAsia"/>
          <w:b/>
          <w:bCs/>
        </w:rPr>
        <w:t>Table 1</w:t>
      </w:r>
      <w:r w:rsidR="000B7A24">
        <w:rPr>
          <w:rFonts w:eastAsiaTheme="minorEastAsia"/>
          <w:b/>
          <w:bCs/>
        </w:rPr>
        <w:t>1</w:t>
      </w:r>
      <w:r w:rsidR="00106AA9">
        <w:rPr>
          <w:rFonts w:eastAsiaTheme="minorEastAsia"/>
          <w:b/>
          <w:bCs/>
        </w:rPr>
        <w:t>.</w:t>
      </w:r>
      <w:r w:rsidRPr="00D60FAE">
        <w:rPr>
          <w:rFonts w:eastAsiaTheme="minorEastAsia"/>
          <w:b/>
          <w:bCs/>
        </w:rPr>
        <w:t xml:space="preserve"> </w:t>
      </w:r>
      <w:r w:rsidR="000F20BA" w:rsidRPr="000F20BA">
        <w:rPr>
          <w:rFonts w:eastAsiaTheme="minorEastAsia"/>
          <w:b/>
          <w:bCs/>
        </w:rPr>
        <w:t xml:space="preserve">Cost and </w:t>
      </w:r>
      <w:r w:rsidR="00203D51">
        <w:rPr>
          <w:rFonts w:eastAsiaTheme="minorEastAsia"/>
          <w:b/>
          <w:bCs/>
        </w:rPr>
        <w:t>e</w:t>
      </w:r>
      <w:r w:rsidR="000F20BA" w:rsidRPr="000F20BA">
        <w:rPr>
          <w:rFonts w:eastAsiaTheme="minorEastAsia"/>
          <w:b/>
          <w:bCs/>
        </w:rPr>
        <w:t xml:space="preserve">fficiency </w:t>
      </w:r>
      <w:r w:rsidR="00203D51">
        <w:rPr>
          <w:rFonts w:eastAsiaTheme="minorEastAsia"/>
          <w:b/>
          <w:bCs/>
        </w:rPr>
        <w:t>i</w:t>
      </w:r>
      <w:r w:rsidR="000F20BA" w:rsidRPr="000F20BA">
        <w:rPr>
          <w:rFonts w:eastAsiaTheme="minorEastAsia"/>
          <w:b/>
          <w:bCs/>
        </w:rPr>
        <w:t xml:space="preserve">mpacts of CES </w:t>
      </w:r>
      <w:r w:rsidR="00203D51">
        <w:rPr>
          <w:rFonts w:eastAsiaTheme="minorEastAsia"/>
          <w:b/>
          <w:bCs/>
        </w:rPr>
        <w:t>i</w:t>
      </w:r>
      <w:r w:rsidR="000F20BA" w:rsidRPr="000F20BA">
        <w:rPr>
          <w:rFonts w:eastAsiaTheme="minorEastAsia"/>
          <w:b/>
          <w:bCs/>
        </w:rPr>
        <w:t>mplementation (2025–2038)</w:t>
      </w:r>
    </w:p>
    <w:tbl>
      <w:tblPr>
        <w:tblStyle w:val="TableGrid"/>
        <w:tblW w:w="0" w:type="auto"/>
        <w:tblLook w:val="04A0" w:firstRow="1" w:lastRow="0" w:firstColumn="1" w:lastColumn="0" w:noHBand="0" w:noVBand="1"/>
      </w:tblPr>
      <w:tblGrid>
        <w:gridCol w:w="1503"/>
        <w:gridCol w:w="1360"/>
        <w:gridCol w:w="1482"/>
        <w:gridCol w:w="1337"/>
        <w:gridCol w:w="1532"/>
        <w:gridCol w:w="1384"/>
      </w:tblGrid>
      <w:tr w:rsidR="003C1EAB" w:rsidRPr="003C1EAB" w14:paraId="4C66E70D" w14:textId="77777777" w:rsidTr="004570F2">
        <w:trPr>
          <w:trHeight w:val="300"/>
        </w:trPr>
        <w:tc>
          <w:tcPr>
            <w:tcW w:w="1503" w:type="dxa"/>
          </w:tcPr>
          <w:p w14:paraId="6726C89C" w14:textId="77777777" w:rsidR="00F5430A" w:rsidRPr="004570F2" w:rsidRDefault="00F5430A">
            <w:pPr>
              <w:spacing w:after="270"/>
              <w:rPr>
                <w:sz w:val="20"/>
              </w:rPr>
            </w:pPr>
            <w:r w:rsidRPr="004570F2">
              <w:rPr>
                <w:rFonts w:eastAsia="Palatino Linotype"/>
                <w:b/>
                <w:caps/>
                <w:sz w:val="20"/>
              </w:rPr>
              <w:t>Indicator</w:t>
            </w:r>
          </w:p>
        </w:tc>
        <w:tc>
          <w:tcPr>
            <w:tcW w:w="1360" w:type="dxa"/>
          </w:tcPr>
          <w:p w14:paraId="55EAFD2F" w14:textId="77777777" w:rsidR="00F5430A" w:rsidRPr="004570F2" w:rsidRDefault="00F5430A">
            <w:pPr>
              <w:spacing w:after="270"/>
              <w:rPr>
                <w:sz w:val="20"/>
              </w:rPr>
            </w:pPr>
            <w:r w:rsidRPr="004570F2">
              <w:rPr>
                <w:rFonts w:eastAsia="Palatino Linotype"/>
                <w:b/>
                <w:caps/>
                <w:sz w:val="20"/>
              </w:rPr>
              <w:t>2025 (base)</w:t>
            </w:r>
          </w:p>
        </w:tc>
        <w:tc>
          <w:tcPr>
            <w:tcW w:w="1482" w:type="dxa"/>
          </w:tcPr>
          <w:p w14:paraId="32FFDF39" w14:textId="77777777" w:rsidR="00F5430A" w:rsidRPr="004570F2" w:rsidRDefault="00F5430A">
            <w:pPr>
              <w:spacing w:after="270"/>
              <w:rPr>
                <w:sz w:val="20"/>
              </w:rPr>
            </w:pPr>
            <w:r w:rsidRPr="004570F2">
              <w:rPr>
                <w:rFonts w:eastAsia="Palatino Linotype"/>
                <w:b/>
                <w:caps/>
                <w:sz w:val="20"/>
              </w:rPr>
              <w:t>2025–2030</w:t>
            </w:r>
          </w:p>
        </w:tc>
        <w:tc>
          <w:tcPr>
            <w:tcW w:w="1337" w:type="dxa"/>
          </w:tcPr>
          <w:p w14:paraId="1D235DCF" w14:textId="77777777" w:rsidR="00F5430A" w:rsidRPr="004570F2" w:rsidRDefault="00F5430A">
            <w:pPr>
              <w:spacing w:after="270"/>
              <w:rPr>
                <w:sz w:val="20"/>
              </w:rPr>
            </w:pPr>
            <w:r w:rsidRPr="004570F2">
              <w:rPr>
                <w:rFonts w:eastAsia="Palatino Linotype"/>
                <w:b/>
                <w:caps/>
                <w:sz w:val="20"/>
              </w:rPr>
              <w:t>2030–2038</w:t>
            </w:r>
          </w:p>
        </w:tc>
        <w:tc>
          <w:tcPr>
            <w:tcW w:w="1532" w:type="dxa"/>
          </w:tcPr>
          <w:p w14:paraId="70D28857" w14:textId="04CD3D72" w:rsidR="00F5430A" w:rsidRPr="004570F2" w:rsidRDefault="00C92073">
            <w:pPr>
              <w:spacing w:after="270"/>
              <w:rPr>
                <w:sz w:val="20"/>
              </w:rPr>
            </w:pPr>
            <w:r w:rsidRPr="00D60FAE">
              <w:rPr>
                <w:rFonts w:eastAsia="Arial"/>
                <w:b/>
                <w:caps/>
                <w:sz w:val="16"/>
                <w:szCs w:val="16"/>
              </w:rPr>
              <w:t>EMA Guideline</w:t>
            </w:r>
            <w:r w:rsidR="00CA22B6">
              <w:rPr>
                <w:rFonts w:eastAsia="Arial"/>
                <w:b/>
                <w:caps/>
                <w:sz w:val="16"/>
                <w:szCs w:val="16"/>
              </w:rPr>
              <w:t>S</w:t>
            </w:r>
            <w:r w:rsidRPr="00D60FAE">
              <w:rPr>
                <w:rFonts w:eastAsia="Arial"/>
                <w:b/>
                <w:caps/>
                <w:sz w:val="16"/>
                <w:szCs w:val="16"/>
              </w:rPr>
              <w:t xml:space="preserve"> for CES waivers</w:t>
            </w:r>
          </w:p>
        </w:tc>
        <w:tc>
          <w:tcPr>
            <w:tcW w:w="1384" w:type="dxa"/>
          </w:tcPr>
          <w:p w14:paraId="57C57002" w14:textId="50BAFF87" w:rsidR="00F5430A" w:rsidRPr="004570F2" w:rsidRDefault="00C92073">
            <w:pPr>
              <w:spacing w:after="270"/>
              <w:rPr>
                <w:sz w:val="20"/>
              </w:rPr>
            </w:pPr>
            <w:r w:rsidRPr="00D60FAE">
              <w:rPr>
                <w:rFonts w:eastAsia="Arial"/>
                <w:b/>
                <w:caps/>
                <w:sz w:val="16"/>
                <w:szCs w:val="16"/>
              </w:rPr>
              <w:t>biosimilar strategic projects support</w:t>
            </w:r>
          </w:p>
        </w:tc>
      </w:tr>
      <w:tr w:rsidR="003C1EAB" w:rsidRPr="003C1EAB" w14:paraId="5D8F2175" w14:textId="77777777" w:rsidTr="004570F2">
        <w:trPr>
          <w:trHeight w:val="300"/>
        </w:trPr>
        <w:tc>
          <w:tcPr>
            <w:tcW w:w="1503" w:type="dxa"/>
          </w:tcPr>
          <w:p w14:paraId="22BAADE6" w14:textId="77777777" w:rsidR="00F5430A" w:rsidRPr="004570F2" w:rsidRDefault="00F5430A">
            <w:pPr>
              <w:spacing w:after="270"/>
              <w:rPr>
                <w:sz w:val="20"/>
              </w:rPr>
            </w:pPr>
            <w:r w:rsidRPr="004570F2">
              <w:rPr>
                <w:rFonts w:eastAsia="Palatino Linotype"/>
                <w:b/>
                <w:sz w:val="20"/>
              </w:rPr>
              <w:t>CES execution cost saved per product</w:t>
            </w:r>
          </w:p>
        </w:tc>
        <w:tc>
          <w:tcPr>
            <w:tcW w:w="1360" w:type="dxa"/>
          </w:tcPr>
          <w:p w14:paraId="6EAE11AA" w14:textId="77777777" w:rsidR="00F5430A" w:rsidRPr="004570F2" w:rsidRDefault="00F5430A">
            <w:pPr>
              <w:spacing w:after="270"/>
              <w:rPr>
                <w:sz w:val="20"/>
                <w:lang w:val="fr-BE"/>
              </w:rPr>
            </w:pPr>
            <w:r w:rsidRPr="004570F2">
              <w:rPr>
                <w:rFonts w:eastAsia="Palatino Linotype"/>
                <w:sz w:val="20"/>
                <w:lang w:val="fr-BE"/>
              </w:rPr>
              <w:t>EUR 19–26 million (USD 20–28 million) per CES</w:t>
            </w:r>
          </w:p>
        </w:tc>
        <w:tc>
          <w:tcPr>
            <w:tcW w:w="1482" w:type="dxa"/>
          </w:tcPr>
          <w:p w14:paraId="26E8A10B" w14:textId="4854A992" w:rsidR="00F5430A" w:rsidRPr="004570F2" w:rsidRDefault="00F5430A">
            <w:pPr>
              <w:spacing w:after="270"/>
              <w:rPr>
                <w:sz w:val="20"/>
              </w:rPr>
            </w:pPr>
            <w:r w:rsidRPr="004570F2">
              <w:rPr>
                <w:rFonts w:eastAsia="Palatino Linotype"/>
                <w:sz w:val="20"/>
              </w:rPr>
              <w:t>EUR 222–</w:t>
            </w:r>
            <w:r w:rsidRPr="005035FA">
              <w:rPr>
                <w:rFonts w:eastAsia="Palatino Linotype"/>
                <w:sz w:val="20"/>
                <w:szCs w:val="20"/>
              </w:rPr>
              <w:t>467</w:t>
            </w:r>
            <w:r w:rsidR="00B35E3A" w:rsidRPr="005035FA">
              <w:rPr>
                <w:rFonts w:eastAsia="Palatino Linotype"/>
                <w:sz w:val="20"/>
                <w:szCs w:val="20"/>
              </w:rPr>
              <w:t xml:space="preserve"> million</w:t>
            </w:r>
            <w:r w:rsidRPr="005035FA">
              <w:rPr>
                <w:rFonts w:eastAsia="Palatino Linotype"/>
                <w:sz w:val="20"/>
                <w:szCs w:val="20"/>
              </w:rPr>
              <w:t>/y</w:t>
            </w:r>
            <w:r w:rsidR="00A45649" w:rsidRPr="005035FA">
              <w:rPr>
                <w:rFonts w:eastAsia="Palatino Linotype"/>
                <w:sz w:val="20"/>
                <w:szCs w:val="20"/>
              </w:rPr>
              <w:t>ea</w:t>
            </w:r>
            <w:r w:rsidRPr="005035FA">
              <w:rPr>
                <w:rFonts w:eastAsia="Palatino Linotype"/>
                <w:sz w:val="20"/>
                <w:szCs w:val="20"/>
              </w:rPr>
              <w:t>r</w:t>
            </w:r>
            <w:r w:rsidRPr="004570F2">
              <w:rPr>
                <w:rFonts w:eastAsia="Palatino Linotype"/>
                <w:sz w:val="20"/>
              </w:rPr>
              <w:t xml:space="preserve"> (aggregate, 12–18 MAAs)</w:t>
            </w:r>
          </w:p>
        </w:tc>
        <w:tc>
          <w:tcPr>
            <w:tcW w:w="1337" w:type="dxa"/>
          </w:tcPr>
          <w:p w14:paraId="4576E741" w14:textId="77777777" w:rsidR="00F5430A" w:rsidRPr="004570F2" w:rsidRDefault="00F5430A">
            <w:pPr>
              <w:spacing w:after="270"/>
              <w:rPr>
                <w:sz w:val="20"/>
              </w:rPr>
            </w:pPr>
            <w:r w:rsidRPr="004570F2">
              <w:rPr>
                <w:rFonts w:eastAsia="Palatino Linotype"/>
                <w:sz w:val="20"/>
              </w:rPr>
              <w:t>EUR 463 million–1.0 billion per year (25–40 MAAs)</w:t>
            </w:r>
          </w:p>
        </w:tc>
        <w:tc>
          <w:tcPr>
            <w:tcW w:w="1532" w:type="dxa"/>
          </w:tcPr>
          <w:p w14:paraId="7D9294A8" w14:textId="77777777" w:rsidR="00F5430A" w:rsidRPr="004570F2" w:rsidRDefault="00F5430A">
            <w:pPr>
              <w:spacing w:after="270"/>
              <w:rPr>
                <w:sz w:val="20"/>
              </w:rPr>
            </w:pPr>
            <w:r w:rsidRPr="004570F2">
              <w:rPr>
                <w:rFonts w:eastAsia="Palatino Linotype"/>
                <w:sz w:val="20"/>
              </w:rPr>
              <w:t>Direct: full trial elimination for qualifying products</w:t>
            </w:r>
          </w:p>
        </w:tc>
        <w:tc>
          <w:tcPr>
            <w:tcW w:w="1384" w:type="dxa"/>
          </w:tcPr>
          <w:p w14:paraId="7B5DEE62" w14:textId="77777777" w:rsidR="00F5430A" w:rsidRPr="004570F2" w:rsidRDefault="00F5430A">
            <w:pPr>
              <w:spacing w:after="270"/>
              <w:rPr>
                <w:sz w:val="20"/>
              </w:rPr>
            </w:pPr>
            <w:r w:rsidRPr="004570F2">
              <w:rPr>
                <w:rFonts w:eastAsia="Palatino Linotype"/>
                <w:sz w:val="20"/>
              </w:rPr>
              <w:t>—</w:t>
            </w:r>
          </w:p>
        </w:tc>
      </w:tr>
      <w:tr w:rsidR="003C1EAB" w:rsidRPr="003C1EAB" w14:paraId="6E6D3FB3" w14:textId="77777777" w:rsidTr="004570F2">
        <w:trPr>
          <w:trHeight w:val="300"/>
        </w:trPr>
        <w:tc>
          <w:tcPr>
            <w:tcW w:w="1503" w:type="dxa"/>
          </w:tcPr>
          <w:p w14:paraId="57036915" w14:textId="77777777" w:rsidR="00F5430A" w:rsidRPr="004570F2" w:rsidRDefault="00F5430A">
            <w:pPr>
              <w:spacing w:after="270"/>
              <w:rPr>
                <w:sz w:val="20"/>
              </w:rPr>
            </w:pPr>
            <w:r w:rsidRPr="004570F2">
              <w:rPr>
                <w:rFonts w:eastAsia="Palatino Linotype"/>
                <w:b/>
                <w:sz w:val="20"/>
              </w:rPr>
              <w:t>Development timeline saving</w:t>
            </w:r>
          </w:p>
        </w:tc>
        <w:tc>
          <w:tcPr>
            <w:tcW w:w="1360" w:type="dxa"/>
          </w:tcPr>
          <w:p w14:paraId="38E333D4" w14:textId="77777777" w:rsidR="00F5430A" w:rsidRPr="004570F2" w:rsidRDefault="00F5430A">
            <w:pPr>
              <w:spacing w:after="270"/>
              <w:rPr>
                <w:sz w:val="20"/>
              </w:rPr>
            </w:pPr>
            <w:r w:rsidRPr="004570F2">
              <w:rPr>
                <w:rFonts w:eastAsia="Palatino Linotype"/>
                <w:sz w:val="20"/>
              </w:rPr>
              <w:t>0</w:t>
            </w:r>
          </w:p>
        </w:tc>
        <w:tc>
          <w:tcPr>
            <w:tcW w:w="1482" w:type="dxa"/>
          </w:tcPr>
          <w:p w14:paraId="7F4826C0" w14:textId="77777777" w:rsidR="00F5430A" w:rsidRPr="004570F2" w:rsidRDefault="00F5430A">
            <w:pPr>
              <w:spacing w:after="270"/>
              <w:rPr>
                <w:sz w:val="20"/>
              </w:rPr>
            </w:pPr>
            <w:r w:rsidRPr="004570F2">
              <w:rPr>
                <w:rFonts w:eastAsia="Palatino Linotype"/>
                <w:sz w:val="20"/>
              </w:rPr>
              <w:t>~24 months per product</w:t>
            </w:r>
          </w:p>
        </w:tc>
        <w:tc>
          <w:tcPr>
            <w:tcW w:w="1337" w:type="dxa"/>
          </w:tcPr>
          <w:p w14:paraId="0E0392AF" w14:textId="77777777" w:rsidR="00F5430A" w:rsidRPr="004570F2" w:rsidRDefault="00F5430A">
            <w:pPr>
              <w:spacing w:after="270"/>
              <w:rPr>
                <w:sz w:val="20"/>
              </w:rPr>
            </w:pPr>
            <w:r w:rsidRPr="004570F2">
              <w:rPr>
                <w:rFonts w:eastAsia="Palatino Linotype"/>
                <w:sz w:val="20"/>
              </w:rPr>
              <w:t>~24 months per product</w:t>
            </w:r>
          </w:p>
        </w:tc>
        <w:tc>
          <w:tcPr>
            <w:tcW w:w="1532" w:type="dxa"/>
          </w:tcPr>
          <w:p w14:paraId="3A1EEBA9" w14:textId="77777777" w:rsidR="00F5430A" w:rsidRPr="004570F2" w:rsidRDefault="00F5430A">
            <w:pPr>
              <w:spacing w:after="270"/>
              <w:rPr>
                <w:sz w:val="20"/>
              </w:rPr>
            </w:pPr>
            <w:r w:rsidRPr="004570F2">
              <w:rPr>
                <w:rFonts w:eastAsia="Palatino Linotype"/>
                <w:sz w:val="20"/>
              </w:rPr>
              <w:t>Direct: shorter pipeline, later start, reduced commercial risk</w:t>
            </w:r>
          </w:p>
        </w:tc>
        <w:tc>
          <w:tcPr>
            <w:tcW w:w="1384" w:type="dxa"/>
          </w:tcPr>
          <w:p w14:paraId="4F43930D" w14:textId="77777777" w:rsidR="00F5430A" w:rsidRPr="004570F2" w:rsidRDefault="00F5430A">
            <w:pPr>
              <w:spacing w:after="270"/>
              <w:rPr>
                <w:sz w:val="20"/>
              </w:rPr>
            </w:pPr>
            <w:r w:rsidRPr="004570F2">
              <w:rPr>
                <w:rFonts w:eastAsia="Palatino Linotype"/>
                <w:sz w:val="20"/>
              </w:rPr>
              <w:t>—</w:t>
            </w:r>
          </w:p>
        </w:tc>
      </w:tr>
      <w:tr w:rsidR="003C1EAB" w:rsidRPr="003C1EAB" w14:paraId="7A5B1D20" w14:textId="77777777" w:rsidTr="004570F2">
        <w:trPr>
          <w:trHeight w:val="300"/>
        </w:trPr>
        <w:tc>
          <w:tcPr>
            <w:tcW w:w="1503" w:type="dxa"/>
          </w:tcPr>
          <w:p w14:paraId="70319808" w14:textId="77777777" w:rsidR="00F5430A" w:rsidRPr="004570F2" w:rsidRDefault="00F5430A">
            <w:pPr>
              <w:spacing w:after="270"/>
              <w:rPr>
                <w:sz w:val="20"/>
              </w:rPr>
            </w:pPr>
            <w:r w:rsidRPr="004570F2">
              <w:rPr>
                <w:rFonts w:eastAsia="Palatino Linotype"/>
                <w:b/>
                <w:sz w:val="20"/>
              </w:rPr>
              <w:t>MAA dossier preparation (person-days per MAA)</w:t>
            </w:r>
          </w:p>
        </w:tc>
        <w:tc>
          <w:tcPr>
            <w:tcW w:w="1360" w:type="dxa"/>
          </w:tcPr>
          <w:p w14:paraId="39A25B39" w14:textId="77777777" w:rsidR="00F5430A" w:rsidRPr="004570F2" w:rsidRDefault="00F5430A">
            <w:pPr>
              <w:spacing w:after="270"/>
              <w:rPr>
                <w:sz w:val="20"/>
              </w:rPr>
            </w:pPr>
            <w:r w:rsidRPr="004570F2">
              <w:rPr>
                <w:rFonts w:eastAsia="Palatino Linotype"/>
                <w:sz w:val="20"/>
              </w:rPr>
              <w:t>253–328</w:t>
            </w:r>
          </w:p>
        </w:tc>
        <w:tc>
          <w:tcPr>
            <w:tcW w:w="1482" w:type="dxa"/>
          </w:tcPr>
          <w:p w14:paraId="24927E56" w14:textId="77777777" w:rsidR="00F5430A" w:rsidRPr="004570F2" w:rsidRDefault="00F5430A">
            <w:pPr>
              <w:spacing w:after="270"/>
              <w:rPr>
                <w:sz w:val="20"/>
              </w:rPr>
            </w:pPr>
            <w:r w:rsidRPr="004570F2">
              <w:rPr>
                <w:rFonts w:eastAsia="Palatino Linotype"/>
                <w:sz w:val="20"/>
              </w:rPr>
              <w:t>253 for 50–75% of mAb MAAs</w:t>
            </w:r>
          </w:p>
        </w:tc>
        <w:tc>
          <w:tcPr>
            <w:tcW w:w="1337" w:type="dxa"/>
          </w:tcPr>
          <w:p w14:paraId="230580E9" w14:textId="77777777" w:rsidR="00F5430A" w:rsidRPr="004570F2" w:rsidRDefault="00F5430A">
            <w:pPr>
              <w:spacing w:after="270"/>
              <w:rPr>
                <w:sz w:val="20"/>
              </w:rPr>
            </w:pPr>
            <w:r w:rsidRPr="004570F2">
              <w:rPr>
                <w:rFonts w:eastAsia="Palatino Linotype"/>
                <w:sz w:val="20"/>
              </w:rPr>
              <w:t>253 for 70–80% of all MAAs</w:t>
            </w:r>
          </w:p>
        </w:tc>
        <w:tc>
          <w:tcPr>
            <w:tcW w:w="1532" w:type="dxa"/>
          </w:tcPr>
          <w:p w14:paraId="252F320E" w14:textId="09462CE2" w:rsidR="00F5430A" w:rsidRPr="004570F2" w:rsidRDefault="00F5430A">
            <w:pPr>
              <w:spacing w:after="270"/>
              <w:rPr>
                <w:rFonts w:eastAsia="Palatino Linotype"/>
                <w:sz w:val="20"/>
              </w:rPr>
            </w:pPr>
            <w:r w:rsidRPr="004570F2">
              <w:rPr>
                <w:rFonts w:eastAsia="Palatino Linotype"/>
                <w:sz w:val="20"/>
              </w:rPr>
              <w:t xml:space="preserve">~75 person-days saved per transitioning MAA; </w:t>
            </w:r>
            <w:r w:rsidR="06884380" w:rsidRPr="004570F2">
              <w:rPr>
                <w:rFonts w:eastAsia="Palatino Linotype"/>
                <w:sz w:val="20"/>
              </w:rPr>
              <w:t xml:space="preserve">EUR </w:t>
            </w:r>
            <w:r w:rsidRPr="005035FA">
              <w:rPr>
                <w:rFonts w:eastAsia="Palatino Linotype"/>
                <w:sz w:val="20"/>
                <w:szCs w:val="20"/>
              </w:rPr>
              <w:t>30–45</w:t>
            </w:r>
            <w:r w:rsidR="009B0ADD" w:rsidRPr="005035FA">
              <w:rPr>
                <w:rFonts w:eastAsia="Palatino Linotype"/>
                <w:sz w:val="20"/>
                <w:szCs w:val="20"/>
              </w:rPr>
              <w:t xml:space="preserve"> thousand</w:t>
            </w:r>
          </w:p>
        </w:tc>
        <w:tc>
          <w:tcPr>
            <w:tcW w:w="1384" w:type="dxa"/>
          </w:tcPr>
          <w:p w14:paraId="1E9FFA89" w14:textId="77777777" w:rsidR="00F5430A" w:rsidRPr="004570F2" w:rsidRDefault="00F5430A">
            <w:pPr>
              <w:spacing w:after="270"/>
              <w:rPr>
                <w:sz w:val="20"/>
              </w:rPr>
            </w:pPr>
            <w:r w:rsidRPr="004570F2">
              <w:rPr>
                <w:rFonts w:eastAsia="Palatino Linotype"/>
                <w:sz w:val="20"/>
              </w:rPr>
              <w:t>—</w:t>
            </w:r>
          </w:p>
        </w:tc>
      </w:tr>
      <w:tr w:rsidR="003C1EAB" w:rsidRPr="003C1EAB" w14:paraId="5B0CD7F9" w14:textId="77777777" w:rsidTr="004570F2">
        <w:trPr>
          <w:trHeight w:val="300"/>
        </w:trPr>
        <w:tc>
          <w:tcPr>
            <w:tcW w:w="1503" w:type="dxa"/>
          </w:tcPr>
          <w:p w14:paraId="14796025" w14:textId="77777777" w:rsidR="00F5430A" w:rsidRPr="004570F2" w:rsidRDefault="00F5430A">
            <w:pPr>
              <w:spacing w:after="270"/>
              <w:rPr>
                <w:sz w:val="20"/>
              </w:rPr>
            </w:pPr>
            <w:r w:rsidRPr="004570F2">
              <w:rPr>
                <w:rFonts w:eastAsia="Palatino Linotype"/>
                <w:b/>
                <w:sz w:val="20"/>
              </w:rPr>
              <w:t>Aggregate annual dossier saving (EUR)</w:t>
            </w:r>
          </w:p>
        </w:tc>
        <w:tc>
          <w:tcPr>
            <w:tcW w:w="1360" w:type="dxa"/>
          </w:tcPr>
          <w:p w14:paraId="0F6A2750" w14:textId="77777777" w:rsidR="00F5430A" w:rsidRPr="004570F2" w:rsidRDefault="00F5430A">
            <w:pPr>
              <w:spacing w:after="270"/>
              <w:rPr>
                <w:sz w:val="20"/>
              </w:rPr>
            </w:pPr>
            <w:r w:rsidRPr="004570F2">
              <w:rPr>
                <w:rFonts w:eastAsia="Palatino Linotype"/>
                <w:sz w:val="20"/>
              </w:rPr>
              <w:t>—</w:t>
            </w:r>
          </w:p>
        </w:tc>
        <w:tc>
          <w:tcPr>
            <w:tcW w:w="1482" w:type="dxa"/>
          </w:tcPr>
          <w:p w14:paraId="7672E08E" w14:textId="4DC0F41B" w:rsidR="00F5430A" w:rsidRPr="004570F2" w:rsidRDefault="5269EAF2">
            <w:pPr>
              <w:spacing w:after="270"/>
              <w:rPr>
                <w:rFonts w:eastAsia="Palatino Linotype"/>
                <w:sz w:val="20"/>
              </w:rPr>
            </w:pPr>
            <w:r w:rsidRPr="004570F2">
              <w:rPr>
                <w:rFonts w:eastAsia="Palatino Linotype"/>
                <w:sz w:val="20"/>
              </w:rPr>
              <w:t>EUR 0.4–0.</w:t>
            </w:r>
            <w:r w:rsidRPr="00987661">
              <w:rPr>
                <w:rFonts w:eastAsia="Palatino Linotype"/>
                <w:sz w:val="20"/>
                <w:szCs w:val="20"/>
              </w:rPr>
              <w:t>8</w:t>
            </w:r>
            <w:r w:rsidR="009B0ADD" w:rsidRPr="00987661">
              <w:rPr>
                <w:rFonts w:eastAsia="Palatino Linotype"/>
                <w:sz w:val="20"/>
                <w:szCs w:val="20"/>
              </w:rPr>
              <w:t xml:space="preserve"> million</w:t>
            </w:r>
            <w:r w:rsidRPr="00987661">
              <w:rPr>
                <w:rFonts w:eastAsia="Palatino Linotype"/>
                <w:sz w:val="20"/>
                <w:szCs w:val="20"/>
              </w:rPr>
              <w:t>/y</w:t>
            </w:r>
            <w:r w:rsidR="00A45649" w:rsidRPr="00987661">
              <w:rPr>
                <w:rFonts w:eastAsia="Palatino Linotype"/>
                <w:sz w:val="20"/>
                <w:szCs w:val="20"/>
              </w:rPr>
              <w:t>ea</w:t>
            </w:r>
            <w:r w:rsidR="00F5430A" w:rsidRPr="00987661">
              <w:rPr>
                <w:rFonts w:eastAsia="Palatino Linotype"/>
                <w:sz w:val="20"/>
                <w:szCs w:val="20"/>
              </w:rPr>
              <w:t>r</w:t>
            </w:r>
          </w:p>
        </w:tc>
        <w:tc>
          <w:tcPr>
            <w:tcW w:w="1337" w:type="dxa"/>
          </w:tcPr>
          <w:p w14:paraId="301DA624" w14:textId="7DC2644B" w:rsidR="00F5430A" w:rsidRPr="004570F2" w:rsidRDefault="39544150">
            <w:pPr>
              <w:spacing w:after="270"/>
              <w:rPr>
                <w:rFonts w:eastAsia="Palatino Linotype"/>
                <w:sz w:val="20"/>
              </w:rPr>
            </w:pPr>
            <w:r w:rsidRPr="004570F2">
              <w:rPr>
                <w:rFonts w:eastAsia="Palatino Linotype"/>
                <w:sz w:val="20"/>
              </w:rPr>
              <w:t>EUR 1.0–2.</w:t>
            </w:r>
            <w:r w:rsidRPr="00987661">
              <w:rPr>
                <w:rFonts w:eastAsia="Palatino Linotype"/>
                <w:sz w:val="20"/>
                <w:szCs w:val="20"/>
              </w:rPr>
              <w:t>5</w:t>
            </w:r>
            <w:r w:rsidR="009B0ADD" w:rsidRPr="00987661">
              <w:rPr>
                <w:rFonts w:eastAsia="Palatino Linotype"/>
                <w:sz w:val="20"/>
                <w:szCs w:val="20"/>
              </w:rPr>
              <w:t xml:space="preserve"> million</w:t>
            </w:r>
            <w:r w:rsidRPr="00987661">
              <w:rPr>
                <w:rFonts w:eastAsia="Palatino Linotype"/>
                <w:sz w:val="20"/>
                <w:szCs w:val="20"/>
              </w:rPr>
              <w:t>/y</w:t>
            </w:r>
            <w:r w:rsidR="00A45649" w:rsidRPr="00987661">
              <w:rPr>
                <w:rFonts w:eastAsia="Palatino Linotype"/>
                <w:sz w:val="20"/>
                <w:szCs w:val="20"/>
              </w:rPr>
              <w:t>ea</w:t>
            </w:r>
            <w:r w:rsidR="00F5430A" w:rsidRPr="00987661">
              <w:rPr>
                <w:rFonts w:eastAsia="Palatino Linotype"/>
                <w:sz w:val="20"/>
                <w:szCs w:val="20"/>
              </w:rPr>
              <w:t>r</w:t>
            </w:r>
          </w:p>
        </w:tc>
        <w:tc>
          <w:tcPr>
            <w:tcW w:w="1532" w:type="dxa"/>
          </w:tcPr>
          <w:p w14:paraId="7C7B84F9" w14:textId="77777777" w:rsidR="00F5430A" w:rsidRPr="004570F2" w:rsidRDefault="00F5430A">
            <w:pPr>
              <w:spacing w:after="270"/>
              <w:rPr>
                <w:sz w:val="20"/>
              </w:rPr>
            </w:pPr>
            <w:r w:rsidRPr="004570F2">
              <w:rPr>
                <w:rFonts w:eastAsia="Palatino Linotype"/>
                <w:sz w:val="20"/>
              </w:rPr>
              <w:t>12–18 MAAs near-term; 25–</w:t>
            </w:r>
            <w:r w:rsidRPr="004570F2">
              <w:rPr>
                <w:rFonts w:eastAsia="Palatino Linotype"/>
                <w:sz w:val="20"/>
              </w:rPr>
              <w:lastRenderedPageBreak/>
              <w:t>40 medium-term</w:t>
            </w:r>
          </w:p>
        </w:tc>
        <w:tc>
          <w:tcPr>
            <w:tcW w:w="1384" w:type="dxa"/>
          </w:tcPr>
          <w:p w14:paraId="29A932C1" w14:textId="77777777" w:rsidR="00F5430A" w:rsidRPr="004570F2" w:rsidRDefault="00F5430A">
            <w:pPr>
              <w:spacing w:after="270"/>
              <w:rPr>
                <w:sz w:val="20"/>
              </w:rPr>
            </w:pPr>
            <w:r w:rsidRPr="004570F2">
              <w:rPr>
                <w:rFonts w:eastAsia="Palatino Linotype"/>
                <w:sz w:val="20"/>
              </w:rPr>
              <w:lastRenderedPageBreak/>
              <w:t>—</w:t>
            </w:r>
          </w:p>
        </w:tc>
      </w:tr>
    </w:tbl>
    <w:p w14:paraId="1F584D93" w14:textId="6206EC0B" w:rsidR="00F5430A" w:rsidRPr="004570F2" w:rsidRDefault="00F5430A">
      <w:pPr>
        <w:rPr>
          <w:i/>
          <w:sz w:val="20"/>
          <w:lang w:val="fr-BE"/>
        </w:rPr>
      </w:pPr>
      <w:r w:rsidRPr="004570F2">
        <w:rPr>
          <w:b/>
          <w:i/>
          <w:sz w:val="20"/>
          <w:lang w:val="fr-BE"/>
        </w:rPr>
        <w:t>Sources</w:t>
      </w:r>
      <w:r w:rsidRPr="004570F2">
        <w:rPr>
          <w:i/>
          <w:sz w:val="20"/>
          <w:lang w:val="fr-BE"/>
        </w:rPr>
        <w:t xml:space="preserve">: Annex I (dossier preparation, Nevens et al., 2019); Annex II (CES execution, Ranbhor &amp; Kulkarni, 2026); Cakić (2026); </w:t>
      </w:r>
    </w:p>
    <w:p w14:paraId="4F4F6C33" w14:textId="77777777" w:rsidR="00434569" w:rsidRPr="00F46227" w:rsidRDefault="00434569" w:rsidP="001E150C">
      <w:pPr>
        <w:rPr>
          <w:b/>
          <w:lang w:val="fr-BE"/>
        </w:rPr>
      </w:pPr>
    </w:p>
    <w:p w14:paraId="64BC2561" w14:textId="77777777" w:rsidR="001E150C" w:rsidRPr="004570F2" w:rsidRDefault="001E150C" w:rsidP="001E150C">
      <w:pPr>
        <w:rPr>
          <w:b/>
        </w:rPr>
      </w:pPr>
      <w:r w:rsidRPr="004570F2">
        <w:rPr>
          <w:b/>
        </w:rPr>
        <w:t>Biosimilar strategic projects recognition and support (Article 29 -30)</w:t>
      </w:r>
    </w:p>
    <w:p w14:paraId="20F2E4CA" w14:textId="258E938C" w:rsidR="001E150C" w:rsidRPr="003D5A85" w:rsidRDefault="001E150C" w:rsidP="001E150C">
      <w:r w:rsidRPr="00D60FAE">
        <w:t xml:space="preserve">Table </w:t>
      </w:r>
      <w:r w:rsidR="008049E0" w:rsidRPr="008049E0">
        <w:t>1</w:t>
      </w:r>
      <w:r w:rsidR="000B7A24">
        <w:t>2</w:t>
      </w:r>
      <w:r w:rsidRPr="003D5A85">
        <w:t xml:space="preserve"> presents the illustrative order-of-magnitude impacts for biosimilar strategic projects under Article 29, derived by proportional scaling from the Strategic Projects of chapter II (intervention N</w:t>
      </w:r>
      <w:r w:rsidRPr="003D5A85">
        <w:rPr>
          <w:vertAlign w:val="superscript"/>
        </w:rPr>
        <w:t>o</w:t>
      </w:r>
      <w:r w:rsidRPr="003D5A85">
        <w:t xml:space="preserve"> 9)</w:t>
      </w:r>
    </w:p>
    <w:p w14:paraId="213FD81A" w14:textId="67AA1BF9" w:rsidR="001E150C" w:rsidRPr="003D5A85" w:rsidRDefault="001E150C" w:rsidP="001E150C">
      <w:pPr>
        <w:rPr>
          <w:b/>
          <w:bCs/>
        </w:rPr>
      </w:pPr>
      <w:r w:rsidRPr="003D5A85">
        <w:rPr>
          <w:b/>
          <w:bCs/>
        </w:rPr>
        <w:t xml:space="preserve">Table </w:t>
      </w:r>
      <w:r w:rsidR="008049E0" w:rsidRPr="008049E0">
        <w:rPr>
          <w:b/>
          <w:bCs/>
        </w:rPr>
        <w:t>1</w:t>
      </w:r>
      <w:r w:rsidR="00EF070B">
        <w:rPr>
          <w:b/>
          <w:bCs/>
        </w:rPr>
        <w:t>2</w:t>
      </w:r>
      <w:r w:rsidR="00106AA9">
        <w:rPr>
          <w:b/>
          <w:bCs/>
        </w:rPr>
        <w:t>. O</w:t>
      </w:r>
      <w:r w:rsidRPr="003D5A85">
        <w:rPr>
          <w:b/>
          <w:bCs/>
        </w:rPr>
        <w:t>verall strategic project impact adapted for the biosimilar case</w:t>
      </w:r>
    </w:p>
    <w:tbl>
      <w:tblPr>
        <w:tblStyle w:val="TableGridLight1"/>
        <w:tblW w:w="9072" w:type="dxa"/>
        <w:tblLook w:val="0000" w:firstRow="0" w:lastRow="0" w:firstColumn="0" w:lastColumn="0" w:noHBand="0" w:noVBand="0"/>
      </w:tblPr>
      <w:tblGrid>
        <w:gridCol w:w="3085"/>
        <w:gridCol w:w="1985"/>
        <w:gridCol w:w="1701"/>
        <w:gridCol w:w="2301"/>
      </w:tblGrid>
      <w:tr w:rsidR="001E150C" w:rsidRPr="003D5A85" w14:paraId="055160B9" w14:textId="77777777">
        <w:trPr>
          <w:cnfStyle w:val="000000100000" w:firstRow="0" w:lastRow="0" w:firstColumn="0" w:lastColumn="0" w:oddVBand="0" w:evenVBand="0" w:oddHBand="1" w:evenHBand="0" w:firstRowFirstColumn="0" w:firstRowLastColumn="0" w:lastRowFirstColumn="0" w:lastRowLastColumn="0"/>
        </w:trPr>
        <w:tc>
          <w:tcPr>
            <w:tcW w:w="3085" w:type="dxa"/>
          </w:tcPr>
          <w:p w14:paraId="29521232" w14:textId="77777777" w:rsidR="001E150C" w:rsidRPr="003D5A85" w:rsidRDefault="001E150C">
            <w:pPr>
              <w:spacing w:after="40"/>
              <w:rPr>
                <w:sz w:val="20"/>
                <w:szCs w:val="20"/>
              </w:rPr>
            </w:pPr>
            <w:r w:rsidRPr="003D5A85">
              <w:rPr>
                <w:rFonts w:eastAsia="Arial"/>
                <w:b/>
                <w:sz w:val="20"/>
                <w:szCs w:val="20"/>
              </w:rPr>
              <w:t>Impact category</w:t>
            </w:r>
          </w:p>
        </w:tc>
        <w:tc>
          <w:tcPr>
            <w:tcW w:w="1985" w:type="dxa"/>
          </w:tcPr>
          <w:p w14:paraId="4C90DD35" w14:textId="77777777" w:rsidR="001E150C" w:rsidRPr="003D5A85" w:rsidRDefault="001E150C">
            <w:pPr>
              <w:spacing w:after="40"/>
              <w:rPr>
                <w:sz w:val="20"/>
                <w:szCs w:val="20"/>
              </w:rPr>
            </w:pPr>
            <w:r w:rsidRPr="003D5A85">
              <w:rPr>
                <w:rFonts w:eastAsia="Arial"/>
                <w:b/>
                <w:sz w:val="20"/>
                <w:szCs w:val="20"/>
              </w:rPr>
              <w:t>Low uptake (3–5 projects)</w:t>
            </w:r>
          </w:p>
        </w:tc>
        <w:tc>
          <w:tcPr>
            <w:tcW w:w="1701" w:type="dxa"/>
          </w:tcPr>
          <w:p w14:paraId="6C831A4F" w14:textId="77777777" w:rsidR="001E150C" w:rsidRPr="003D5A85" w:rsidRDefault="001E150C">
            <w:pPr>
              <w:spacing w:after="40"/>
              <w:rPr>
                <w:sz w:val="20"/>
                <w:szCs w:val="20"/>
              </w:rPr>
            </w:pPr>
            <w:r w:rsidRPr="003D5A85">
              <w:rPr>
                <w:rFonts w:eastAsia="Arial"/>
                <w:b/>
                <w:sz w:val="20"/>
                <w:szCs w:val="20"/>
              </w:rPr>
              <w:t>Medium uptake (8–12 projects)</w:t>
            </w:r>
          </w:p>
        </w:tc>
        <w:tc>
          <w:tcPr>
            <w:tcW w:w="2301" w:type="dxa"/>
          </w:tcPr>
          <w:p w14:paraId="7C9543A7" w14:textId="77777777" w:rsidR="001E150C" w:rsidRPr="003D5A85" w:rsidRDefault="001E150C">
            <w:pPr>
              <w:spacing w:after="40"/>
              <w:rPr>
                <w:sz w:val="20"/>
                <w:szCs w:val="20"/>
              </w:rPr>
            </w:pPr>
            <w:r w:rsidRPr="003D5A85">
              <w:rPr>
                <w:rFonts w:eastAsia="Arial"/>
                <w:b/>
                <w:sz w:val="20"/>
                <w:szCs w:val="20"/>
              </w:rPr>
              <w:t>High uptake (15–20 projects)</w:t>
            </w:r>
          </w:p>
        </w:tc>
      </w:tr>
      <w:tr w:rsidR="001E150C" w:rsidRPr="003D5A85" w14:paraId="1867D26E" w14:textId="77777777">
        <w:tc>
          <w:tcPr>
            <w:tcW w:w="3085" w:type="dxa"/>
          </w:tcPr>
          <w:p w14:paraId="1DF840D9" w14:textId="77777777" w:rsidR="001E150C" w:rsidRPr="003D5A85" w:rsidRDefault="001E150C">
            <w:pPr>
              <w:spacing w:after="20"/>
              <w:rPr>
                <w:sz w:val="20"/>
                <w:szCs w:val="20"/>
              </w:rPr>
            </w:pPr>
            <w:r w:rsidRPr="003D5A85">
              <w:rPr>
                <w:rFonts w:eastAsia="Arial"/>
                <w:b/>
                <w:sz w:val="20"/>
                <w:szCs w:val="20"/>
              </w:rPr>
              <w:t>Conduct of business</w:t>
            </w:r>
          </w:p>
          <w:p w14:paraId="57DC7BAE" w14:textId="77777777" w:rsidR="001E150C" w:rsidRPr="003D5A85" w:rsidRDefault="001E150C">
            <w:pPr>
              <w:spacing w:after="20"/>
              <w:rPr>
                <w:sz w:val="20"/>
                <w:szCs w:val="20"/>
              </w:rPr>
            </w:pPr>
            <w:r w:rsidRPr="003D5A85">
              <w:rPr>
                <w:rFonts w:eastAsia="Arial"/>
                <w:i/>
                <w:color w:val="555555"/>
                <w:sz w:val="20"/>
                <w:szCs w:val="20"/>
              </w:rPr>
              <w:t>Projects completing permit-granting within 10 months (Article 12)</w:t>
            </w:r>
          </w:p>
        </w:tc>
        <w:tc>
          <w:tcPr>
            <w:tcW w:w="1985" w:type="dxa"/>
          </w:tcPr>
          <w:p w14:paraId="40819A8D" w14:textId="77777777" w:rsidR="001E150C" w:rsidRPr="003D5A85" w:rsidRDefault="001E150C">
            <w:pPr>
              <w:rPr>
                <w:sz w:val="20"/>
                <w:szCs w:val="20"/>
              </w:rPr>
            </w:pPr>
            <w:r w:rsidRPr="003D5A85">
              <w:rPr>
                <w:sz w:val="20"/>
                <w:szCs w:val="20"/>
              </w:rPr>
              <w:t>~2–4</w:t>
            </w:r>
          </w:p>
          <w:p w14:paraId="4712F2FB" w14:textId="77777777" w:rsidR="001E150C" w:rsidRPr="003D5A85" w:rsidRDefault="001E150C">
            <w:pPr>
              <w:rPr>
                <w:sz w:val="20"/>
                <w:szCs w:val="20"/>
              </w:rPr>
            </w:pPr>
          </w:p>
        </w:tc>
        <w:tc>
          <w:tcPr>
            <w:tcW w:w="1701" w:type="dxa"/>
          </w:tcPr>
          <w:p w14:paraId="3D006645" w14:textId="77777777" w:rsidR="001E150C" w:rsidRPr="003D5A85" w:rsidRDefault="001E150C">
            <w:pPr>
              <w:rPr>
                <w:sz w:val="20"/>
                <w:szCs w:val="20"/>
              </w:rPr>
            </w:pPr>
            <w:r w:rsidRPr="003D5A85">
              <w:rPr>
                <w:sz w:val="20"/>
                <w:szCs w:val="20"/>
              </w:rPr>
              <w:t>~6–10</w:t>
            </w:r>
          </w:p>
          <w:p w14:paraId="53602BCC" w14:textId="77777777" w:rsidR="001E150C" w:rsidRPr="003D5A85" w:rsidRDefault="001E150C">
            <w:pPr>
              <w:rPr>
                <w:sz w:val="20"/>
                <w:szCs w:val="20"/>
              </w:rPr>
            </w:pPr>
          </w:p>
        </w:tc>
        <w:tc>
          <w:tcPr>
            <w:tcW w:w="2301" w:type="dxa"/>
          </w:tcPr>
          <w:p w14:paraId="2B7D1CEF" w14:textId="77777777" w:rsidR="001E150C" w:rsidRPr="003D5A85" w:rsidRDefault="001E150C">
            <w:pPr>
              <w:rPr>
                <w:sz w:val="20"/>
                <w:szCs w:val="20"/>
              </w:rPr>
            </w:pPr>
            <w:r w:rsidRPr="003D5A85">
              <w:rPr>
                <w:sz w:val="20"/>
                <w:szCs w:val="20"/>
              </w:rPr>
              <w:t>~11–17</w:t>
            </w:r>
          </w:p>
          <w:p w14:paraId="79CBBEE8" w14:textId="77777777" w:rsidR="001E150C" w:rsidRPr="003D5A85" w:rsidRDefault="001E150C">
            <w:pPr>
              <w:rPr>
                <w:sz w:val="20"/>
                <w:szCs w:val="20"/>
              </w:rPr>
            </w:pPr>
          </w:p>
        </w:tc>
      </w:tr>
      <w:tr w:rsidR="001E150C" w:rsidRPr="003D5A85" w14:paraId="56B9636A" w14:textId="77777777">
        <w:trPr>
          <w:cnfStyle w:val="000000100000" w:firstRow="0" w:lastRow="0" w:firstColumn="0" w:lastColumn="0" w:oddVBand="0" w:evenVBand="0" w:oddHBand="1" w:evenHBand="0" w:firstRowFirstColumn="0" w:firstRowLastColumn="0" w:lastRowFirstColumn="0" w:lastRowLastColumn="0"/>
        </w:trPr>
        <w:tc>
          <w:tcPr>
            <w:tcW w:w="3085" w:type="dxa"/>
          </w:tcPr>
          <w:p w14:paraId="62007B15" w14:textId="77777777" w:rsidR="001E150C" w:rsidRPr="003D5A85" w:rsidRDefault="001E150C">
            <w:pPr>
              <w:spacing w:after="20"/>
              <w:rPr>
                <w:sz w:val="20"/>
                <w:szCs w:val="20"/>
              </w:rPr>
            </w:pPr>
            <w:bookmarkStart w:id="368" w:name="_Hlk225360791"/>
            <w:r w:rsidRPr="003D5A85">
              <w:rPr>
                <w:rFonts w:eastAsia="Arial"/>
                <w:b/>
                <w:sz w:val="20"/>
                <w:szCs w:val="20"/>
              </w:rPr>
              <w:t>Administrative costs on businesses</w:t>
            </w:r>
            <w:bookmarkEnd w:id="368"/>
            <w:r w:rsidRPr="003D5A85">
              <w:rPr>
                <w:rFonts w:eastAsia="Arial"/>
                <w:b/>
                <w:sz w:val="20"/>
                <w:szCs w:val="20"/>
              </w:rPr>
              <w:t>, including SMEs</w:t>
            </w:r>
          </w:p>
          <w:p w14:paraId="477ECC84" w14:textId="77777777" w:rsidR="001E150C" w:rsidRPr="003D5A85" w:rsidRDefault="001E150C">
            <w:pPr>
              <w:spacing w:after="20"/>
              <w:rPr>
                <w:sz w:val="20"/>
                <w:szCs w:val="20"/>
              </w:rPr>
            </w:pPr>
            <w:r w:rsidRPr="003D5A85">
              <w:rPr>
                <w:rFonts w:eastAsia="Arial"/>
                <w:i/>
                <w:color w:val="555555"/>
                <w:sz w:val="20"/>
                <w:szCs w:val="20"/>
              </w:rPr>
              <w:t>Avoided delay costs (cumulative, EUR million)</w:t>
            </w:r>
          </w:p>
        </w:tc>
        <w:tc>
          <w:tcPr>
            <w:tcW w:w="1985" w:type="dxa"/>
          </w:tcPr>
          <w:p w14:paraId="6678AF67" w14:textId="77777777" w:rsidR="001E150C" w:rsidRPr="003D5A85" w:rsidRDefault="001E150C">
            <w:pPr>
              <w:rPr>
                <w:sz w:val="20"/>
                <w:szCs w:val="20"/>
              </w:rPr>
            </w:pPr>
            <w:r w:rsidRPr="003D5A85">
              <w:rPr>
                <w:sz w:val="20"/>
                <w:szCs w:val="20"/>
              </w:rPr>
              <w:t>~EUR 13–60 million</w:t>
            </w:r>
          </w:p>
          <w:p w14:paraId="3EEDFF40" w14:textId="77777777" w:rsidR="001E150C" w:rsidRPr="003D5A85" w:rsidRDefault="001E150C">
            <w:pPr>
              <w:rPr>
                <w:sz w:val="20"/>
                <w:szCs w:val="20"/>
              </w:rPr>
            </w:pPr>
          </w:p>
        </w:tc>
        <w:tc>
          <w:tcPr>
            <w:tcW w:w="1701" w:type="dxa"/>
          </w:tcPr>
          <w:p w14:paraId="4B660541" w14:textId="77777777" w:rsidR="001E150C" w:rsidRPr="003D5A85" w:rsidRDefault="001E150C">
            <w:pPr>
              <w:rPr>
                <w:sz w:val="20"/>
                <w:szCs w:val="20"/>
              </w:rPr>
            </w:pPr>
            <w:r w:rsidRPr="003D5A85">
              <w:rPr>
                <w:sz w:val="20"/>
                <w:szCs w:val="20"/>
              </w:rPr>
              <w:t>~EUR 33–147 million</w:t>
            </w:r>
          </w:p>
          <w:p w14:paraId="23E461A3" w14:textId="77777777" w:rsidR="001E150C" w:rsidRPr="003D5A85" w:rsidRDefault="001E150C">
            <w:pPr>
              <w:rPr>
                <w:sz w:val="20"/>
                <w:szCs w:val="20"/>
              </w:rPr>
            </w:pPr>
          </w:p>
        </w:tc>
        <w:tc>
          <w:tcPr>
            <w:tcW w:w="2301" w:type="dxa"/>
          </w:tcPr>
          <w:p w14:paraId="0B826796" w14:textId="77777777" w:rsidR="001E150C" w:rsidRPr="003D5A85" w:rsidRDefault="001E150C">
            <w:pPr>
              <w:rPr>
                <w:sz w:val="20"/>
                <w:szCs w:val="20"/>
              </w:rPr>
            </w:pPr>
            <w:r w:rsidRPr="003D5A85">
              <w:rPr>
                <w:sz w:val="20"/>
                <w:szCs w:val="20"/>
              </w:rPr>
              <w:t>~EUR 57–260 million</w:t>
            </w:r>
          </w:p>
          <w:p w14:paraId="24CC8FE7" w14:textId="77777777" w:rsidR="001E150C" w:rsidRPr="003D5A85" w:rsidRDefault="001E150C">
            <w:pPr>
              <w:rPr>
                <w:sz w:val="20"/>
                <w:szCs w:val="20"/>
              </w:rPr>
            </w:pPr>
          </w:p>
        </w:tc>
      </w:tr>
      <w:tr w:rsidR="001E150C" w:rsidRPr="003D5A85" w14:paraId="2C02C8B4" w14:textId="77777777">
        <w:tc>
          <w:tcPr>
            <w:tcW w:w="3085" w:type="dxa"/>
          </w:tcPr>
          <w:p w14:paraId="2127B2D3" w14:textId="77777777" w:rsidR="001E150C" w:rsidRPr="003D5A85" w:rsidRDefault="001E150C">
            <w:pPr>
              <w:spacing w:after="20"/>
              <w:rPr>
                <w:sz w:val="20"/>
                <w:szCs w:val="20"/>
              </w:rPr>
            </w:pPr>
            <w:bookmarkStart w:id="369" w:name="_Hlk225360850"/>
            <w:r w:rsidRPr="003D5A85">
              <w:rPr>
                <w:rFonts w:eastAsia="Arial"/>
                <w:b/>
                <w:sz w:val="20"/>
                <w:szCs w:val="20"/>
              </w:rPr>
              <w:t>Competitiveness, trade and investment flows</w:t>
            </w:r>
          </w:p>
          <w:bookmarkEnd w:id="369"/>
          <w:p w14:paraId="0B040FEA" w14:textId="77777777" w:rsidR="001E150C" w:rsidRPr="003D5A85" w:rsidRDefault="001E150C">
            <w:pPr>
              <w:spacing w:after="20"/>
              <w:rPr>
                <w:sz w:val="20"/>
                <w:szCs w:val="20"/>
              </w:rPr>
            </w:pPr>
            <w:r w:rsidRPr="003D5A85">
              <w:rPr>
                <w:rFonts w:eastAsia="Arial"/>
                <w:i/>
                <w:color w:val="555555"/>
                <w:sz w:val="20"/>
                <w:szCs w:val="20"/>
              </w:rPr>
              <w:t>Total investment mobilised (cumulative, EUR billion)</w:t>
            </w:r>
          </w:p>
        </w:tc>
        <w:tc>
          <w:tcPr>
            <w:tcW w:w="1985" w:type="dxa"/>
          </w:tcPr>
          <w:p w14:paraId="35E32D85" w14:textId="77777777" w:rsidR="001E150C" w:rsidRPr="003D5A85" w:rsidRDefault="001E150C">
            <w:pPr>
              <w:rPr>
                <w:sz w:val="20"/>
                <w:szCs w:val="20"/>
              </w:rPr>
            </w:pPr>
            <w:r w:rsidRPr="003D5A85">
              <w:rPr>
                <w:sz w:val="20"/>
                <w:szCs w:val="20"/>
              </w:rPr>
              <w:t>~EUR 0.9–1.7 billion</w:t>
            </w:r>
          </w:p>
          <w:p w14:paraId="675612EB" w14:textId="77777777" w:rsidR="001E150C" w:rsidRPr="003D5A85" w:rsidRDefault="001E150C">
            <w:pPr>
              <w:rPr>
                <w:sz w:val="20"/>
                <w:szCs w:val="20"/>
              </w:rPr>
            </w:pPr>
          </w:p>
        </w:tc>
        <w:tc>
          <w:tcPr>
            <w:tcW w:w="1701" w:type="dxa"/>
          </w:tcPr>
          <w:p w14:paraId="6C20A5C6" w14:textId="77777777" w:rsidR="001E150C" w:rsidRPr="003D5A85" w:rsidRDefault="001E150C">
            <w:pPr>
              <w:rPr>
                <w:sz w:val="20"/>
                <w:szCs w:val="20"/>
              </w:rPr>
            </w:pPr>
            <w:r w:rsidRPr="003D5A85">
              <w:rPr>
                <w:sz w:val="20"/>
                <w:szCs w:val="20"/>
              </w:rPr>
              <w:t>~EUR 2.3–4.3 billion</w:t>
            </w:r>
          </w:p>
          <w:p w14:paraId="3B84860E" w14:textId="77777777" w:rsidR="001E150C" w:rsidRPr="003D5A85" w:rsidRDefault="001E150C">
            <w:pPr>
              <w:rPr>
                <w:sz w:val="20"/>
                <w:szCs w:val="20"/>
              </w:rPr>
            </w:pPr>
          </w:p>
        </w:tc>
        <w:tc>
          <w:tcPr>
            <w:tcW w:w="2301" w:type="dxa"/>
          </w:tcPr>
          <w:p w14:paraId="66179AEE" w14:textId="77777777" w:rsidR="001E150C" w:rsidRPr="003D5A85" w:rsidRDefault="001E150C">
            <w:pPr>
              <w:rPr>
                <w:sz w:val="20"/>
                <w:szCs w:val="20"/>
              </w:rPr>
            </w:pPr>
            <w:r w:rsidRPr="003D5A85">
              <w:rPr>
                <w:sz w:val="20"/>
                <w:szCs w:val="20"/>
              </w:rPr>
              <w:t>~EUR 4.0–7.6 billion</w:t>
            </w:r>
          </w:p>
          <w:p w14:paraId="329F801E" w14:textId="77777777" w:rsidR="001E150C" w:rsidRPr="003D5A85" w:rsidRDefault="001E150C">
            <w:pPr>
              <w:rPr>
                <w:sz w:val="20"/>
                <w:szCs w:val="20"/>
              </w:rPr>
            </w:pPr>
          </w:p>
        </w:tc>
      </w:tr>
      <w:tr w:rsidR="001E150C" w:rsidRPr="003D5A85" w14:paraId="04838349" w14:textId="77777777">
        <w:trPr>
          <w:cnfStyle w:val="000000100000" w:firstRow="0" w:lastRow="0" w:firstColumn="0" w:lastColumn="0" w:oddVBand="0" w:evenVBand="0" w:oddHBand="1" w:evenHBand="0" w:firstRowFirstColumn="0" w:firstRowLastColumn="0" w:lastRowFirstColumn="0" w:lastRowLastColumn="0"/>
        </w:trPr>
        <w:tc>
          <w:tcPr>
            <w:tcW w:w="3085" w:type="dxa"/>
          </w:tcPr>
          <w:p w14:paraId="01DA7803" w14:textId="77777777" w:rsidR="001E150C" w:rsidRPr="003D5A85" w:rsidRDefault="001E150C">
            <w:pPr>
              <w:spacing w:after="20"/>
              <w:rPr>
                <w:sz w:val="20"/>
                <w:szCs w:val="20"/>
              </w:rPr>
            </w:pPr>
            <w:r w:rsidRPr="003D5A85">
              <w:rPr>
                <w:rFonts w:eastAsia="Arial"/>
                <w:b/>
                <w:sz w:val="20"/>
                <w:szCs w:val="20"/>
              </w:rPr>
              <w:t>Functioning of the internal market and competition</w:t>
            </w:r>
          </w:p>
          <w:p w14:paraId="353ABDAB" w14:textId="77777777" w:rsidR="001E150C" w:rsidRPr="003D5A85" w:rsidRDefault="001E150C">
            <w:pPr>
              <w:spacing w:after="20"/>
              <w:rPr>
                <w:sz w:val="20"/>
                <w:szCs w:val="20"/>
              </w:rPr>
            </w:pPr>
            <w:r w:rsidRPr="003D5A85">
              <w:rPr>
                <w:rFonts w:eastAsia="Arial"/>
                <w:i/>
                <w:color w:val="555555"/>
                <w:sz w:val="20"/>
                <w:szCs w:val="20"/>
              </w:rPr>
              <w:t>Cross-border projects (≥2 Member States)</w:t>
            </w:r>
          </w:p>
        </w:tc>
        <w:tc>
          <w:tcPr>
            <w:tcW w:w="1985" w:type="dxa"/>
          </w:tcPr>
          <w:p w14:paraId="298B13E7" w14:textId="77777777" w:rsidR="001E150C" w:rsidRPr="003D5A85" w:rsidRDefault="001E150C">
            <w:pPr>
              <w:rPr>
                <w:sz w:val="20"/>
                <w:szCs w:val="20"/>
              </w:rPr>
            </w:pPr>
            <w:r w:rsidRPr="003D5A85">
              <w:rPr>
                <w:sz w:val="20"/>
                <w:szCs w:val="20"/>
              </w:rPr>
              <w:t>~0–1</w:t>
            </w:r>
          </w:p>
          <w:p w14:paraId="57875A09" w14:textId="77777777" w:rsidR="001E150C" w:rsidRPr="003D5A85" w:rsidRDefault="001E150C">
            <w:pPr>
              <w:rPr>
                <w:sz w:val="20"/>
                <w:szCs w:val="20"/>
              </w:rPr>
            </w:pPr>
          </w:p>
        </w:tc>
        <w:tc>
          <w:tcPr>
            <w:tcW w:w="1701" w:type="dxa"/>
          </w:tcPr>
          <w:p w14:paraId="7E95F24B" w14:textId="77777777" w:rsidR="001E150C" w:rsidRPr="003D5A85" w:rsidRDefault="001E150C">
            <w:pPr>
              <w:rPr>
                <w:sz w:val="20"/>
                <w:szCs w:val="20"/>
              </w:rPr>
            </w:pPr>
            <w:r w:rsidRPr="003D5A85">
              <w:rPr>
                <w:sz w:val="20"/>
                <w:szCs w:val="20"/>
              </w:rPr>
              <w:t>~1–2</w:t>
            </w:r>
          </w:p>
          <w:p w14:paraId="597D1E15" w14:textId="77777777" w:rsidR="001E150C" w:rsidRPr="003D5A85" w:rsidRDefault="001E150C">
            <w:pPr>
              <w:rPr>
                <w:sz w:val="20"/>
                <w:szCs w:val="20"/>
              </w:rPr>
            </w:pPr>
          </w:p>
        </w:tc>
        <w:tc>
          <w:tcPr>
            <w:tcW w:w="2301" w:type="dxa"/>
          </w:tcPr>
          <w:p w14:paraId="2FF7E8C4" w14:textId="77777777" w:rsidR="001E150C" w:rsidRPr="003D5A85" w:rsidRDefault="001E150C">
            <w:pPr>
              <w:rPr>
                <w:sz w:val="20"/>
                <w:szCs w:val="20"/>
              </w:rPr>
            </w:pPr>
            <w:r w:rsidRPr="003D5A85">
              <w:rPr>
                <w:sz w:val="20"/>
                <w:szCs w:val="20"/>
              </w:rPr>
              <w:t>~2–4</w:t>
            </w:r>
          </w:p>
          <w:p w14:paraId="54A97893" w14:textId="77777777" w:rsidR="001E150C" w:rsidRPr="003D5A85" w:rsidRDefault="001E150C">
            <w:pPr>
              <w:rPr>
                <w:sz w:val="20"/>
                <w:szCs w:val="20"/>
              </w:rPr>
            </w:pPr>
          </w:p>
        </w:tc>
      </w:tr>
      <w:tr w:rsidR="001E150C" w:rsidRPr="003D5A85" w14:paraId="29845FA8" w14:textId="77777777">
        <w:tc>
          <w:tcPr>
            <w:tcW w:w="3085" w:type="dxa"/>
          </w:tcPr>
          <w:p w14:paraId="44503FDE" w14:textId="77777777" w:rsidR="001E150C" w:rsidRPr="003D5A85" w:rsidRDefault="001E150C">
            <w:pPr>
              <w:spacing w:after="20"/>
              <w:rPr>
                <w:sz w:val="20"/>
                <w:szCs w:val="20"/>
              </w:rPr>
            </w:pPr>
            <w:r w:rsidRPr="003D5A85">
              <w:rPr>
                <w:rFonts w:eastAsia="Arial"/>
                <w:b/>
                <w:sz w:val="20"/>
                <w:szCs w:val="20"/>
              </w:rPr>
              <w:t>Innovation and research</w:t>
            </w:r>
          </w:p>
          <w:p w14:paraId="55AEF1E7" w14:textId="77777777" w:rsidR="001E150C" w:rsidRPr="003D5A85" w:rsidRDefault="001E150C">
            <w:pPr>
              <w:spacing w:after="20"/>
              <w:rPr>
                <w:sz w:val="20"/>
                <w:szCs w:val="20"/>
              </w:rPr>
            </w:pPr>
            <w:bookmarkStart w:id="370" w:name="_Hlk225364175"/>
            <w:r w:rsidRPr="003D5A85">
              <w:rPr>
                <w:rFonts w:eastAsia="Arial"/>
                <w:i/>
                <w:color w:val="555555"/>
                <w:sz w:val="20"/>
                <w:szCs w:val="20"/>
              </w:rPr>
              <w:t>Projects with material R&amp;I or analytical innovation outputs</w:t>
            </w:r>
            <w:bookmarkEnd w:id="370"/>
            <w:r w:rsidRPr="003D5A85">
              <w:rPr>
                <w:rFonts w:eastAsia="Arial"/>
                <w:i/>
                <w:color w:val="555555"/>
                <w:sz w:val="20"/>
                <w:szCs w:val="20"/>
              </w:rPr>
              <w:t xml:space="preserve"> (Article 29(1)(b))</w:t>
            </w:r>
          </w:p>
        </w:tc>
        <w:tc>
          <w:tcPr>
            <w:tcW w:w="1985" w:type="dxa"/>
          </w:tcPr>
          <w:p w14:paraId="338304FC" w14:textId="77777777" w:rsidR="001E150C" w:rsidRPr="003D5A85" w:rsidRDefault="001E150C">
            <w:pPr>
              <w:rPr>
                <w:sz w:val="20"/>
                <w:szCs w:val="20"/>
              </w:rPr>
            </w:pPr>
            <w:r w:rsidRPr="003D5A85">
              <w:rPr>
                <w:sz w:val="20"/>
                <w:szCs w:val="20"/>
              </w:rPr>
              <w:t>~1–2</w:t>
            </w:r>
          </w:p>
          <w:p w14:paraId="4462F7C3" w14:textId="77777777" w:rsidR="001E150C" w:rsidRPr="003D5A85" w:rsidRDefault="001E150C">
            <w:pPr>
              <w:rPr>
                <w:sz w:val="20"/>
                <w:szCs w:val="20"/>
              </w:rPr>
            </w:pPr>
          </w:p>
        </w:tc>
        <w:tc>
          <w:tcPr>
            <w:tcW w:w="1701" w:type="dxa"/>
          </w:tcPr>
          <w:p w14:paraId="23C7C0DE" w14:textId="77777777" w:rsidR="001E150C" w:rsidRPr="003D5A85" w:rsidRDefault="001E150C">
            <w:pPr>
              <w:rPr>
                <w:sz w:val="20"/>
                <w:szCs w:val="20"/>
              </w:rPr>
            </w:pPr>
            <w:r w:rsidRPr="003D5A85">
              <w:rPr>
                <w:sz w:val="20"/>
                <w:szCs w:val="20"/>
              </w:rPr>
              <w:t>~2–4</w:t>
            </w:r>
          </w:p>
          <w:p w14:paraId="413ED3FF" w14:textId="77777777" w:rsidR="001E150C" w:rsidRPr="003D5A85" w:rsidRDefault="001E150C">
            <w:pPr>
              <w:rPr>
                <w:sz w:val="20"/>
                <w:szCs w:val="20"/>
              </w:rPr>
            </w:pPr>
          </w:p>
        </w:tc>
        <w:tc>
          <w:tcPr>
            <w:tcW w:w="2301" w:type="dxa"/>
          </w:tcPr>
          <w:p w14:paraId="2257C531" w14:textId="77777777" w:rsidR="001E150C" w:rsidRPr="003D5A85" w:rsidRDefault="001E150C">
            <w:pPr>
              <w:rPr>
                <w:sz w:val="20"/>
                <w:szCs w:val="20"/>
              </w:rPr>
            </w:pPr>
            <w:r w:rsidRPr="003D5A85">
              <w:rPr>
                <w:sz w:val="20"/>
                <w:szCs w:val="20"/>
              </w:rPr>
              <w:t>~3–6</w:t>
            </w:r>
          </w:p>
          <w:p w14:paraId="1C349D54" w14:textId="77777777" w:rsidR="001E150C" w:rsidRPr="003D5A85" w:rsidRDefault="001E150C">
            <w:pPr>
              <w:rPr>
                <w:sz w:val="20"/>
                <w:szCs w:val="20"/>
              </w:rPr>
            </w:pPr>
          </w:p>
        </w:tc>
      </w:tr>
      <w:tr w:rsidR="001E150C" w:rsidRPr="003D5A85" w14:paraId="0309D54C" w14:textId="77777777">
        <w:trPr>
          <w:cnfStyle w:val="000000100000" w:firstRow="0" w:lastRow="0" w:firstColumn="0" w:lastColumn="0" w:oddVBand="0" w:evenVBand="0" w:oddHBand="1" w:evenHBand="0" w:firstRowFirstColumn="0" w:firstRowLastColumn="0" w:lastRowFirstColumn="0" w:lastRowLastColumn="0"/>
        </w:trPr>
        <w:tc>
          <w:tcPr>
            <w:tcW w:w="3085" w:type="dxa"/>
          </w:tcPr>
          <w:p w14:paraId="56567617" w14:textId="77777777" w:rsidR="001E150C" w:rsidRPr="003D5A85" w:rsidRDefault="001E150C">
            <w:pPr>
              <w:spacing w:after="20"/>
              <w:rPr>
                <w:sz w:val="20"/>
                <w:szCs w:val="20"/>
              </w:rPr>
            </w:pPr>
            <w:r w:rsidRPr="003D5A85">
              <w:rPr>
                <w:rFonts w:eastAsia="Arial"/>
                <w:b/>
                <w:sz w:val="20"/>
                <w:szCs w:val="20"/>
              </w:rPr>
              <w:t>Public authorities</w:t>
            </w:r>
          </w:p>
          <w:p w14:paraId="4DFD23D3" w14:textId="77777777" w:rsidR="001E150C" w:rsidRPr="003D5A85" w:rsidRDefault="001E150C">
            <w:pPr>
              <w:spacing w:after="20"/>
              <w:rPr>
                <w:sz w:val="20"/>
                <w:szCs w:val="20"/>
              </w:rPr>
            </w:pPr>
            <w:r w:rsidRPr="003D5A85">
              <w:rPr>
                <w:rFonts w:eastAsia="Arial"/>
                <w:i/>
                <w:color w:val="555555"/>
                <w:sz w:val="20"/>
                <w:szCs w:val="20"/>
              </w:rPr>
              <w:t>Biosimilar recognition decisions per year; incremental single point of contact capacity</w:t>
            </w:r>
          </w:p>
        </w:tc>
        <w:tc>
          <w:tcPr>
            <w:tcW w:w="1985" w:type="dxa"/>
          </w:tcPr>
          <w:p w14:paraId="03543CD5" w14:textId="04001A6B" w:rsidR="001E150C" w:rsidRPr="003D5A85" w:rsidRDefault="001E150C">
            <w:pPr>
              <w:rPr>
                <w:sz w:val="20"/>
                <w:szCs w:val="20"/>
              </w:rPr>
            </w:pPr>
            <w:r w:rsidRPr="003D5A85">
              <w:rPr>
                <w:sz w:val="20"/>
                <w:szCs w:val="20"/>
              </w:rPr>
              <w:t>~0.3/y</w:t>
            </w:r>
            <w:r w:rsidR="00A45649">
              <w:rPr>
                <w:sz w:val="20"/>
                <w:szCs w:val="20"/>
              </w:rPr>
              <w:t>ea</w:t>
            </w:r>
            <w:r w:rsidRPr="003D5A85">
              <w:rPr>
                <w:sz w:val="20"/>
                <w:szCs w:val="20"/>
              </w:rPr>
              <w:t>r; negligible incremental FTE (absorbed within Chapter II SPoC)</w:t>
            </w:r>
          </w:p>
          <w:p w14:paraId="51AE6F6D" w14:textId="77777777" w:rsidR="001E150C" w:rsidRPr="003D5A85" w:rsidRDefault="001E150C">
            <w:pPr>
              <w:rPr>
                <w:sz w:val="20"/>
                <w:szCs w:val="20"/>
              </w:rPr>
            </w:pPr>
          </w:p>
        </w:tc>
        <w:tc>
          <w:tcPr>
            <w:tcW w:w="1701" w:type="dxa"/>
          </w:tcPr>
          <w:p w14:paraId="2BF57D58" w14:textId="1302311F" w:rsidR="001E150C" w:rsidRPr="003D5A85" w:rsidRDefault="001E150C">
            <w:pPr>
              <w:rPr>
                <w:sz w:val="20"/>
                <w:szCs w:val="20"/>
              </w:rPr>
            </w:pPr>
            <w:r w:rsidRPr="003D5A85">
              <w:rPr>
                <w:sz w:val="20"/>
                <w:szCs w:val="20"/>
              </w:rPr>
              <w:t>~1/y</w:t>
            </w:r>
            <w:r w:rsidR="00A45649">
              <w:rPr>
                <w:sz w:val="20"/>
                <w:szCs w:val="20"/>
              </w:rPr>
              <w:t>ea</w:t>
            </w:r>
            <w:r w:rsidRPr="003D5A85">
              <w:rPr>
                <w:sz w:val="20"/>
                <w:szCs w:val="20"/>
              </w:rPr>
              <w:t>r; ~0.1–0.2 incremental FTE</w:t>
            </w:r>
          </w:p>
          <w:p w14:paraId="03D67429" w14:textId="77777777" w:rsidR="001E150C" w:rsidRPr="003D5A85" w:rsidRDefault="001E150C">
            <w:pPr>
              <w:rPr>
                <w:sz w:val="20"/>
                <w:szCs w:val="20"/>
              </w:rPr>
            </w:pPr>
          </w:p>
        </w:tc>
        <w:tc>
          <w:tcPr>
            <w:tcW w:w="2301" w:type="dxa"/>
          </w:tcPr>
          <w:p w14:paraId="5532FE8B" w14:textId="56233938" w:rsidR="001E150C" w:rsidRPr="003D5A85" w:rsidRDefault="001E150C">
            <w:pPr>
              <w:rPr>
                <w:sz w:val="20"/>
                <w:szCs w:val="20"/>
              </w:rPr>
            </w:pPr>
            <w:r w:rsidRPr="003D5A85">
              <w:rPr>
                <w:sz w:val="20"/>
                <w:szCs w:val="20"/>
              </w:rPr>
              <w:t>~1.5/y</w:t>
            </w:r>
            <w:r w:rsidR="00A45649">
              <w:rPr>
                <w:sz w:val="20"/>
                <w:szCs w:val="20"/>
              </w:rPr>
              <w:t>ea</w:t>
            </w:r>
            <w:r w:rsidRPr="003D5A85">
              <w:rPr>
                <w:sz w:val="20"/>
                <w:szCs w:val="20"/>
              </w:rPr>
              <w:t>r; ~0.2–0.3 incremental FTE</w:t>
            </w:r>
          </w:p>
          <w:p w14:paraId="205BF66F" w14:textId="77777777" w:rsidR="001E150C" w:rsidRPr="003D5A85" w:rsidRDefault="001E150C">
            <w:pPr>
              <w:rPr>
                <w:sz w:val="20"/>
                <w:szCs w:val="20"/>
              </w:rPr>
            </w:pPr>
          </w:p>
        </w:tc>
      </w:tr>
      <w:tr w:rsidR="001E150C" w:rsidRPr="003D5A85" w14:paraId="5BDE0F71" w14:textId="77777777">
        <w:tc>
          <w:tcPr>
            <w:tcW w:w="3085" w:type="dxa"/>
          </w:tcPr>
          <w:p w14:paraId="2B487756" w14:textId="77777777" w:rsidR="001E150C" w:rsidRPr="003D5A85" w:rsidRDefault="001E150C">
            <w:pPr>
              <w:spacing w:after="20"/>
              <w:rPr>
                <w:sz w:val="20"/>
                <w:szCs w:val="20"/>
              </w:rPr>
            </w:pPr>
            <w:r w:rsidRPr="003D5A85">
              <w:rPr>
                <w:rFonts w:eastAsia="Arial"/>
                <w:b/>
                <w:sz w:val="20"/>
                <w:szCs w:val="20"/>
              </w:rPr>
              <w:t>Public health and safety</w:t>
            </w:r>
          </w:p>
          <w:p w14:paraId="1616F6F6" w14:textId="77777777" w:rsidR="001E150C" w:rsidRPr="003D5A85" w:rsidRDefault="001E150C">
            <w:pPr>
              <w:spacing w:after="20"/>
              <w:rPr>
                <w:sz w:val="20"/>
                <w:szCs w:val="20"/>
              </w:rPr>
            </w:pPr>
            <w:r w:rsidRPr="003D5A85">
              <w:rPr>
                <w:rFonts w:eastAsia="Arial"/>
                <w:i/>
                <w:color w:val="555555"/>
                <w:sz w:val="20"/>
                <w:szCs w:val="20"/>
              </w:rPr>
              <w:t>Capacity-relevant biosimilar manufacturing deployments</w:t>
            </w:r>
          </w:p>
        </w:tc>
        <w:tc>
          <w:tcPr>
            <w:tcW w:w="1985" w:type="dxa"/>
          </w:tcPr>
          <w:p w14:paraId="0A0D083F" w14:textId="77777777" w:rsidR="001E150C" w:rsidRPr="003D5A85" w:rsidRDefault="001E150C">
            <w:pPr>
              <w:rPr>
                <w:sz w:val="20"/>
                <w:szCs w:val="20"/>
              </w:rPr>
            </w:pPr>
            <w:r w:rsidRPr="003D5A85">
              <w:rPr>
                <w:sz w:val="20"/>
                <w:szCs w:val="20"/>
              </w:rPr>
              <w:t>~1–2</w:t>
            </w:r>
          </w:p>
          <w:p w14:paraId="31021A4D" w14:textId="77777777" w:rsidR="001E150C" w:rsidRPr="003D5A85" w:rsidRDefault="001E150C">
            <w:pPr>
              <w:rPr>
                <w:sz w:val="20"/>
                <w:szCs w:val="20"/>
              </w:rPr>
            </w:pPr>
          </w:p>
        </w:tc>
        <w:tc>
          <w:tcPr>
            <w:tcW w:w="1701" w:type="dxa"/>
          </w:tcPr>
          <w:p w14:paraId="38B7C567" w14:textId="77777777" w:rsidR="001E150C" w:rsidRPr="003D5A85" w:rsidRDefault="001E150C">
            <w:pPr>
              <w:rPr>
                <w:sz w:val="20"/>
                <w:szCs w:val="20"/>
              </w:rPr>
            </w:pPr>
            <w:r w:rsidRPr="003D5A85">
              <w:rPr>
                <w:sz w:val="20"/>
                <w:szCs w:val="20"/>
              </w:rPr>
              <w:t>~3–5</w:t>
            </w:r>
          </w:p>
          <w:p w14:paraId="7D1CDA8E" w14:textId="77777777" w:rsidR="001E150C" w:rsidRPr="003D5A85" w:rsidRDefault="001E150C">
            <w:pPr>
              <w:rPr>
                <w:sz w:val="20"/>
                <w:szCs w:val="20"/>
              </w:rPr>
            </w:pPr>
          </w:p>
        </w:tc>
        <w:tc>
          <w:tcPr>
            <w:tcW w:w="2301" w:type="dxa"/>
          </w:tcPr>
          <w:p w14:paraId="56F96721" w14:textId="77777777" w:rsidR="001E150C" w:rsidRPr="003D5A85" w:rsidRDefault="001E150C">
            <w:pPr>
              <w:rPr>
                <w:sz w:val="20"/>
                <w:szCs w:val="20"/>
              </w:rPr>
            </w:pPr>
            <w:r w:rsidRPr="003D5A85">
              <w:rPr>
                <w:sz w:val="20"/>
                <w:szCs w:val="20"/>
              </w:rPr>
              <w:t>~5–10</w:t>
            </w:r>
          </w:p>
          <w:p w14:paraId="38F64C68" w14:textId="77777777" w:rsidR="001E150C" w:rsidRPr="003D5A85" w:rsidRDefault="001E150C">
            <w:pPr>
              <w:rPr>
                <w:sz w:val="20"/>
                <w:szCs w:val="20"/>
              </w:rPr>
            </w:pPr>
          </w:p>
        </w:tc>
      </w:tr>
    </w:tbl>
    <w:p w14:paraId="71033DD6" w14:textId="77777777" w:rsidR="001E150C" w:rsidRPr="003C1EAB" w:rsidRDefault="001E150C" w:rsidP="001E150C">
      <w:pPr>
        <w:spacing w:before="80" w:after="200"/>
        <w:rPr>
          <w:sz w:val="20"/>
          <w:szCs w:val="20"/>
        </w:rPr>
      </w:pPr>
      <w:r w:rsidRPr="003C1EAB">
        <w:rPr>
          <w:b/>
          <w:i/>
          <w:sz w:val="20"/>
          <w:szCs w:val="20"/>
        </w:rPr>
        <w:t>Source:</w:t>
      </w:r>
      <w:r w:rsidRPr="003C1EAB">
        <w:rPr>
          <w:i/>
          <w:sz w:val="20"/>
          <w:szCs w:val="20"/>
        </w:rPr>
        <w:t xml:space="preserve"> Derived by proportional scaling from the Strategic Projects IA (Cakić, 2026), applying biosimilar-specific uptake scenarios to the same per-project impact parameters. Scaling ratios: Low = 4/27.5 (0.145); Medium = 10/65 (0.154); High = 17.5/110 (0.159). Figures rounded to reflect order-of-magnitude precision.</w:t>
      </w:r>
    </w:p>
    <w:p w14:paraId="287F4EB8" w14:textId="6649EB49" w:rsidR="001E150C" w:rsidRPr="004570F2" w:rsidRDefault="00DE0A88" w:rsidP="00F5430A">
      <w:pPr>
        <w:rPr>
          <w:b/>
        </w:rPr>
      </w:pPr>
      <w:r w:rsidRPr="004570F2">
        <w:rPr>
          <w:b/>
        </w:rPr>
        <w:lastRenderedPageBreak/>
        <w:t>Expected impact of both biosimilar measures (Article 28-30)</w:t>
      </w:r>
    </w:p>
    <w:p w14:paraId="19A4C6B0" w14:textId="69B564B6" w:rsidR="00F5430A" w:rsidRPr="004570F2" w:rsidRDefault="00F5430A" w:rsidP="00F5430A">
      <w:pPr>
        <w:rPr>
          <w:i/>
          <w:u w:val="single"/>
        </w:rPr>
      </w:pPr>
      <w:r w:rsidRPr="004570F2">
        <w:rPr>
          <w:i/>
          <w:u w:val="single"/>
        </w:rPr>
        <w:t>Competitiveness, Trade and Investment Flows</w:t>
      </w:r>
    </w:p>
    <w:p w14:paraId="3B072B7A" w14:textId="20AFE4F1" w:rsidR="00DB7464" w:rsidRDefault="00192779">
      <w:r w:rsidRPr="00D60FAE">
        <w:rPr>
          <w:rFonts w:eastAsia="Arial"/>
        </w:rPr>
        <w:t>By adopting CES waiver</w:t>
      </w:r>
      <w:r w:rsidR="00DA6469" w:rsidRPr="00D60FAE">
        <w:rPr>
          <w:rFonts w:eastAsia="Arial"/>
        </w:rPr>
        <w:t xml:space="preserve"> guidelines</w:t>
      </w:r>
      <w:r w:rsidRPr="00D60FAE">
        <w:rPr>
          <w:rFonts w:eastAsia="Arial"/>
        </w:rPr>
        <w:t>,</w:t>
      </w:r>
      <w:r w:rsidR="00720436" w:rsidRPr="00D60FAE">
        <w:rPr>
          <w:rFonts w:eastAsia="Arial"/>
        </w:rPr>
        <w:t xml:space="preserve"> </w:t>
      </w:r>
      <w:r w:rsidR="00DB7464" w:rsidRPr="00D60FAE">
        <w:rPr>
          <w:rFonts w:eastAsia="Arial"/>
        </w:rPr>
        <w:t xml:space="preserve">the EU </w:t>
      </w:r>
      <w:r w:rsidRPr="00D60FAE">
        <w:rPr>
          <w:rFonts w:eastAsia="Arial"/>
        </w:rPr>
        <w:t>aligns itself with leading global</w:t>
      </w:r>
      <w:r w:rsidR="00DB7464" w:rsidRPr="00D60FAE">
        <w:rPr>
          <w:rFonts w:eastAsia="Arial"/>
        </w:rPr>
        <w:t xml:space="preserve"> jurisdiction</w:t>
      </w:r>
      <w:r w:rsidR="009A6502" w:rsidRPr="00D60FAE">
        <w:rPr>
          <w:rFonts w:eastAsia="Arial"/>
        </w:rPr>
        <w:t>s</w:t>
      </w:r>
      <w:r w:rsidR="00DB7464" w:rsidRPr="00D60FAE">
        <w:rPr>
          <w:rFonts w:eastAsia="Arial"/>
        </w:rPr>
        <w:t xml:space="preserve"> </w:t>
      </w:r>
      <w:r w:rsidRPr="00D60FAE">
        <w:rPr>
          <w:rFonts w:eastAsia="Arial"/>
        </w:rPr>
        <w:t xml:space="preserve">and strengthens its </w:t>
      </w:r>
      <w:r w:rsidR="00DB7464" w:rsidRPr="00D60FAE">
        <w:rPr>
          <w:rFonts w:eastAsia="Arial"/>
        </w:rPr>
        <w:t xml:space="preserve">regulatory </w:t>
      </w:r>
      <w:r w:rsidRPr="00D60FAE">
        <w:rPr>
          <w:rFonts w:eastAsia="Arial"/>
        </w:rPr>
        <w:t xml:space="preserve">appeal, ensuring it remains a premier destination for </w:t>
      </w:r>
      <w:r w:rsidR="00DB7464" w:rsidRPr="00D60FAE">
        <w:rPr>
          <w:rFonts w:eastAsia="Arial"/>
        </w:rPr>
        <w:t>developer investment</w:t>
      </w:r>
      <w:r w:rsidRPr="00D60FAE">
        <w:rPr>
          <w:rFonts w:eastAsia="Arial"/>
        </w:rPr>
        <w:t xml:space="preserve">, not losing </w:t>
      </w:r>
      <w:r w:rsidR="007C1D5A" w:rsidRPr="00D60FAE">
        <w:rPr>
          <w:rFonts w:eastAsia="Arial"/>
        </w:rPr>
        <w:t>terrain</w:t>
      </w:r>
      <w:r w:rsidR="00DB7464" w:rsidRPr="00D60FAE">
        <w:rPr>
          <w:rFonts w:eastAsia="Arial"/>
        </w:rPr>
        <w:t xml:space="preserve"> to the US and Asia-Pacific markets. The medium-term effect of </w:t>
      </w:r>
      <w:r w:rsidR="00546966" w:rsidRPr="00D60FAE">
        <w:rPr>
          <w:rFonts w:eastAsia="Arial"/>
        </w:rPr>
        <w:t>biosimilar strategic projects support</w:t>
      </w:r>
      <w:r w:rsidR="00DB7464" w:rsidRPr="00D60FAE">
        <w:rPr>
          <w:rFonts w:eastAsia="Arial"/>
        </w:rPr>
        <w:t xml:space="preserve"> on EU-based MAH share depends on whether Article 29 provides sufficient incentive to offset lower manufacturing costs in </w:t>
      </w:r>
      <w:r w:rsidR="005224D3" w:rsidRPr="00D60FAE">
        <w:rPr>
          <w:rFonts w:eastAsia="Arial"/>
        </w:rPr>
        <w:t>other regions e.g.</w:t>
      </w:r>
      <w:r w:rsidR="005224D3" w:rsidRPr="00D60FAE" w:rsidDel="004933A0">
        <w:rPr>
          <w:rFonts w:eastAsia="Arial"/>
        </w:rPr>
        <w:t xml:space="preserve">, </w:t>
      </w:r>
      <w:r w:rsidR="004933A0" w:rsidRPr="00D60FAE">
        <w:rPr>
          <w:rFonts w:eastAsia="Arial"/>
        </w:rPr>
        <w:t>Korea</w:t>
      </w:r>
      <w:r w:rsidR="00DB7464" w:rsidRPr="00D60FAE">
        <w:rPr>
          <w:rFonts w:eastAsia="Arial"/>
        </w:rPr>
        <w:t xml:space="preserve">, India, and China. </w:t>
      </w:r>
      <w:r w:rsidR="00684FE7" w:rsidRPr="00D60FAE">
        <w:rPr>
          <w:rFonts w:eastAsia="Arial"/>
        </w:rPr>
        <w:t>The total investment mobilised</w:t>
      </w:r>
      <w:r w:rsidR="00E55419" w:rsidRPr="00D60FAE">
        <w:rPr>
          <w:rFonts w:eastAsia="Arial"/>
        </w:rPr>
        <w:t xml:space="preserve"> by Article 29</w:t>
      </w:r>
      <w:r w:rsidR="00684FE7" w:rsidRPr="00D60FAE">
        <w:rPr>
          <w:rFonts w:eastAsia="Arial"/>
        </w:rPr>
        <w:t xml:space="preserve"> varies by uptake hypothesis, ranging from EUR 0.9–1.7 billion in the low uptake scenario (3–5 projects) to EUR 4.0–7.6 billion in the high uptake scenario (15–20 projects)</w:t>
      </w:r>
      <w:r w:rsidR="00FC7A2E" w:rsidRPr="00D60FAE">
        <w:rPr>
          <w:rFonts w:eastAsia="Arial"/>
        </w:rPr>
        <w:t xml:space="preserve"> [see </w:t>
      </w:r>
      <w:r w:rsidR="00A94396">
        <w:rPr>
          <w:rFonts w:eastAsia="Arial"/>
        </w:rPr>
        <w:t xml:space="preserve">Table </w:t>
      </w:r>
      <w:r w:rsidR="006009B0">
        <w:rPr>
          <w:rFonts w:eastAsia="Arial"/>
        </w:rPr>
        <w:t>1</w:t>
      </w:r>
      <w:r w:rsidR="006B74DE">
        <w:rPr>
          <w:rFonts w:eastAsia="Arial"/>
        </w:rPr>
        <w:t xml:space="preserve">2 </w:t>
      </w:r>
      <w:r w:rsidR="00FC7A2E" w:rsidRPr="00D60FAE">
        <w:rPr>
          <w:rFonts w:eastAsia="Arial"/>
        </w:rPr>
        <w:t>above “overall strategic project impact adapted for the biosimilar case”]</w:t>
      </w:r>
      <w:r w:rsidR="006B74DE">
        <w:rPr>
          <w:rFonts w:eastAsia="Arial"/>
        </w:rPr>
        <w:t>.</w:t>
      </w:r>
      <w:r w:rsidR="00684FE7" w:rsidRPr="00D60FAE">
        <w:rPr>
          <w:rFonts w:eastAsia="Arial"/>
        </w:rPr>
        <w:t xml:space="preserve"> </w:t>
      </w:r>
    </w:p>
    <w:p w14:paraId="199D4B8A" w14:textId="35B00FB6" w:rsidR="008049E0" w:rsidRPr="008049E0" w:rsidRDefault="008049E0" w:rsidP="008049E0">
      <w:pPr>
        <w:rPr>
          <w:b/>
          <w:bCs/>
        </w:rPr>
      </w:pPr>
      <w:r w:rsidRPr="00D60FAE">
        <w:rPr>
          <w:b/>
          <w:bCs/>
        </w:rPr>
        <w:t>Table 1</w:t>
      </w:r>
      <w:r w:rsidR="00EF070B">
        <w:rPr>
          <w:b/>
          <w:bCs/>
        </w:rPr>
        <w:t>3</w:t>
      </w:r>
      <w:r w:rsidR="00106AA9">
        <w:rPr>
          <w:b/>
          <w:bCs/>
        </w:rPr>
        <w:t>.</w:t>
      </w:r>
      <w:r w:rsidRPr="00D60FAE">
        <w:rPr>
          <w:b/>
          <w:bCs/>
        </w:rPr>
        <w:t xml:space="preserve"> </w:t>
      </w:r>
      <w:r w:rsidR="00A9038D" w:rsidRPr="00A9038D">
        <w:rPr>
          <w:b/>
          <w:bCs/>
        </w:rPr>
        <w:t xml:space="preserve">Global </w:t>
      </w:r>
      <w:r w:rsidR="00203D51" w:rsidRPr="00A9038D">
        <w:rPr>
          <w:b/>
          <w:bCs/>
        </w:rPr>
        <w:t xml:space="preserve">competitiveness and market position of the EU biosimilar sector </w:t>
      </w:r>
      <w:r w:rsidR="00A9038D" w:rsidRPr="00A9038D">
        <w:rPr>
          <w:b/>
          <w:bCs/>
        </w:rPr>
        <w:t>(2025–2038)</w:t>
      </w:r>
    </w:p>
    <w:tbl>
      <w:tblPr>
        <w:tblStyle w:val="TableGrid"/>
        <w:tblW w:w="0" w:type="auto"/>
        <w:tblLook w:val="04A0" w:firstRow="1" w:lastRow="0" w:firstColumn="1" w:lastColumn="0" w:noHBand="0" w:noVBand="1"/>
      </w:tblPr>
      <w:tblGrid>
        <w:gridCol w:w="1632"/>
        <w:gridCol w:w="1424"/>
        <w:gridCol w:w="1311"/>
        <w:gridCol w:w="1413"/>
        <w:gridCol w:w="1259"/>
        <w:gridCol w:w="1558"/>
      </w:tblGrid>
      <w:tr w:rsidR="00F5430A" w:rsidRPr="003D5A85" w14:paraId="59D3E990" w14:textId="77777777">
        <w:trPr>
          <w:trHeight w:val="300"/>
        </w:trPr>
        <w:tc>
          <w:tcPr>
            <w:tcW w:w="181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1670FF3" w14:textId="77777777" w:rsidR="00F5430A" w:rsidRPr="00D60FAE" w:rsidRDefault="00F5430A">
            <w:pPr>
              <w:spacing w:before="15" w:after="15"/>
              <w:rPr>
                <w:rFonts w:eastAsia="Arial"/>
                <w:b/>
                <w:caps/>
                <w:sz w:val="16"/>
                <w:szCs w:val="16"/>
              </w:rPr>
            </w:pPr>
            <w:r w:rsidRPr="00D60FAE">
              <w:rPr>
                <w:rFonts w:eastAsia="Arial"/>
                <w:b/>
                <w:caps/>
                <w:sz w:val="16"/>
                <w:szCs w:val="16"/>
              </w:rPr>
              <w:t>Indicator</w:t>
            </w:r>
          </w:p>
        </w:tc>
        <w:tc>
          <w:tcPr>
            <w:tcW w:w="157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9DBB817" w14:textId="77777777" w:rsidR="00F5430A" w:rsidRPr="00D60FAE" w:rsidRDefault="00F5430A">
            <w:pPr>
              <w:spacing w:before="15" w:after="15"/>
              <w:rPr>
                <w:rFonts w:eastAsia="Arial"/>
                <w:b/>
                <w:caps/>
                <w:sz w:val="16"/>
                <w:szCs w:val="16"/>
              </w:rPr>
            </w:pPr>
            <w:r w:rsidRPr="00D60FAE">
              <w:rPr>
                <w:rFonts w:eastAsia="Arial"/>
                <w:b/>
                <w:caps/>
                <w:sz w:val="16"/>
                <w:szCs w:val="16"/>
              </w:rPr>
              <w:t>2025 (base)</w:t>
            </w:r>
          </w:p>
        </w:tc>
        <w:tc>
          <w:tcPr>
            <w:tcW w:w="144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D3229E4" w14:textId="77777777" w:rsidR="00F5430A" w:rsidRPr="00D60FAE" w:rsidRDefault="00F5430A">
            <w:pPr>
              <w:spacing w:before="15" w:after="15"/>
              <w:rPr>
                <w:rFonts w:eastAsia="Arial"/>
                <w:b/>
                <w:caps/>
                <w:sz w:val="16"/>
                <w:szCs w:val="16"/>
              </w:rPr>
            </w:pPr>
            <w:r w:rsidRPr="00D60FAE">
              <w:rPr>
                <w:rFonts w:eastAsia="Arial"/>
                <w:b/>
                <w:caps/>
                <w:sz w:val="16"/>
                <w:szCs w:val="16"/>
              </w:rPr>
              <w:t>2025–2030</w:t>
            </w:r>
          </w:p>
        </w:tc>
        <w:tc>
          <w:tcPr>
            <w:tcW w:w="157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87DDA02" w14:textId="77777777" w:rsidR="00F5430A" w:rsidRPr="00D60FAE" w:rsidRDefault="00F5430A">
            <w:pPr>
              <w:spacing w:before="15" w:after="15"/>
              <w:rPr>
                <w:rFonts w:eastAsia="Arial"/>
                <w:b/>
                <w:caps/>
                <w:sz w:val="16"/>
                <w:szCs w:val="16"/>
              </w:rPr>
            </w:pPr>
            <w:r w:rsidRPr="00D60FAE">
              <w:rPr>
                <w:rFonts w:eastAsia="Arial"/>
                <w:b/>
                <w:caps/>
                <w:sz w:val="16"/>
                <w:szCs w:val="16"/>
              </w:rPr>
              <w:t>2030–2038</w:t>
            </w:r>
          </w:p>
        </w:tc>
        <w:tc>
          <w:tcPr>
            <w:tcW w:w="127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F2151D2" w14:textId="5672D19A" w:rsidR="00F5430A" w:rsidRPr="00D60FAE" w:rsidRDefault="00DA51C6">
            <w:pPr>
              <w:spacing w:before="15" w:after="15"/>
              <w:rPr>
                <w:rFonts w:eastAsia="Arial"/>
                <w:b/>
                <w:caps/>
                <w:sz w:val="16"/>
                <w:szCs w:val="16"/>
              </w:rPr>
            </w:pPr>
            <w:r w:rsidRPr="00D60FAE">
              <w:rPr>
                <w:rFonts w:eastAsia="Arial"/>
                <w:b/>
                <w:caps/>
                <w:sz w:val="16"/>
                <w:szCs w:val="16"/>
              </w:rPr>
              <w:t xml:space="preserve">EMA </w:t>
            </w:r>
            <w:r w:rsidR="00B44A6A" w:rsidRPr="00D60FAE">
              <w:rPr>
                <w:rFonts w:eastAsia="Arial"/>
                <w:b/>
                <w:caps/>
                <w:sz w:val="16"/>
                <w:szCs w:val="16"/>
              </w:rPr>
              <w:t>Guideline</w:t>
            </w:r>
            <w:r w:rsidR="001F0C2F">
              <w:rPr>
                <w:rFonts w:eastAsia="Arial"/>
                <w:b/>
                <w:caps/>
                <w:sz w:val="16"/>
                <w:szCs w:val="16"/>
              </w:rPr>
              <w:t>S</w:t>
            </w:r>
            <w:r w:rsidR="00B44A6A" w:rsidRPr="00D60FAE">
              <w:rPr>
                <w:rFonts w:eastAsia="Arial"/>
                <w:b/>
                <w:caps/>
                <w:sz w:val="16"/>
                <w:szCs w:val="16"/>
              </w:rPr>
              <w:t xml:space="preserve"> for CES waivers</w:t>
            </w:r>
          </w:p>
        </w:tc>
        <w:tc>
          <w:tcPr>
            <w:tcW w:w="17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C4CCFFC" w14:textId="3A091396" w:rsidR="00F5430A" w:rsidRPr="00D60FAE" w:rsidRDefault="00B44A6A">
            <w:pPr>
              <w:spacing w:before="15" w:after="15"/>
              <w:rPr>
                <w:rFonts w:eastAsia="Arial"/>
                <w:b/>
                <w:caps/>
                <w:sz w:val="16"/>
                <w:szCs w:val="16"/>
              </w:rPr>
            </w:pPr>
            <w:r w:rsidRPr="00D60FAE">
              <w:rPr>
                <w:rFonts w:eastAsia="Arial"/>
                <w:b/>
                <w:caps/>
                <w:sz w:val="16"/>
                <w:szCs w:val="16"/>
              </w:rPr>
              <w:t xml:space="preserve">biosimilar strategic projects </w:t>
            </w:r>
            <w:r w:rsidR="007B3B00" w:rsidRPr="00D60FAE">
              <w:rPr>
                <w:rFonts w:eastAsia="Arial"/>
                <w:b/>
                <w:caps/>
                <w:sz w:val="16"/>
                <w:szCs w:val="16"/>
              </w:rPr>
              <w:t>support</w:t>
            </w:r>
          </w:p>
        </w:tc>
      </w:tr>
      <w:tr w:rsidR="00F5430A" w:rsidRPr="003D5A85" w14:paraId="21C968B8" w14:textId="77777777">
        <w:trPr>
          <w:trHeight w:val="300"/>
        </w:trPr>
        <w:tc>
          <w:tcPr>
            <w:tcW w:w="181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31B40C42" w14:textId="77777777" w:rsidR="00F5430A" w:rsidRPr="00D60FAE" w:rsidRDefault="00F5430A">
            <w:pPr>
              <w:spacing w:before="15" w:after="15"/>
              <w:rPr>
                <w:rFonts w:eastAsia="Arial"/>
                <w:b/>
                <w:sz w:val="16"/>
                <w:szCs w:val="16"/>
              </w:rPr>
            </w:pPr>
            <w:r w:rsidRPr="00D60FAE">
              <w:rPr>
                <w:rFonts w:eastAsia="Arial"/>
                <w:b/>
                <w:sz w:val="16"/>
                <w:szCs w:val="16"/>
              </w:rPr>
              <w:t>EU share of global biosimilar market (revenue)</w:t>
            </w:r>
          </w:p>
        </w:tc>
        <w:tc>
          <w:tcPr>
            <w:tcW w:w="157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63471CBC" w14:textId="13558B37" w:rsidR="00F5430A" w:rsidRPr="00D60FAE" w:rsidRDefault="00F5430A">
            <w:pPr>
              <w:spacing w:before="50" w:after="50"/>
              <w:rPr>
                <w:rFonts w:eastAsia="Arial"/>
                <w:sz w:val="16"/>
                <w:szCs w:val="16"/>
              </w:rPr>
            </w:pPr>
            <w:r w:rsidRPr="00D60FAE">
              <w:rPr>
                <w:rFonts w:eastAsia="Arial"/>
                <w:sz w:val="16"/>
                <w:szCs w:val="16"/>
              </w:rPr>
              <w:t>~43–55</w:t>
            </w:r>
            <w:r w:rsidR="006856C2">
              <w:rPr>
                <w:rFonts w:eastAsia="Arial"/>
                <w:sz w:val="16"/>
                <w:szCs w:val="16"/>
              </w:rPr>
              <w:t>%</w:t>
            </w:r>
            <w:r w:rsidRPr="00D60FAE">
              <w:rPr>
                <w:rFonts w:eastAsia="Arial"/>
                <w:sz w:val="16"/>
                <w:szCs w:val="16"/>
              </w:rPr>
              <w:t xml:space="preserve"> (~USD 13–18B depending on scope and methodology</w:t>
            </w:r>
          </w:p>
        </w:tc>
        <w:tc>
          <w:tcPr>
            <w:tcW w:w="144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3A26538E" w14:textId="1B90646A" w:rsidR="00F5430A" w:rsidRPr="00D60FAE" w:rsidRDefault="00F5430A">
            <w:pPr>
              <w:spacing w:before="50" w:after="50"/>
              <w:rPr>
                <w:rFonts w:eastAsia="Arial"/>
                <w:sz w:val="16"/>
                <w:szCs w:val="16"/>
              </w:rPr>
            </w:pPr>
            <w:r w:rsidRPr="00D60FAE">
              <w:rPr>
                <w:rFonts w:eastAsia="Arial"/>
                <w:sz w:val="16"/>
                <w:szCs w:val="16"/>
              </w:rPr>
              <w:t>38–43</w:t>
            </w:r>
            <w:r w:rsidR="006856C2">
              <w:rPr>
                <w:rFonts w:eastAsia="Arial"/>
                <w:sz w:val="16"/>
                <w:szCs w:val="16"/>
              </w:rPr>
              <w:t>%</w:t>
            </w:r>
            <w:r w:rsidRPr="00D60FAE">
              <w:rPr>
                <w:rFonts w:eastAsia="Arial"/>
                <w:sz w:val="16"/>
                <w:szCs w:val="16"/>
              </w:rPr>
              <w:t xml:space="preserve"> (US growth erodes share; EU grows in absolute terms)</w:t>
            </w:r>
          </w:p>
        </w:tc>
        <w:tc>
          <w:tcPr>
            <w:tcW w:w="157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6B6040B4" w14:textId="10775119" w:rsidR="00F5430A" w:rsidRPr="00D60FAE" w:rsidRDefault="00F5430A">
            <w:pPr>
              <w:spacing w:before="50" w:after="50"/>
              <w:rPr>
                <w:rFonts w:eastAsia="Arial"/>
                <w:sz w:val="16"/>
                <w:szCs w:val="16"/>
              </w:rPr>
            </w:pPr>
            <w:r w:rsidRPr="00D60FAE">
              <w:rPr>
                <w:rFonts w:eastAsia="Arial"/>
                <w:sz w:val="16"/>
                <w:szCs w:val="16"/>
              </w:rPr>
              <w:t>35–40</w:t>
            </w:r>
            <w:r w:rsidR="006856C2">
              <w:rPr>
                <w:rFonts w:eastAsia="Arial"/>
                <w:sz w:val="16"/>
                <w:szCs w:val="16"/>
              </w:rPr>
              <w:t>%</w:t>
            </w:r>
            <w:r w:rsidRPr="00D60FAE">
              <w:rPr>
                <w:rFonts w:eastAsia="Arial"/>
                <w:sz w:val="16"/>
                <w:szCs w:val="16"/>
              </w:rPr>
              <w:t xml:space="preserve"> (global market reaches USD 150–175B; EU grows to USD 55–65B)</w:t>
            </w:r>
          </w:p>
        </w:tc>
        <w:tc>
          <w:tcPr>
            <w:tcW w:w="127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669F3C97" w14:textId="77777777" w:rsidR="00F5430A" w:rsidRPr="00D60FAE" w:rsidRDefault="00F5430A">
            <w:pPr>
              <w:spacing w:before="15" w:after="15"/>
              <w:rPr>
                <w:rFonts w:eastAsia="Arial"/>
                <w:sz w:val="16"/>
                <w:szCs w:val="16"/>
              </w:rPr>
            </w:pPr>
            <w:r w:rsidRPr="00D60FAE">
              <w:rPr>
                <w:rFonts w:eastAsia="Arial"/>
                <w:sz w:val="16"/>
                <w:szCs w:val="16"/>
              </w:rPr>
              <w:t>Indirect: faster entry maintains EU as preferred launch territory</w:t>
            </w:r>
          </w:p>
        </w:tc>
        <w:tc>
          <w:tcPr>
            <w:tcW w:w="17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05E448CC" w14:textId="77777777" w:rsidR="00F5430A" w:rsidRPr="00D60FAE" w:rsidRDefault="00F5430A">
            <w:pPr>
              <w:spacing w:before="15" w:after="15"/>
              <w:rPr>
                <w:rFonts w:eastAsia="Arial"/>
                <w:sz w:val="16"/>
                <w:szCs w:val="16"/>
              </w:rPr>
            </w:pPr>
            <w:r w:rsidRPr="00D60FAE">
              <w:rPr>
                <w:rFonts w:eastAsia="Arial"/>
                <w:sz w:val="16"/>
                <w:szCs w:val="16"/>
              </w:rPr>
              <w:t>Direct: manufacturing capacity retention in EU</w:t>
            </w:r>
          </w:p>
        </w:tc>
      </w:tr>
      <w:tr w:rsidR="00F5430A" w:rsidRPr="003D5A85" w14:paraId="0A4C8CB6" w14:textId="77777777">
        <w:trPr>
          <w:trHeight w:val="300"/>
        </w:trPr>
        <w:tc>
          <w:tcPr>
            <w:tcW w:w="181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6C30D92" w14:textId="77777777" w:rsidR="00F5430A" w:rsidRPr="00D60FAE" w:rsidRDefault="00F5430A">
            <w:pPr>
              <w:spacing w:before="15" w:after="15"/>
              <w:rPr>
                <w:rFonts w:eastAsia="Arial"/>
                <w:b/>
                <w:sz w:val="16"/>
                <w:szCs w:val="16"/>
              </w:rPr>
            </w:pPr>
            <w:r w:rsidRPr="00D60FAE">
              <w:rPr>
                <w:rFonts w:eastAsia="Arial"/>
                <w:b/>
                <w:sz w:val="16"/>
                <w:szCs w:val="16"/>
              </w:rPr>
              <w:t>EU-based MAH share of EU authorisations</w:t>
            </w:r>
          </w:p>
        </w:tc>
        <w:tc>
          <w:tcPr>
            <w:tcW w:w="157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3EC72C1" w14:textId="53864E00" w:rsidR="00F5430A" w:rsidRPr="00D60FAE" w:rsidRDefault="00F5430A">
            <w:pPr>
              <w:spacing w:before="50" w:after="50"/>
              <w:rPr>
                <w:rFonts w:eastAsia="Arial"/>
                <w:sz w:val="16"/>
                <w:szCs w:val="16"/>
              </w:rPr>
            </w:pPr>
            <w:r w:rsidRPr="00D60FAE">
              <w:rPr>
                <w:rFonts w:eastAsia="Arial"/>
                <w:sz w:val="16"/>
                <w:szCs w:val="16"/>
              </w:rPr>
              <w:t>49</w:t>
            </w:r>
            <w:r w:rsidR="006856C2">
              <w:rPr>
                <w:rFonts w:eastAsia="Arial"/>
                <w:sz w:val="16"/>
                <w:szCs w:val="16"/>
              </w:rPr>
              <w:t>%</w:t>
            </w:r>
          </w:p>
        </w:tc>
        <w:tc>
          <w:tcPr>
            <w:tcW w:w="144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0FB3259" w14:textId="47A0BF8D" w:rsidR="00F5430A" w:rsidRPr="00D60FAE" w:rsidRDefault="00F5430A">
            <w:pPr>
              <w:spacing w:before="50" w:after="50"/>
              <w:rPr>
                <w:rFonts w:eastAsia="Arial"/>
                <w:sz w:val="16"/>
                <w:szCs w:val="16"/>
              </w:rPr>
            </w:pPr>
            <w:r w:rsidRPr="00D60FAE">
              <w:rPr>
                <w:rFonts w:eastAsia="Arial"/>
                <w:sz w:val="16"/>
                <w:szCs w:val="16"/>
              </w:rPr>
              <w:t>45–50</w:t>
            </w:r>
            <w:r w:rsidR="006856C2">
              <w:rPr>
                <w:rFonts w:eastAsia="Arial"/>
                <w:sz w:val="16"/>
                <w:szCs w:val="16"/>
              </w:rPr>
              <w:t>%</w:t>
            </w:r>
            <w:r w:rsidRPr="00D60FAE">
              <w:rPr>
                <w:rFonts w:eastAsia="Arial"/>
                <w:sz w:val="16"/>
                <w:szCs w:val="16"/>
              </w:rPr>
              <w:t xml:space="preserve"> (Korean + Indian competition continues)</w:t>
            </w:r>
          </w:p>
        </w:tc>
        <w:tc>
          <w:tcPr>
            <w:tcW w:w="157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1FC7712D" w14:textId="105D14FE" w:rsidR="00F5430A" w:rsidRPr="00D60FAE" w:rsidRDefault="00F5430A">
            <w:pPr>
              <w:spacing w:before="50" w:after="50"/>
              <w:rPr>
                <w:rFonts w:eastAsia="Arial"/>
                <w:sz w:val="16"/>
                <w:szCs w:val="16"/>
              </w:rPr>
            </w:pPr>
            <w:r w:rsidRPr="00D60FAE">
              <w:rPr>
                <w:rFonts w:eastAsia="Arial"/>
                <w:sz w:val="16"/>
                <w:szCs w:val="16"/>
              </w:rPr>
              <w:t>40–50</w:t>
            </w:r>
            <w:r w:rsidR="006856C2">
              <w:rPr>
                <w:rFonts w:eastAsia="Arial"/>
                <w:sz w:val="16"/>
                <w:szCs w:val="16"/>
              </w:rPr>
              <w:t>%</w:t>
            </w:r>
            <w:r w:rsidRPr="00D60FAE">
              <w:rPr>
                <w:rFonts w:eastAsia="Arial"/>
                <w:sz w:val="16"/>
                <w:szCs w:val="16"/>
              </w:rPr>
              <w:t xml:space="preserve"> without </w:t>
            </w:r>
            <w:r w:rsidR="00264F54">
              <w:rPr>
                <w:rFonts w:eastAsia="Arial"/>
                <w:sz w:val="16"/>
                <w:szCs w:val="16"/>
              </w:rPr>
              <w:t>strategic proj</w:t>
            </w:r>
            <w:r w:rsidR="00AE2D53">
              <w:rPr>
                <w:rFonts w:eastAsia="Arial"/>
                <w:sz w:val="16"/>
                <w:szCs w:val="16"/>
              </w:rPr>
              <w:t>ects</w:t>
            </w:r>
            <w:r w:rsidRPr="00D60FAE">
              <w:rPr>
                <w:rFonts w:eastAsia="Arial"/>
                <w:sz w:val="16"/>
                <w:szCs w:val="16"/>
              </w:rPr>
              <w:t>; 45–55</w:t>
            </w:r>
            <w:r w:rsidR="006856C2">
              <w:rPr>
                <w:rFonts w:eastAsia="Arial"/>
                <w:sz w:val="16"/>
                <w:szCs w:val="16"/>
              </w:rPr>
              <w:t>%</w:t>
            </w:r>
            <w:r w:rsidRPr="00D60FAE">
              <w:rPr>
                <w:rFonts w:eastAsia="Arial"/>
                <w:sz w:val="16"/>
                <w:szCs w:val="16"/>
              </w:rPr>
              <w:t xml:space="preserve"> with </w:t>
            </w:r>
            <w:r w:rsidR="00AE2D53">
              <w:rPr>
                <w:rFonts w:eastAsia="Arial"/>
                <w:sz w:val="16"/>
                <w:szCs w:val="16"/>
              </w:rPr>
              <w:t>strategic projects</w:t>
            </w:r>
          </w:p>
        </w:tc>
        <w:tc>
          <w:tcPr>
            <w:tcW w:w="127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14D93F4" w14:textId="77777777" w:rsidR="00F5430A" w:rsidRPr="00D60FAE" w:rsidRDefault="00F5430A">
            <w:pPr>
              <w:spacing w:before="15" w:after="15"/>
              <w:rPr>
                <w:rFonts w:eastAsia="Arial"/>
                <w:sz w:val="16"/>
                <w:szCs w:val="16"/>
              </w:rPr>
            </w:pPr>
            <w:r w:rsidRPr="00D60FAE">
              <w:rPr>
                <w:rFonts w:eastAsia="Arial"/>
                <w:sz w:val="16"/>
                <w:szCs w:val="16"/>
              </w:rPr>
              <w:t>—</w:t>
            </w:r>
          </w:p>
        </w:tc>
        <w:tc>
          <w:tcPr>
            <w:tcW w:w="17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831D1DA" w14:textId="77777777" w:rsidR="00F5430A" w:rsidRPr="00D60FAE" w:rsidRDefault="00F5430A">
            <w:pPr>
              <w:spacing w:before="15" w:after="15"/>
              <w:rPr>
                <w:rFonts w:eastAsia="Arial"/>
                <w:sz w:val="16"/>
                <w:szCs w:val="16"/>
              </w:rPr>
            </w:pPr>
            <w:r w:rsidRPr="00D60FAE">
              <w:rPr>
                <w:rFonts w:eastAsia="Arial"/>
                <w:sz w:val="16"/>
                <w:szCs w:val="16"/>
              </w:rPr>
              <w:t>Direct: Art. 29 support retains EU-based developers</w:t>
            </w:r>
          </w:p>
        </w:tc>
      </w:tr>
      <w:tr w:rsidR="00F5430A" w:rsidRPr="003D5A85" w14:paraId="20B2C7C6" w14:textId="77777777">
        <w:trPr>
          <w:trHeight w:val="300"/>
        </w:trPr>
        <w:tc>
          <w:tcPr>
            <w:tcW w:w="181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35BEE6E7" w14:textId="77777777" w:rsidR="00F5430A" w:rsidRPr="00D60FAE" w:rsidRDefault="00F5430A">
            <w:pPr>
              <w:spacing w:before="15" w:after="15"/>
              <w:rPr>
                <w:rFonts w:eastAsia="Arial"/>
                <w:b/>
                <w:sz w:val="16"/>
                <w:szCs w:val="16"/>
              </w:rPr>
            </w:pPr>
            <w:r w:rsidRPr="00D60FAE">
              <w:rPr>
                <w:rFonts w:eastAsia="Arial"/>
                <w:b/>
                <w:sz w:val="16"/>
                <w:szCs w:val="16"/>
              </w:rPr>
              <w:t>Jurisdictions with CES waiver</w:t>
            </w:r>
          </w:p>
        </w:tc>
        <w:tc>
          <w:tcPr>
            <w:tcW w:w="157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77ACFC03" w14:textId="77777777" w:rsidR="00F5430A" w:rsidRPr="00D60FAE" w:rsidRDefault="00F5430A">
            <w:pPr>
              <w:spacing w:before="50" w:after="50"/>
              <w:rPr>
                <w:rFonts w:eastAsia="Arial"/>
                <w:sz w:val="16"/>
                <w:szCs w:val="16"/>
              </w:rPr>
            </w:pPr>
            <w:r w:rsidRPr="00D60FAE">
              <w:rPr>
                <w:rFonts w:eastAsia="Arial"/>
                <w:sz w:val="16"/>
                <w:szCs w:val="16"/>
              </w:rPr>
              <w:t>2 (South Korea, UK)</w:t>
            </w:r>
          </w:p>
        </w:tc>
        <w:tc>
          <w:tcPr>
            <w:tcW w:w="144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424D05F6" w14:textId="77777777" w:rsidR="00F5430A" w:rsidRPr="00D60FAE" w:rsidRDefault="00F5430A">
            <w:pPr>
              <w:spacing w:before="50" w:after="50"/>
              <w:rPr>
                <w:rFonts w:eastAsia="Arial"/>
                <w:sz w:val="16"/>
                <w:szCs w:val="16"/>
              </w:rPr>
            </w:pPr>
            <w:r w:rsidRPr="00D60FAE">
              <w:rPr>
                <w:rFonts w:eastAsia="Arial"/>
                <w:sz w:val="16"/>
                <w:szCs w:val="16"/>
              </w:rPr>
              <w:t>4–5 (US, Canada, Japan formalise by 2028)</w:t>
            </w:r>
          </w:p>
        </w:tc>
        <w:tc>
          <w:tcPr>
            <w:tcW w:w="157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1FEA8669" w14:textId="77777777" w:rsidR="00F5430A" w:rsidRPr="00D60FAE" w:rsidRDefault="00F5430A">
            <w:pPr>
              <w:spacing w:before="50" w:after="50"/>
              <w:rPr>
                <w:rFonts w:eastAsia="Arial"/>
                <w:sz w:val="16"/>
                <w:szCs w:val="16"/>
              </w:rPr>
            </w:pPr>
            <w:r w:rsidRPr="00D60FAE">
              <w:rPr>
                <w:rFonts w:eastAsia="Arial"/>
                <w:sz w:val="16"/>
                <w:szCs w:val="16"/>
              </w:rPr>
              <w:t>6–8 (global convergence toward tailored approach)</w:t>
            </w:r>
          </w:p>
        </w:tc>
        <w:tc>
          <w:tcPr>
            <w:tcW w:w="127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03332E09" w14:textId="5DFB19F5" w:rsidR="00F5430A" w:rsidRPr="00D60FAE" w:rsidRDefault="00F5430A">
            <w:pPr>
              <w:spacing w:before="15" w:after="15"/>
              <w:rPr>
                <w:rFonts w:eastAsia="Arial"/>
                <w:sz w:val="16"/>
                <w:szCs w:val="16"/>
              </w:rPr>
            </w:pPr>
            <w:r w:rsidRPr="00D60FAE">
              <w:rPr>
                <w:rFonts w:eastAsia="Arial"/>
                <w:sz w:val="16"/>
                <w:szCs w:val="16"/>
              </w:rPr>
              <w:t xml:space="preserve">Direct: </w:t>
            </w:r>
            <w:r w:rsidR="008217D0">
              <w:rPr>
                <w:rFonts w:eastAsia="Arial"/>
                <w:sz w:val="16"/>
                <w:szCs w:val="16"/>
              </w:rPr>
              <w:t>CES waiver</w:t>
            </w:r>
            <w:r w:rsidR="008217D0" w:rsidRPr="00D60FAE">
              <w:rPr>
                <w:rFonts w:eastAsia="Arial"/>
                <w:sz w:val="16"/>
                <w:szCs w:val="16"/>
              </w:rPr>
              <w:t xml:space="preserve"> </w:t>
            </w:r>
            <w:r w:rsidRPr="00D60FAE">
              <w:rPr>
                <w:rFonts w:eastAsia="Arial"/>
                <w:sz w:val="16"/>
                <w:szCs w:val="16"/>
              </w:rPr>
              <w:t>ensures EU is in the leading group, not lagging</w:t>
            </w:r>
          </w:p>
        </w:tc>
        <w:tc>
          <w:tcPr>
            <w:tcW w:w="17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5D79B21C" w14:textId="77777777" w:rsidR="00F5430A" w:rsidRPr="00D60FAE" w:rsidRDefault="00F5430A">
            <w:pPr>
              <w:spacing w:before="15" w:after="15"/>
              <w:rPr>
                <w:rFonts w:eastAsia="Arial"/>
                <w:sz w:val="16"/>
                <w:szCs w:val="16"/>
              </w:rPr>
            </w:pPr>
            <w:r w:rsidRPr="00D60FAE">
              <w:rPr>
                <w:rFonts w:eastAsia="Arial"/>
                <w:sz w:val="16"/>
                <w:szCs w:val="16"/>
              </w:rPr>
              <w:t>—</w:t>
            </w:r>
          </w:p>
        </w:tc>
      </w:tr>
    </w:tbl>
    <w:p w14:paraId="05A6BB1E" w14:textId="172949AE" w:rsidR="00F5430A" w:rsidRPr="004570F2" w:rsidRDefault="1D22BB25" w:rsidP="00D60FAE">
      <w:pPr>
        <w:rPr>
          <w:sz w:val="20"/>
        </w:rPr>
      </w:pPr>
      <w:r w:rsidRPr="4EC480EB">
        <w:rPr>
          <w:b/>
          <w:bCs/>
          <w:i/>
          <w:iCs/>
          <w:sz w:val="20"/>
          <w:szCs w:val="20"/>
        </w:rPr>
        <w:t>Sources</w:t>
      </w:r>
      <w:r w:rsidRPr="4EC480EB">
        <w:rPr>
          <w:i/>
          <w:iCs/>
          <w:sz w:val="20"/>
          <w:szCs w:val="20"/>
        </w:rPr>
        <w:t>: Alira Health (2025) for market size; EMA Medicines Database for MAH analysis; Precedence Research (2025) for market projections; Smart &amp; Biggar (2025) and FDA (2024–2025) for jurisdiction CES status</w:t>
      </w:r>
      <w:r w:rsidR="00193121" w:rsidRPr="003C1EAB">
        <w:rPr>
          <w:rStyle w:val="FootnoteReference"/>
          <w:i/>
          <w:sz w:val="20"/>
          <w:szCs w:val="20"/>
        </w:rPr>
        <w:footnoteReference w:id="318"/>
      </w:r>
      <w:r w:rsidR="00084560" w:rsidRPr="00084560">
        <w:rPr>
          <w:i/>
          <w:iCs/>
          <w:sz w:val="20"/>
          <w:szCs w:val="20"/>
          <w:vertAlign w:val="superscript"/>
        </w:rPr>
        <w:t>,</w:t>
      </w:r>
      <w:r w:rsidR="00193121" w:rsidRPr="003C1EAB">
        <w:rPr>
          <w:rStyle w:val="FootnoteReference"/>
          <w:i/>
          <w:sz w:val="20"/>
          <w:szCs w:val="20"/>
        </w:rPr>
        <w:footnoteReference w:id="319"/>
      </w:r>
      <w:r w:rsidRPr="4EC480EB">
        <w:rPr>
          <w:i/>
          <w:iCs/>
          <w:sz w:val="20"/>
          <w:szCs w:val="20"/>
        </w:rPr>
        <w:t>.</w:t>
      </w:r>
    </w:p>
    <w:p w14:paraId="5AC1ACD9" w14:textId="7405CB04" w:rsidR="00F5430A" w:rsidRPr="004570F2" w:rsidRDefault="00F5430A" w:rsidP="00D60FAE">
      <w:pPr>
        <w:rPr>
          <w:i/>
          <w:u w:val="single"/>
        </w:rPr>
      </w:pPr>
      <w:r w:rsidRPr="004570F2">
        <w:rPr>
          <w:i/>
          <w:u w:val="single"/>
        </w:rPr>
        <w:t>Functioning of the Internal Market and Competition</w:t>
      </w:r>
    </w:p>
    <w:p w14:paraId="6D92E051" w14:textId="08CAA592" w:rsidR="002221AF" w:rsidRPr="003D5A85" w:rsidRDefault="3B65683E" w:rsidP="00D60FAE">
      <w:pPr>
        <w:rPr>
          <w:rFonts w:eastAsia="Arial"/>
        </w:rPr>
      </w:pPr>
      <w:r>
        <w:t>The EMA guidance</w:t>
      </w:r>
      <w:r w:rsidR="064388E3" w:rsidRPr="3F982D60">
        <w:rPr>
          <w:rFonts w:eastAsia="Arial"/>
        </w:rPr>
        <w:t xml:space="preserve"> is expected to </w:t>
      </w:r>
      <w:r>
        <w:t>contribute to the increase of</w:t>
      </w:r>
      <w:r w:rsidR="064388E3" w:rsidRPr="3F982D60">
        <w:rPr>
          <w:rFonts w:eastAsia="Arial"/>
        </w:rPr>
        <w:t xml:space="preserve"> biosimilar competition in the EU market by reducing barriers to entry and accelerating time-to-market. </w:t>
      </w:r>
      <w:r>
        <w:t>Recent industry</w:t>
      </w:r>
      <w:r w:rsidR="064388E3" w:rsidRPr="3F982D60">
        <w:rPr>
          <w:rFonts w:eastAsia="Arial"/>
        </w:rPr>
        <w:t xml:space="preserve"> reports document that biosimilar competition typically drives prices down by 20–50</w:t>
      </w:r>
      <w:r w:rsidR="006856C2">
        <w:rPr>
          <w:rFonts w:eastAsia="Arial"/>
        </w:rPr>
        <w:t>%</w:t>
      </w:r>
      <w:r w:rsidR="064388E3" w:rsidRPr="3F982D60">
        <w:rPr>
          <w:rFonts w:eastAsia="Arial"/>
        </w:rPr>
        <w:t xml:space="preserve"> or more following market entry, with cumulative savings of approximately EUR 75 billion and roughly EUR 13 billion in 2024</w:t>
      </w:r>
      <w:r w:rsidR="00683548" w:rsidRPr="003D5A85">
        <w:rPr>
          <w:rStyle w:val="FootnoteReference"/>
          <w:rFonts w:eastAsia="Arial"/>
        </w:rPr>
        <w:footnoteReference w:id="320"/>
      </w:r>
      <w:r w:rsidRPr="3F982D60">
        <w:rPr>
          <w:rFonts w:eastAsia="Arial"/>
        </w:rPr>
        <w:t>.</w:t>
      </w:r>
      <w:r>
        <w:t xml:space="preserve"> </w:t>
      </w:r>
      <w:r w:rsidR="064388E3" w:rsidRPr="3F982D60">
        <w:rPr>
          <w:rFonts w:eastAsia="Arial"/>
        </w:rPr>
        <w:t xml:space="preserve">Faster and cheaper biosimilar development is expected to increase the number of competitors per reference product and reduce the time from patent expiry to first biosimilar entry, strengthening competition and price pressure. </w:t>
      </w:r>
      <w:r w:rsidR="10419067" w:rsidRPr="3F982D60">
        <w:rPr>
          <w:rFonts w:eastAsia="Arial"/>
        </w:rPr>
        <w:t xml:space="preserve">Biosimilar strategic projects support can </w:t>
      </w:r>
      <w:r w:rsidR="113555ED" w:rsidRPr="3F982D60">
        <w:rPr>
          <w:rFonts w:eastAsia="Arial"/>
        </w:rPr>
        <w:t xml:space="preserve">also </w:t>
      </w:r>
      <w:r w:rsidR="60CFC1E9" w:rsidRPr="3F982D60">
        <w:rPr>
          <w:rFonts w:eastAsia="Arial"/>
        </w:rPr>
        <w:t>boost</w:t>
      </w:r>
      <w:r w:rsidR="113555ED" w:rsidRPr="3F982D60">
        <w:rPr>
          <w:rFonts w:eastAsia="Arial"/>
        </w:rPr>
        <w:t xml:space="preserve"> </w:t>
      </w:r>
      <w:r w:rsidR="0FC71AC8" w:rsidRPr="3F982D60">
        <w:rPr>
          <w:rFonts w:eastAsia="Arial"/>
        </w:rPr>
        <w:t xml:space="preserve">faster and cheaper biosimilar </w:t>
      </w:r>
      <w:r w:rsidR="0FC71AC8" w:rsidRPr="3F982D60">
        <w:rPr>
          <w:rFonts w:eastAsia="Arial"/>
        </w:rPr>
        <w:lastRenderedPageBreak/>
        <w:t>development</w:t>
      </w:r>
      <w:r w:rsidR="5889E333" w:rsidRPr="3F982D60">
        <w:rPr>
          <w:rFonts w:eastAsia="Arial"/>
        </w:rPr>
        <w:t>, the impact on internal market functioning will depend on how many member states will prioritise strategic projects in this domain</w:t>
      </w:r>
      <w:r w:rsidR="18809164" w:rsidRPr="3F982D60">
        <w:rPr>
          <w:rFonts w:eastAsia="Arial"/>
        </w:rPr>
        <w:t>.</w:t>
      </w:r>
    </w:p>
    <w:p w14:paraId="5310E0E4" w14:textId="12445CC8" w:rsidR="00F5430A" w:rsidRPr="00D60FAE" w:rsidRDefault="00A94396" w:rsidP="00D60FAE">
      <w:pPr>
        <w:rPr>
          <w:rFonts w:eastAsia="Arial"/>
        </w:rPr>
      </w:pPr>
      <w:r w:rsidRPr="00D60FAE">
        <w:rPr>
          <w:rFonts w:eastAsia="Arial"/>
          <w:b/>
          <w:bCs/>
        </w:rPr>
        <w:t>Table 1</w:t>
      </w:r>
      <w:r w:rsidR="00EF070B">
        <w:rPr>
          <w:rFonts w:eastAsia="Arial"/>
          <w:b/>
          <w:bCs/>
        </w:rPr>
        <w:t>4</w:t>
      </w:r>
      <w:r w:rsidR="00106AA9">
        <w:rPr>
          <w:rFonts w:eastAsia="Arial"/>
          <w:b/>
          <w:bCs/>
        </w:rPr>
        <w:t>.</w:t>
      </w:r>
      <w:r w:rsidR="00A1172C">
        <w:rPr>
          <w:rFonts w:eastAsia="Arial"/>
          <w:b/>
          <w:bCs/>
        </w:rPr>
        <w:t xml:space="preserve"> </w:t>
      </w:r>
      <w:r w:rsidR="00BD19BF">
        <w:rPr>
          <w:rFonts w:eastAsia="Arial"/>
          <w:b/>
          <w:bCs/>
        </w:rPr>
        <w:t>Impact of EMA guideline</w:t>
      </w:r>
      <w:r w:rsidR="00EE51A9">
        <w:rPr>
          <w:rFonts w:eastAsia="Arial"/>
          <w:b/>
          <w:bCs/>
        </w:rPr>
        <w:t>s</w:t>
      </w:r>
      <w:r w:rsidR="00BD19BF">
        <w:rPr>
          <w:rFonts w:eastAsia="Arial"/>
          <w:b/>
          <w:bCs/>
        </w:rPr>
        <w:t xml:space="preserve"> for CES wa</w:t>
      </w:r>
      <w:r w:rsidR="00C64C38">
        <w:rPr>
          <w:rFonts w:eastAsia="Arial"/>
          <w:b/>
          <w:bCs/>
        </w:rPr>
        <w:t xml:space="preserve">ivers and </w:t>
      </w:r>
      <w:r w:rsidR="009E6A9D">
        <w:rPr>
          <w:rFonts w:eastAsia="Arial"/>
          <w:b/>
          <w:bCs/>
        </w:rPr>
        <w:t>bio</w:t>
      </w:r>
      <w:r w:rsidR="00B52B58">
        <w:rPr>
          <w:rFonts w:eastAsia="Arial"/>
          <w:b/>
          <w:bCs/>
        </w:rPr>
        <w:t>sim</w:t>
      </w:r>
      <w:r w:rsidR="00CD0AA7">
        <w:rPr>
          <w:rFonts w:eastAsia="Arial"/>
          <w:b/>
          <w:bCs/>
        </w:rPr>
        <w:t>ilar strategic projects: health s</w:t>
      </w:r>
      <w:r w:rsidR="00A1172C">
        <w:rPr>
          <w:rFonts w:eastAsia="Arial"/>
          <w:b/>
          <w:bCs/>
        </w:rPr>
        <w:t>aving</w:t>
      </w:r>
      <w:r w:rsidR="00CD0AA7">
        <w:rPr>
          <w:rFonts w:eastAsia="Arial"/>
          <w:b/>
          <w:bCs/>
        </w:rPr>
        <w:t>s</w:t>
      </w:r>
      <w:r w:rsidR="00A1172C">
        <w:rPr>
          <w:rFonts w:eastAsia="Arial"/>
          <w:b/>
          <w:bCs/>
        </w:rPr>
        <w:t xml:space="preserve">, price reduction and </w:t>
      </w:r>
      <w:r w:rsidR="00F4469B">
        <w:rPr>
          <w:rFonts w:eastAsia="Arial"/>
          <w:b/>
          <w:bCs/>
        </w:rPr>
        <w:t>operational infrastructure</w:t>
      </w:r>
      <w:r w:rsidR="00252AB0">
        <w:rPr>
          <w:rFonts w:eastAsia="Arial"/>
          <w:b/>
          <w:bCs/>
        </w:rPr>
        <w:t>s</w:t>
      </w:r>
    </w:p>
    <w:tbl>
      <w:tblPr>
        <w:tblStyle w:val="TableGrid"/>
        <w:tblW w:w="0" w:type="auto"/>
        <w:tblLook w:val="04A0" w:firstRow="1" w:lastRow="0" w:firstColumn="1" w:lastColumn="0" w:noHBand="0" w:noVBand="1"/>
      </w:tblPr>
      <w:tblGrid>
        <w:gridCol w:w="1579"/>
        <w:gridCol w:w="1124"/>
        <w:gridCol w:w="1130"/>
        <w:gridCol w:w="1237"/>
        <w:gridCol w:w="1786"/>
        <w:gridCol w:w="1741"/>
      </w:tblGrid>
      <w:tr w:rsidR="003C1EAB" w:rsidRPr="003C1EAB" w14:paraId="726F15E9" w14:textId="77777777">
        <w:trPr>
          <w:trHeight w:val="300"/>
        </w:trPr>
        <w:tc>
          <w:tcPr>
            <w:tcW w:w="174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9905F6C" w14:textId="77777777" w:rsidR="00F5430A" w:rsidRPr="003C1EAB" w:rsidRDefault="00F5430A">
            <w:pPr>
              <w:spacing w:before="15" w:after="15"/>
              <w:rPr>
                <w:rFonts w:eastAsia="Arial"/>
                <w:b/>
                <w:caps/>
                <w:sz w:val="15"/>
                <w:szCs w:val="15"/>
              </w:rPr>
            </w:pPr>
            <w:r w:rsidRPr="003C1EAB">
              <w:rPr>
                <w:rFonts w:eastAsia="Arial"/>
                <w:b/>
                <w:caps/>
                <w:sz w:val="15"/>
                <w:szCs w:val="15"/>
              </w:rPr>
              <w:t>Indicator</w:t>
            </w:r>
          </w:p>
        </w:tc>
        <w:tc>
          <w:tcPr>
            <w:tcW w:w="118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2A98ED9" w14:textId="77777777" w:rsidR="00F5430A" w:rsidRPr="003C1EAB" w:rsidRDefault="00F5430A">
            <w:pPr>
              <w:spacing w:before="15" w:after="15"/>
              <w:rPr>
                <w:rFonts w:eastAsia="Arial"/>
                <w:b/>
                <w:caps/>
                <w:sz w:val="15"/>
                <w:szCs w:val="15"/>
              </w:rPr>
            </w:pPr>
            <w:r w:rsidRPr="003C1EAB">
              <w:rPr>
                <w:rFonts w:eastAsia="Arial"/>
                <w:b/>
                <w:caps/>
                <w:sz w:val="15"/>
                <w:szCs w:val="15"/>
              </w:rPr>
              <w:t>2025 (base)</w:t>
            </w:r>
          </w:p>
        </w:tc>
        <w:tc>
          <w:tcPr>
            <w:tcW w:w="12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DD9E1C9" w14:textId="77777777" w:rsidR="00F5430A" w:rsidRPr="003C1EAB" w:rsidRDefault="00F5430A">
            <w:pPr>
              <w:spacing w:before="15" w:after="15"/>
              <w:rPr>
                <w:rFonts w:eastAsia="Arial"/>
                <w:b/>
                <w:caps/>
                <w:sz w:val="15"/>
                <w:szCs w:val="15"/>
              </w:rPr>
            </w:pPr>
            <w:r w:rsidRPr="003C1EAB">
              <w:rPr>
                <w:rFonts w:eastAsia="Arial"/>
                <w:b/>
                <w:caps/>
                <w:sz w:val="15"/>
                <w:szCs w:val="15"/>
              </w:rPr>
              <w:t>2025–2030</w:t>
            </w:r>
          </w:p>
        </w:tc>
        <w:tc>
          <w:tcPr>
            <w:tcW w:w="13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AB7DCBF" w14:textId="77777777" w:rsidR="00F5430A" w:rsidRPr="003C1EAB" w:rsidRDefault="00F5430A">
            <w:pPr>
              <w:spacing w:before="15" w:after="15"/>
              <w:rPr>
                <w:rFonts w:eastAsia="Arial"/>
                <w:b/>
                <w:caps/>
                <w:sz w:val="15"/>
                <w:szCs w:val="15"/>
              </w:rPr>
            </w:pPr>
            <w:r w:rsidRPr="003C1EAB">
              <w:rPr>
                <w:rFonts w:eastAsia="Arial"/>
                <w:b/>
                <w:caps/>
                <w:sz w:val="15"/>
                <w:szCs w:val="15"/>
              </w:rPr>
              <w:t>2030–2038</w:t>
            </w:r>
          </w:p>
        </w:tc>
        <w:tc>
          <w:tcPr>
            <w:tcW w:w="20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A9C679F" w14:textId="3D077351" w:rsidR="00F5430A" w:rsidRPr="003C1EAB" w:rsidRDefault="00DA51C6">
            <w:pPr>
              <w:spacing w:before="15" w:after="15"/>
              <w:rPr>
                <w:rFonts w:eastAsia="Arial"/>
                <w:b/>
                <w:caps/>
                <w:sz w:val="15"/>
                <w:szCs w:val="15"/>
              </w:rPr>
            </w:pPr>
            <w:r w:rsidRPr="003C1EAB">
              <w:rPr>
                <w:rFonts w:eastAsia="Arial"/>
                <w:b/>
                <w:caps/>
                <w:sz w:val="15"/>
                <w:szCs w:val="15"/>
              </w:rPr>
              <w:t xml:space="preserve">EMA </w:t>
            </w:r>
            <w:r w:rsidR="00B44A6A" w:rsidRPr="003C1EAB">
              <w:rPr>
                <w:rFonts w:eastAsia="Arial"/>
                <w:b/>
                <w:caps/>
                <w:sz w:val="15"/>
                <w:szCs w:val="15"/>
              </w:rPr>
              <w:t>Guideline</w:t>
            </w:r>
            <w:r w:rsidR="003F69A9">
              <w:rPr>
                <w:rFonts w:eastAsia="Arial"/>
                <w:b/>
                <w:caps/>
                <w:sz w:val="15"/>
                <w:szCs w:val="15"/>
              </w:rPr>
              <w:t>s</w:t>
            </w:r>
            <w:r w:rsidR="00B44A6A" w:rsidRPr="003C1EAB">
              <w:rPr>
                <w:rFonts w:eastAsia="Arial"/>
                <w:b/>
                <w:caps/>
                <w:sz w:val="15"/>
                <w:szCs w:val="15"/>
              </w:rPr>
              <w:t xml:space="preserve"> for CES waivers</w:t>
            </w:r>
          </w:p>
        </w:tc>
        <w:tc>
          <w:tcPr>
            <w:tcW w:w="194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D402F9B" w14:textId="4C8094E0" w:rsidR="00F5430A" w:rsidRPr="003C1EAB" w:rsidRDefault="007B3B00">
            <w:pPr>
              <w:spacing w:before="15" w:after="15"/>
              <w:rPr>
                <w:rFonts w:eastAsia="Arial"/>
                <w:b/>
                <w:caps/>
                <w:sz w:val="15"/>
                <w:szCs w:val="15"/>
              </w:rPr>
            </w:pPr>
            <w:r w:rsidRPr="003C1EAB">
              <w:rPr>
                <w:rFonts w:eastAsia="Arial"/>
                <w:b/>
                <w:caps/>
                <w:sz w:val="15"/>
                <w:szCs w:val="15"/>
              </w:rPr>
              <w:t>biosimilar strategic projects support</w:t>
            </w:r>
          </w:p>
        </w:tc>
      </w:tr>
      <w:tr w:rsidR="003C1EAB" w:rsidRPr="003C1EAB" w14:paraId="31542B1A" w14:textId="77777777">
        <w:trPr>
          <w:trHeight w:val="300"/>
        </w:trPr>
        <w:tc>
          <w:tcPr>
            <w:tcW w:w="174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2AA88C39" w14:textId="48346FAC" w:rsidR="00F5430A" w:rsidRPr="003C1EAB" w:rsidRDefault="00F5430A">
            <w:pPr>
              <w:spacing w:before="15" w:after="15"/>
              <w:rPr>
                <w:rFonts w:eastAsia="Arial"/>
                <w:b/>
                <w:sz w:val="15"/>
                <w:szCs w:val="15"/>
                <w:lang w:val="fr-BE"/>
              </w:rPr>
            </w:pPr>
            <w:r w:rsidRPr="003C1EAB">
              <w:rPr>
                <w:rFonts w:eastAsia="Arial"/>
                <w:b/>
                <w:sz w:val="15"/>
                <w:szCs w:val="15"/>
                <w:lang w:val="fr-BE"/>
              </w:rPr>
              <w:t xml:space="preserve">Cumulative EU biosimilar savings </w:t>
            </w:r>
            <w:r w:rsidRPr="003C1EAB">
              <w:rPr>
                <w:rFonts w:eastAsia="Arial"/>
                <w:b/>
                <w:bCs/>
                <w:sz w:val="15"/>
                <w:szCs w:val="15"/>
                <w:lang w:val="fr-BE"/>
              </w:rPr>
              <w:t>(</w:t>
            </w:r>
            <w:r w:rsidR="39502C35" w:rsidRPr="003C1EAB">
              <w:rPr>
                <w:rFonts w:eastAsia="Arial"/>
                <w:b/>
                <w:bCs/>
                <w:sz w:val="15"/>
                <w:szCs w:val="15"/>
                <w:lang w:val="fr-BE"/>
              </w:rPr>
              <w:t>EUR</w:t>
            </w:r>
            <w:r w:rsidRPr="003C1EAB">
              <w:rPr>
                <w:rFonts w:eastAsia="Arial"/>
                <w:b/>
                <w:bCs/>
                <w:sz w:val="15"/>
                <w:szCs w:val="15"/>
                <w:lang w:val="fr-BE"/>
              </w:rPr>
              <w:t>)</w:t>
            </w:r>
          </w:p>
        </w:tc>
        <w:tc>
          <w:tcPr>
            <w:tcW w:w="118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1F1834DC" w14:textId="0F149BA7" w:rsidR="00F5430A" w:rsidRPr="003C1EAB" w:rsidRDefault="00F5430A">
            <w:pPr>
              <w:spacing w:before="50" w:after="50"/>
              <w:rPr>
                <w:rFonts w:eastAsia="Arial"/>
                <w:sz w:val="15"/>
                <w:szCs w:val="15"/>
              </w:rPr>
            </w:pPr>
            <w:r w:rsidRPr="003C1EAB">
              <w:rPr>
                <w:rFonts w:eastAsia="Arial"/>
                <w:sz w:val="15"/>
                <w:szCs w:val="15"/>
              </w:rPr>
              <w:t>~</w:t>
            </w:r>
            <w:r w:rsidR="6911410F" w:rsidRPr="003C1EAB">
              <w:rPr>
                <w:rFonts w:eastAsia="Arial"/>
                <w:sz w:val="15"/>
                <w:szCs w:val="15"/>
              </w:rPr>
              <w:t xml:space="preserve">EUR </w:t>
            </w:r>
            <w:r w:rsidRPr="003C1EAB">
              <w:rPr>
                <w:rFonts w:eastAsia="Arial"/>
                <w:sz w:val="15"/>
                <w:szCs w:val="15"/>
              </w:rPr>
              <w:t>75</w:t>
            </w:r>
            <w:r w:rsidR="00EC724F" w:rsidRPr="003C1EAB">
              <w:rPr>
                <w:rFonts w:eastAsia="Arial"/>
                <w:sz w:val="15"/>
                <w:szCs w:val="15"/>
              </w:rPr>
              <w:t xml:space="preserve"> billion</w:t>
            </w:r>
            <w:r w:rsidRPr="003C1EAB">
              <w:rPr>
                <w:rFonts w:eastAsia="Arial"/>
                <w:sz w:val="15"/>
                <w:szCs w:val="15"/>
              </w:rPr>
              <w:t xml:space="preserve"> (since 2006); ~</w:t>
            </w:r>
            <w:r w:rsidR="03B5A16C" w:rsidRPr="003C1EAB">
              <w:rPr>
                <w:rFonts w:eastAsia="Arial"/>
                <w:sz w:val="15"/>
                <w:szCs w:val="15"/>
              </w:rPr>
              <w:t xml:space="preserve">EUR </w:t>
            </w:r>
            <w:r w:rsidRPr="003C1EAB">
              <w:rPr>
                <w:rFonts w:eastAsia="Arial"/>
                <w:sz w:val="15"/>
                <w:szCs w:val="15"/>
              </w:rPr>
              <w:t>13</w:t>
            </w:r>
            <w:r w:rsidR="00EC724F" w:rsidRPr="003C1EAB">
              <w:rPr>
                <w:rFonts w:eastAsia="Arial"/>
                <w:sz w:val="15"/>
                <w:szCs w:val="15"/>
              </w:rPr>
              <w:t xml:space="preserve"> billion</w:t>
            </w:r>
            <w:r w:rsidRPr="003C1EAB">
              <w:rPr>
                <w:rFonts w:eastAsia="Arial"/>
                <w:sz w:val="15"/>
                <w:szCs w:val="15"/>
              </w:rPr>
              <w:t xml:space="preserve"> in 2024</w:t>
            </w:r>
          </w:p>
        </w:tc>
        <w:tc>
          <w:tcPr>
            <w:tcW w:w="12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7EB0A0B4" w14:textId="45A34F3B" w:rsidR="00F5430A" w:rsidRPr="003C1EAB" w:rsidRDefault="02FCDDB4">
            <w:pPr>
              <w:spacing w:before="50" w:after="50"/>
              <w:rPr>
                <w:rFonts w:eastAsia="Arial"/>
                <w:sz w:val="15"/>
                <w:szCs w:val="15"/>
              </w:rPr>
            </w:pPr>
            <w:r w:rsidRPr="003C1EAB">
              <w:rPr>
                <w:rFonts w:eastAsia="Arial"/>
                <w:sz w:val="15"/>
                <w:szCs w:val="15"/>
              </w:rPr>
              <w:t xml:space="preserve">EUR </w:t>
            </w:r>
            <w:r w:rsidR="00F5430A" w:rsidRPr="003C1EAB">
              <w:rPr>
                <w:rFonts w:eastAsia="Arial"/>
                <w:sz w:val="15"/>
                <w:szCs w:val="15"/>
              </w:rPr>
              <w:t>130–160</w:t>
            </w:r>
            <w:r w:rsidR="00EC724F" w:rsidRPr="003C1EAB">
              <w:rPr>
                <w:rFonts w:eastAsia="Arial"/>
                <w:sz w:val="15"/>
                <w:szCs w:val="15"/>
              </w:rPr>
              <w:t xml:space="preserve"> billion</w:t>
            </w:r>
            <w:r w:rsidR="00F5430A" w:rsidRPr="003C1EAB">
              <w:rPr>
                <w:rFonts w:eastAsia="Arial"/>
                <w:sz w:val="15"/>
                <w:szCs w:val="15"/>
              </w:rPr>
              <w:t xml:space="preserve"> cumulative by 2030; </w:t>
            </w:r>
            <w:r w:rsidR="7BF60486" w:rsidRPr="003C1EAB">
              <w:rPr>
                <w:rFonts w:eastAsia="Arial"/>
                <w:sz w:val="15"/>
                <w:szCs w:val="15"/>
              </w:rPr>
              <w:t xml:space="preserve">EUR </w:t>
            </w:r>
            <w:r w:rsidR="00F5430A" w:rsidRPr="003C1EAB">
              <w:rPr>
                <w:rFonts w:eastAsia="Arial"/>
                <w:sz w:val="15"/>
                <w:szCs w:val="15"/>
              </w:rPr>
              <w:t>16–22</w:t>
            </w:r>
            <w:r w:rsidR="00EC724F" w:rsidRPr="003C1EAB">
              <w:rPr>
                <w:rFonts w:eastAsia="Arial"/>
                <w:sz w:val="15"/>
                <w:szCs w:val="15"/>
              </w:rPr>
              <w:t xml:space="preserve"> billio</w:t>
            </w:r>
            <w:r w:rsidR="00B7315D" w:rsidRPr="003C1EAB">
              <w:rPr>
                <w:rFonts w:eastAsia="Arial"/>
                <w:sz w:val="15"/>
                <w:szCs w:val="15"/>
              </w:rPr>
              <w:t>n</w:t>
            </w:r>
            <w:r w:rsidR="00F5430A" w:rsidRPr="003C1EAB">
              <w:rPr>
                <w:rFonts w:eastAsia="Arial"/>
                <w:sz w:val="15"/>
                <w:szCs w:val="15"/>
              </w:rPr>
              <w:t>/y</w:t>
            </w:r>
            <w:r w:rsidR="00A45649" w:rsidRPr="003C1EAB">
              <w:rPr>
                <w:rFonts w:eastAsia="Arial"/>
                <w:sz w:val="15"/>
                <w:szCs w:val="15"/>
              </w:rPr>
              <w:t>ea</w:t>
            </w:r>
            <w:r w:rsidR="00F5430A" w:rsidRPr="003C1EAB">
              <w:rPr>
                <w:rFonts w:eastAsia="Arial"/>
                <w:sz w:val="15"/>
                <w:szCs w:val="15"/>
              </w:rPr>
              <w:t>r</w:t>
            </w:r>
          </w:p>
        </w:tc>
        <w:tc>
          <w:tcPr>
            <w:tcW w:w="13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59120FDA" w14:textId="5B8B0EED" w:rsidR="00F5430A" w:rsidRPr="003C1EAB" w:rsidRDefault="4276644A">
            <w:pPr>
              <w:spacing w:before="50" w:after="50"/>
              <w:rPr>
                <w:rFonts w:eastAsia="Arial"/>
                <w:sz w:val="15"/>
                <w:szCs w:val="15"/>
              </w:rPr>
            </w:pPr>
            <w:r w:rsidRPr="003C1EAB">
              <w:rPr>
                <w:rFonts w:eastAsia="Arial"/>
                <w:sz w:val="15"/>
                <w:szCs w:val="15"/>
              </w:rPr>
              <w:t xml:space="preserve">EUR </w:t>
            </w:r>
            <w:r w:rsidR="00F5430A" w:rsidRPr="003C1EAB">
              <w:rPr>
                <w:rFonts w:eastAsia="Arial"/>
                <w:sz w:val="15"/>
                <w:szCs w:val="15"/>
              </w:rPr>
              <w:t>300–450</w:t>
            </w:r>
            <w:r w:rsidR="00B07D73" w:rsidRPr="003C1EAB">
              <w:rPr>
                <w:rFonts w:eastAsia="Arial"/>
                <w:sz w:val="15"/>
                <w:szCs w:val="15"/>
              </w:rPr>
              <w:t xml:space="preserve"> billion</w:t>
            </w:r>
            <w:r w:rsidR="00F5430A" w:rsidRPr="003C1EAB">
              <w:rPr>
                <w:rFonts w:eastAsia="Arial"/>
                <w:sz w:val="15"/>
                <w:szCs w:val="15"/>
              </w:rPr>
              <w:t xml:space="preserve"> cumulative by 2038; </w:t>
            </w:r>
            <w:r w:rsidR="05A651BE" w:rsidRPr="003C1EAB">
              <w:rPr>
                <w:rFonts w:eastAsia="Arial"/>
                <w:sz w:val="15"/>
                <w:szCs w:val="15"/>
              </w:rPr>
              <w:t xml:space="preserve">EUR </w:t>
            </w:r>
            <w:r w:rsidR="00F5430A" w:rsidRPr="003C1EAB">
              <w:rPr>
                <w:rFonts w:eastAsia="Arial"/>
                <w:sz w:val="15"/>
                <w:szCs w:val="15"/>
              </w:rPr>
              <w:t>22–35</w:t>
            </w:r>
            <w:r w:rsidR="00B07D73" w:rsidRPr="003C1EAB">
              <w:rPr>
                <w:rFonts w:eastAsia="Arial"/>
                <w:sz w:val="15"/>
                <w:szCs w:val="15"/>
              </w:rPr>
              <w:t xml:space="preserve"> billion</w:t>
            </w:r>
            <w:r w:rsidR="00F5430A" w:rsidRPr="003C1EAB">
              <w:rPr>
                <w:rFonts w:eastAsia="Arial"/>
                <w:sz w:val="15"/>
                <w:szCs w:val="15"/>
              </w:rPr>
              <w:t>/y</w:t>
            </w:r>
            <w:r w:rsidR="00A45649" w:rsidRPr="003C1EAB">
              <w:rPr>
                <w:rFonts w:eastAsia="Arial"/>
                <w:sz w:val="15"/>
                <w:szCs w:val="15"/>
              </w:rPr>
              <w:t>ea</w:t>
            </w:r>
            <w:r w:rsidR="00F5430A" w:rsidRPr="003C1EAB">
              <w:rPr>
                <w:rFonts w:eastAsia="Arial"/>
                <w:sz w:val="15"/>
                <w:szCs w:val="15"/>
              </w:rPr>
              <w:t>r</w:t>
            </w:r>
          </w:p>
        </w:tc>
        <w:tc>
          <w:tcPr>
            <w:tcW w:w="20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24F6FEC8" w14:textId="77777777" w:rsidR="00F5430A" w:rsidRPr="003C1EAB" w:rsidRDefault="00F5430A">
            <w:pPr>
              <w:spacing w:before="15" w:after="15"/>
              <w:rPr>
                <w:rFonts w:eastAsia="Arial"/>
                <w:sz w:val="15"/>
                <w:szCs w:val="15"/>
              </w:rPr>
            </w:pPr>
            <w:r w:rsidRPr="003C1EAB">
              <w:rPr>
                <w:rFonts w:eastAsia="Arial"/>
                <w:sz w:val="15"/>
                <w:szCs w:val="15"/>
              </w:rPr>
              <w:t>Indirect: faster entry + more competitors = greater savings</w:t>
            </w:r>
          </w:p>
        </w:tc>
        <w:tc>
          <w:tcPr>
            <w:tcW w:w="194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3298F74E" w14:textId="77777777" w:rsidR="00F5430A" w:rsidRPr="003C1EAB" w:rsidRDefault="00F5430A">
            <w:pPr>
              <w:spacing w:before="15" w:after="15"/>
              <w:rPr>
                <w:rFonts w:eastAsia="Arial"/>
                <w:sz w:val="15"/>
                <w:szCs w:val="15"/>
              </w:rPr>
            </w:pPr>
            <w:r w:rsidRPr="003C1EAB">
              <w:rPr>
                <w:rFonts w:eastAsia="Arial"/>
                <w:sz w:val="15"/>
                <w:szCs w:val="15"/>
              </w:rPr>
              <w:t>Indirect: EU supply security supports access continuity</w:t>
            </w:r>
          </w:p>
        </w:tc>
      </w:tr>
      <w:tr w:rsidR="003C1EAB" w:rsidRPr="003C1EAB" w14:paraId="2963ABEF" w14:textId="77777777">
        <w:trPr>
          <w:trHeight w:val="300"/>
        </w:trPr>
        <w:tc>
          <w:tcPr>
            <w:tcW w:w="174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5064E07" w14:textId="77777777" w:rsidR="00F5430A" w:rsidRPr="003C1EAB" w:rsidRDefault="00F5430A">
            <w:pPr>
              <w:spacing w:before="15" w:after="15"/>
              <w:rPr>
                <w:rFonts w:eastAsia="Arial"/>
                <w:b/>
                <w:sz w:val="15"/>
                <w:szCs w:val="15"/>
              </w:rPr>
            </w:pPr>
            <w:r w:rsidRPr="003C1EAB">
              <w:rPr>
                <w:rFonts w:eastAsia="Arial"/>
                <w:b/>
                <w:sz w:val="15"/>
                <w:szCs w:val="15"/>
              </w:rPr>
              <w:t>Average price reduction post-entry</w:t>
            </w:r>
          </w:p>
        </w:tc>
        <w:tc>
          <w:tcPr>
            <w:tcW w:w="118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DEC2441" w14:textId="5DA3F2A2" w:rsidR="00F5430A" w:rsidRPr="003C1EAB" w:rsidRDefault="00F5430A">
            <w:pPr>
              <w:spacing w:before="50" w:after="50"/>
              <w:rPr>
                <w:rFonts w:eastAsia="Arial"/>
                <w:sz w:val="15"/>
                <w:szCs w:val="15"/>
              </w:rPr>
            </w:pPr>
            <w:r w:rsidRPr="003C1EAB">
              <w:rPr>
                <w:rFonts w:eastAsia="Arial"/>
                <w:sz w:val="15"/>
                <w:szCs w:val="15"/>
              </w:rPr>
              <w:t>20–50</w:t>
            </w:r>
            <w:r w:rsidR="006856C2">
              <w:rPr>
                <w:rFonts w:eastAsia="Arial"/>
                <w:sz w:val="15"/>
                <w:szCs w:val="15"/>
              </w:rPr>
              <w:t>%</w:t>
            </w:r>
          </w:p>
        </w:tc>
        <w:tc>
          <w:tcPr>
            <w:tcW w:w="12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737B6EB" w14:textId="1C6FE44E" w:rsidR="00F5430A" w:rsidRPr="003C1EAB" w:rsidRDefault="00F5430A">
            <w:pPr>
              <w:spacing w:before="50" w:after="50"/>
              <w:rPr>
                <w:rFonts w:eastAsia="Arial"/>
                <w:sz w:val="15"/>
                <w:szCs w:val="15"/>
              </w:rPr>
            </w:pPr>
            <w:r w:rsidRPr="003C1EAB">
              <w:rPr>
                <w:rFonts w:eastAsia="Arial"/>
                <w:sz w:val="15"/>
                <w:szCs w:val="15"/>
              </w:rPr>
              <w:t>25–60</w:t>
            </w:r>
            <w:r w:rsidR="006856C2">
              <w:rPr>
                <w:rFonts w:eastAsia="Arial"/>
                <w:sz w:val="15"/>
                <w:szCs w:val="15"/>
              </w:rPr>
              <w:t>%</w:t>
            </w:r>
            <w:r w:rsidRPr="003C1EAB">
              <w:rPr>
                <w:rFonts w:eastAsia="Arial"/>
                <w:sz w:val="15"/>
                <w:szCs w:val="15"/>
              </w:rPr>
              <w:t xml:space="preserve"> (more competitors per molecule)</w:t>
            </w:r>
          </w:p>
        </w:tc>
        <w:tc>
          <w:tcPr>
            <w:tcW w:w="13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F711F07" w14:textId="1F439D14" w:rsidR="00F5430A" w:rsidRPr="003C1EAB" w:rsidRDefault="00F5430A">
            <w:pPr>
              <w:spacing w:before="50" w:after="50"/>
              <w:rPr>
                <w:rFonts w:eastAsia="Arial"/>
                <w:sz w:val="15"/>
                <w:szCs w:val="15"/>
              </w:rPr>
            </w:pPr>
            <w:r w:rsidRPr="003C1EAB">
              <w:rPr>
                <w:rFonts w:eastAsia="Arial"/>
                <w:sz w:val="15"/>
                <w:szCs w:val="15"/>
              </w:rPr>
              <w:t>30–70</w:t>
            </w:r>
            <w:r w:rsidR="006856C2">
              <w:rPr>
                <w:rFonts w:eastAsia="Arial"/>
                <w:sz w:val="15"/>
                <w:szCs w:val="15"/>
              </w:rPr>
              <w:t>%</w:t>
            </w:r>
            <w:r w:rsidRPr="003C1EAB">
              <w:rPr>
                <w:rFonts w:eastAsia="Arial"/>
                <w:sz w:val="15"/>
                <w:szCs w:val="15"/>
              </w:rPr>
              <w:t xml:space="preserve"> (mature competition + next-generation procurement)</w:t>
            </w:r>
          </w:p>
        </w:tc>
        <w:tc>
          <w:tcPr>
            <w:tcW w:w="20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1C01838" w14:textId="77777777" w:rsidR="00F5430A" w:rsidRPr="003C1EAB" w:rsidRDefault="00F5430A">
            <w:pPr>
              <w:spacing w:before="15" w:after="15"/>
              <w:rPr>
                <w:rFonts w:eastAsia="Arial"/>
                <w:sz w:val="15"/>
                <w:szCs w:val="15"/>
              </w:rPr>
            </w:pPr>
            <w:r w:rsidRPr="003C1EAB">
              <w:rPr>
                <w:rFonts w:eastAsia="Arial"/>
                <w:sz w:val="15"/>
                <w:szCs w:val="15"/>
              </w:rPr>
              <w:t>Indirect: more entrants = deeper competition</w:t>
            </w:r>
          </w:p>
        </w:tc>
        <w:tc>
          <w:tcPr>
            <w:tcW w:w="194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16E23E3" w14:textId="77777777" w:rsidR="00F5430A" w:rsidRPr="003C1EAB" w:rsidRDefault="00F5430A">
            <w:pPr>
              <w:spacing w:before="15" w:after="15"/>
              <w:rPr>
                <w:rFonts w:eastAsia="Arial"/>
                <w:sz w:val="15"/>
                <w:szCs w:val="15"/>
              </w:rPr>
            </w:pPr>
            <w:r w:rsidRPr="003C1EAB">
              <w:rPr>
                <w:rFonts w:eastAsia="Arial"/>
                <w:sz w:val="15"/>
                <w:szCs w:val="15"/>
              </w:rPr>
              <w:t>—</w:t>
            </w:r>
          </w:p>
        </w:tc>
      </w:tr>
      <w:tr w:rsidR="003C1EAB" w:rsidRPr="003C1EAB" w14:paraId="0350F164" w14:textId="77777777">
        <w:trPr>
          <w:trHeight w:val="300"/>
        </w:trPr>
        <w:tc>
          <w:tcPr>
            <w:tcW w:w="174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6FC7BC06" w14:textId="77777777" w:rsidR="00F5430A" w:rsidRPr="003C1EAB" w:rsidRDefault="00F5430A">
            <w:pPr>
              <w:spacing w:before="15" w:after="15"/>
              <w:rPr>
                <w:rFonts w:eastAsia="Arial"/>
                <w:b/>
                <w:sz w:val="15"/>
                <w:szCs w:val="15"/>
              </w:rPr>
            </w:pPr>
            <w:r w:rsidRPr="003C1EAB">
              <w:rPr>
                <w:rFonts w:eastAsia="Arial"/>
                <w:b/>
                <w:sz w:val="15"/>
                <w:szCs w:val="15"/>
              </w:rPr>
              <w:t>MS with operational Ch. II single points of contact</w:t>
            </w:r>
          </w:p>
        </w:tc>
        <w:tc>
          <w:tcPr>
            <w:tcW w:w="118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5C8527F7" w14:textId="77777777" w:rsidR="00F5430A" w:rsidRPr="003C1EAB" w:rsidRDefault="00F5430A">
            <w:pPr>
              <w:spacing w:before="50" w:after="50"/>
              <w:rPr>
                <w:rFonts w:eastAsia="Arial"/>
                <w:sz w:val="15"/>
                <w:szCs w:val="15"/>
              </w:rPr>
            </w:pPr>
            <w:r w:rsidRPr="003C1EAB">
              <w:rPr>
                <w:rFonts w:eastAsia="Arial"/>
                <w:sz w:val="15"/>
                <w:szCs w:val="15"/>
              </w:rPr>
              <w:t>0 (not yet operational)</w:t>
            </w:r>
          </w:p>
        </w:tc>
        <w:tc>
          <w:tcPr>
            <w:tcW w:w="120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7B5B1D3F" w14:textId="77777777" w:rsidR="00F5430A" w:rsidRPr="003C1EAB" w:rsidRDefault="00F5430A">
            <w:pPr>
              <w:spacing w:before="50" w:after="50"/>
              <w:rPr>
                <w:rFonts w:eastAsia="Arial"/>
                <w:sz w:val="15"/>
                <w:szCs w:val="15"/>
              </w:rPr>
            </w:pPr>
            <w:r w:rsidRPr="003C1EAB">
              <w:rPr>
                <w:rFonts w:eastAsia="Arial"/>
                <w:sz w:val="15"/>
                <w:szCs w:val="15"/>
              </w:rPr>
              <w:t>15–20 MS (larger MS first)</w:t>
            </w:r>
          </w:p>
        </w:tc>
        <w:tc>
          <w:tcPr>
            <w:tcW w:w="13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717DF704" w14:textId="77777777" w:rsidR="00F5430A" w:rsidRPr="003C1EAB" w:rsidRDefault="00F5430A">
            <w:pPr>
              <w:spacing w:before="50" w:after="50"/>
              <w:rPr>
                <w:rFonts w:eastAsia="Arial"/>
                <w:sz w:val="15"/>
                <w:szCs w:val="15"/>
              </w:rPr>
            </w:pPr>
            <w:r w:rsidRPr="003C1EAB">
              <w:rPr>
                <w:rFonts w:eastAsia="Arial"/>
                <w:sz w:val="15"/>
                <w:szCs w:val="15"/>
              </w:rPr>
              <w:t>22–27 MS (full rollout)</w:t>
            </w:r>
          </w:p>
        </w:tc>
        <w:tc>
          <w:tcPr>
            <w:tcW w:w="20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087A3B7C" w14:textId="77777777" w:rsidR="00F5430A" w:rsidRPr="003C1EAB" w:rsidRDefault="00F5430A">
            <w:pPr>
              <w:spacing w:before="15" w:after="15"/>
              <w:rPr>
                <w:rFonts w:eastAsia="Arial"/>
                <w:sz w:val="15"/>
                <w:szCs w:val="15"/>
              </w:rPr>
            </w:pPr>
            <w:r w:rsidRPr="003C1EAB">
              <w:rPr>
                <w:rFonts w:eastAsia="Arial"/>
                <w:sz w:val="15"/>
                <w:szCs w:val="15"/>
              </w:rPr>
              <w:t>—</w:t>
            </w:r>
          </w:p>
        </w:tc>
        <w:tc>
          <w:tcPr>
            <w:tcW w:w="194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5448AE3B" w14:textId="0F8251A9" w:rsidR="00F5430A" w:rsidRPr="003C1EAB" w:rsidRDefault="00F5430A">
            <w:pPr>
              <w:spacing w:before="15" w:after="15"/>
              <w:rPr>
                <w:rFonts w:eastAsia="Arial"/>
                <w:sz w:val="15"/>
                <w:szCs w:val="15"/>
              </w:rPr>
            </w:pPr>
            <w:r w:rsidRPr="003C1EAB">
              <w:rPr>
                <w:rFonts w:eastAsia="Arial"/>
                <w:sz w:val="15"/>
                <w:szCs w:val="15"/>
              </w:rPr>
              <w:t xml:space="preserve">Direct: </w:t>
            </w:r>
            <w:r w:rsidR="00A7150A" w:rsidRPr="003C1EAB">
              <w:rPr>
                <w:rFonts w:eastAsia="Arial"/>
                <w:sz w:val="15"/>
                <w:szCs w:val="15"/>
              </w:rPr>
              <w:t xml:space="preserve">depends on how many member states </w:t>
            </w:r>
            <w:r w:rsidR="008B71EC" w:rsidRPr="003C1EAB">
              <w:rPr>
                <w:rFonts w:eastAsia="Arial"/>
                <w:sz w:val="15"/>
                <w:szCs w:val="15"/>
              </w:rPr>
              <w:t>take up the measure</w:t>
            </w:r>
          </w:p>
        </w:tc>
      </w:tr>
    </w:tbl>
    <w:p w14:paraId="534948A4" w14:textId="051FA300" w:rsidR="00F5430A" w:rsidRPr="004570F2" w:rsidRDefault="00F5430A" w:rsidP="004570F2">
      <w:pPr>
        <w:rPr>
          <w:i/>
          <w:sz w:val="20"/>
        </w:rPr>
      </w:pPr>
      <w:r w:rsidRPr="004570F2">
        <w:rPr>
          <w:b/>
          <w:i/>
          <w:sz w:val="20"/>
        </w:rPr>
        <w:t>Sources</w:t>
      </w:r>
      <w:r w:rsidRPr="004570F2">
        <w:rPr>
          <w:i/>
          <w:sz w:val="20"/>
        </w:rPr>
        <w:t>: IQVIA (2025) for baseline savings; Medicines for Europe (2024) for price reduction range. Savings projections assume 17</w:t>
      </w:r>
      <w:r w:rsidR="006856C2" w:rsidRPr="004570F2">
        <w:rPr>
          <w:i/>
          <w:sz w:val="20"/>
        </w:rPr>
        <w:t>%</w:t>
      </w:r>
      <w:r w:rsidRPr="004570F2">
        <w:rPr>
          <w:i/>
          <w:sz w:val="20"/>
        </w:rPr>
        <w:t xml:space="preserve"> CAGR in biosimilar market + </w:t>
      </w:r>
      <w:r w:rsidR="004A4ABD">
        <w:rPr>
          <w:i/>
          <w:sz w:val="20"/>
        </w:rPr>
        <w:t>CES waiver</w:t>
      </w:r>
      <w:r w:rsidRPr="004570F2">
        <w:rPr>
          <w:i/>
          <w:sz w:val="20"/>
        </w:rPr>
        <w:t xml:space="preserve"> acceleration</w:t>
      </w:r>
    </w:p>
    <w:p w14:paraId="007253F6" w14:textId="4363DDF1" w:rsidR="00F5430A" w:rsidRPr="004570F2" w:rsidRDefault="00F5430A" w:rsidP="00D60FAE">
      <w:pPr>
        <w:rPr>
          <w:i/>
          <w:u w:val="single"/>
        </w:rPr>
      </w:pPr>
      <w:r w:rsidRPr="004570F2">
        <w:rPr>
          <w:i/>
          <w:u w:val="single"/>
        </w:rPr>
        <w:t>Public Health and Safety</w:t>
      </w:r>
    </w:p>
    <w:p w14:paraId="4DAB0C10" w14:textId="707D075C" w:rsidR="00F11A1D" w:rsidRPr="003D5A85" w:rsidRDefault="00FA01D8" w:rsidP="00D60FAE">
      <w:pPr>
        <w:rPr>
          <w:rFonts w:eastAsia="Arial"/>
        </w:rPr>
      </w:pPr>
      <w:r w:rsidRPr="00D60FAE">
        <w:rPr>
          <w:rFonts w:eastAsia="Arial"/>
        </w:rPr>
        <w:t>The upper bounds of the therapeutic area and authorisation projections are constrained by the 'biosimilar void': of approximately 100 biologics expected to lose exclusivity by 2032, 79</w:t>
      </w:r>
      <w:r w:rsidR="006856C2">
        <w:rPr>
          <w:rFonts w:eastAsia="Arial"/>
        </w:rPr>
        <w:t>%</w:t>
      </w:r>
      <w:r w:rsidRPr="00D60FAE">
        <w:rPr>
          <w:rFonts w:eastAsia="Arial"/>
        </w:rPr>
        <w:t xml:space="preserve"> have no biosimilars in development and only 10</w:t>
      </w:r>
      <w:r w:rsidR="006856C2">
        <w:rPr>
          <w:rFonts w:eastAsia="Arial"/>
        </w:rPr>
        <w:t>%</w:t>
      </w:r>
      <w:r w:rsidRPr="00D60FAE">
        <w:rPr>
          <w:rFonts w:eastAsia="Arial"/>
        </w:rPr>
        <w:t xml:space="preserve"> are likely to face biosimilar competition in Europe (IQVIA, 2026). The EMA guidance and the biosimilar strategic project support are designed to address this gap: </w:t>
      </w:r>
    </w:p>
    <w:p w14:paraId="3A8782A9" w14:textId="77777777" w:rsidR="00F11A1D" w:rsidRPr="003D5A85" w:rsidRDefault="00FA01D8" w:rsidP="00D60FAE">
      <w:pPr>
        <w:pStyle w:val="ListParagraph"/>
        <w:numPr>
          <w:ilvl w:val="0"/>
          <w:numId w:val="469"/>
        </w:numPr>
        <w:rPr>
          <w:rFonts w:eastAsia="Arial"/>
        </w:rPr>
      </w:pPr>
      <w:r w:rsidRPr="00D60FAE">
        <w:rPr>
          <w:rFonts w:eastAsia="Arial"/>
        </w:rPr>
        <w:t xml:space="preserve">the first by reducing per-product development costs (EUR 19–26 million for CES elimination), making lower-value biologics commercially viable for biosimilar development; </w:t>
      </w:r>
    </w:p>
    <w:p w14:paraId="13A4D35A" w14:textId="07904F4F" w:rsidR="00FA01D8" w:rsidRPr="00D60FAE" w:rsidRDefault="00FA01D8" w:rsidP="00D60FAE">
      <w:pPr>
        <w:pStyle w:val="ListParagraph"/>
        <w:numPr>
          <w:ilvl w:val="0"/>
          <w:numId w:val="469"/>
        </w:numPr>
        <w:rPr>
          <w:rFonts w:eastAsia="Arial"/>
        </w:rPr>
      </w:pPr>
      <w:r w:rsidRPr="00D60FAE">
        <w:rPr>
          <w:rFonts w:eastAsia="Arial"/>
        </w:rPr>
        <w:t xml:space="preserve">and the second by providing investment support through the Chapter II strategic project framework (see table </w:t>
      </w:r>
      <w:r w:rsidR="006009B0">
        <w:rPr>
          <w:rFonts w:eastAsia="Arial"/>
        </w:rPr>
        <w:t>13</w:t>
      </w:r>
      <w:r w:rsidRPr="00D60FAE">
        <w:rPr>
          <w:rFonts w:eastAsia="Arial"/>
        </w:rPr>
        <w:t xml:space="preserve"> above </w:t>
      </w:r>
      <w:r w:rsidR="00E85D1B" w:rsidRPr="003D5A85">
        <w:rPr>
          <w:rFonts w:eastAsia="Arial"/>
        </w:rPr>
        <w:t>“</w:t>
      </w:r>
      <w:r w:rsidR="00E85D1B" w:rsidRPr="00D60FAE">
        <w:t>overall strategic project impact adapted for the biosimilar case</w:t>
      </w:r>
      <w:r w:rsidR="00E85D1B" w:rsidRPr="003D5A85">
        <w:rPr>
          <w:rFonts w:eastAsia="Arial"/>
        </w:rPr>
        <w:t>”</w:t>
      </w:r>
      <w:r w:rsidRPr="00D60FAE">
        <w:rPr>
          <w:rFonts w:eastAsia="Arial"/>
        </w:rPr>
        <w:t>).</w:t>
      </w:r>
    </w:p>
    <w:p w14:paraId="5FE7F8DA" w14:textId="4F25FAC8" w:rsidR="00FA01D8" w:rsidRPr="00D60FAE" w:rsidRDefault="00FA01D8" w:rsidP="00D60FAE">
      <w:pPr>
        <w:rPr>
          <w:rFonts w:eastAsia="Arial"/>
        </w:rPr>
      </w:pPr>
      <w:r w:rsidRPr="00D60FAE">
        <w:rPr>
          <w:rFonts w:eastAsia="Arial"/>
        </w:rPr>
        <w:t>The principal risk is to perceived safety, not actual safety. If prescribers or H</w:t>
      </w:r>
      <w:r w:rsidR="00E85D1B" w:rsidRPr="003D5A85">
        <w:rPr>
          <w:rFonts w:eastAsia="Arial"/>
        </w:rPr>
        <w:t xml:space="preserve">ealth </w:t>
      </w:r>
      <w:r w:rsidRPr="00D60FAE">
        <w:rPr>
          <w:rFonts w:eastAsia="Arial"/>
        </w:rPr>
        <w:t>T</w:t>
      </w:r>
      <w:r w:rsidR="00E85D1B" w:rsidRPr="003D5A85">
        <w:rPr>
          <w:rFonts w:eastAsia="Arial"/>
        </w:rPr>
        <w:t xml:space="preserve">echnology </w:t>
      </w:r>
      <w:r w:rsidRPr="00D60FAE">
        <w:rPr>
          <w:rFonts w:eastAsia="Arial"/>
        </w:rPr>
        <w:t>A</w:t>
      </w:r>
      <w:r w:rsidR="00E85D1B" w:rsidRPr="003D5A85">
        <w:rPr>
          <w:rFonts w:eastAsia="Arial"/>
        </w:rPr>
        <w:t>ssessment</w:t>
      </w:r>
      <w:r w:rsidRPr="00D60FAE">
        <w:rPr>
          <w:rFonts w:eastAsia="Arial"/>
        </w:rPr>
        <w:t xml:space="preserve"> bodies lose confidence in biosimilars approved with less clinical data, uptake could decrease, offsetting the access benefits of faster entry. Effective communication strategies and transparent post-marketing monitoring are prerequisites. The 2030–2038 projection assumes that the first decade of tailored-approach approvals (2025–2035) generates sufficient pharmacovigilance evidence to confirm that the safety profile is equivalent regardless of the clinical data package at authorisation.</w:t>
      </w:r>
    </w:p>
    <w:p w14:paraId="188BB9CE" w14:textId="0F7C8830" w:rsidR="00FA01D8" w:rsidRPr="00D60FAE" w:rsidRDefault="00A94396" w:rsidP="00D60FAE">
      <w:pPr>
        <w:rPr>
          <w:rFonts w:eastAsia="Arial"/>
          <w:b/>
        </w:rPr>
      </w:pPr>
      <w:r w:rsidRPr="00D60FAE">
        <w:rPr>
          <w:rFonts w:eastAsia="Arial"/>
          <w:b/>
          <w:bCs/>
        </w:rPr>
        <w:t>Table 1</w:t>
      </w:r>
      <w:r w:rsidR="00EF070B">
        <w:rPr>
          <w:rFonts w:eastAsia="Arial"/>
          <w:b/>
          <w:bCs/>
        </w:rPr>
        <w:t>5</w:t>
      </w:r>
      <w:r w:rsidR="00106AA9">
        <w:rPr>
          <w:rFonts w:eastAsia="Arial"/>
          <w:b/>
          <w:bCs/>
        </w:rPr>
        <w:t>.</w:t>
      </w:r>
      <w:r w:rsidR="00C43BCC">
        <w:rPr>
          <w:rFonts w:eastAsia="Arial"/>
          <w:b/>
          <w:bCs/>
        </w:rPr>
        <w:t xml:space="preserve"> </w:t>
      </w:r>
      <w:r w:rsidR="001A3037">
        <w:rPr>
          <w:rFonts w:eastAsia="Arial"/>
          <w:b/>
          <w:bCs/>
        </w:rPr>
        <w:t>Impact of EMA guideline for CES waivers and biosimilar strategic projects</w:t>
      </w:r>
      <w:r w:rsidR="00E05C39">
        <w:rPr>
          <w:rFonts w:eastAsia="Arial"/>
          <w:b/>
          <w:bCs/>
        </w:rPr>
        <w:t xml:space="preserve"> on public health and safety</w:t>
      </w:r>
    </w:p>
    <w:tbl>
      <w:tblPr>
        <w:tblStyle w:val="TableGrid"/>
        <w:tblW w:w="0" w:type="auto"/>
        <w:tblLook w:val="04A0" w:firstRow="1" w:lastRow="0" w:firstColumn="1" w:lastColumn="0" w:noHBand="0" w:noVBand="1"/>
      </w:tblPr>
      <w:tblGrid>
        <w:gridCol w:w="1720"/>
        <w:gridCol w:w="1213"/>
        <w:gridCol w:w="1287"/>
        <w:gridCol w:w="1444"/>
        <w:gridCol w:w="1549"/>
        <w:gridCol w:w="1384"/>
      </w:tblGrid>
      <w:tr w:rsidR="00F5430A" w:rsidRPr="003D5A85" w14:paraId="227AD379" w14:textId="77777777">
        <w:trPr>
          <w:trHeight w:val="300"/>
        </w:trPr>
        <w:tc>
          <w:tcPr>
            <w:tcW w:w="188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D0BBD9D" w14:textId="77777777" w:rsidR="00F5430A" w:rsidRPr="003D5A85" w:rsidRDefault="00F5430A">
            <w:pPr>
              <w:spacing w:before="15" w:after="15"/>
            </w:pPr>
            <w:r w:rsidRPr="00D60FAE">
              <w:rPr>
                <w:rFonts w:eastAsia="Arial"/>
                <w:b/>
                <w:caps/>
                <w:sz w:val="15"/>
                <w:szCs w:val="15"/>
              </w:rPr>
              <w:t>Indicator</w:t>
            </w:r>
          </w:p>
        </w:tc>
        <w:tc>
          <w:tcPr>
            <w:tcW w:w="13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6760130" w14:textId="77777777" w:rsidR="00F5430A" w:rsidRPr="003D5A85" w:rsidRDefault="00F5430A">
            <w:pPr>
              <w:spacing w:before="15" w:after="15"/>
            </w:pPr>
            <w:r w:rsidRPr="00D60FAE">
              <w:rPr>
                <w:rFonts w:eastAsia="Arial"/>
                <w:b/>
                <w:caps/>
                <w:sz w:val="15"/>
                <w:szCs w:val="15"/>
              </w:rPr>
              <w:t>2025 (base)</w:t>
            </w:r>
          </w:p>
        </w:tc>
        <w:tc>
          <w:tcPr>
            <w:tcW w:w="141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8184282" w14:textId="77777777" w:rsidR="00F5430A" w:rsidRPr="003D5A85" w:rsidRDefault="00F5430A">
            <w:pPr>
              <w:spacing w:before="15" w:after="15"/>
            </w:pPr>
            <w:r w:rsidRPr="00D60FAE">
              <w:rPr>
                <w:rFonts w:eastAsia="Arial"/>
                <w:b/>
                <w:caps/>
                <w:sz w:val="15"/>
                <w:szCs w:val="15"/>
              </w:rPr>
              <w:t>2025–2030</w:t>
            </w:r>
          </w:p>
        </w:tc>
        <w:tc>
          <w:tcPr>
            <w:tcW w:w="16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5BC7EA5" w14:textId="77777777" w:rsidR="00F5430A" w:rsidRPr="003D5A85" w:rsidRDefault="00F5430A">
            <w:pPr>
              <w:spacing w:before="15" w:after="15"/>
            </w:pPr>
            <w:r w:rsidRPr="00D60FAE">
              <w:rPr>
                <w:rFonts w:eastAsia="Arial"/>
                <w:b/>
                <w:caps/>
                <w:sz w:val="15"/>
                <w:szCs w:val="15"/>
              </w:rPr>
              <w:t>2030–2038</w:t>
            </w:r>
          </w:p>
        </w:tc>
        <w:tc>
          <w:tcPr>
            <w:tcW w:w="16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3B535EE0" w14:textId="70A932E3" w:rsidR="00F5430A" w:rsidRPr="00D60FAE" w:rsidRDefault="00DA51C6">
            <w:pPr>
              <w:spacing w:before="15" w:after="15"/>
              <w:rPr>
                <w:rFonts w:eastAsia="Arial"/>
                <w:b/>
                <w:caps/>
                <w:sz w:val="15"/>
                <w:szCs w:val="15"/>
              </w:rPr>
            </w:pPr>
            <w:r w:rsidRPr="00D60FAE">
              <w:rPr>
                <w:rFonts w:eastAsia="Arial"/>
                <w:b/>
                <w:caps/>
                <w:sz w:val="15"/>
                <w:szCs w:val="15"/>
              </w:rPr>
              <w:t xml:space="preserve">ema </w:t>
            </w:r>
            <w:r w:rsidR="00F5430A" w:rsidRPr="00D60FAE">
              <w:rPr>
                <w:rFonts w:eastAsia="Arial"/>
                <w:b/>
                <w:caps/>
                <w:sz w:val="15"/>
                <w:szCs w:val="15"/>
              </w:rPr>
              <w:t>Guideline</w:t>
            </w:r>
            <w:r w:rsidR="003F69A9">
              <w:rPr>
                <w:rFonts w:eastAsia="Arial"/>
                <w:b/>
                <w:caps/>
                <w:sz w:val="15"/>
                <w:szCs w:val="15"/>
              </w:rPr>
              <w:t>s</w:t>
            </w:r>
            <w:r w:rsidR="00F5430A" w:rsidRPr="00D60FAE">
              <w:rPr>
                <w:rFonts w:eastAsia="Arial"/>
                <w:b/>
                <w:caps/>
                <w:sz w:val="15"/>
                <w:szCs w:val="15"/>
              </w:rPr>
              <w:t xml:space="preserve"> for CES waivers </w:t>
            </w:r>
          </w:p>
        </w:tc>
        <w:tc>
          <w:tcPr>
            <w:tcW w:w="146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86B968A" w14:textId="7F60359F" w:rsidR="00F5430A" w:rsidRPr="00D60FAE" w:rsidRDefault="007B3B00">
            <w:pPr>
              <w:spacing w:before="15" w:after="15"/>
              <w:rPr>
                <w:rFonts w:eastAsia="Arial"/>
                <w:b/>
                <w:caps/>
                <w:sz w:val="15"/>
                <w:szCs w:val="15"/>
              </w:rPr>
            </w:pPr>
            <w:r w:rsidRPr="00D60FAE">
              <w:rPr>
                <w:rFonts w:eastAsia="Arial"/>
                <w:b/>
                <w:caps/>
                <w:sz w:val="15"/>
                <w:szCs w:val="15"/>
              </w:rPr>
              <w:t>biosimilar strategic projects support</w:t>
            </w:r>
          </w:p>
        </w:tc>
      </w:tr>
      <w:tr w:rsidR="00F5430A" w:rsidRPr="003D5A85" w14:paraId="631A3BA8" w14:textId="77777777">
        <w:trPr>
          <w:trHeight w:val="300"/>
        </w:trPr>
        <w:tc>
          <w:tcPr>
            <w:tcW w:w="188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5D0F8A4B" w14:textId="77777777" w:rsidR="00F5430A" w:rsidRPr="003D5A85" w:rsidRDefault="00F5430A">
            <w:pPr>
              <w:spacing w:before="15" w:after="15"/>
            </w:pPr>
            <w:r w:rsidRPr="00D60FAE">
              <w:rPr>
                <w:rFonts w:eastAsia="Arial"/>
                <w:b/>
                <w:sz w:val="15"/>
                <w:szCs w:val="15"/>
              </w:rPr>
              <w:lastRenderedPageBreak/>
              <w:t>Biosimilars authorised (cumulative)</w:t>
            </w:r>
          </w:p>
        </w:tc>
        <w:tc>
          <w:tcPr>
            <w:tcW w:w="13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38394812" w14:textId="77777777" w:rsidR="00F5430A" w:rsidRPr="003D5A85" w:rsidRDefault="00F5430A">
            <w:pPr>
              <w:spacing w:before="50" w:after="50"/>
            </w:pPr>
            <w:r w:rsidRPr="00D60FAE">
              <w:rPr>
                <w:rFonts w:eastAsia="Arial"/>
                <w:sz w:val="15"/>
                <w:szCs w:val="15"/>
              </w:rPr>
              <w:t>151</w:t>
            </w:r>
          </w:p>
        </w:tc>
        <w:tc>
          <w:tcPr>
            <w:tcW w:w="141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088EB8CD" w14:textId="77777777" w:rsidR="00F5430A" w:rsidRPr="003D5A85" w:rsidRDefault="00F5430A">
            <w:pPr>
              <w:spacing w:before="50" w:after="50"/>
            </w:pPr>
            <w:r w:rsidRPr="00D60FAE">
              <w:rPr>
                <w:rFonts w:eastAsia="Arial"/>
                <w:sz w:val="15"/>
                <w:szCs w:val="15"/>
              </w:rPr>
              <w:t>250–350</w:t>
            </w:r>
          </w:p>
        </w:tc>
        <w:tc>
          <w:tcPr>
            <w:tcW w:w="16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66545747" w14:textId="77777777" w:rsidR="00F5430A" w:rsidRPr="003D5A85" w:rsidRDefault="00F5430A">
            <w:pPr>
              <w:spacing w:before="50" w:after="50"/>
            </w:pPr>
            <w:r w:rsidRPr="00D60FAE">
              <w:rPr>
                <w:rFonts w:eastAsia="Arial"/>
                <w:sz w:val="15"/>
                <w:szCs w:val="15"/>
              </w:rPr>
              <w:t>450–650</w:t>
            </w:r>
          </w:p>
        </w:tc>
        <w:tc>
          <w:tcPr>
            <w:tcW w:w="16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4CA53195" w14:textId="77777777" w:rsidR="00F5430A" w:rsidRPr="003D5A85" w:rsidRDefault="00F5430A">
            <w:pPr>
              <w:spacing w:before="15" w:after="15"/>
            </w:pPr>
            <w:r w:rsidRPr="00D60FAE">
              <w:rPr>
                <w:rFonts w:eastAsia="Arial"/>
                <w:sz w:val="15"/>
                <w:szCs w:val="15"/>
              </w:rPr>
              <w:t>Indirect: accelerated authorisations</w:t>
            </w:r>
          </w:p>
        </w:tc>
        <w:tc>
          <w:tcPr>
            <w:tcW w:w="146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786C0574" w14:textId="77777777" w:rsidR="00F5430A" w:rsidRPr="003D5A85" w:rsidRDefault="00F5430A">
            <w:pPr>
              <w:spacing w:before="15" w:after="15"/>
            </w:pPr>
            <w:r w:rsidRPr="00D60FAE">
              <w:rPr>
                <w:rFonts w:eastAsia="Arial"/>
                <w:sz w:val="15"/>
                <w:szCs w:val="15"/>
              </w:rPr>
              <w:t>—</w:t>
            </w:r>
          </w:p>
        </w:tc>
      </w:tr>
      <w:tr w:rsidR="00F5430A" w:rsidRPr="003D5A85" w14:paraId="3DC65F50" w14:textId="77777777">
        <w:trPr>
          <w:trHeight w:val="300"/>
        </w:trPr>
        <w:tc>
          <w:tcPr>
            <w:tcW w:w="188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06F9A71" w14:textId="77777777" w:rsidR="00F5430A" w:rsidRPr="003D5A85" w:rsidRDefault="00F5430A">
            <w:pPr>
              <w:spacing w:before="15" w:after="15"/>
            </w:pPr>
            <w:r w:rsidRPr="00D60FAE">
              <w:rPr>
                <w:rFonts w:eastAsia="Arial"/>
                <w:b/>
                <w:sz w:val="15"/>
                <w:szCs w:val="15"/>
              </w:rPr>
              <w:t>Therapeutic areas covered</w:t>
            </w:r>
          </w:p>
        </w:tc>
        <w:tc>
          <w:tcPr>
            <w:tcW w:w="13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4847E92" w14:textId="77777777" w:rsidR="00F5430A" w:rsidRPr="003D5A85" w:rsidRDefault="00F5430A">
            <w:pPr>
              <w:spacing w:before="50" w:after="50"/>
            </w:pPr>
            <w:r w:rsidRPr="00D60FAE">
              <w:rPr>
                <w:rFonts w:eastAsia="Arial"/>
                <w:sz w:val="15"/>
                <w:szCs w:val="15"/>
              </w:rPr>
              <w:t>~27 reference products</w:t>
            </w:r>
          </w:p>
        </w:tc>
        <w:tc>
          <w:tcPr>
            <w:tcW w:w="141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9F8969B" w14:textId="77777777" w:rsidR="00F5430A" w:rsidRPr="003D5A85" w:rsidRDefault="00F5430A">
            <w:pPr>
              <w:spacing w:before="50" w:after="50"/>
            </w:pPr>
            <w:r w:rsidRPr="00D60FAE">
              <w:rPr>
                <w:rFonts w:eastAsia="Arial"/>
                <w:sz w:val="15"/>
                <w:szCs w:val="15"/>
              </w:rPr>
              <w:t>~35–45 reference products</w:t>
            </w:r>
          </w:p>
        </w:tc>
        <w:tc>
          <w:tcPr>
            <w:tcW w:w="16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0B6AF5E" w14:textId="77777777" w:rsidR="00F5430A" w:rsidRPr="003D5A85" w:rsidRDefault="00F5430A">
            <w:pPr>
              <w:spacing w:before="50" w:after="50"/>
            </w:pPr>
            <w:r w:rsidRPr="00D60FAE">
              <w:rPr>
                <w:rFonts w:eastAsia="Arial"/>
                <w:sz w:val="15"/>
                <w:szCs w:val="15"/>
              </w:rPr>
              <w:t>~55–75 reference products</w:t>
            </w:r>
          </w:p>
        </w:tc>
        <w:tc>
          <w:tcPr>
            <w:tcW w:w="16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0B729B1E" w14:textId="77777777" w:rsidR="00F5430A" w:rsidRPr="003D5A85" w:rsidRDefault="00F5430A">
            <w:pPr>
              <w:spacing w:before="15" w:after="15"/>
            </w:pPr>
            <w:r w:rsidRPr="00D60FAE">
              <w:rPr>
                <w:rFonts w:eastAsia="Arial"/>
                <w:sz w:val="15"/>
                <w:szCs w:val="15"/>
              </w:rPr>
              <w:t>Indirect: lower barriers open new areas</w:t>
            </w:r>
          </w:p>
        </w:tc>
        <w:tc>
          <w:tcPr>
            <w:tcW w:w="146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6B58BF0" w14:textId="77777777" w:rsidR="00F5430A" w:rsidRPr="003D5A85" w:rsidRDefault="00F5430A">
            <w:pPr>
              <w:spacing w:before="15" w:after="15"/>
            </w:pPr>
            <w:r w:rsidRPr="00D60FAE">
              <w:rPr>
                <w:rFonts w:eastAsia="Arial"/>
                <w:sz w:val="15"/>
                <w:szCs w:val="15"/>
              </w:rPr>
              <w:t>—</w:t>
            </w:r>
          </w:p>
        </w:tc>
      </w:tr>
      <w:tr w:rsidR="00F5430A" w:rsidRPr="003D5A85" w14:paraId="1AD1DAF1" w14:textId="77777777">
        <w:trPr>
          <w:trHeight w:val="300"/>
        </w:trPr>
        <w:tc>
          <w:tcPr>
            <w:tcW w:w="188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7E4353D4" w14:textId="157E7632" w:rsidR="00F5430A" w:rsidRPr="003D5A85" w:rsidRDefault="00F5430A">
            <w:pPr>
              <w:spacing w:before="15" w:after="15"/>
              <w:rPr>
                <w:rFonts w:eastAsia="Arial"/>
                <w:b/>
                <w:sz w:val="15"/>
                <w:szCs w:val="15"/>
              </w:rPr>
            </w:pPr>
            <w:r w:rsidRPr="00D60FAE">
              <w:rPr>
                <w:rFonts w:eastAsia="Arial"/>
                <w:b/>
                <w:sz w:val="15"/>
                <w:szCs w:val="15"/>
              </w:rPr>
              <w:t xml:space="preserve">Annual healthcare system savings </w:t>
            </w:r>
            <w:r w:rsidRPr="00D60FAE">
              <w:rPr>
                <w:rFonts w:eastAsia="Arial"/>
                <w:b/>
                <w:bCs/>
                <w:sz w:val="15"/>
                <w:szCs w:val="15"/>
              </w:rPr>
              <w:t>(</w:t>
            </w:r>
            <w:r w:rsidR="3ABC01B7" w:rsidRPr="458BC1E1">
              <w:rPr>
                <w:rFonts w:eastAsia="Arial"/>
                <w:b/>
                <w:bCs/>
                <w:sz w:val="15"/>
                <w:szCs w:val="15"/>
              </w:rPr>
              <w:t>EUR</w:t>
            </w:r>
            <w:r w:rsidRPr="00D60FAE">
              <w:rPr>
                <w:rFonts w:eastAsia="Arial"/>
                <w:b/>
                <w:bCs/>
                <w:sz w:val="15"/>
                <w:szCs w:val="15"/>
              </w:rPr>
              <w:t>)</w:t>
            </w:r>
          </w:p>
        </w:tc>
        <w:tc>
          <w:tcPr>
            <w:tcW w:w="13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77F3EF10" w14:textId="0279C044" w:rsidR="00F5430A" w:rsidRPr="003D5A85" w:rsidRDefault="00F5430A">
            <w:pPr>
              <w:spacing w:before="50" w:after="50"/>
              <w:rPr>
                <w:rFonts w:eastAsia="Arial"/>
                <w:sz w:val="15"/>
                <w:szCs w:val="15"/>
              </w:rPr>
            </w:pPr>
            <w:r w:rsidRPr="00D60FAE">
              <w:rPr>
                <w:rFonts w:eastAsia="Arial"/>
                <w:sz w:val="15"/>
                <w:szCs w:val="15"/>
              </w:rPr>
              <w:t>~</w:t>
            </w:r>
            <w:r w:rsidR="5F527552" w:rsidRPr="458BC1E1">
              <w:rPr>
                <w:rFonts w:eastAsia="Arial"/>
                <w:sz w:val="15"/>
                <w:szCs w:val="15"/>
              </w:rPr>
              <w:t xml:space="preserve">EUR </w:t>
            </w:r>
            <w:r w:rsidRPr="00D60FAE">
              <w:rPr>
                <w:rFonts w:eastAsia="Arial"/>
                <w:sz w:val="15"/>
                <w:szCs w:val="15"/>
              </w:rPr>
              <w:t>13</w:t>
            </w:r>
            <w:r w:rsidR="003A10D0">
              <w:rPr>
                <w:rFonts w:eastAsia="Arial"/>
                <w:sz w:val="15"/>
                <w:szCs w:val="15"/>
              </w:rPr>
              <w:t xml:space="preserve"> billion</w:t>
            </w:r>
            <w:r w:rsidRPr="00D60FAE">
              <w:rPr>
                <w:rFonts w:eastAsia="Arial"/>
                <w:sz w:val="15"/>
                <w:szCs w:val="15"/>
              </w:rPr>
              <w:t xml:space="preserve"> (2024)</w:t>
            </w:r>
          </w:p>
        </w:tc>
        <w:tc>
          <w:tcPr>
            <w:tcW w:w="141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64272D2D" w14:textId="13D1A455" w:rsidR="00F5430A" w:rsidRPr="003D5A85" w:rsidRDefault="61D832AF">
            <w:pPr>
              <w:spacing w:before="50" w:after="50"/>
              <w:rPr>
                <w:rFonts w:eastAsia="Arial"/>
                <w:sz w:val="15"/>
                <w:szCs w:val="15"/>
              </w:rPr>
            </w:pPr>
            <w:r w:rsidRPr="458BC1E1">
              <w:rPr>
                <w:rFonts w:eastAsia="Arial"/>
                <w:sz w:val="15"/>
                <w:szCs w:val="15"/>
              </w:rPr>
              <w:t xml:space="preserve">EUR </w:t>
            </w:r>
            <w:r w:rsidR="00F5430A" w:rsidRPr="00D60FAE">
              <w:rPr>
                <w:rFonts w:eastAsia="Arial"/>
                <w:sz w:val="15"/>
                <w:szCs w:val="15"/>
              </w:rPr>
              <w:t>16–22</w:t>
            </w:r>
            <w:r w:rsidR="003A10D0">
              <w:rPr>
                <w:rFonts w:eastAsia="Arial"/>
                <w:sz w:val="15"/>
                <w:szCs w:val="15"/>
              </w:rPr>
              <w:t xml:space="preserve"> billion</w:t>
            </w:r>
            <w:r w:rsidR="00F5430A" w:rsidRPr="00D60FAE">
              <w:rPr>
                <w:rFonts w:eastAsia="Arial"/>
                <w:sz w:val="15"/>
                <w:szCs w:val="15"/>
              </w:rPr>
              <w:t>/y</w:t>
            </w:r>
            <w:r w:rsidR="00A45649">
              <w:rPr>
                <w:rFonts w:eastAsia="Arial"/>
                <w:sz w:val="15"/>
                <w:szCs w:val="15"/>
              </w:rPr>
              <w:t>ea</w:t>
            </w:r>
            <w:r w:rsidR="00F5430A" w:rsidRPr="00D60FAE">
              <w:rPr>
                <w:rFonts w:eastAsia="Arial"/>
                <w:sz w:val="15"/>
                <w:szCs w:val="15"/>
              </w:rPr>
              <w:t>r by 2030</w:t>
            </w:r>
          </w:p>
        </w:tc>
        <w:tc>
          <w:tcPr>
            <w:tcW w:w="16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4DFCF4A2" w14:textId="6C9A0A20" w:rsidR="00F5430A" w:rsidRPr="003D5A85" w:rsidRDefault="0102BA19">
            <w:pPr>
              <w:spacing w:before="50" w:after="50"/>
              <w:rPr>
                <w:rFonts w:eastAsia="Arial"/>
                <w:sz w:val="15"/>
                <w:szCs w:val="15"/>
              </w:rPr>
            </w:pPr>
            <w:r w:rsidRPr="458BC1E1">
              <w:rPr>
                <w:rFonts w:eastAsia="Arial"/>
                <w:sz w:val="15"/>
                <w:szCs w:val="15"/>
              </w:rPr>
              <w:t xml:space="preserve">EUR </w:t>
            </w:r>
            <w:r w:rsidR="00F5430A" w:rsidRPr="00D60FAE">
              <w:rPr>
                <w:rFonts w:eastAsia="Arial"/>
                <w:sz w:val="15"/>
                <w:szCs w:val="15"/>
              </w:rPr>
              <w:t>22–35</w:t>
            </w:r>
            <w:r w:rsidR="003A10D0">
              <w:rPr>
                <w:rFonts w:eastAsia="Arial"/>
                <w:sz w:val="15"/>
                <w:szCs w:val="15"/>
              </w:rPr>
              <w:t xml:space="preserve"> billion</w:t>
            </w:r>
            <w:r w:rsidR="00F5430A" w:rsidRPr="00D60FAE">
              <w:rPr>
                <w:rFonts w:eastAsia="Arial"/>
                <w:sz w:val="15"/>
                <w:szCs w:val="15"/>
              </w:rPr>
              <w:t>/y</w:t>
            </w:r>
            <w:r w:rsidR="00A45649">
              <w:rPr>
                <w:rFonts w:eastAsia="Arial"/>
                <w:sz w:val="15"/>
                <w:szCs w:val="15"/>
              </w:rPr>
              <w:t>ea</w:t>
            </w:r>
            <w:r w:rsidR="00F5430A" w:rsidRPr="00D60FAE">
              <w:rPr>
                <w:rFonts w:eastAsia="Arial"/>
                <w:sz w:val="15"/>
                <w:szCs w:val="15"/>
              </w:rPr>
              <w:t>r by 2035–2038</w:t>
            </w:r>
          </w:p>
        </w:tc>
        <w:tc>
          <w:tcPr>
            <w:tcW w:w="16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7C41CA28" w14:textId="77777777" w:rsidR="00F5430A" w:rsidRPr="003D5A85" w:rsidRDefault="00F5430A">
            <w:pPr>
              <w:spacing w:before="15" w:after="15"/>
            </w:pPr>
            <w:r w:rsidRPr="00D60FAE">
              <w:rPr>
                <w:rFonts w:eastAsia="Arial"/>
                <w:sz w:val="15"/>
                <w:szCs w:val="15"/>
              </w:rPr>
              <w:t>Indirect: more biosimilars = deeper competition = greater savings</w:t>
            </w:r>
          </w:p>
        </w:tc>
        <w:tc>
          <w:tcPr>
            <w:tcW w:w="146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02F56289" w14:textId="44E858B9" w:rsidR="00F5430A" w:rsidRPr="003D5A85" w:rsidRDefault="00F5430A">
            <w:pPr>
              <w:spacing w:before="15" w:after="15"/>
            </w:pPr>
            <w:r w:rsidRPr="00D60FAE">
              <w:rPr>
                <w:rFonts w:eastAsia="Arial"/>
                <w:sz w:val="15"/>
                <w:szCs w:val="15"/>
              </w:rPr>
              <w:t xml:space="preserve">Indirect: EU supply security supports access continuity </w:t>
            </w:r>
          </w:p>
        </w:tc>
      </w:tr>
      <w:tr w:rsidR="00F5430A" w:rsidRPr="003D5A85" w14:paraId="7C4B82C9" w14:textId="77777777">
        <w:trPr>
          <w:trHeight w:val="300"/>
        </w:trPr>
        <w:tc>
          <w:tcPr>
            <w:tcW w:w="188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FC919BB" w14:textId="77777777" w:rsidR="00F5430A" w:rsidRPr="003D5A85" w:rsidRDefault="00F5430A">
            <w:pPr>
              <w:spacing w:before="15" w:after="15"/>
            </w:pPr>
            <w:r w:rsidRPr="00D60FAE">
              <w:rPr>
                <w:rFonts w:eastAsia="Arial"/>
                <w:b/>
                <w:sz w:val="15"/>
                <w:szCs w:val="15"/>
              </w:rPr>
              <w:t>Safety: biosimilars withdrawn on safety grounds</w:t>
            </w:r>
          </w:p>
        </w:tc>
        <w:tc>
          <w:tcPr>
            <w:tcW w:w="13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60ED0508" w14:textId="77777777" w:rsidR="00F5430A" w:rsidRPr="003D5A85" w:rsidRDefault="00F5430A">
            <w:pPr>
              <w:spacing w:before="50" w:after="50"/>
            </w:pPr>
            <w:r w:rsidRPr="00D60FAE">
              <w:rPr>
                <w:rFonts w:eastAsia="Arial"/>
                <w:sz w:val="15"/>
                <w:szCs w:val="15"/>
              </w:rPr>
              <w:t>0 (in 19 years)</w:t>
            </w:r>
          </w:p>
        </w:tc>
        <w:tc>
          <w:tcPr>
            <w:tcW w:w="141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7FE6E589" w14:textId="77777777" w:rsidR="00F5430A" w:rsidRPr="003D5A85" w:rsidRDefault="00F5430A">
            <w:pPr>
              <w:spacing w:before="50" w:after="50"/>
            </w:pPr>
            <w:r w:rsidRPr="00D60FAE">
              <w:rPr>
                <w:rFonts w:eastAsia="Arial"/>
                <w:sz w:val="15"/>
                <w:szCs w:val="15"/>
              </w:rPr>
              <w:t>0 expected</w:t>
            </w:r>
          </w:p>
        </w:tc>
        <w:tc>
          <w:tcPr>
            <w:tcW w:w="16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5800AC9C" w14:textId="77777777" w:rsidR="00F5430A" w:rsidRPr="003D5A85" w:rsidRDefault="00F5430A">
            <w:pPr>
              <w:spacing w:before="50" w:after="50"/>
            </w:pPr>
            <w:r w:rsidRPr="00D60FAE">
              <w:rPr>
                <w:rFonts w:eastAsia="Arial"/>
                <w:sz w:val="15"/>
                <w:szCs w:val="15"/>
              </w:rPr>
              <w:t>0 expected</w:t>
            </w:r>
          </w:p>
        </w:tc>
        <w:tc>
          <w:tcPr>
            <w:tcW w:w="16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2CEAAF9E" w14:textId="29BCE60F" w:rsidR="00F5430A" w:rsidRPr="003D5A85" w:rsidRDefault="00F5430A">
            <w:pPr>
              <w:spacing w:before="15" w:after="15"/>
            </w:pPr>
            <w:r w:rsidRPr="00D60FAE">
              <w:rPr>
                <w:rFonts w:eastAsia="Arial"/>
                <w:sz w:val="15"/>
                <w:szCs w:val="15"/>
              </w:rPr>
              <w:t xml:space="preserve">No change: </w:t>
            </w:r>
            <w:r w:rsidR="00481988">
              <w:rPr>
                <w:rFonts w:eastAsia="Arial"/>
                <w:sz w:val="15"/>
                <w:szCs w:val="15"/>
              </w:rPr>
              <w:t>CES waiver</w:t>
            </w:r>
            <w:r w:rsidR="00481988" w:rsidRPr="00D60FAE">
              <w:rPr>
                <w:rFonts w:eastAsia="Arial"/>
                <w:sz w:val="15"/>
                <w:szCs w:val="15"/>
              </w:rPr>
              <w:t xml:space="preserve"> </w:t>
            </w:r>
            <w:r w:rsidRPr="00D60FAE">
              <w:rPr>
                <w:rFonts w:eastAsia="Arial"/>
                <w:sz w:val="15"/>
                <w:szCs w:val="15"/>
              </w:rPr>
              <w:t>modifies evidence type, not safety standard</w:t>
            </w:r>
          </w:p>
        </w:tc>
        <w:tc>
          <w:tcPr>
            <w:tcW w:w="146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108" w:type="dxa"/>
              <w:right w:w="108" w:type="dxa"/>
            </w:tcMar>
          </w:tcPr>
          <w:p w14:paraId="42601D29" w14:textId="77777777" w:rsidR="00F5430A" w:rsidRPr="003D5A85" w:rsidRDefault="00F5430A">
            <w:pPr>
              <w:spacing w:before="15" w:after="15"/>
            </w:pPr>
            <w:r w:rsidRPr="00D60FAE">
              <w:rPr>
                <w:rFonts w:eastAsia="Arial"/>
                <w:sz w:val="15"/>
                <w:szCs w:val="15"/>
              </w:rPr>
              <w:t>—</w:t>
            </w:r>
          </w:p>
        </w:tc>
      </w:tr>
      <w:tr w:rsidR="00F5430A" w:rsidRPr="003D5A85" w14:paraId="019B9647" w14:textId="77777777">
        <w:trPr>
          <w:trHeight w:val="300"/>
        </w:trPr>
        <w:tc>
          <w:tcPr>
            <w:tcW w:w="188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77E55180" w14:textId="77777777" w:rsidR="00F5430A" w:rsidRPr="003D5A85" w:rsidRDefault="00F5430A">
            <w:pPr>
              <w:spacing w:before="15" w:after="15"/>
            </w:pPr>
            <w:r w:rsidRPr="00D60FAE">
              <w:rPr>
                <w:rFonts w:eastAsia="Arial"/>
                <w:b/>
                <w:sz w:val="15"/>
                <w:szCs w:val="15"/>
              </w:rPr>
              <w:t>EudraVigilance identifiability rate</w:t>
            </w:r>
          </w:p>
        </w:tc>
        <w:tc>
          <w:tcPr>
            <w:tcW w:w="133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33749EB3" w14:textId="6EC05933" w:rsidR="00F5430A" w:rsidRPr="003D5A85" w:rsidRDefault="00F5430A">
            <w:pPr>
              <w:spacing w:before="50" w:after="50"/>
            </w:pPr>
            <w:r w:rsidRPr="00D60FAE">
              <w:rPr>
                <w:rFonts w:eastAsia="Arial"/>
                <w:sz w:val="15"/>
                <w:szCs w:val="15"/>
              </w:rPr>
              <w:t>91.5</w:t>
            </w:r>
            <w:r w:rsidR="006856C2">
              <w:rPr>
                <w:rFonts w:eastAsia="Arial"/>
                <w:sz w:val="15"/>
                <w:szCs w:val="15"/>
              </w:rPr>
              <w:t>%</w:t>
            </w:r>
            <w:r w:rsidRPr="00D60FAE">
              <w:rPr>
                <w:rFonts w:eastAsia="Arial"/>
                <w:sz w:val="15"/>
                <w:szCs w:val="15"/>
              </w:rPr>
              <w:t xml:space="preserve"> (2011–2019; downward trend)</w:t>
            </w:r>
          </w:p>
        </w:tc>
        <w:tc>
          <w:tcPr>
            <w:tcW w:w="1417"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1BF914F8" w14:textId="4ED2839F" w:rsidR="00F5430A" w:rsidRPr="003D5A85" w:rsidRDefault="00F5430A">
            <w:pPr>
              <w:spacing w:before="50" w:after="50"/>
            </w:pPr>
            <w:r w:rsidRPr="00D60FAE">
              <w:rPr>
                <w:rFonts w:eastAsia="Arial"/>
                <w:sz w:val="15"/>
                <w:szCs w:val="15"/>
              </w:rPr>
              <w:t xml:space="preserve">Requires monitoring — </w:t>
            </w:r>
            <w:r w:rsidR="007B6DAD">
              <w:rPr>
                <w:rFonts w:eastAsia="Arial"/>
                <w:sz w:val="15"/>
                <w:szCs w:val="15"/>
              </w:rPr>
              <w:t xml:space="preserve"> CES waiver </w:t>
            </w:r>
            <w:r w:rsidRPr="00D60FAE">
              <w:rPr>
                <w:rFonts w:eastAsia="Arial"/>
                <w:sz w:val="15"/>
                <w:szCs w:val="15"/>
              </w:rPr>
              <w:t>must not exacerbate decline</w:t>
            </w:r>
          </w:p>
        </w:tc>
        <w:tc>
          <w:tcPr>
            <w:tcW w:w="16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3DA61CB3" w14:textId="5EA4794C" w:rsidR="00F5430A" w:rsidRPr="003D5A85" w:rsidRDefault="00F5430A">
            <w:pPr>
              <w:spacing w:before="50" w:after="50"/>
            </w:pPr>
            <w:r w:rsidRPr="00D60FAE">
              <w:rPr>
                <w:rFonts w:eastAsia="Arial"/>
                <w:sz w:val="15"/>
                <w:szCs w:val="15"/>
              </w:rPr>
              <w:t>Target: &gt;90</w:t>
            </w:r>
            <w:r w:rsidR="006856C2">
              <w:rPr>
                <w:rFonts w:eastAsia="Arial"/>
                <w:sz w:val="15"/>
                <w:szCs w:val="15"/>
              </w:rPr>
              <w:t>%</w:t>
            </w:r>
            <w:r w:rsidRPr="00D60FAE">
              <w:rPr>
                <w:rFonts w:eastAsia="Arial"/>
                <w:sz w:val="15"/>
                <w:szCs w:val="15"/>
              </w:rPr>
              <w:t xml:space="preserve"> maintained through strengthened traceability policies</w:t>
            </w:r>
          </w:p>
        </w:tc>
        <w:tc>
          <w:tcPr>
            <w:tcW w:w="168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28A7D81E" w14:textId="77777777" w:rsidR="00F5430A" w:rsidRPr="003D5A85" w:rsidRDefault="00F5430A">
            <w:pPr>
              <w:spacing w:before="15" w:after="15"/>
            </w:pPr>
            <w:r w:rsidRPr="00D60FAE">
              <w:rPr>
                <w:rFonts w:eastAsia="Arial"/>
                <w:sz w:val="15"/>
                <w:szCs w:val="15"/>
              </w:rPr>
              <w:t>Risk: more biosimilars may dilute identifiability if not managed</w:t>
            </w:r>
          </w:p>
        </w:tc>
        <w:tc>
          <w:tcPr>
            <w:tcW w:w="146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tcPr>
          <w:p w14:paraId="4A1ACF9D" w14:textId="77777777" w:rsidR="00F5430A" w:rsidRPr="003D5A85" w:rsidRDefault="00F5430A">
            <w:pPr>
              <w:spacing w:before="15" w:after="15"/>
            </w:pPr>
            <w:r w:rsidRPr="00D60FAE">
              <w:rPr>
                <w:rFonts w:eastAsia="Arial"/>
                <w:sz w:val="15"/>
                <w:szCs w:val="15"/>
              </w:rPr>
              <w:t>—</w:t>
            </w:r>
          </w:p>
        </w:tc>
      </w:tr>
    </w:tbl>
    <w:p w14:paraId="48E0C5E8" w14:textId="77777777" w:rsidR="00F5430A" w:rsidRPr="00D60FAE" w:rsidRDefault="00F5430A" w:rsidP="00D60FAE"/>
    <w:p w14:paraId="726DF5C7" w14:textId="77777777" w:rsidR="001B63E9" w:rsidRPr="003D5A85" w:rsidRDefault="001B63E9" w:rsidP="00D60FAE">
      <w:pPr>
        <w:pStyle w:val="Heading1"/>
      </w:pPr>
      <w:bookmarkStart w:id="371" w:name="_Toc225783216"/>
      <w:bookmarkStart w:id="372" w:name="_Toc225969833"/>
      <w:bookmarkStart w:id="373" w:name="_Toc225979165"/>
      <w:r w:rsidRPr="003D5A85">
        <w:t>Intervention n°13: SPC extension for biotechnology medicines</w:t>
      </w:r>
      <w:bookmarkEnd w:id="371"/>
      <w:bookmarkEnd w:id="372"/>
      <w:bookmarkEnd w:id="373"/>
      <w:r w:rsidRPr="003D5A85">
        <w:t xml:space="preserve"> </w:t>
      </w:r>
    </w:p>
    <w:p w14:paraId="567074F4" w14:textId="29C32EF8" w:rsidR="009A2C23" w:rsidRPr="003D5A85" w:rsidRDefault="009A2C23" w:rsidP="00D60FAE">
      <w:pPr>
        <w:pStyle w:val="Heading2"/>
      </w:pPr>
      <w:bookmarkStart w:id="374" w:name="_Toc225969834"/>
      <w:bookmarkStart w:id="375" w:name="_Toc225979166"/>
      <w:r w:rsidRPr="003D5A85">
        <w:rPr>
          <w:lang w:val="en-IE"/>
        </w:rPr>
        <w:t>Additional information on baseline and assumptions</w:t>
      </w:r>
      <w:bookmarkEnd w:id="374"/>
      <w:bookmarkEnd w:id="375"/>
    </w:p>
    <w:p w14:paraId="33438BDC" w14:textId="77777777" w:rsidR="009A2C23" w:rsidRPr="003D5A85" w:rsidRDefault="009A2C23" w:rsidP="009A2C23">
      <w:pPr>
        <w:rPr>
          <w:b/>
          <w:bCs/>
        </w:rPr>
      </w:pPr>
      <w:r w:rsidRPr="003D5A85">
        <w:rPr>
          <w:b/>
          <w:bCs/>
        </w:rPr>
        <w:t>Conduct of business</w:t>
      </w:r>
    </w:p>
    <w:p w14:paraId="41593AE2" w14:textId="77777777" w:rsidR="009A2C23" w:rsidRPr="004570F2" w:rsidRDefault="009A2C23" w:rsidP="009A2C23">
      <w:pPr>
        <w:rPr>
          <w:i/>
          <w:u w:val="single"/>
        </w:rPr>
      </w:pPr>
      <w:r w:rsidRPr="004570F2">
        <w:rPr>
          <w:i/>
          <w:u w:val="single"/>
        </w:rPr>
        <w:t xml:space="preserve">Baseline </w:t>
      </w:r>
    </w:p>
    <w:p w14:paraId="1734C047" w14:textId="6C8355C6" w:rsidR="009A2C23" w:rsidRPr="003D5A85" w:rsidRDefault="009A2C23" w:rsidP="00D60FAE">
      <w:pPr>
        <w:rPr>
          <w:lang w:val="en-IE"/>
        </w:rPr>
      </w:pPr>
      <w:r w:rsidRPr="003D5A85">
        <w:t>Market authorisation holders in the EU benefit from several layers of protection from generic and biosimilar competition. Regulatory data and market protection lasts ten years from the date of market authorisation (MA) in the current system. This will however change when the revision of the pharmaceutical legislation will come into force, introducing a modular system of market protection</w:t>
      </w:r>
      <w:r w:rsidR="00093D03">
        <w:t xml:space="preserve"> that will allow to obtain an extra year of market protection in certain cases</w:t>
      </w:r>
      <w:r w:rsidRPr="003D5A85">
        <w:t>. Application is foreseen by the second half of 2028 at the earliest.</w:t>
      </w:r>
      <w:r w:rsidRPr="003D5A85">
        <w:rPr>
          <w:lang w:val="en-IE"/>
        </w:rPr>
        <w:t> </w:t>
      </w:r>
    </w:p>
    <w:p w14:paraId="5DC124E7" w14:textId="03CAE91C" w:rsidR="009A2C23" w:rsidRPr="003D5A85" w:rsidRDefault="009A2C23" w:rsidP="00D60FAE">
      <w:pPr>
        <w:rPr>
          <w:lang w:val="en-IE"/>
        </w:rPr>
      </w:pPr>
      <w:r w:rsidRPr="003D5A85">
        <w:t>Patents last twenty years from filing and therefore may expire before or after</w:t>
      </w:r>
      <w:r w:rsidR="00413E04">
        <w:t xml:space="preserve"> </w:t>
      </w:r>
      <w:r w:rsidRPr="003D5A85">
        <w:t>the end of the</w:t>
      </w:r>
      <w:r w:rsidR="00413E04">
        <w:t xml:space="preserve"> </w:t>
      </w:r>
      <w:r w:rsidRPr="003D5A85">
        <w:t>regulatory protection</w:t>
      </w:r>
      <w:r w:rsidR="00413E04">
        <w:t xml:space="preserve"> </w:t>
      </w:r>
      <w:r w:rsidRPr="003D5A85">
        <w:t>(RP)</w:t>
      </w:r>
      <w:r w:rsidR="00413E04">
        <w:t xml:space="preserve"> </w:t>
      </w:r>
      <w:r w:rsidRPr="003D5A85">
        <w:t>depending on the time it took to bring the product to market. SPCs currently provide up to five and a half years (the</w:t>
      </w:r>
      <w:r w:rsidR="00413E04">
        <w:t xml:space="preserve"> </w:t>
      </w:r>
      <w:r w:rsidRPr="003D5A85">
        <w:t>additional</w:t>
      </w:r>
      <w:r w:rsidR="00413E04">
        <w:t xml:space="preserve"> </w:t>
      </w:r>
      <w:r w:rsidRPr="003D5A85">
        <w:t>half year being conditional on a paediatric investigation plan (PIP)) of protection beyond the expiry of the primary patent lasting a maximum of fifteen and a half years beyond the market authorisation date.</w:t>
      </w:r>
      <w:r w:rsidR="00413E04">
        <w:t xml:space="preserve"> </w:t>
      </w:r>
      <w:r w:rsidRPr="003D5A85">
        <w:t>The</w:t>
      </w:r>
      <w:r w:rsidR="00413E04">
        <w:t xml:space="preserve"> </w:t>
      </w:r>
      <w:r w:rsidRPr="003D5A85">
        <w:t>actual length of the SPC is conditional</w:t>
      </w:r>
      <w:r w:rsidR="00413E04">
        <w:t xml:space="preserve"> </w:t>
      </w:r>
      <w:r w:rsidRPr="003D5A85">
        <w:t>to the time lasted from the patent filing to the marketing authorisation of the product.</w:t>
      </w:r>
      <w:r w:rsidRPr="003D5A85">
        <w:rPr>
          <w:lang w:val="en-IE"/>
        </w:rPr>
        <w:t> </w:t>
      </w:r>
    </w:p>
    <w:p w14:paraId="1C280B27" w14:textId="6A6B8D46" w:rsidR="009A2C23" w:rsidRPr="00D60FAE" w:rsidRDefault="009A2C23" w:rsidP="00D60FAE">
      <w:pPr>
        <w:rPr>
          <w:lang w:val="en-IE"/>
        </w:rPr>
      </w:pPr>
      <w:r w:rsidRPr="003D5A85">
        <w:t xml:space="preserve">The evaluation of the pharmaceutical legislation found that on average medicines for which SPC is the last protection </w:t>
      </w:r>
      <w:r w:rsidRPr="00D60FAE">
        <w:t>to expire</w:t>
      </w:r>
      <w:r w:rsidR="00413E04">
        <w:t xml:space="preserve"> </w:t>
      </w:r>
      <w:r w:rsidRPr="00D60FAE">
        <w:t>(around 30-35</w:t>
      </w:r>
      <w:r w:rsidR="006856C2">
        <w:t>%</w:t>
      </w:r>
      <w:r w:rsidRPr="00D60FAE">
        <w:t xml:space="preserve"> of the medicinal products)</w:t>
      </w:r>
      <w:r w:rsidR="00413E04">
        <w:t xml:space="preserve"> </w:t>
      </w:r>
      <w:r w:rsidRPr="00D60FAE">
        <w:t>have higher revenues and longer lifecycles than RP-reliant medicines and shorter lifecycles than patent-reliant medicines. The modular length of market protection that will apply when the pharmaceutical reform comes into force might affect the</w:t>
      </w:r>
      <w:r w:rsidR="00413E04">
        <w:t xml:space="preserve"> </w:t>
      </w:r>
      <w:r w:rsidRPr="00D60FAE">
        <w:t>pool of products for which SPC is the last protection to expire.</w:t>
      </w:r>
      <w:r w:rsidR="00413E04">
        <w:t xml:space="preserve"> </w:t>
      </w:r>
      <w:r w:rsidRPr="00D60FAE">
        <w:t xml:space="preserve">However, </w:t>
      </w:r>
      <w:r w:rsidR="2CD23980" w:rsidRPr="00D60FAE">
        <w:t>while</w:t>
      </w:r>
      <w:r w:rsidRPr="00D60FAE">
        <w:t xml:space="preserve"> it is impossible to</w:t>
      </w:r>
      <w:r w:rsidR="00413E04">
        <w:t xml:space="preserve"> </w:t>
      </w:r>
      <w:r w:rsidRPr="00D60FAE">
        <w:t>estimate</w:t>
      </w:r>
      <w:r w:rsidR="00413E04">
        <w:t xml:space="preserve"> </w:t>
      </w:r>
      <w:r w:rsidRPr="00D60FAE">
        <w:t>in advance the impact of the changes of the regulatory protection</w:t>
      </w:r>
      <w:r w:rsidR="420B56B8" w:rsidRPr="00D60FAE">
        <w:t xml:space="preserve">, it is </w:t>
      </w:r>
      <w:r w:rsidR="004300E6" w:rsidRPr="00D60FAE">
        <w:t>expected</w:t>
      </w:r>
      <w:r w:rsidR="420B56B8" w:rsidRPr="00D60FAE">
        <w:t xml:space="preserve"> that there</w:t>
      </w:r>
      <w:r w:rsidRPr="00D60FAE">
        <w:t xml:space="preserve"> will </w:t>
      </w:r>
      <w:r w:rsidR="420B56B8" w:rsidRPr="00D60FAE">
        <w:t xml:space="preserve">not </w:t>
      </w:r>
      <w:r w:rsidRPr="00D60FAE">
        <w:t xml:space="preserve">be </w:t>
      </w:r>
      <w:r w:rsidR="420B56B8" w:rsidRPr="00D60FAE">
        <w:t>an impactful change</w:t>
      </w:r>
      <w:r w:rsidRPr="00D60FAE">
        <w:t xml:space="preserve"> in the </w:t>
      </w:r>
      <w:r w:rsidR="420B56B8" w:rsidRPr="00D60FAE">
        <w:t>overall duration</w:t>
      </w:r>
      <w:r w:rsidRPr="00D60FAE">
        <w:t xml:space="preserve"> of </w:t>
      </w:r>
      <w:r w:rsidR="420B56B8" w:rsidRPr="00D60FAE">
        <w:t xml:space="preserve">RP. Most of the newly authorised products will </w:t>
      </w:r>
      <w:r w:rsidR="27552F3B" w:rsidRPr="00D60FAE">
        <w:t xml:space="preserve">be expected to </w:t>
      </w:r>
      <w:r w:rsidR="420B56B8" w:rsidRPr="00D60FAE">
        <w:t>reach the maximum of 10 years R</w:t>
      </w:r>
      <w:r w:rsidR="486BE12A" w:rsidRPr="00D60FAE">
        <w:t>P bringing consequently also benefits to the patients and the society. Consequently</w:t>
      </w:r>
      <w:r w:rsidR="20136E58" w:rsidRPr="00D60FAE">
        <w:t>,</w:t>
      </w:r>
      <w:r w:rsidR="486BE12A" w:rsidRPr="00D60FAE">
        <w:t xml:space="preserve"> it is not expected that the </w:t>
      </w:r>
      <w:r w:rsidR="61C812C0" w:rsidRPr="00D60FAE">
        <w:t xml:space="preserve">modular </w:t>
      </w:r>
      <w:r w:rsidR="007C6E2D">
        <w:t>system of</w:t>
      </w:r>
      <w:r w:rsidR="61C812C0" w:rsidRPr="00D60FAE">
        <w:t xml:space="preserve"> </w:t>
      </w:r>
      <w:r w:rsidR="61C812C0" w:rsidRPr="00D60FAE">
        <w:lastRenderedPageBreak/>
        <w:t>market protection introduced in the pharma reform will have a significant impact on which is the last protection to expire.</w:t>
      </w:r>
      <w:r w:rsidR="420B56B8" w:rsidRPr="00D60FAE">
        <w:t xml:space="preserve"> </w:t>
      </w:r>
    </w:p>
    <w:p w14:paraId="70F0B7BB" w14:textId="654F0C5D" w:rsidR="00C24477" w:rsidRPr="003D5A85" w:rsidRDefault="00C24477" w:rsidP="00C24477">
      <w:pPr>
        <w:rPr>
          <w:rFonts w:eastAsia="Times New Roman"/>
          <w:szCs w:val="20"/>
        </w:rPr>
      </w:pPr>
      <w:r w:rsidRPr="00D60FAE">
        <w:rPr>
          <w:rFonts w:eastAsia="Times New Roman"/>
          <w:szCs w:val="20"/>
        </w:rPr>
        <w:t>The economic importance of SPCs is reflected in the revenue profiles of protected products. Looking at the cohort of 198 products analysed for this</w:t>
      </w:r>
      <w:r w:rsidRPr="003D5A85">
        <w:rPr>
          <w:rFonts w:eastAsia="Times New Roman"/>
          <w:szCs w:val="20"/>
        </w:rPr>
        <w:t xml:space="preserve"> assessment, </w:t>
      </w:r>
      <w:r w:rsidR="00B90F4F">
        <w:rPr>
          <w:rFonts w:eastAsia="Times New Roman"/>
          <w:szCs w:val="20"/>
        </w:rPr>
        <w:t xml:space="preserve">we see confirmed </w:t>
      </w:r>
      <w:r w:rsidR="00281AD8">
        <w:rPr>
          <w:rFonts w:eastAsia="Times New Roman"/>
          <w:szCs w:val="20"/>
        </w:rPr>
        <w:t>the</w:t>
      </w:r>
      <w:r w:rsidRPr="003D5A85">
        <w:rPr>
          <w:rFonts w:eastAsia="Times New Roman"/>
          <w:szCs w:val="20"/>
        </w:rPr>
        <w:t xml:space="preserve"> trend observed in previous literature and stud</w:t>
      </w:r>
      <w:r w:rsidR="00B90F4F">
        <w:rPr>
          <w:rFonts w:eastAsia="Times New Roman"/>
          <w:szCs w:val="20"/>
        </w:rPr>
        <w:t>ies</w:t>
      </w:r>
      <w:r w:rsidR="00C61DE7">
        <w:rPr>
          <w:rFonts w:eastAsia="Times New Roman"/>
          <w:szCs w:val="20"/>
        </w:rPr>
        <w:t xml:space="preserve">, </w:t>
      </w:r>
      <w:r w:rsidR="00603F5D">
        <w:rPr>
          <w:rFonts w:eastAsia="Times New Roman"/>
          <w:szCs w:val="20"/>
        </w:rPr>
        <w:t>i.e.</w:t>
      </w:r>
      <w:r w:rsidR="00C61DE7">
        <w:rPr>
          <w:rFonts w:eastAsia="Times New Roman"/>
          <w:szCs w:val="20"/>
        </w:rPr>
        <w:t xml:space="preserve"> that</w:t>
      </w:r>
      <w:r w:rsidR="00720197">
        <w:rPr>
          <w:rFonts w:eastAsia="Times New Roman"/>
          <w:szCs w:val="20"/>
        </w:rPr>
        <w:t xml:space="preserve"> SPC reliant medicines</w:t>
      </w:r>
      <w:r w:rsidRPr="003D5A85">
        <w:rPr>
          <w:rFonts w:eastAsia="Times New Roman"/>
          <w:szCs w:val="20"/>
        </w:rPr>
        <w:t xml:space="preserve"> generate substantially higher revenues in the final year before expiry compared to products relying on regulatory data protection or patents.</w:t>
      </w:r>
    </w:p>
    <w:p w14:paraId="06418C4E" w14:textId="1E093EC3" w:rsidR="00A13801" w:rsidRPr="00D60FAE" w:rsidRDefault="00A13801" w:rsidP="00A13801">
      <w:pPr>
        <w:rPr>
          <w:rFonts w:eastAsia="Times New Roman"/>
          <w:b/>
          <w:bCs/>
          <w:szCs w:val="20"/>
        </w:rPr>
      </w:pPr>
      <w:r w:rsidRPr="00D60FAE">
        <w:rPr>
          <w:rFonts w:eastAsia="Times New Roman"/>
          <w:b/>
          <w:bCs/>
          <w:szCs w:val="20"/>
        </w:rPr>
        <w:t>Table 1</w:t>
      </w:r>
      <w:r w:rsidR="00EF070B">
        <w:rPr>
          <w:rFonts w:eastAsia="Times New Roman"/>
          <w:b/>
          <w:bCs/>
          <w:szCs w:val="20"/>
        </w:rPr>
        <w:t>6</w:t>
      </w:r>
      <w:r w:rsidR="00106AA9">
        <w:rPr>
          <w:rFonts w:eastAsia="Times New Roman"/>
          <w:b/>
          <w:bCs/>
          <w:szCs w:val="20"/>
        </w:rPr>
        <w:t>.</w:t>
      </w:r>
      <w:r w:rsidR="00AC6581" w:rsidRPr="00D60FAE" w:rsidDel="00413E04">
        <w:rPr>
          <w:rFonts w:eastAsia="Times New Roman"/>
          <w:b/>
          <w:szCs w:val="20"/>
        </w:rPr>
        <w:t xml:space="preserve"> </w:t>
      </w:r>
      <w:r w:rsidR="00AC6581" w:rsidRPr="00AC6581">
        <w:rPr>
          <w:rFonts w:eastAsia="Times New Roman"/>
          <w:b/>
          <w:bCs/>
          <w:szCs w:val="20"/>
        </w:rPr>
        <w:t>Average protection duration and pre-expiry revenues by last line of protection (all products, n=198)</w:t>
      </w:r>
    </w:p>
    <w:tbl>
      <w:tblPr>
        <w:tblStyle w:val="CV11"/>
        <w:tblpPr w:leftFromText="180" w:rightFromText="180" w:vertAnchor="text" w:horzAnchor="margin" w:tblpX="-77" w:tblpY="112"/>
        <w:tblW w:w="8650" w:type="dxa"/>
        <w:tblLook w:val="04A0" w:firstRow="1" w:lastRow="0" w:firstColumn="1" w:lastColumn="0" w:noHBand="0" w:noVBand="1"/>
      </w:tblPr>
      <w:tblGrid>
        <w:gridCol w:w="1633"/>
        <w:gridCol w:w="1361"/>
        <w:gridCol w:w="1527"/>
        <w:gridCol w:w="4129"/>
      </w:tblGrid>
      <w:tr w:rsidR="00D60FAE" w:rsidRPr="003D5A85" w14:paraId="40C6B38D" w14:textId="77777777" w:rsidTr="004570F2">
        <w:trPr>
          <w:trHeight w:val="290"/>
        </w:trPr>
        <w:tc>
          <w:tcPr>
            <w:tcW w:w="0" w:type="dxa"/>
            <w:noWrap/>
            <w:hideMark/>
          </w:tcPr>
          <w:p w14:paraId="5DC57D17" w14:textId="77777777" w:rsidR="00C24477" w:rsidRPr="004570F2" w:rsidRDefault="00C24477" w:rsidP="003D5A85">
            <w:pPr>
              <w:spacing w:after="120"/>
              <w:rPr>
                <w:b/>
                <w:sz w:val="18"/>
              </w:rPr>
            </w:pPr>
            <w:r w:rsidRPr="004570F2">
              <w:rPr>
                <w:b/>
                <w:sz w:val="18"/>
              </w:rPr>
              <w:t>Last line of protection</w:t>
            </w:r>
          </w:p>
        </w:tc>
        <w:tc>
          <w:tcPr>
            <w:tcW w:w="0" w:type="dxa"/>
            <w:noWrap/>
            <w:hideMark/>
          </w:tcPr>
          <w:p w14:paraId="7C5CB471" w14:textId="77777777" w:rsidR="00C24477" w:rsidRPr="004570F2" w:rsidRDefault="00C24477" w:rsidP="003D5A85">
            <w:pPr>
              <w:spacing w:after="120"/>
              <w:jc w:val="center"/>
              <w:rPr>
                <w:b/>
                <w:sz w:val="18"/>
              </w:rPr>
            </w:pPr>
            <w:r w:rsidRPr="004570F2">
              <w:rPr>
                <w:b/>
                <w:sz w:val="18"/>
              </w:rPr>
              <w:t>Number of products</w:t>
            </w:r>
          </w:p>
        </w:tc>
        <w:tc>
          <w:tcPr>
            <w:tcW w:w="0" w:type="dxa"/>
            <w:noWrap/>
            <w:hideMark/>
          </w:tcPr>
          <w:p w14:paraId="0B835222" w14:textId="77777777" w:rsidR="00C24477" w:rsidRPr="004570F2" w:rsidRDefault="00C24477" w:rsidP="003D5A85">
            <w:pPr>
              <w:spacing w:after="120"/>
              <w:jc w:val="center"/>
              <w:rPr>
                <w:b/>
                <w:sz w:val="18"/>
              </w:rPr>
            </w:pPr>
            <w:r w:rsidRPr="004570F2">
              <w:rPr>
                <w:b/>
                <w:sz w:val="18"/>
              </w:rPr>
              <w:t>Avg. protection duration</w:t>
            </w:r>
          </w:p>
        </w:tc>
        <w:tc>
          <w:tcPr>
            <w:tcW w:w="2721" w:type="dxa"/>
            <w:noWrap/>
            <w:hideMark/>
          </w:tcPr>
          <w:p w14:paraId="47F2983A" w14:textId="77777777" w:rsidR="00C24477" w:rsidRPr="004570F2" w:rsidRDefault="00C24477" w:rsidP="003D5A85">
            <w:pPr>
              <w:spacing w:after="120"/>
              <w:jc w:val="center"/>
              <w:rPr>
                <w:b/>
                <w:sz w:val="18"/>
              </w:rPr>
            </w:pPr>
            <w:r w:rsidRPr="004570F2">
              <w:rPr>
                <w:b/>
                <w:sz w:val="18"/>
              </w:rPr>
              <w:t>Avg sales in year before expiry</w:t>
            </w:r>
          </w:p>
        </w:tc>
      </w:tr>
      <w:tr w:rsidR="003D5A85" w:rsidRPr="003D5A85" w14:paraId="0E86F60F" w14:textId="77777777" w:rsidTr="004570F2">
        <w:trPr>
          <w:trHeight w:val="290"/>
        </w:trPr>
        <w:tc>
          <w:tcPr>
            <w:tcW w:w="0" w:type="dxa"/>
            <w:noWrap/>
          </w:tcPr>
          <w:p w14:paraId="21E2F0D5" w14:textId="77777777" w:rsidR="00C24477" w:rsidRPr="004570F2" w:rsidRDefault="00C24477" w:rsidP="003D5A85">
            <w:pPr>
              <w:spacing w:after="120"/>
              <w:rPr>
                <w:b/>
                <w:color w:val="000000" w:themeColor="text1"/>
                <w:sz w:val="18"/>
              </w:rPr>
            </w:pPr>
            <w:r w:rsidRPr="004570F2">
              <w:rPr>
                <w:b/>
                <w:color w:val="000000" w:themeColor="text1"/>
                <w:sz w:val="18"/>
              </w:rPr>
              <w:t>Regulatory protection</w:t>
            </w:r>
          </w:p>
        </w:tc>
        <w:tc>
          <w:tcPr>
            <w:tcW w:w="0" w:type="dxa"/>
            <w:noWrap/>
          </w:tcPr>
          <w:p w14:paraId="1A3DCF3B" w14:textId="77777777" w:rsidR="00C24477" w:rsidRPr="003D5A85" w:rsidRDefault="00C24477" w:rsidP="003D5A85">
            <w:pPr>
              <w:spacing w:after="120"/>
              <w:jc w:val="center"/>
              <w:rPr>
                <w:sz w:val="18"/>
                <w:szCs w:val="18"/>
              </w:rPr>
            </w:pPr>
            <w:r w:rsidRPr="00D60FAE">
              <w:rPr>
                <w:color w:val="000000"/>
                <w:sz w:val="18"/>
                <w:szCs w:val="18"/>
              </w:rPr>
              <w:t>68</w:t>
            </w:r>
          </w:p>
        </w:tc>
        <w:tc>
          <w:tcPr>
            <w:tcW w:w="0" w:type="dxa"/>
            <w:noWrap/>
          </w:tcPr>
          <w:p w14:paraId="5043D895" w14:textId="77777777" w:rsidR="00C24477" w:rsidRPr="003D5A85" w:rsidRDefault="00C24477" w:rsidP="003D5A85">
            <w:pPr>
              <w:spacing w:after="120"/>
              <w:jc w:val="center"/>
              <w:rPr>
                <w:sz w:val="18"/>
                <w:szCs w:val="18"/>
              </w:rPr>
            </w:pPr>
            <w:r w:rsidRPr="00D60FAE">
              <w:rPr>
                <w:color w:val="000000"/>
                <w:sz w:val="18"/>
                <w:szCs w:val="18"/>
              </w:rPr>
              <w:t>10.1</w:t>
            </w:r>
          </w:p>
        </w:tc>
        <w:tc>
          <w:tcPr>
            <w:tcW w:w="2721" w:type="dxa"/>
            <w:noWrap/>
          </w:tcPr>
          <w:p w14:paraId="55D8B746" w14:textId="4CC6ED13" w:rsidR="00C24477" w:rsidRPr="004570F2" w:rsidRDefault="00C24477" w:rsidP="003D5A85">
            <w:pPr>
              <w:spacing w:after="120"/>
              <w:jc w:val="center"/>
              <w:rPr>
                <w:sz w:val="18"/>
              </w:rPr>
            </w:pPr>
            <w:r w:rsidRPr="004570F2">
              <w:rPr>
                <w:sz w:val="18"/>
              </w:rPr>
              <w:t xml:space="preserve"> </w:t>
            </w:r>
            <w:r w:rsidR="0B0ECB7A" w:rsidRPr="004570F2">
              <w:rPr>
                <w:sz w:val="18"/>
              </w:rPr>
              <w:t xml:space="preserve">EUR </w:t>
            </w:r>
            <w:r w:rsidRPr="004570F2">
              <w:rPr>
                <w:sz w:val="18"/>
              </w:rPr>
              <w:t xml:space="preserve">151 </w:t>
            </w:r>
            <w:r w:rsidR="71358EB0" w:rsidRPr="00987661">
              <w:rPr>
                <w:sz w:val="18"/>
                <w:szCs w:val="18"/>
              </w:rPr>
              <w:t>m</w:t>
            </w:r>
          </w:p>
        </w:tc>
      </w:tr>
      <w:tr w:rsidR="003D5A85" w:rsidRPr="003D5A85" w14:paraId="7E662124" w14:textId="77777777" w:rsidTr="004570F2">
        <w:trPr>
          <w:trHeight w:val="290"/>
        </w:trPr>
        <w:tc>
          <w:tcPr>
            <w:tcW w:w="0" w:type="dxa"/>
            <w:noWrap/>
          </w:tcPr>
          <w:p w14:paraId="5D088156" w14:textId="77777777" w:rsidR="00C24477" w:rsidRPr="004570F2" w:rsidRDefault="00C24477" w:rsidP="003D5A85">
            <w:pPr>
              <w:spacing w:after="120"/>
              <w:rPr>
                <w:b/>
                <w:color w:val="000000" w:themeColor="text1"/>
                <w:sz w:val="18"/>
              </w:rPr>
            </w:pPr>
            <w:r w:rsidRPr="004570F2">
              <w:rPr>
                <w:b/>
                <w:color w:val="000000" w:themeColor="text1"/>
                <w:sz w:val="18"/>
              </w:rPr>
              <w:t>Market Exclusivity</w:t>
            </w:r>
          </w:p>
        </w:tc>
        <w:tc>
          <w:tcPr>
            <w:tcW w:w="0" w:type="dxa"/>
            <w:noWrap/>
          </w:tcPr>
          <w:p w14:paraId="2A569849" w14:textId="77777777" w:rsidR="00C24477" w:rsidRPr="003D5A85" w:rsidRDefault="00C24477" w:rsidP="003D5A85">
            <w:pPr>
              <w:spacing w:after="120"/>
              <w:jc w:val="center"/>
              <w:rPr>
                <w:sz w:val="18"/>
                <w:szCs w:val="18"/>
              </w:rPr>
            </w:pPr>
            <w:r w:rsidRPr="00D60FAE">
              <w:rPr>
                <w:sz w:val="18"/>
                <w:szCs w:val="18"/>
              </w:rPr>
              <w:t>12</w:t>
            </w:r>
          </w:p>
        </w:tc>
        <w:tc>
          <w:tcPr>
            <w:tcW w:w="0" w:type="dxa"/>
            <w:noWrap/>
          </w:tcPr>
          <w:p w14:paraId="571CEC67" w14:textId="77777777" w:rsidR="00C24477" w:rsidRPr="003D5A85" w:rsidRDefault="00C24477" w:rsidP="003D5A85">
            <w:pPr>
              <w:spacing w:after="120"/>
              <w:jc w:val="center"/>
              <w:rPr>
                <w:sz w:val="18"/>
                <w:szCs w:val="18"/>
              </w:rPr>
            </w:pPr>
            <w:r w:rsidRPr="00D60FAE">
              <w:rPr>
                <w:sz w:val="18"/>
                <w:szCs w:val="18"/>
              </w:rPr>
              <w:t>10.7</w:t>
            </w:r>
          </w:p>
        </w:tc>
        <w:tc>
          <w:tcPr>
            <w:tcW w:w="2721" w:type="dxa"/>
            <w:noWrap/>
          </w:tcPr>
          <w:p w14:paraId="0BA61AFD" w14:textId="3E74928C" w:rsidR="00C24477" w:rsidRPr="004570F2" w:rsidRDefault="5D59D7F5" w:rsidP="003D5A85">
            <w:pPr>
              <w:spacing w:after="120"/>
              <w:jc w:val="center"/>
              <w:rPr>
                <w:sz w:val="18"/>
              </w:rPr>
            </w:pPr>
            <w:r w:rsidRPr="004570F2">
              <w:rPr>
                <w:sz w:val="18"/>
              </w:rPr>
              <w:t xml:space="preserve">EUR </w:t>
            </w:r>
            <w:r w:rsidR="00C24477" w:rsidRPr="004570F2">
              <w:rPr>
                <w:sz w:val="18"/>
              </w:rPr>
              <w:t xml:space="preserve">36 </w:t>
            </w:r>
            <w:r w:rsidR="00C24477" w:rsidRPr="00987661">
              <w:rPr>
                <w:sz w:val="18"/>
                <w:szCs w:val="18"/>
              </w:rPr>
              <w:t>m</w:t>
            </w:r>
          </w:p>
        </w:tc>
      </w:tr>
      <w:tr w:rsidR="003D5A85" w:rsidRPr="003D5A85" w14:paraId="6313C455" w14:textId="77777777" w:rsidTr="004570F2">
        <w:trPr>
          <w:trHeight w:val="290"/>
        </w:trPr>
        <w:tc>
          <w:tcPr>
            <w:tcW w:w="0" w:type="dxa"/>
            <w:noWrap/>
          </w:tcPr>
          <w:p w14:paraId="2F125BFD" w14:textId="77777777" w:rsidR="00C24477" w:rsidRPr="004570F2" w:rsidRDefault="00C24477" w:rsidP="003D5A85">
            <w:pPr>
              <w:spacing w:after="120"/>
              <w:rPr>
                <w:b/>
                <w:color w:val="000000" w:themeColor="text1"/>
                <w:sz w:val="18"/>
              </w:rPr>
            </w:pPr>
            <w:r w:rsidRPr="004570F2">
              <w:rPr>
                <w:b/>
                <w:color w:val="000000" w:themeColor="text1"/>
                <w:sz w:val="18"/>
              </w:rPr>
              <w:t>SPC</w:t>
            </w:r>
          </w:p>
        </w:tc>
        <w:tc>
          <w:tcPr>
            <w:tcW w:w="0" w:type="dxa"/>
            <w:noWrap/>
          </w:tcPr>
          <w:p w14:paraId="6E5FC0C4" w14:textId="77777777" w:rsidR="00C24477" w:rsidRPr="003D5A85" w:rsidRDefault="00C24477" w:rsidP="003D5A85">
            <w:pPr>
              <w:spacing w:after="120"/>
              <w:jc w:val="center"/>
              <w:rPr>
                <w:sz w:val="18"/>
                <w:szCs w:val="18"/>
              </w:rPr>
            </w:pPr>
            <w:r w:rsidRPr="00D60FAE">
              <w:rPr>
                <w:color w:val="000000"/>
                <w:sz w:val="18"/>
                <w:szCs w:val="18"/>
              </w:rPr>
              <w:t>96</w:t>
            </w:r>
          </w:p>
        </w:tc>
        <w:tc>
          <w:tcPr>
            <w:tcW w:w="0" w:type="dxa"/>
            <w:noWrap/>
          </w:tcPr>
          <w:p w14:paraId="6A730075" w14:textId="77777777" w:rsidR="00C24477" w:rsidRPr="003D5A85" w:rsidRDefault="00C24477" w:rsidP="003D5A85">
            <w:pPr>
              <w:spacing w:after="120"/>
              <w:jc w:val="center"/>
              <w:rPr>
                <w:sz w:val="18"/>
                <w:szCs w:val="18"/>
              </w:rPr>
            </w:pPr>
            <w:r w:rsidRPr="00D60FAE">
              <w:rPr>
                <w:color w:val="000000"/>
                <w:sz w:val="18"/>
                <w:szCs w:val="18"/>
              </w:rPr>
              <w:t>14.4</w:t>
            </w:r>
          </w:p>
        </w:tc>
        <w:tc>
          <w:tcPr>
            <w:tcW w:w="2721" w:type="dxa"/>
            <w:noWrap/>
          </w:tcPr>
          <w:p w14:paraId="58E58003" w14:textId="1926D57C" w:rsidR="00C24477" w:rsidRPr="004570F2" w:rsidRDefault="373B65C0" w:rsidP="003D5A85">
            <w:pPr>
              <w:spacing w:after="120"/>
              <w:jc w:val="center"/>
              <w:rPr>
                <w:sz w:val="18"/>
              </w:rPr>
            </w:pPr>
            <w:r w:rsidRPr="004570F2">
              <w:rPr>
                <w:sz w:val="18"/>
              </w:rPr>
              <w:t xml:space="preserve">EUR </w:t>
            </w:r>
            <w:r w:rsidR="00C24477" w:rsidRPr="004570F2">
              <w:rPr>
                <w:sz w:val="18"/>
              </w:rPr>
              <w:t xml:space="preserve">320 </w:t>
            </w:r>
            <w:r w:rsidR="2BCAE6D9" w:rsidRPr="00987661">
              <w:rPr>
                <w:sz w:val="18"/>
                <w:szCs w:val="18"/>
              </w:rPr>
              <w:t>m</w:t>
            </w:r>
          </w:p>
        </w:tc>
      </w:tr>
      <w:tr w:rsidR="003D5A85" w:rsidRPr="003D5A85" w14:paraId="593EB048" w14:textId="77777777" w:rsidTr="004570F2">
        <w:trPr>
          <w:trHeight w:val="290"/>
        </w:trPr>
        <w:tc>
          <w:tcPr>
            <w:tcW w:w="0" w:type="dxa"/>
            <w:noWrap/>
          </w:tcPr>
          <w:p w14:paraId="281D88AC" w14:textId="77777777" w:rsidR="00C24477" w:rsidRPr="004570F2" w:rsidRDefault="00C24477" w:rsidP="003D5A85">
            <w:pPr>
              <w:spacing w:after="120"/>
              <w:rPr>
                <w:b/>
                <w:color w:val="000000" w:themeColor="text1"/>
                <w:sz w:val="18"/>
              </w:rPr>
            </w:pPr>
            <w:r w:rsidRPr="004570F2">
              <w:rPr>
                <w:b/>
                <w:color w:val="000000" w:themeColor="text1"/>
                <w:sz w:val="18"/>
              </w:rPr>
              <w:t>Patent</w:t>
            </w:r>
          </w:p>
        </w:tc>
        <w:tc>
          <w:tcPr>
            <w:tcW w:w="0" w:type="dxa"/>
            <w:noWrap/>
          </w:tcPr>
          <w:p w14:paraId="1010F7B1" w14:textId="77777777" w:rsidR="00C24477" w:rsidRPr="003D5A85" w:rsidRDefault="00C24477" w:rsidP="003D5A85">
            <w:pPr>
              <w:spacing w:after="120"/>
              <w:jc w:val="center"/>
              <w:rPr>
                <w:sz w:val="18"/>
                <w:szCs w:val="18"/>
              </w:rPr>
            </w:pPr>
            <w:r w:rsidRPr="00D60FAE">
              <w:rPr>
                <w:sz w:val="18"/>
                <w:szCs w:val="18"/>
              </w:rPr>
              <w:t>22</w:t>
            </w:r>
          </w:p>
        </w:tc>
        <w:tc>
          <w:tcPr>
            <w:tcW w:w="0" w:type="dxa"/>
            <w:noWrap/>
          </w:tcPr>
          <w:p w14:paraId="75FB0688" w14:textId="77777777" w:rsidR="00C24477" w:rsidRPr="003D5A85" w:rsidRDefault="00C24477" w:rsidP="003D5A85">
            <w:pPr>
              <w:spacing w:after="120"/>
              <w:jc w:val="center"/>
              <w:rPr>
                <w:sz w:val="18"/>
                <w:szCs w:val="18"/>
              </w:rPr>
            </w:pPr>
            <w:r w:rsidRPr="00D60FAE">
              <w:rPr>
                <w:sz w:val="18"/>
                <w:szCs w:val="18"/>
              </w:rPr>
              <w:t>16.9</w:t>
            </w:r>
          </w:p>
        </w:tc>
        <w:tc>
          <w:tcPr>
            <w:tcW w:w="2721" w:type="dxa"/>
            <w:noWrap/>
          </w:tcPr>
          <w:p w14:paraId="3A368951" w14:textId="727BADDD" w:rsidR="00C24477" w:rsidRPr="004570F2" w:rsidRDefault="393681FF" w:rsidP="003D5A85">
            <w:pPr>
              <w:spacing w:after="120"/>
              <w:jc w:val="center"/>
              <w:rPr>
                <w:sz w:val="18"/>
              </w:rPr>
            </w:pPr>
            <w:r w:rsidRPr="004570F2">
              <w:rPr>
                <w:sz w:val="18"/>
              </w:rPr>
              <w:t>EUR</w:t>
            </w:r>
            <w:r w:rsidR="00C24477" w:rsidRPr="004570F2">
              <w:rPr>
                <w:sz w:val="18"/>
              </w:rPr>
              <w:t xml:space="preserve"> 173 </w:t>
            </w:r>
            <w:r w:rsidR="00C24477" w:rsidRPr="00987661">
              <w:rPr>
                <w:sz w:val="18"/>
                <w:szCs w:val="18"/>
              </w:rPr>
              <w:t>m</w:t>
            </w:r>
          </w:p>
        </w:tc>
      </w:tr>
      <w:tr w:rsidR="003D5A85" w:rsidRPr="003D5A85" w14:paraId="174DD71D" w14:textId="77777777" w:rsidTr="004570F2">
        <w:trPr>
          <w:trHeight w:val="290"/>
        </w:trPr>
        <w:tc>
          <w:tcPr>
            <w:tcW w:w="0" w:type="dxa"/>
            <w:noWrap/>
            <w:hideMark/>
          </w:tcPr>
          <w:p w14:paraId="54FD9B6A" w14:textId="77777777" w:rsidR="00C24477" w:rsidRPr="004570F2" w:rsidRDefault="00C24477" w:rsidP="003D5A85">
            <w:pPr>
              <w:spacing w:after="120"/>
              <w:rPr>
                <w:b/>
                <w:color w:val="000000" w:themeColor="text1"/>
                <w:sz w:val="18"/>
              </w:rPr>
            </w:pPr>
            <w:r w:rsidRPr="004570F2">
              <w:rPr>
                <w:b/>
                <w:color w:val="000000" w:themeColor="text1"/>
                <w:sz w:val="18"/>
              </w:rPr>
              <w:t>Grand Total</w:t>
            </w:r>
          </w:p>
        </w:tc>
        <w:tc>
          <w:tcPr>
            <w:tcW w:w="0" w:type="dxa"/>
            <w:noWrap/>
            <w:hideMark/>
          </w:tcPr>
          <w:p w14:paraId="20400282" w14:textId="77777777" w:rsidR="00C24477" w:rsidRPr="003D5A85" w:rsidRDefault="00C24477" w:rsidP="003D5A85">
            <w:pPr>
              <w:spacing w:after="120"/>
              <w:jc w:val="center"/>
              <w:rPr>
                <w:b/>
                <w:bCs/>
                <w:color w:val="17365D" w:themeColor="text2" w:themeShade="BF"/>
                <w:sz w:val="18"/>
                <w:szCs w:val="18"/>
              </w:rPr>
            </w:pPr>
            <w:r w:rsidRPr="00D60FAE">
              <w:rPr>
                <w:b/>
                <w:bCs/>
                <w:color w:val="0A1D30"/>
                <w:sz w:val="18"/>
                <w:szCs w:val="18"/>
              </w:rPr>
              <w:t>198</w:t>
            </w:r>
          </w:p>
        </w:tc>
        <w:tc>
          <w:tcPr>
            <w:tcW w:w="0" w:type="dxa"/>
            <w:noWrap/>
            <w:hideMark/>
          </w:tcPr>
          <w:p w14:paraId="52ACF643" w14:textId="77777777" w:rsidR="00C24477" w:rsidRPr="003D5A85" w:rsidRDefault="00C24477" w:rsidP="003D5A85">
            <w:pPr>
              <w:spacing w:after="120"/>
              <w:jc w:val="center"/>
              <w:rPr>
                <w:b/>
                <w:bCs/>
                <w:color w:val="17365D" w:themeColor="text2" w:themeShade="BF"/>
                <w:sz w:val="18"/>
                <w:szCs w:val="18"/>
              </w:rPr>
            </w:pPr>
            <w:r w:rsidRPr="00D60FAE">
              <w:rPr>
                <w:b/>
                <w:bCs/>
                <w:color w:val="000000"/>
                <w:sz w:val="18"/>
                <w:szCs w:val="18"/>
              </w:rPr>
              <w:t>13.0</w:t>
            </w:r>
          </w:p>
        </w:tc>
        <w:tc>
          <w:tcPr>
            <w:tcW w:w="2721" w:type="dxa"/>
            <w:noWrap/>
            <w:hideMark/>
          </w:tcPr>
          <w:p w14:paraId="50705BA7" w14:textId="1542C074" w:rsidR="00C24477" w:rsidRPr="003D5A85" w:rsidRDefault="04BC9C3F" w:rsidP="003D5A85">
            <w:pPr>
              <w:spacing w:after="120"/>
              <w:jc w:val="center"/>
              <w:rPr>
                <w:b/>
                <w:bCs/>
                <w:color w:val="17365D" w:themeColor="text2" w:themeShade="BF"/>
                <w:sz w:val="18"/>
                <w:szCs w:val="18"/>
              </w:rPr>
            </w:pPr>
            <w:r w:rsidRPr="458BC1E1">
              <w:rPr>
                <w:b/>
                <w:bCs/>
                <w:color w:val="17365D" w:themeColor="text2" w:themeShade="BF"/>
                <w:sz w:val="18"/>
                <w:szCs w:val="18"/>
              </w:rPr>
              <w:t>EUR</w:t>
            </w:r>
            <w:r w:rsidR="00C24477" w:rsidRPr="00D60FAE">
              <w:rPr>
                <w:b/>
                <w:bCs/>
                <w:color w:val="17365D" w:themeColor="text2" w:themeShade="BF"/>
                <w:sz w:val="18"/>
                <w:szCs w:val="18"/>
              </w:rPr>
              <w:t xml:space="preserve"> 227 m</w:t>
            </w:r>
          </w:p>
        </w:tc>
      </w:tr>
    </w:tbl>
    <w:p w14:paraId="77A6FE17" w14:textId="3CDDE786" w:rsidR="00C24477" w:rsidRPr="00D60FAE" w:rsidRDefault="2A0AF6C1" w:rsidP="00C24477">
      <w:pPr>
        <w:rPr>
          <w:i/>
          <w:sz w:val="20"/>
          <w:szCs w:val="20"/>
        </w:rPr>
      </w:pPr>
      <w:r w:rsidRPr="4EC480EB">
        <w:rPr>
          <w:b/>
          <w:bCs/>
          <w:i/>
          <w:iCs/>
          <w:sz w:val="20"/>
          <w:szCs w:val="20"/>
        </w:rPr>
        <w:t>Source</w:t>
      </w:r>
      <w:r w:rsidRPr="4EC480EB">
        <w:rPr>
          <w:i/>
          <w:iCs/>
          <w:sz w:val="20"/>
          <w:szCs w:val="20"/>
        </w:rPr>
        <w:t xml:space="preserve">: author </w:t>
      </w:r>
      <w:r w:rsidR="3DB62BB2" w:rsidRPr="4EC480EB">
        <w:rPr>
          <w:i/>
          <w:iCs/>
          <w:sz w:val="20"/>
          <w:szCs w:val="20"/>
        </w:rPr>
        <w:t xml:space="preserve">analysis based on IQVIA MIDAS and IQVIA Patent Intelligence </w:t>
      </w:r>
      <w:r w:rsidR="004C4B77" w:rsidRPr="4EC480EB">
        <w:rPr>
          <w:rStyle w:val="FootnoteReference"/>
          <w:i/>
          <w:iCs/>
          <w:sz w:val="20"/>
          <w:szCs w:val="20"/>
        </w:rPr>
        <w:footnoteReference w:id="321"/>
      </w:r>
    </w:p>
    <w:p w14:paraId="5C6EBEB3" w14:textId="77777777" w:rsidR="00C24477" w:rsidRPr="003D5A85" w:rsidRDefault="00C24477" w:rsidP="00C24477">
      <w:pPr>
        <w:rPr>
          <w:rFonts w:eastAsia="Times New Roman"/>
          <w:szCs w:val="20"/>
        </w:rPr>
      </w:pPr>
      <w:r w:rsidRPr="003D5A85">
        <w:rPr>
          <w:rFonts w:eastAsia="Times New Roman"/>
          <w:szCs w:val="20"/>
        </w:rPr>
        <w:t xml:space="preserve">When focusing specifically on the subset of biological medicines in our 198-product cohort, the difference becomes even more pronounced, with SPC-reliant products exhibiting significantly higher pre-expiry sales. </w:t>
      </w:r>
    </w:p>
    <w:p w14:paraId="028553F7" w14:textId="2807E12A" w:rsidR="00A13801" w:rsidRPr="00D60FAE" w:rsidRDefault="00A13801" w:rsidP="00C24477">
      <w:pPr>
        <w:rPr>
          <w:rFonts w:eastAsia="Times New Roman"/>
          <w:b/>
          <w:bCs/>
          <w:szCs w:val="20"/>
        </w:rPr>
      </w:pPr>
      <w:r w:rsidRPr="00D60FAE">
        <w:rPr>
          <w:rFonts w:eastAsia="Times New Roman"/>
          <w:b/>
          <w:bCs/>
          <w:szCs w:val="20"/>
        </w:rPr>
        <w:t>Table 1</w:t>
      </w:r>
      <w:r w:rsidR="00EF070B">
        <w:rPr>
          <w:rFonts w:eastAsia="Times New Roman"/>
          <w:b/>
          <w:bCs/>
          <w:szCs w:val="20"/>
        </w:rPr>
        <w:t>7</w:t>
      </w:r>
      <w:r w:rsidR="00106AA9">
        <w:rPr>
          <w:rFonts w:eastAsia="Times New Roman"/>
          <w:b/>
          <w:bCs/>
          <w:szCs w:val="20"/>
        </w:rPr>
        <w:t>.</w:t>
      </w:r>
      <w:r w:rsidR="006B0F9A" w:rsidRPr="006B0F9A">
        <w:t xml:space="preserve"> </w:t>
      </w:r>
      <w:r w:rsidR="006B0F9A" w:rsidRPr="006B0F9A">
        <w:rPr>
          <w:rFonts w:eastAsia="Times New Roman"/>
          <w:b/>
          <w:bCs/>
          <w:szCs w:val="20"/>
        </w:rPr>
        <w:t>Average protection duration and pre-expiry revenues by last line of protection (biological products, n=31)</w:t>
      </w:r>
    </w:p>
    <w:tbl>
      <w:tblPr>
        <w:tblStyle w:val="CV11"/>
        <w:tblW w:w="8561" w:type="dxa"/>
        <w:tblLook w:val="04A0" w:firstRow="1" w:lastRow="0" w:firstColumn="1" w:lastColumn="0" w:noHBand="0" w:noVBand="1"/>
      </w:tblPr>
      <w:tblGrid>
        <w:gridCol w:w="1928"/>
        <w:gridCol w:w="1871"/>
        <w:gridCol w:w="2154"/>
        <w:gridCol w:w="2608"/>
      </w:tblGrid>
      <w:tr w:rsidR="00026FC8" w:rsidRPr="00026FC8" w14:paraId="36FCFB09" w14:textId="77777777" w:rsidTr="004570F2">
        <w:trPr>
          <w:trHeight w:val="263"/>
        </w:trPr>
        <w:tc>
          <w:tcPr>
            <w:tcW w:w="1928" w:type="dxa"/>
            <w:noWrap/>
            <w:hideMark/>
          </w:tcPr>
          <w:p w14:paraId="1F96CD18" w14:textId="77777777" w:rsidR="00C24477" w:rsidRPr="004570F2" w:rsidRDefault="00C24477">
            <w:pPr>
              <w:spacing w:after="0"/>
              <w:rPr>
                <w:b/>
                <w:color w:val="000000" w:themeColor="text1"/>
                <w:sz w:val="18"/>
              </w:rPr>
            </w:pPr>
            <w:r w:rsidRPr="004570F2">
              <w:rPr>
                <w:b/>
                <w:color w:val="000000" w:themeColor="text1"/>
                <w:sz w:val="18"/>
              </w:rPr>
              <w:t>Last line of protection</w:t>
            </w:r>
          </w:p>
        </w:tc>
        <w:tc>
          <w:tcPr>
            <w:tcW w:w="1871" w:type="dxa"/>
            <w:noWrap/>
            <w:hideMark/>
          </w:tcPr>
          <w:p w14:paraId="7746D30E" w14:textId="77777777" w:rsidR="00C24477" w:rsidRPr="004570F2" w:rsidRDefault="00C24477">
            <w:pPr>
              <w:spacing w:after="0"/>
              <w:jc w:val="center"/>
              <w:rPr>
                <w:b/>
                <w:color w:val="000000" w:themeColor="text1"/>
                <w:sz w:val="18"/>
              </w:rPr>
            </w:pPr>
            <w:r w:rsidRPr="004570F2">
              <w:rPr>
                <w:b/>
                <w:color w:val="000000" w:themeColor="text1"/>
                <w:sz w:val="18"/>
              </w:rPr>
              <w:t>Number of products</w:t>
            </w:r>
          </w:p>
        </w:tc>
        <w:tc>
          <w:tcPr>
            <w:tcW w:w="2154" w:type="dxa"/>
            <w:noWrap/>
            <w:hideMark/>
          </w:tcPr>
          <w:p w14:paraId="731BA8E8" w14:textId="77777777" w:rsidR="00C24477" w:rsidRPr="004570F2" w:rsidRDefault="00C24477">
            <w:pPr>
              <w:spacing w:after="0"/>
              <w:jc w:val="center"/>
              <w:rPr>
                <w:b/>
                <w:color w:val="000000" w:themeColor="text1"/>
                <w:sz w:val="18"/>
              </w:rPr>
            </w:pPr>
            <w:r w:rsidRPr="004570F2">
              <w:rPr>
                <w:b/>
                <w:color w:val="000000" w:themeColor="text1"/>
                <w:sz w:val="18"/>
              </w:rPr>
              <w:t>Avg. protection duration</w:t>
            </w:r>
          </w:p>
        </w:tc>
        <w:tc>
          <w:tcPr>
            <w:tcW w:w="2608" w:type="dxa"/>
            <w:noWrap/>
            <w:hideMark/>
          </w:tcPr>
          <w:p w14:paraId="072BD0FC" w14:textId="77777777" w:rsidR="00C24477" w:rsidRPr="004570F2" w:rsidRDefault="00C24477">
            <w:pPr>
              <w:spacing w:after="0"/>
              <w:jc w:val="center"/>
              <w:rPr>
                <w:b/>
                <w:color w:val="000000" w:themeColor="text1"/>
                <w:sz w:val="18"/>
              </w:rPr>
            </w:pPr>
            <w:r w:rsidRPr="004570F2">
              <w:rPr>
                <w:b/>
                <w:color w:val="000000" w:themeColor="text1"/>
                <w:sz w:val="18"/>
              </w:rPr>
              <w:t>Avg sales in year before expiry</w:t>
            </w:r>
          </w:p>
        </w:tc>
      </w:tr>
      <w:tr w:rsidR="00026FC8" w:rsidRPr="00026FC8" w14:paraId="22EE0C88" w14:textId="77777777" w:rsidTr="004570F2">
        <w:trPr>
          <w:trHeight w:val="263"/>
        </w:trPr>
        <w:tc>
          <w:tcPr>
            <w:tcW w:w="1928" w:type="dxa"/>
            <w:noWrap/>
            <w:hideMark/>
          </w:tcPr>
          <w:p w14:paraId="2237578C" w14:textId="77777777" w:rsidR="00C24477" w:rsidRPr="004570F2" w:rsidRDefault="00C24477">
            <w:pPr>
              <w:spacing w:after="0"/>
              <w:rPr>
                <w:b/>
                <w:color w:val="000000" w:themeColor="text1"/>
                <w:sz w:val="18"/>
              </w:rPr>
            </w:pPr>
            <w:r w:rsidRPr="004570F2">
              <w:rPr>
                <w:b/>
                <w:color w:val="000000" w:themeColor="text1"/>
                <w:sz w:val="18"/>
              </w:rPr>
              <w:t>Regulatory protection</w:t>
            </w:r>
          </w:p>
        </w:tc>
        <w:tc>
          <w:tcPr>
            <w:tcW w:w="1871" w:type="dxa"/>
            <w:noWrap/>
            <w:hideMark/>
          </w:tcPr>
          <w:p w14:paraId="40265014" w14:textId="77777777" w:rsidR="00C24477" w:rsidRPr="004570F2" w:rsidRDefault="00C24477">
            <w:pPr>
              <w:spacing w:after="0"/>
              <w:jc w:val="center"/>
              <w:rPr>
                <w:color w:val="000000" w:themeColor="text1"/>
                <w:sz w:val="18"/>
              </w:rPr>
            </w:pPr>
            <w:r w:rsidRPr="004570F2">
              <w:rPr>
                <w:color w:val="000000" w:themeColor="text1"/>
                <w:sz w:val="18"/>
              </w:rPr>
              <w:t>10</w:t>
            </w:r>
          </w:p>
        </w:tc>
        <w:tc>
          <w:tcPr>
            <w:tcW w:w="2154" w:type="dxa"/>
            <w:noWrap/>
            <w:hideMark/>
          </w:tcPr>
          <w:p w14:paraId="18DAEE47" w14:textId="77777777" w:rsidR="00C24477" w:rsidRPr="004570F2" w:rsidRDefault="00C24477">
            <w:pPr>
              <w:spacing w:after="0"/>
              <w:jc w:val="center"/>
              <w:rPr>
                <w:color w:val="000000" w:themeColor="text1"/>
                <w:sz w:val="18"/>
              </w:rPr>
            </w:pPr>
            <w:r w:rsidRPr="004570F2">
              <w:rPr>
                <w:color w:val="000000" w:themeColor="text1"/>
                <w:sz w:val="18"/>
              </w:rPr>
              <w:t>10.1</w:t>
            </w:r>
          </w:p>
        </w:tc>
        <w:tc>
          <w:tcPr>
            <w:tcW w:w="2608" w:type="dxa"/>
            <w:noWrap/>
            <w:hideMark/>
          </w:tcPr>
          <w:p w14:paraId="21F3D98F" w14:textId="5155C7CC" w:rsidR="00C24477" w:rsidRPr="004570F2" w:rsidRDefault="7F24C735">
            <w:pPr>
              <w:spacing w:after="0"/>
              <w:jc w:val="center"/>
              <w:rPr>
                <w:color w:val="000000" w:themeColor="text1"/>
                <w:sz w:val="18"/>
              </w:rPr>
            </w:pPr>
            <w:r w:rsidRPr="004570F2">
              <w:rPr>
                <w:color w:val="000000" w:themeColor="text1"/>
                <w:sz w:val="18"/>
              </w:rPr>
              <w:t>EUR</w:t>
            </w:r>
            <w:r w:rsidR="00C24477" w:rsidRPr="004570F2">
              <w:rPr>
                <w:color w:val="000000" w:themeColor="text1"/>
                <w:sz w:val="18"/>
              </w:rPr>
              <w:t xml:space="preserve"> </w:t>
            </w:r>
            <w:r w:rsidR="00C24477" w:rsidRPr="004570F2" w:rsidDel="00A418CA">
              <w:rPr>
                <w:color w:val="000000" w:themeColor="text1"/>
                <w:sz w:val="18"/>
              </w:rPr>
              <w:t xml:space="preserve">83 </w:t>
            </w:r>
            <w:r w:rsidR="00A418CA" w:rsidRPr="00987661">
              <w:rPr>
                <w:color w:val="000000" w:themeColor="text1"/>
                <w:sz w:val="18"/>
                <w:szCs w:val="18"/>
              </w:rPr>
              <w:t>m</w:t>
            </w:r>
          </w:p>
        </w:tc>
      </w:tr>
      <w:tr w:rsidR="00026FC8" w:rsidRPr="00026FC8" w14:paraId="0D8E48DB" w14:textId="77777777" w:rsidTr="004570F2">
        <w:trPr>
          <w:trHeight w:val="263"/>
        </w:trPr>
        <w:tc>
          <w:tcPr>
            <w:tcW w:w="1928" w:type="dxa"/>
            <w:noWrap/>
            <w:hideMark/>
          </w:tcPr>
          <w:p w14:paraId="21637F1F" w14:textId="77777777" w:rsidR="00C24477" w:rsidRPr="004570F2" w:rsidRDefault="00C24477">
            <w:pPr>
              <w:spacing w:after="0"/>
              <w:rPr>
                <w:b/>
                <w:color w:val="000000" w:themeColor="text1"/>
                <w:sz w:val="18"/>
              </w:rPr>
            </w:pPr>
            <w:r w:rsidRPr="004570F2">
              <w:rPr>
                <w:b/>
                <w:color w:val="000000" w:themeColor="text1"/>
                <w:sz w:val="18"/>
              </w:rPr>
              <w:t>Market Exclusivity</w:t>
            </w:r>
          </w:p>
        </w:tc>
        <w:tc>
          <w:tcPr>
            <w:tcW w:w="1871" w:type="dxa"/>
            <w:noWrap/>
            <w:hideMark/>
          </w:tcPr>
          <w:p w14:paraId="01108735" w14:textId="77777777" w:rsidR="00C24477" w:rsidRPr="004570F2" w:rsidRDefault="00C24477">
            <w:pPr>
              <w:spacing w:after="0"/>
              <w:jc w:val="center"/>
              <w:rPr>
                <w:color w:val="000000" w:themeColor="text1"/>
                <w:sz w:val="18"/>
              </w:rPr>
            </w:pPr>
            <w:r w:rsidRPr="004570F2">
              <w:rPr>
                <w:color w:val="000000" w:themeColor="text1"/>
                <w:sz w:val="18"/>
              </w:rPr>
              <w:t>6</w:t>
            </w:r>
          </w:p>
        </w:tc>
        <w:tc>
          <w:tcPr>
            <w:tcW w:w="2154" w:type="dxa"/>
            <w:noWrap/>
            <w:hideMark/>
          </w:tcPr>
          <w:p w14:paraId="721F9F8B" w14:textId="77777777" w:rsidR="00C24477" w:rsidRPr="004570F2" w:rsidRDefault="00C24477">
            <w:pPr>
              <w:spacing w:after="0"/>
              <w:jc w:val="center"/>
              <w:rPr>
                <w:color w:val="000000" w:themeColor="text1"/>
                <w:sz w:val="18"/>
              </w:rPr>
            </w:pPr>
            <w:r w:rsidRPr="004570F2">
              <w:rPr>
                <w:color w:val="000000" w:themeColor="text1"/>
                <w:sz w:val="18"/>
              </w:rPr>
              <w:t>10.7</w:t>
            </w:r>
          </w:p>
        </w:tc>
        <w:tc>
          <w:tcPr>
            <w:tcW w:w="2608" w:type="dxa"/>
            <w:noWrap/>
            <w:hideMark/>
          </w:tcPr>
          <w:p w14:paraId="4238868B" w14:textId="62DEB825" w:rsidR="00C24477" w:rsidRPr="004570F2" w:rsidRDefault="087F25D8">
            <w:pPr>
              <w:spacing w:after="0"/>
              <w:jc w:val="center"/>
              <w:rPr>
                <w:color w:val="000000" w:themeColor="text1"/>
                <w:sz w:val="18"/>
              </w:rPr>
            </w:pPr>
            <w:r w:rsidRPr="004570F2">
              <w:rPr>
                <w:color w:val="000000" w:themeColor="text1"/>
                <w:sz w:val="18"/>
              </w:rPr>
              <w:t xml:space="preserve"> EUR</w:t>
            </w:r>
            <w:r w:rsidR="00C24477" w:rsidRPr="004570F2">
              <w:rPr>
                <w:color w:val="000000" w:themeColor="text1"/>
                <w:sz w:val="18"/>
              </w:rPr>
              <w:t xml:space="preserve"> </w:t>
            </w:r>
            <w:r w:rsidR="00C24477" w:rsidRPr="004570F2" w:rsidDel="00A418CA">
              <w:rPr>
                <w:color w:val="000000" w:themeColor="text1"/>
                <w:sz w:val="18"/>
              </w:rPr>
              <w:t xml:space="preserve">42 </w:t>
            </w:r>
            <w:r w:rsidR="00A418CA" w:rsidRPr="00987661">
              <w:rPr>
                <w:color w:val="000000" w:themeColor="text1"/>
                <w:sz w:val="18"/>
                <w:szCs w:val="18"/>
              </w:rPr>
              <w:t>m</w:t>
            </w:r>
          </w:p>
        </w:tc>
      </w:tr>
      <w:tr w:rsidR="00026FC8" w:rsidRPr="00026FC8" w14:paraId="068EA4F3" w14:textId="77777777" w:rsidTr="004570F2">
        <w:trPr>
          <w:trHeight w:val="263"/>
        </w:trPr>
        <w:tc>
          <w:tcPr>
            <w:tcW w:w="1928" w:type="dxa"/>
            <w:noWrap/>
            <w:hideMark/>
          </w:tcPr>
          <w:p w14:paraId="268DC28A" w14:textId="77777777" w:rsidR="00C24477" w:rsidRPr="004570F2" w:rsidRDefault="00C24477">
            <w:pPr>
              <w:spacing w:after="0"/>
              <w:rPr>
                <w:b/>
                <w:color w:val="000000" w:themeColor="text1"/>
                <w:sz w:val="18"/>
              </w:rPr>
            </w:pPr>
            <w:r w:rsidRPr="004570F2">
              <w:rPr>
                <w:b/>
                <w:color w:val="000000" w:themeColor="text1"/>
                <w:sz w:val="18"/>
              </w:rPr>
              <w:t>SPC</w:t>
            </w:r>
          </w:p>
        </w:tc>
        <w:tc>
          <w:tcPr>
            <w:tcW w:w="1871" w:type="dxa"/>
            <w:noWrap/>
            <w:hideMark/>
          </w:tcPr>
          <w:p w14:paraId="276CFED4" w14:textId="77777777" w:rsidR="00C24477" w:rsidRPr="004570F2" w:rsidRDefault="00C24477">
            <w:pPr>
              <w:spacing w:after="0"/>
              <w:jc w:val="center"/>
              <w:rPr>
                <w:color w:val="000000" w:themeColor="text1"/>
                <w:sz w:val="18"/>
              </w:rPr>
            </w:pPr>
            <w:r w:rsidRPr="004570F2">
              <w:rPr>
                <w:color w:val="000000" w:themeColor="text1"/>
                <w:sz w:val="18"/>
              </w:rPr>
              <w:t>12</w:t>
            </w:r>
          </w:p>
        </w:tc>
        <w:tc>
          <w:tcPr>
            <w:tcW w:w="2154" w:type="dxa"/>
            <w:noWrap/>
            <w:hideMark/>
          </w:tcPr>
          <w:p w14:paraId="1B78C490" w14:textId="77777777" w:rsidR="00C24477" w:rsidRPr="004570F2" w:rsidRDefault="00C24477">
            <w:pPr>
              <w:spacing w:after="0"/>
              <w:jc w:val="center"/>
              <w:rPr>
                <w:color w:val="000000" w:themeColor="text1"/>
                <w:sz w:val="18"/>
              </w:rPr>
            </w:pPr>
            <w:r w:rsidRPr="004570F2">
              <w:rPr>
                <w:color w:val="000000" w:themeColor="text1"/>
                <w:sz w:val="18"/>
              </w:rPr>
              <w:t>14.8</w:t>
            </w:r>
          </w:p>
        </w:tc>
        <w:tc>
          <w:tcPr>
            <w:tcW w:w="2608" w:type="dxa"/>
            <w:noWrap/>
            <w:hideMark/>
          </w:tcPr>
          <w:p w14:paraId="03198EF9" w14:textId="154B57E2" w:rsidR="00C24477" w:rsidRPr="004570F2" w:rsidRDefault="00C24477">
            <w:pPr>
              <w:spacing w:after="0"/>
              <w:jc w:val="center"/>
              <w:rPr>
                <w:color w:val="000000" w:themeColor="text1"/>
                <w:sz w:val="18"/>
              </w:rPr>
            </w:pPr>
            <w:r w:rsidRPr="004570F2">
              <w:rPr>
                <w:color w:val="000000" w:themeColor="text1"/>
                <w:sz w:val="18"/>
              </w:rPr>
              <w:t xml:space="preserve"> </w:t>
            </w:r>
            <w:r w:rsidR="6CCD075C" w:rsidRPr="004570F2">
              <w:rPr>
                <w:color w:val="000000" w:themeColor="text1"/>
                <w:sz w:val="18"/>
              </w:rPr>
              <w:t>EUR</w:t>
            </w:r>
            <w:r w:rsidRPr="004570F2">
              <w:rPr>
                <w:color w:val="000000" w:themeColor="text1"/>
                <w:sz w:val="18"/>
              </w:rPr>
              <w:t xml:space="preserve"> </w:t>
            </w:r>
            <w:r w:rsidRPr="004570F2" w:rsidDel="00A418CA">
              <w:rPr>
                <w:color w:val="000000" w:themeColor="text1"/>
                <w:sz w:val="18"/>
              </w:rPr>
              <w:t xml:space="preserve">743 </w:t>
            </w:r>
            <w:r w:rsidR="00A418CA" w:rsidRPr="00987661">
              <w:rPr>
                <w:color w:val="000000" w:themeColor="text1"/>
                <w:sz w:val="18"/>
                <w:szCs w:val="18"/>
              </w:rPr>
              <w:t>m</w:t>
            </w:r>
          </w:p>
        </w:tc>
      </w:tr>
      <w:tr w:rsidR="00026FC8" w:rsidRPr="00026FC8" w14:paraId="3C79D7F0" w14:textId="77777777" w:rsidTr="004570F2">
        <w:trPr>
          <w:trHeight w:val="263"/>
        </w:trPr>
        <w:tc>
          <w:tcPr>
            <w:tcW w:w="1928" w:type="dxa"/>
            <w:noWrap/>
            <w:hideMark/>
          </w:tcPr>
          <w:p w14:paraId="295AC47D" w14:textId="77777777" w:rsidR="00C24477" w:rsidRPr="004570F2" w:rsidRDefault="00C24477">
            <w:pPr>
              <w:spacing w:after="0"/>
              <w:rPr>
                <w:b/>
                <w:color w:val="000000" w:themeColor="text1"/>
                <w:sz w:val="18"/>
              </w:rPr>
            </w:pPr>
            <w:r w:rsidRPr="004570F2">
              <w:rPr>
                <w:b/>
                <w:color w:val="000000" w:themeColor="text1"/>
                <w:sz w:val="18"/>
              </w:rPr>
              <w:t>Patent</w:t>
            </w:r>
          </w:p>
        </w:tc>
        <w:tc>
          <w:tcPr>
            <w:tcW w:w="1871" w:type="dxa"/>
            <w:noWrap/>
            <w:hideMark/>
          </w:tcPr>
          <w:p w14:paraId="1A30C173" w14:textId="77777777" w:rsidR="00C24477" w:rsidRPr="004570F2" w:rsidRDefault="00C24477">
            <w:pPr>
              <w:spacing w:after="0"/>
              <w:jc w:val="center"/>
              <w:rPr>
                <w:color w:val="000000" w:themeColor="text1"/>
                <w:sz w:val="18"/>
              </w:rPr>
            </w:pPr>
            <w:r w:rsidRPr="004570F2">
              <w:rPr>
                <w:color w:val="000000" w:themeColor="text1"/>
                <w:sz w:val="18"/>
              </w:rPr>
              <w:t>3</w:t>
            </w:r>
          </w:p>
        </w:tc>
        <w:tc>
          <w:tcPr>
            <w:tcW w:w="2154" w:type="dxa"/>
            <w:noWrap/>
            <w:hideMark/>
          </w:tcPr>
          <w:p w14:paraId="5B7A1F65" w14:textId="77777777" w:rsidR="00C24477" w:rsidRPr="004570F2" w:rsidRDefault="00C24477">
            <w:pPr>
              <w:spacing w:after="0"/>
              <w:jc w:val="center"/>
              <w:rPr>
                <w:color w:val="000000" w:themeColor="text1"/>
                <w:sz w:val="18"/>
              </w:rPr>
            </w:pPr>
            <w:r w:rsidRPr="004570F2">
              <w:rPr>
                <w:color w:val="000000" w:themeColor="text1"/>
                <w:sz w:val="18"/>
              </w:rPr>
              <w:t>16.7</w:t>
            </w:r>
          </w:p>
        </w:tc>
        <w:tc>
          <w:tcPr>
            <w:tcW w:w="2608" w:type="dxa"/>
            <w:noWrap/>
            <w:hideMark/>
          </w:tcPr>
          <w:p w14:paraId="77135A3D" w14:textId="067736EC" w:rsidR="00C24477" w:rsidRPr="004570F2" w:rsidRDefault="00C24477">
            <w:pPr>
              <w:spacing w:after="0"/>
              <w:jc w:val="center"/>
              <w:rPr>
                <w:color w:val="000000" w:themeColor="text1"/>
                <w:sz w:val="18"/>
              </w:rPr>
            </w:pPr>
            <w:r w:rsidRPr="004570F2">
              <w:rPr>
                <w:color w:val="000000" w:themeColor="text1"/>
                <w:sz w:val="18"/>
              </w:rPr>
              <w:t xml:space="preserve"> </w:t>
            </w:r>
            <w:r w:rsidR="3C4EF863" w:rsidRPr="004570F2">
              <w:rPr>
                <w:color w:val="000000" w:themeColor="text1"/>
                <w:sz w:val="18"/>
              </w:rPr>
              <w:t>EUR</w:t>
            </w:r>
            <w:r w:rsidRPr="004570F2">
              <w:rPr>
                <w:color w:val="000000" w:themeColor="text1"/>
                <w:sz w:val="18"/>
              </w:rPr>
              <w:t xml:space="preserve"> </w:t>
            </w:r>
            <w:r w:rsidRPr="004570F2" w:rsidDel="00A418CA">
              <w:rPr>
                <w:color w:val="000000" w:themeColor="text1"/>
                <w:sz w:val="18"/>
              </w:rPr>
              <w:t xml:space="preserve">395 </w:t>
            </w:r>
            <w:r w:rsidR="00A418CA" w:rsidRPr="00987661">
              <w:rPr>
                <w:color w:val="000000" w:themeColor="text1"/>
                <w:sz w:val="18"/>
                <w:szCs w:val="18"/>
              </w:rPr>
              <w:t>m</w:t>
            </w:r>
          </w:p>
        </w:tc>
      </w:tr>
      <w:tr w:rsidR="00026FC8" w:rsidRPr="00026FC8" w14:paraId="142D3224" w14:textId="77777777" w:rsidTr="004570F2">
        <w:trPr>
          <w:trHeight w:val="263"/>
        </w:trPr>
        <w:tc>
          <w:tcPr>
            <w:tcW w:w="1928" w:type="dxa"/>
            <w:noWrap/>
            <w:hideMark/>
          </w:tcPr>
          <w:p w14:paraId="295DDCBE" w14:textId="77777777" w:rsidR="00C24477" w:rsidRPr="004570F2" w:rsidRDefault="00C24477">
            <w:pPr>
              <w:spacing w:after="0"/>
              <w:rPr>
                <w:b/>
                <w:color w:val="000000" w:themeColor="text1"/>
                <w:sz w:val="18"/>
              </w:rPr>
            </w:pPr>
            <w:r w:rsidRPr="004570F2">
              <w:rPr>
                <w:b/>
                <w:color w:val="000000" w:themeColor="text1"/>
                <w:sz w:val="18"/>
              </w:rPr>
              <w:t>Grand Total</w:t>
            </w:r>
          </w:p>
        </w:tc>
        <w:tc>
          <w:tcPr>
            <w:tcW w:w="1871" w:type="dxa"/>
            <w:noWrap/>
            <w:hideMark/>
          </w:tcPr>
          <w:p w14:paraId="10EA349A" w14:textId="77777777" w:rsidR="00C24477" w:rsidRPr="004570F2" w:rsidRDefault="00C24477">
            <w:pPr>
              <w:spacing w:after="0"/>
              <w:jc w:val="center"/>
              <w:rPr>
                <w:b/>
                <w:color w:val="000000" w:themeColor="text1"/>
                <w:sz w:val="18"/>
              </w:rPr>
            </w:pPr>
            <w:r w:rsidRPr="004570F2">
              <w:rPr>
                <w:b/>
                <w:color w:val="000000" w:themeColor="text1"/>
                <w:sz w:val="18"/>
              </w:rPr>
              <w:t>31</w:t>
            </w:r>
          </w:p>
        </w:tc>
        <w:tc>
          <w:tcPr>
            <w:tcW w:w="2154" w:type="dxa"/>
            <w:noWrap/>
            <w:hideMark/>
          </w:tcPr>
          <w:p w14:paraId="03F0A7AE" w14:textId="77777777" w:rsidR="00C24477" w:rsidRPr="004570F2" w:rsidRDefault="00C24477">
            <w:pPr>
              <w:spacing w:after="0"/>
              <w:jc w:val="center"/>
              <w:rPr>
                <w:b/>
                <w:color w:val="000000" w:themeColor="text1"/>
                <w:sz w:val="18"/>
              </w:rPr>
            </w:pPr>
            <w:r w:rsidRPr="004570F2">
              <w:rPr>
                <w:b/>
                <w:color w:val="000000" w:themeColor="text1"/>
                <w:sz w:val="18"/>
              </w:rPr>
              <w:t>12.7</w:t>
            </w:r>
          </w:p>
        </w:tc>
        <w:tc>
          <w:tcPr>
            <w:tcW w:w="2608" w:type="dxa"/>
            <w:noWrap/>
            <w:hideMark/>
          </w:tcPr>
          <w:p w14:paraId="425D665F" w14:textId="2682A998" w:rsidR="00C24477" w:rsidRPr="004570F2" w:rsidRDefault="1C617FFB">
            <w:pPr>
              <w:spacing w:after="0"/>
              <w:jc w:val="center"/>
              <w:rPr>
                <w:b/>
                <w:color w:val="000000" w:themeColor="text1"/>
                <w:sz w:val="18"/>
              </w:rPr>
            </w:pPr>
            <w:r w:rsidRPr="00026FC8">
              <w:rPr>
                <w:b/>
                <w:bCs/>
                <w:color w:val="000000" w:themeColor="text1"/>
                <w:sz w:val="18"/>
                <w:szCs w:val="18"/>
                <w:lang w:eastAsia="en-IE"/>
              </w:rPr>
              <w:t xml:space="preserve">EUR </w:t>
            </w:r>
            <w:r w:rsidR="00C24477" w:rsidRPr="00026FC8" w:rsidDel="00A418CA">
              <w:rPr>
                <w:b/>
                <w:color w:val="000000" w:themeColor="text1"/>
                <w:sz w:val="18"/>
                <w:szCs w:val="18"/>
                <w:lang w:eastAsia="en-IE"/>
              </w:rPr>
              <w:t xml:space="preserve">361 </w:t>
            </w:r>
            <w:r w:rsidR="00A418CA" w:rsidRPr="00987661">
              <w:rPr>
                <w:b/>
                <w:color w:val="000000" w:themeColor="text1"/>
                <w:sz w:val="18"/>
                <w:szCs w:val="18"/>
              </w:rPr>
              <w:t>m</w:t>
            </w:r>
          </w:p>
        </w:tc>
      </w:tr>
    </w:tbl>
    <w:p w14:paraId="2CDFF1EC" w14:textId="7DB0E5FC" w:rsidR="006C2408" w:rsidRPr="00ED304C" w:rsidRDefault="006C2408" w:rsidP="006C2408">
      <w:pPr>
        <w:rPr>
          <w:i/>
          <w:sz w:val="20"/>
          <w:szCs w:val="20"/>
        </w:rPr>
      </w:pPr>
      <w:r w:rsidRPr="00ED304C">
        <w:rPr>
          <w:b/>
          <w:i/>
          <w:sz w:val="20"/>
          <w:szCs w:val="20"/>
        </w:rPr>
        <w:t>Source</w:t>
      </w:r>
      <w:r w:rsidRPr="00ED304C">
        <w:rPr>
          <w:i/>
          <w:sz w:val="20"/>
          <w:szCs w:val="20"/>
        </w:rPr>
        <w:t xml:space="preserve">: </w:t>
      </w:r>
      <w:r w:rsidR="004401DE" w:rsidRPr="00ED304C">
        <w:rPr>
          <w:i/>
          <w:sz w:val="20"/>
          <w:szCs w:val="20"/>
        </w:rPr>
        <w:t>Author analysis based on IQVIA MIDAS and IQVIA Patent Intelligence</w:t>
      </w:r>
    </w:p>
    <w:p w14:paraId="44C7A490" w14:textId="2DBE2F14" w:rsidR="008C1895" w:rsidRPr="00987661" w:rsidRDefault="008B4404" w:rsidP="008C1895">
      <w:pPr>
        <w:spacing w:after="270" w:line="270" w:lineRule="atLeast"/>
        <w:rPr>
          <w:i/>
          <w:u w:val="single"/>
        </w:rPr>
      </w:pPr>
      <w:r w:rsidRPr="00987661">
        <w:rPr>
          <w:i/>
          <w:u w:val="single"/>
        </w:rPr>
        <w:t xml:space="preserve">Key </w:t>
      </w:r>
      <w:r w:rsidR="008C1895" w:rsidRPr="00987661">
        <w:rPr>
          <w:i/>
          <w:u w:val="single"/>
        </w:rPr>
        <w:t>Assumptions</w:t>
      </w:r>
    </w:p>
    <w:p w14:paraId="3A010ED1" w14:textId="77777777" w:rsidR="008C1895" w:rsidRPr="00987661" w:rsidRDefault="008C1895" w:rsidP="00987661">
      <w:pPr>
        <w:pStyle w:val="ListParagraph"/>
        <w:numPr>
          <w:ilvl w:val="0"/>
          <w:numId w:val="269"/>
        </w:numPr>
        <w:spacing w:after="270" w:line="270" w:lineRule="atLeast"/>
        <w:ind w:right="284"/>
        <w:rPr>
          <w:lang w:val="en-US"/>
        </w:rPr>
      </w:pPr>
      <w:r w:rsidRPr="00987661">
        <w:rPr>
          <w:lang w:val="en-US"/>
        </w:rPr>
        <w:t>Protection profiles remain decisive: differences in revenue outcomes across products continue to reflect the last layer of protection and the associated effective regulatory protection period.</w:t>
      </w:r>
    </w:p>
    <w:p w14:paraId="55A22DFC" w14:textId="77777777" w:rsidR="008C1895" w:rsidRPr="00987661" w:rsidRDefault="008C1895" w:rsidP="00987661">
      <w:pPr>
        <w:pStyle w:val="ListParagraph"/>
        <w:numPr>
          <w:ilvl w:val="0"/>
          <w:numId w:val="269"/>
        </w:numPr>
        <w:spacing w:after="270" w:line="270" w:lineRule="atLeast"/>
        <w:ind w:right="284"/>
        <w:rPr>
          <w:lang w:val="en-US"/>
        </w:rPr>
      </w:pPr>
      <w:r w:rsidRPr="00987661">
        <w:rPr>
          <w:lang w:val="en-US"/>
        </w:rPr>
        <w:lastRenderedPageBreak/>
        <w:t xml:space="preserve">Lifecycle management unchanged: originator firms continue to concentrate commercial strategies on the final years of effective regulatory protection, reflecting persistent expectations of steep post-expiry revenue losses. This includes a continued focus on pricing, contracting and market coverage during the remaining period of regulatory protection. </w:t>
      </w:r>
    </w:p>
    <w:p w14:paraId="52AC8D8D" w14:textId="508A6346" w:rsidR="008C1895" w:rsidRPr="00987661" w:rsidRDefault="008C1895" w:rsidP="00987661">
      <w:pPr>
        <w:pStyle w:val="ListParagraph"/>
        <w:numPr>
          <w:ilvl w:val="0"/>
          <w:numId w:val="269"/>
        </w:numPr>
        <w:spacing w:after="270" w:line="270" w:lineRule="atLeast"/>
        <w:ind w:right="284"/>
        <w:rPr>
          <w:lang w:val="en-US"/>
        </w:rPr>
      </w:pPr>
      <w:r w:rsidRPr="00987661">
        <w:rPr>
          <w:lang w:val="en-US"/>
        </w:rPr>
        <w:t>ATMPs follow distinct dynamics: commercial performance remains primarily driven by clinical adoption, reimbursement and manufacturing scale-up. Given their technical complexity and the current lack of established follow-on competition, ATMPs have, in practice, faced limited exposure to post-expiry competitive erosion to date. Accordingly, commercial outcomes are less strongly linked to predictable post-expiry dynamics under the baseline. Nevertheless, we include ATMPs in our assessment of eligible products for SPC extension not to exclude that in the future biosimilar versions of these products might be approved.</w:t>
      </w:r>
    </w:p>
    <w:p w14:paraId="6370D174" w14:textId="77777777" w:rsidR="00C24477" w:rsidRPr="004570F2" w:rsidRDefault="00C24477" w:rsidP="00C24477">
      <w:pPr>
        <w:rPr>
          <w:b/>
        </w:rPr>
      </w:pPr>
      <w:r w:rsidRPr="00ED304C">
        <w:rPr>
          <w:b/>
          <w:bCs/>
        </w:rPr>
        <w:t>Functioning of the internal market and competition</w:t>
      </w:r>
    </w:p>
    <w:p w14:paraId="034BD19E" w14:textId="2A951FBF" w:rsidR="005F07F3" w:rsidRPr="004570F2" w:rsidRDefault="005F07F3" w:rsidP="00C24477">
      <w:pPr>
        <w:rPr>
          <w:i/>
          <w:u w:val="single"/>
        </w:rPr>
      </w:pPr>
      <w:r w:rsidRPr="004570F2">
        <w:rPr>
          <w:i/>
          <w:u w:val="single"/>
        </w:rPr>
        <w:t>Key assumptions</w:t>
      </w:r>
    </w:p>
    <w:p w14:paraId="3D87B097" w14:textId="404FBDD9" w:rsidR="001A6DCD" w:rsidRPr="0094640F" w:rsidRDefault="45125095" w:rsidP="00987661">
      <w:pPr>
        <w:pStyle w:val="ListParagraph"/>
        <w:numPr>
          <w:ilvl w:val="0"/>
          <w:numId w:val="507"/>
        </w:numPr>
        <w:spacing w:before="240"/>
        <w:rPr>
          <w:b/>
          <w:bCs/>
          <w:caps/>
        </w:rPr>
      </w:pPr>
      <w:r>
        <w:t>B</w:t>
      </w:r>
      <w:r w:rsidR="74ABEFBE">
        <w:t>iosimilar entry remains legally constrained by the expiry of the last applicable protection instrument. Although the revised pharmaceutical legislation is expected to enter into force from mid-2028 at the earliest, no systematic acceleration or delay of entry is assumed within the baseline, given long development timelines.</w:t>
      </w:r>
    </w:p>
    <w:p w14:paraId="198E6D78" w14:textId="7B4DC63F" w:rsidR="001A6DCD" w:rsidRPr="0094640F" w:rsidRDefault="74ABEFBE" w:rsidP="00987661">
      <w:pPr>
        <w:pStyle w:val="ListParagraph"/>
        <w:numPr>
          <w:ilvl w:val="0"/>
          <w:numId w:val="507"/>
        </w:numPr>
        <w:spacing w:before="240"/>
        <w:rPr>
          <w:b/>
          <w:bCs/>
          <w:caps/>
        </w:rPr>
      </w:pPr>
      <w:r>
        <w:t>Following expiry, biosimilar authorisations occur shortly thereafter, subject to standard regulatory procedures and Member State–level market access processes.</w:t>
      </w:r>
    </w:p>
    <w:p w14:paraId="34E838F8" w14:textId="080A5B8E" w:rsidR="001A6DCD" w:rsidRPr="00ED304C" w:rsidRDefault="001A6DCD" w:rsidP="00987661">
      <w:pPr>
        <w:pStyle w:val="ListParagraph"/>
        <w:numPr>
          <w:ilvl w:val="0"/>
          <w:numId w:val="507"/>
        </w:numPr>
      </w:pPr>
      <w:r w:rsidRPr="0094640F">
        <w:rPr>
          <w:bCs/>
        </w:rPr>
        <w:t>Post-entry price erosion remains broadly consistent with historical EU patterns and continues to vary by product class, with faster erosion for small molecules and more heterogeneous outcomes for biologics and complex therapies</w:t>
      </w:r>
      <w:r w:rsidRPr="0094640F">
        <w:rPr>
          <w:b/>
          <w:bCs/>
          <w:caps/>
        </w:rPr>
        <w:t>.</w:t>
      </w:r>
    </w:p>
    <w:p w14:paraId="3FA2E8C4" w14:textId="78B0C17C" w:rsidR="00C24477" w:rsidRPr="00ED304C" w:rsidRDefault="00C24477" w:rsidP="00D60FAE">
      <w:pPr>
        <w:rPr>
          <w:b/>
          <w:bCs/>
        </w:rPr>
      </w:pPr>
      <w:r w:rsidRPr="00ED304C">
        <w:rPr>
          <w:b/>
          <w:bCs/>
        </w:rPr>
        <w:t>Innovation and research</w:t>
      </w:r>
    </w:p>
    <w:p w14:paraId="5D3B4BAE" w14:textId="1C390E6F" w:rsidR="001A6DCD" w:rsidRPr="00987661" w:rsidRDefault="001A6DCD" w:rsidP="00D60FAE">
      <w:pPr>
        <w:rPr>
          <w:i/>
          <w:u w:val="single"/>
        </w:rPr>
      </w:pPr>
      <w:r w:rsidRPr="00987661">
        <w:rPr>
          <w:i/>
          <w:u w:val="single"/>
        </w:rPr>
        <w:t>Key assumptions:</w:t>
      </w:r>
    </w:p>
    <w:p w14:paraId="65A22B1A" w14:textId="77777777" w:rsidR="001A6DCD" w:rsidRPr="0094640F" w:rsidRDefault="001A6DCD" w:rsidP="00987661">
      <w:pPr>
        <w:pStyle w:val="ListParagraph"/>
        <w:numPr>
          <w:ilvl w:val="0"/>
          <w:numId w:val="508"/>
        </w:numPr>
        <w:spacing w:before="240"/>
        <w:rPr>
          <w:b/>
          <w:bCs/>
          <w:caps/>
        </w:rPr>
      </w:pPr>
      <w:r w:rsidRPr="0094640F">
        <w:rPr>
          <w:bCs/>
        </w:rPr>
        <w:t>Patent data as innovation proxy: patent-family counts are used as an indicator of innovation output, reflecting firms’ expectations about the commercial value and appropriability of biotech inventions.</w:t>
      </w:r>
    </w:p>
    <w:p w14:paraId="195C7E35" w14:textId="77777777" w:rsidR="001A6DCD" w:rsidRPr="0094640F" w:rsidRDefault="001A6DCD" w:rsidP="00987661">
      <w:pPr>
        <w:pStyle w:val="ListParagraph"/>
        <w:numPr>
          <w:ilvl w:val="0"/>
          <w:numId w:val="508"/>
        </w:numPr>
        <w:spacing w:after="270" w:line="270" w:lineRule="atLeast"/>
        <w:rPr>
          <w:b/>
          <w:bCs/>
          <w:caps/>
        </w:rPr>
      </w:pPr>
      <w:r w:rsidRPr="0094640F">
        <w:rPr>
          <w:bCs/>
        </w:rPr>
        <w:t>Geographic anchoring: the earliest filing jurisdiction is used as a proxy for early protection and location preferences, recognising that it does not necessarily reflect the physical location of R&amp;D or later commercialisation.</w:t>
      </w:r>
    </w:p>
    <w:p w14:paraId="0C62711A" w14:textId="77777777" w:rsidR="001A6DCD" w:rsidRPr="0094640F" w:rsidRDefault="001A6DCD" w:rsidP="00987661">
      <w:pPr>
        <w:pStyle w:val="ListParagraph"/>
        <w:numPr>
          <w:ilvl w:val="0"/>
          <w:numId w:val="508"/>
        </w:numPr>
        <w:spacing w:after="270" w:line="270" w:lineRule="atLeast"/>
        <w:rPr>
          <w:b/>
          <w:bCs/>
          <w:caps/>
        </w:rPr>
      </w:pPr>
      <w:r w:rsidRPr="0094640F">
        <w:rPr>
          <w:bCs/>
        </w:rPr>
        <w:t>Multi-jurisdiction filings: simultaneous filings are analysed separately, distinguishing between filings that include and exclude the EU, to capture the EU’s relative prioritisation in global protection strategies.</w:t>
      </w:r>
    </w:p>
    <w:p w14:paraId="3D801FF8" w14:textId="3799AE9D" w:rsidR="001A6DCD" w:rsidRPr="00987661" w:rsidRDefault="001A6DCD" w:rsidP="00987661">
      <w:pPr>
        <w:pStyle w:val="ListParagraph"/>
        <w:numPr>
          <w:ilvl w:val="0"/>
          <w:numId w:val="508"/>
        </w:numPr>
      </w:pPr>
      <w:r w:rsidRPr="0094640F">
        <w:rPr>
          <w:bCs/>
        </w:rPr>
        <w:t>Cross-country comparability: patent volumes are interpreted cautiously, as filing behaviour is influenced by national policy and institutional factors; high patent counts do not translate one-to-one into globally oriented innovation.</w:t>
      </w:r>
    </w:p>
    <w:p w14:paraId="4B269160" w14:textId="77777777" w:rsidR="00C24477" w:rsidRPr="00ED304C" w:rsidRDefault="00C24477" w:rsidP="00C24477">
      <w:pPr>
        <w:rPr>
          <w:b/>
          <w:bCs/>
        </w:rPr>
      </w:pPr>
      <w:r w:rsidRPr="00ED304C">
        <w:rPr>
          <w:b/>
          <w:bCs/>
        </w:rPr>
        <w:t>Competitiveness, trade and investment flows</w:t>
      </w:r>
    </w:p>
    <w:p w14:paraId="60D45ACE" w14:textId="6B92697A" w:rsidR="001A6DCD" w:rsidRPr="00987661" w:rsidRDefault="001A6DCD" w:rsidP="00C24477">
      <w:pPr>
        <w:rPr>
          <w:i/>
          <w:u w:val="single"/>
        </w:rPr>
      </w:pPr>
      <w:r w:rsidRPr="00987661">
        <w:rPr>
          <w:i/>
          <w:u w:val="single"/>
        </w:rPr>
        <w:t>Key assumptions</w:t>
      </w:r>
    </w:p>
    <w:p w14:paraId="6AF170BF" w14:textId="77777777" w:rsidR="001A6DCD" w:rsidRPr="0094640F" w:rsidRDefault="001A6DCD" w:rsidP="00987661">
      <w:pPr>
        <w:pStyle w:val="ListParagraph"/>
        <w:numPr>
          <w:ilvl w:val="0"/>
          <w:numId w:val="509"/>
        </w:numPr>
        <w:spacing w:before="240"/>
        <w:rPr>
          <w:b/>
          <w:bCs/>
          <w:caps/>
        </w:rPr>
      </w:pPr>
      <w:r w:rsidRPr="0094640F">
        <w:rPr>
          <w:bCs/>
        </w:rPr>
        <w:lastRenderedPageBreak/>
        <w:t>Business as usual behaviour: Absent policy change, firms’ decisions on the location of clinical development and manufacturing activities continue to reflect expected lifecycle revenues under protection, alongside market size, access conditions, regulatory predictability and operational considerations.</w:t>
      </w:r>
    </w:p>
    <w:p w14:paraId="4B7F439A" w14:textId="77777777" w:rsidR="001A6DCD" w:rsidRPr="0094640F" w:rsidRDefault="001A6DCD" w:rsidP="00987661">
      <w:pPr>
        <w:pStyle w:val="ListParagraph"/>
        <w:numPr>
          <w:ilvl w:val="0"/>
          <w:numId w:val="509"/>
        </w:numPr>
        <w:spacing w:before="240"/>
        <w:rPr>
          <w:b/>
          <w:bCs/>
          <w:caps/>
        </w:rPr>
      </w:pPr>
      <w:r w:rsidRPr="0094640F">
        <w:rPr>
          <w:bCs/>
        </w:rPr>
        <w:t>Gradual evolution of EU activity: The presence and geographical distribution of EU-based clinical trials and manufacturing activity are assumed to evolve gradually over time, reflecting changes in technology and industrial conditions.</w:t>
      </w:r>
    </w:p>
    <w:p w14:paraId="22A34518" w14:textId="77777777" w:rsidR="00C24477" w:rsidRPr="00ED304C" w:rsidRDefault="00C24477" w:rsidP="00D60FAE">
      <w:pPr>
        <w:rPr>
          <w:b/>
          <w:bCs/>
        </w:rPr>
      </w:pPr>
      <w:r w:rsidRPr="00ED304C">
        <w:rPr>
          <w:b/>
          <w:bCs/>
        </w:rPr>
        <w:t>Administrative costs on businesses, including SMEs</w:t>
      </w:r>
    </w:p>
    <w:p w14:paraId="2B78644A" w14:textId="624E1784" w:rsidR="001A6DCD" w:rsidRPr="00987661" w:rsidRDefault="001A6DCD" w:rsidP="00D60FAE">
      <w:pPr>
        <w:rPr>
          <w:i/>
          <w:u w:val="single"/>
        </w:rPr>
      </w:pPr>
      <w:r w:rsidRPr="00987661">
        <w:rPr>
          <w:i/>
          <w:u w:val="single"/>
        </w:rPr>
        <w:t>Key assumptions:</w:t>
      </w:r>
    </w:p>
    <w:p w14:paraId="225E5DE3" w14:textId="77777777" w:rsidR="001A6DCD" w:rsidRPr="0094640F" w:rsidRDefault="001A6DCD" w:rsidP="00987661">
      <w:pPr>
        <w:pStyle w:val="ListParagraph"/>
        <w:numPr>
          <w:ilvl w:val="0"/>
          <w:numId w:val="508"/>
        </w:numPr>
        <w:spacing w:after="270" w:line="270" w:lineRule="atLeast"/>
        <w:rPr>
          <w:bCs/>
        </w:rPr>
      </w:pPr>
      <w:r w:rsidRPr="0094640F">
        <w:rPr>
          <w:bCs/>
        </w:rPr>
        <w:t>Under the baseline, administrative costs for businesses remain broadly stable over time, reflecting existing SPC procedures and routine IP management practices. No additional costs arise in the absence of an SPC extension.</w:t>
      </w:r>
    </w:p>
    <w:p w14:paraId="19448AC2" w14:textId="77777777" w:rsidR="001A6DCD" w:rsidRPr="0094640F" w:rsidRDefault="001A6DCD" w:rsidP="00987661">
      <w:pPr>
        <w:pStyle w:val="ListParagraph"/>
        <w:numPr>
          <w:ilvl w:val="0"/>
          <w:numId w:val="508"/>
        </w:numPr>
        <w:spacing w:after="270" w:line="270" w:lineRule="atLeast"/>
        <w:rPr>
          <w:bCs/>
        </w:rPr>
      </w:pPr>
      <w:r w:rsidRPr="0094640F">
        <w:rPr>
          <w:bCs/>
        </w:rPr>
        <w:t>Firms continue to apply for SPC only where commercially justified, with no change in the frequency or scope of applications attributable to policy developments.</w:t>
      </w:r>
    </w:p>
    <w:p w14:paraId="67CF2181" w14:textId="758BFE47" w:rsidR="001A6DCD" w:rsidRPr="00987661" w:rsidRDefault="001A6DCD" w:rsidP="00987661">
      <w:pPr>
        <w:pStyle w:val="ListParagraph"/>
        <w:numPr>
          <w:ilvl w:val="0"/>
          <w:numId w:val="508"/>
        </w:numPr>
        <w:spacing w:after="270" w:line="270" w:lineRule="atLeast"/>
      </w:pPr>
      <w:r w:rsidRPr="0094640F">
        <w:rPr>
          <w:bCs/>
        </w:rPr>
        <w:t>Biotech SMEs continue to rely heavily on external legal and regulatory advisors due to limited in-house capacity, as under current practice.</w:t>
      </w:r>
    </w:p>
    <w:p w14:paraId="37997E5E" w14:textId="0A9D5AE3" w:rsidR="00C24477" w:rsidRPr="00ED304C" w:rsidRDefault="00C24477" w:rsidP="00D60FAE">
      <w:pPr>
        <w:rPr>
          <w:b/>
          <w:bCs/>
        </w:rPr>
      </w:pPr>
      <w:r w:rsidRPr="00ED304C">
        <w:rPr>
          <w:b/>
          <w:bCs/>
        </w:rPr>
        <w:t>Public authorities</w:t>
      </w:r>
    </w:p>
    <w:p w14:paraId="7442B7B4" w14:textId="68D18FC5" w:rsidR="001A6DCD" w:rsidRPr="00987661" w:rsidRDefault="001A6DCD" w:rsidP="00D60FAE">
      <w:pPr>
        <w:rPr>
          <w:i/>
          <w:u w:val="single"/>
        </w:rPr>
      </w:pPr>
      <w:r w:rsidRPr="00987661">
        <w:rPr>
          <w:i/>
          <w:u w:val="single"/>
        </w:rPr>
        <w:t>Key assumptions:</w:t>
      </w:r>
    </w:p>
    <w:p w14:paraId="521EC7F1" w14:textId="77777777" w:rsidR="001A6DCD" w:rsidRPr="00987661" w:rsidRDefault="001A6DCD" w:rsidP="00987661">
      <w:pPr>
        <w:pStyle w:val="ListParagraph"/>
        <w:numPr>
          <w:ilvl w:val="0"/>
          <w:numId w:val="508"/>
        </w:numPr>
        <w:spacing w:after="270" w:line="270" w:lineRule="atLeast"/>
      </w:pPr>
      <w:r w:rsidRPr="0094640F">
        <w:rPr>
          <w:bCs/>
        </w:rPr>
        <w:t>National authorities continue to process SPC applications under existing procedures, with assessment workload driven by case complexity rather than an increase in application volumes.</w:t>
      </w:r>
    </w:p>
    <w:p w14:paraId="01E93881" w14:textId="77777777" w:rsidR="001A6DCD" w:rsidRPr="0094640F" w:rsidRDefault="001A6DCD" w:rsidP="00987661">
      <w:pPr>
        <w:pStyle w:val="ListParagraph"/>
        <w:numPr>
          <w:ilvl w:val="0"/>
          <w:numId w:val="508"/>
        </w:numPr>
        <w:spacing w:after="270" w:line="270" w:lineRule="atLeast"/>
        <w:rPr>
          <w:bCs/>
        </w:rPr>
      </w:pPr>
      <w:r w:rsidRPr="0094640F">
        <w:rPr>
          <w:bCs/>
        </w:rPr>
        <w:t>Coordination between patent offices, medicines regulators and other bodies remain a structural feature of the SPC system, reflecting fragmented institutional responsibilities rather than inefficiencies.</w:t>
      </w:r>
    </w:p>
    <w:p w14:paraId="6B295912" w14:textId="77777777" w:rsidR="001A6DCD" w:rsidRPr="00987661" w:rsidRDefault="001A6DCD" w:rsidP="00987661">
      <w:pPr>
        <w:pStyle w:val="ListParagraph"/>
        <w:numPr>
          <w:ilvl w:val="0"/>
          <w:numId w:val="508"/>
        </w:numPr>
        <w:spacing w:after="270" w:line="270" w:lineRule="atLeast"/>
      </w:pPr>
      <w:r w:rsidRPr="0094640F">
        <w:rPr>
          <w:bCs/>
        </w:rPr>
        <w:t>Administrative and legal costs borne by public authorities under the SPC system remain broadly in line with historical patterns, with year-to-year variation driven by individual cases.</w:t>
      </w:r>
    </w:p>
    <w:p w14:paraId="792492C8" w14:textId="33D3C8F5" w:rsidR="001A6DCD" w:rsidRPr="00987661" w:rsidRDefault="001A6DCD" w:rsidP="00987661">
      <w:pPr>
        <w:pStyle w:val="ListParagraph"/>
        <w:numPr>
          <w:ilvl w:val="0"/>
          <w:numId w:val="508"/>
        </w:numPr>
        <w:spacing w:after="270" w:line="270" w:lineRule="atLeast"/>
      </w:pPr>
      <w:r w:rsidRPr="0094640F">
        <w:rPr>
          <w:bCs/>
        </w:rPr>
        <w:t xml:space="preserve">The baseline assumes no impact from the proposed unitary SPC system, which remains under discussion and is not affected by the proposed SPC extension under the </w:t>
      </w:r>
      <w:r w:rsidR="00EB60CC" w:rsidRPr="0023666B">
        <w:t xml:space="preserve">European </w:t>
      </w:r>
      <w:r w:rsidRPr="0094640F">
        <w:rPr>
          <w:bCs/>
        </w:rPr>
        <w:t>Biotech Act; national SPC procedures therefore continue to apply unchanged.</w:t>
      </w:r>
    </w:p>
    <w:p w14:paraId="4714DEC6" w14:textId="77777777" w:rsidR="00C24477" w:rsidRPr="00ED304C" w:rsidRDefault="00C24477" w:rsidP="00D60FAE">
      <w:pPr>
        <w:rPr>
          <w:b/>
          <w:bCs/>
        </w:rPr>
      </w:pPr>
      <w:r w:rsidRPr="00ED304C">
        <w:rPr>
          <w:b/>
          <w:bCs/>
        </w:rPr>
        <w:t xml:space="preserve">Public health </w:t>
      </w:r>
    </w:p>
    <w:p w14:paraId="037AB31B" w14:textId="6D88658A" w:rsidR="00D84BA7" w:rsidRPr="00987661" w:rsidRDefault="00D84BA7" w:rsidP="00D60FAE">
      <w:pPr>
        <w:rPr>
          <w:i/>
          <w:u w:val="single"/>
        </w:rPr>
      </w:pPr>
      <w:r w:rsidRPr="00987661">
        <w:rPr>
          <w:i/>
          <w:u w:val="single"/>
        </w:rPr>
        <w:t>Key assumptions:</w:t>
      </w:r>
    </w:p>
    <w:p w14:paraId="0CCA195B" w14:textId="3F4F5291" w:rsidR="00D84BA7" w:rsidRPr="00987661" w:rsidRDefault="01DF737B" w:rsidP="043522AD">
      <w:pPr>
        <w:pStyle w:val="ListParagraph"/>
        <w:numPr>
          <w:ilvl w:val="0"/>
          <w:numId w:val="512"/>
        </w:numPr>
      </w:pPr>
      <w:r w:rsidRPr="00987661">
        <w:t>A</w:t>
      </w:r>
      <w:r w:rsidR="236893A2">
        <w:t>ffordability outcomes are assumed to change primarily in response to the expiry of effective regulatory protection and the ensuing entry of biosim</w:t>
      </w:r>
      <w:r w:rsidR="008154F3">
        <w:t>i</w:t>
      </w:r>
      <w:r w:rsidR="236893A2">
        <w:t xml:space="preserve">lar competition. </w:t>
      </w:r>
    </w:p>
    <w:p w14:paraId="6655495B" w14:textId="020173F4" w:rsidR="00D84BA7" w:rsidRPr="00987661" w:rsidRDefault="00D84BA7" w:rsidP="00987661">
      <w:pPr>
        <w:pStyle w:val="ListParagraph"/>
        <w:numPr>
          <w:ilvl w:val="0"/>
          <w:numId w:val="512"/>
        </w:numPr>
      </w:pPr>
      <w:r w:rsidRPr="0094640F">
        <w:rPr>
          <w:bCs/>
        </w:rPr>
        <w:t>Other determinants, including demand trends, prescribing behaviour and regulatory requirements, are assumed to evolve gradually and therefore do not generate discrete affordability effects over the period considered.</w:t>
      </w:r>
    </w:p>
    <w:p w14:paraId="279B8A5B" w14:textId="1CB3A7CB" w:rsidR="00C24477" w:rsidRPr="00ED304C" w:rsidRDefault="00C24477" w:rsidP="00D60FAE">
      <w:pPr>
        <w:pStyle w:val="Heading2"/>
      </w:pPr>
      <w:bookmarkStart w:id="376" w:name="_Toc225969835"/>
      <w:bookmarkStart w:id="377" w:name="_Toc225979167"/>
      <w:r w:rsidRPr="00ED304C">
        <w:lastRenderedPageBreak/>
        <w:t>Additional information on measures and expected impacts</w:t>
      </w:r>
      <w:bookmarkEnd w:id="376"/>
      <w:bookmarkEnd w:id="377"/>
    </w:p>
    <w:p w14:paraId="15178679" w14:textId="66A14DDF" w:rsidR="00C24477" w:rsidRPr="004570F2" w:rsidRDefault="00C24477" w:rsidP="00C24477">
      <w:r w:rsidRPr="00ED304C">
        <w:t xml:space="preserve">The proposed measure introduces a 12-month extension of SPC protection for a limited subset of biotechnology-derived medicinal products and advanced therapy medicinal products that meet specific eligibility criteria. </w:t>
      </w:r>
      <w:r w:rsidRPr="004570F2">
        <w:t xml:space="preserve">Eligible medicinal products will have to contain a new active substance which is effective via a mechanism of action distinctly different to that of any other product already authorised in the </w:t>
      </w:r>
      <w:r w:rsidRPr="00987661">
        <w:rPr>
          <w:rFonts w:eastAsia="Times New Roman"/>
          <w:noProof/>
        </w:rPr>
        <w:t>E</w:t>
      </w:r>
      <w:r w:rsidR="001D0314">
        <w:rPr>
          <w:rFonts w:eastAsia="Times New Roman"/>
          <w:noProof/>
        </w:rPr>
        <w:t>U</w:t>
      </w:r>
      <w:r w:rsidRPr="004570F2">
        <w:t xml:space="preserve"> for prevention or treatment the same disease. The clinical trials supporting their marketing authorisation will need to have been conducted in more than two Member States and at least one manufacturing step, excluding packaging, quality and testing certification, will need to be performed in the Union.</w:t>
      </w:r>
    </w:p>
    <w:p w14:paraId="428E9963" w14:textId="77777777" w:rsidR="00C24477" w:rsidRPr="00ED304C" w:rsidRDefault="00C24477" w:rsidP="00C24477">
      <w:pPr>
        <w:rPr>
          <w:b/>
          <w:bCs/>
        </w:rPr>
      </w:pPr>
      <w:r w:rsidRPr="00ED304C">
        <w:rPr>
          <w:b/>
          <w:bCs/>
        </w:rPr>
        <w:t xml:space="preserve">Conduct of business, functioning of the internal market and competition </w:t>
      </w:r>
    </w:p>
    <w:p w14:paraId="739F451A" w14:textId="553558C0" w:rsidR="00C24477" w:rsidRPr="00ED304C" w:rsidRDefault="46BFB45D" w:rsidP="00C24477">
      <w:r>
        <w:t>The proposed 12-month SPC extension is expected to entail limited short-term affordability and access pressures by delaying the entry of  biosimilar competitors relative to the baseline. For biotechnology-derived medicines, biosimilar entry does not typically result in sharp reductions in average treatment prices; consequently, the difference in average prices between the extension scenario and the baseline is expected to be modest. Instead, the main effect of the extension relative to the baseline is the temporary postponement of additional product entry, implying fewer available treatment options and delayed expansion of supply for patients during the extension period.</w:t>
      </w:r>
    </w:p>
    <w:p w14:paraId="2C52762D" w14:textId="339B3DF5" w:rsidR="00484762" w:rsidRPr="00ED304C" w:rsidRDefault="00C24477" w:rsidP="3512B3AF">
      <w:pPr>
        <w:spacing w:after="160" w:line="259" w:lineRule="auto"/>
        <w:rPr>
          <w:szCs w:val="20"/>
        </w:rPr>
      </w:pPr>
      <w:r w:rsidRPr="3AE0F5B8">
        <w:t xml:space="preserve">By postponing competitive entry, the extension maintains higher average prices for an additional year and delays the expansion of supply associated with follow-on products. Our model estimate that </w:t>
      </w:r>
      <w:r w:rsidR="007007B4">
        <w:t xml:space="preserve">an </w:t>
      </w:r>
      <w:r w:rsidRPr="3AE0F5B8">
        <w:t>additional year of protection results in an additional direct cost to public payers of approximately EUR 70 million per product in the central case, corresponding to approximately EUR 210 million annually at aggregate level based on an average of three qualifying medicines per year</w:t>
      </w:r>
      <w:r w:rsidR="009B35F5">
        <w:t>.</w:t>
      </w:r>
      <w:r w:rsidR="005866B4" w:rsidRPr="00ED304C">
        <w:rPr>
          <w:szCs w:val="20"/>
        </w:rPr>
        <w:t xml:space="preserve"> </w:t>
      </w:r>
      <w:r w:rsidR="00CA29C1">
        <w:t xml:space="preserve">The aggregated </w:t>
      </w:r>
      <w:r w:rsidR="00596044">
        <w:t xml:space="preserve">cost </w:t>
      </w:r>
      <w:r w:rsidR="0047273C">
        <w:t>in our model</w:t>
      </w:r>
      <w:r w:rsidR="00596044">
        <w:t xml:space="preserve"> </w:t>
      </w:r>
      <w:r w:rsidR="00960B03">
        <w:t xml:space="preserve">provides an approximation of the </w:t>
      </w:r>
      <w:r w:rsidR="0076653D">
        <w:t xml:space="preserve">average </w:t>
      </w:r>
      <w:r w:rsidR="00B242AD">
        <w:t xml:space="preserve">annual EU wide </w:t>
      </w:r>
      <w:r w:rsidR="00542341">
        <w:t>impact on pa</w:t>
      </w:r>
      <w:r w:rsidR="00CC0710">
        <w:t>yers</w:t>
      </w:r>
      <w:r w:rsidR="00096DF6">
        <w:t xml:space="preserve"> </w:t>
      </w:r>
      <w:r w:rsidR="00936B46">
        <w:t xml:space="preserve">based on list prices </w:t>
      </w:r>
      <w:r w:rsidR="00F763C1">
        <w:t>from</w:t>
      </w:r>
      <w:r w:rsidR="00FB0543">
        <w:t xml:space="preserve"> </w:t>
      </w:r>
      <w:r w:rsidR="00193499">
        <w:t xml:space="preserve">the </w:t>
      </w:r>
      <w:r w:rsidR="00FB0543">
        <w:t>IQVIA MIDAS</w:t>
      </w:r>
      <w:r w:rsidR="009B35F5">
        <w:rPr>
          <w:rStyle w:val="FootnoteReference"/>
          <w:szCs w:val="20"/>
        </w:rPr>
        <w:footnoteReference w:id="322"/>
      </w:r>
      <w:r w:rsidR="005866B4">
        <w:t xml:space="preserve"> </w:t>
      </w:r>
      <w:r w:rsidR="005866B4" w:rsidRPr="3AE0F5B8">
        <w:t xml:space="preserve">(see table </w:t>
      </w:r>
      <w:r w:rsidR="006009B0">
        <w:t>1</w:t>
      </w:r>
      <w:r w:rsidR="006C10EA">
        <w:t>8</w:t>
      </w:r>
      <w:r w:rsidR="005866B4" w:rsidRPr="00ED304C">
        <w:rPr>
          <w:szCs w:val="20"/>
        </w:rPr>
        <w:t>)</w:t>
      </w:r>
      <w:r w:rsidRPr="00ED304C">
        <w:rPr>
          <w:szCs w:val="20"/>
        </w:rPr>
        <w:t xml:space="preserve">. </w:t>
      </w:r>
    </w:p>
    <w:p w14:paraId="4548AB21" w14:textId="007C8926" w:rsidR="00FD578D" w:rsidRPr="00D60FAE" w:rsidRDefault="00FD578D" w:rsidP="00FD578D">
      <w:pPr>
        <w:spacing w:after="0"/>
        <w:rPr>
          <w:b/>
          <w:bCs/>
        </w:rPr>
      </w:pPr>
      <w:r w:rsidRPr="00D60FAE">
        <w:rPr>
          <w:b/>
          <w:bCs/>
        </w:rPr>
        <w:t xml:space="preserve">Table </w:t>
      </w:r>
      <w:r w:rsidR="006009B0">
        <w:rPr>
          <w:b/>
          <w:bCs/>
        </w:rPr>
        <w:t>1</w:t>
      </w:r>
      <w:r w:rsidR="00EF070B">
        <w:rPr>
          <w:b/>
          <w:bCs/>
        </w:rPr>
        <w:t>8</w:t>
      </w:r>
      <w:r w:rsidR="00106AA9">
        <w:rPr>
          <w:b/>
          <w:bCs/>
        </w:rPr>
        <w:t>.</w:t>
      </w:r>
      <w:r w:rsidRPr="00D60FAE">
        <w:rPr>
          <w:b/>
          <w:bCs/>
        </w:rPr>
        <w:t xml:space="preserve"> Impact of change of +1 SPC extension for biotechnology medicines</w:t>
      </w:r>
    </w:p>
    <w:tbl>
      <w:tblPr>
        <w:tblStyle w:val="TableGrid"/>
        <w:tblpPr w:leftFromText="180" w:rightFromText="180" w:vertAnchor="text" w:horzAnchor="margin" w:tblpY="185"/>
        <w:tblW w:w="8455" w:type="dxa"/>
        <w:tblLook w:val="04A0" w:firstRow="1" w:lastRow="0" w:firstColumn="1" w:lastColumn="0" w:noHBand="0" w:noVBand="1"/>
      </w:tblPr>
      <w:tblGrid>
        <w:gridCol w:w="3969"/>
        <w:gridCol w:w="2127"/>
        <w:gridCol w:w="2359"/>
      </w:tblGrid>
      <w:tr w:rsidR="00FD578D" w:rsidRPr="00943367" w14:paraId="476928C8" w14:textId="77777777" w:rsidTr="004570F2">
        <w:trPr>
          <w:trHeight w:val="290"/>
        </w:trPr>
        <w:tc>
          <w:tcPr>
            <w:tcW w:w="3969" w:type="dxa"/>
            <w:noWrap/>
            <w:hideMark/>
          </w:tcPr>
          <w:p w14:paraId="0FD9DBB2" w14:textId="57E2800A" w:rsidR="00FD578D" w:rsidRPr="004570F2" w:rsidRDefault="00FD578D">
            <w:pPr>
              <w:spacing w:after="0"/>
              <w:rPr>
                <w:lang w:val="en-IE"/>
              </w:rPr>
            </w:pPr>
            <w:r w:rsidRPr="004570F2">
              <w:rPr>
                <w:lang w:val="en-IE"/>
              </w:rPr>
              <w:t xml:space="preserve">1 year increase in </w:t>
            </w:r>
            <w:r w:rsidR="00EC3A7C" w:rsidRPr="004570F2">
              <w:rPr>
                <w:lang w:val="en-IE"/>
              </w:rPr>
              <w:t>SPC</w:t>
            </w:r>
          </w:p>
        </w:tc>
        <w:tc>
          <w:tcPr>
            <w:tcW w:w="2127" w:type="dxa"/>
            <w:noWrap/>
            <w:hideMark/>
          </w:tcPr>
          <w:p w14:paraId="33CDF2D0" w14:textId="77777777" w:rsidR="00FD578D" w:rsidRPr="004570F2" w:rsidRDefault="00FD578D">
            <w:pPr>
              <w:spacing w:after="0"/>
              <w:rPr>
                <w:lang w:val="en-IE"/>
              </w:rPr>
            </w:pPr>
            <w:r w:rsidRPr="004570F2">
              <w:rPr>
                <w:lang w:val="en-IE"/>
              </w:rPr>
              <w:t xml:space="preserve">Per med </w:t>
            </w:r>
          </w:p>
        </w:tc>
        <w:tc>
          <w:tcPr>
            <w:tcW w:w="2359" w:type="dxa"/>
          </w:tcPr>
          <w:p w14:paraId="7EE8E369" w14:textId="77777777" w:rsidR="00FD578D" w:rsidRPr="004570F2" w:rsidRDefault="00FD578D">
            <w:pPr>
              <w:spacing w:after="0"/>
              <w:rPr>
                <w:lang w:val="en-IE"/>
              </w:rPr>
            </w:pPr>
            <w:r w:rsidRPr="004570F2">
              <w:rPr>
                <w:lang w:val="en-IE"/>
              </w:rPr>
              <w:t>Annual (3 meds)</w:t>
            </w:r>
          </w:p>
        </w:tc>
      </w:tr>
      <w:tr w:rsidR="00FD578D" w:rsidRPr="00943367" w14:paraId="10820ABD" w14:textId="77777777" w:rsidTr="004570F2">
        <w:trPr>
          <w:trHeight w:val="290"/>
        </w:trPr>
        <w:tc>
          <w:tcPr>
            <w:tcW w:w="3969" w:type="dxa"/>
            <w:noWrap/>
            <w:hideMark/>
          </w:tcPr>
          <w:p w14:paraId="284E6164" w14:textId="77777777" w:rsidR="00FD578D" w:rsidRPr="00D60FAE" w:rsidRDefault="00FD578D">
            <w:pPr>
              <w:spacing w:after="0"/>
              <w:rPr>
                <w:b/>
                <w:lang w:val="en-IE" w:eastAsia="en-IE"/>
              </w:rPr>
            </w:pPr>
            <w:r w:rsidRPr="00D60FAE">
              <w:rPr>
                <w:b/>
                <w:lang w:val="en-IE" w:eastAsia="en-IE"/>
              </w:rPr>
              <w:t>Originator gross profit</w:t>
            </w:r>
          </w:p>
        </w:tc>
        <w:tc>
          <w:tcPr>
            <w:tcW w:w="2127" w:type="dxa"/>
            <w:noWrap/>
            <w:hideMark/>
          </w:tcPr>
          <w:p w14:paraId="61FAFFE9" w14:textId="64B5111E" w:rsidR="00FD578D" w:rsidRPr="00D60FAE" w:rsidRDefault="00113ED0">
            <w:pPr>
              <w:spacing w:after="0"/>
              <w:jc w:val="right"/>
              <w:rPr>
                <w:b/>
                <w:color w:val="00B050"/>
                <w:lang w:val="en-IE" w:eastAsia="en-IE"/>
              </w:rPr>
            </w:pPr>
            <w:r>
              <w:rPr>
                <w:b/>
                <w:color w:val="00B050"/>
              </w:rPr>
              <w:t xml:space="preserve">230 </w:t>
            </w:r>
            <w:r w:rsidR="006010DE">
              <w:rPr>
                <w:b/>
                <w:color w:val="00B050"/>
              </w:rPr>
              <w:t>m</w:t>
            </w:r>
          </w:p>
        </w:tc>
        <w:tc>
          <w:tcPr>
            <w:tcW w:w="2359" w:type="dxa"/>
          </w:tcPr>
          <w:p w14:paraId="75386B87" w14:textId="4ED268E9" w:rsidR="00FD578D" w:rsidRPr="00D60FAE" w:rsidRDefault="00FD578D">
            <w:pPr>
              <w:spacing w:after="0"/>
              <w:jc w:val="right"/>
              <w:rPr>
                <w:b/>
                <w:color w:val="00B050"/>
              </w:rPr>
            </w:pPr>
            <w:r w:rsidRPr="00D60FAE">
              <w:rPr>
                <w:b/>
                <w:color w:val="00B050"/>
              </w:rPr>
              <w:t>690</w:t>
            </w:r>
            <w:r w:rsidR="006010DE">
              <w:rPr>
                <w:b/>
                <w:color w:val="00B050"/>
              </w:rPr>
              <w:t xml:space="preserve"> m</w:t>
            </w:r>
          </w:p>
        </w:tc>
      </w:tr>
      <w:tr w:rsidR="00FD578D" w:rsidRPr="00943367" w14:paraId="666CEFD2" w14:textId="77777777" w:rsidTr="004570F2">
        <w:trPr>
          <w:trHeight w:val="290"/>
        </w:trPr>
        <w:tc>
          <w:tcPr>
            <w:tcW w:w="3969" w:type="dxa"/>
            <w:noWrap/>
            <w:hideMark/>
          </w:tcPr>
          <w:p w14:paraId="67E2AF54" w14:textId="44A62363" w:rsidR="00FD578D" w:rsidRPr="00D60FAE" w:rsidRDefault="4C9115AF">
            <w:pPr>
              <w:spacing w:after="0"/>
              <w:rPr>
                <w:lang w:val="en-IE" w:eastAsia="en-IE"/>
              </w:rPr>
            </w:pPr>
            <w:r w:rsidRPr="043522AD">
              <w:rPr>
                <w:lang w:val="en-IE" w:eastAsia="en-IE"/>
              </w:rPr>
              <w:t xml:space="preserve">Biosimilar </w:t>
            </w:r>
            <w:r w:rsidR="697DE224" w:rsidRPr="043522AD">
              <w:rPr>
                <w:lang w:val="en-IE" w:eastAsia="en-IE"/>
              </w:rPr>
              <w:t>gross profit</w:t>
            </w:r>
          </w:p>
        </w:tc>
        <w:tc>
          <w:tcPr>
            <w:tcW w:w="2127" w:type="dxa"/>
            <w:noWrap/>
            <w:hideMark/>
          </w:tcPr>
          <w:p w14:paraId="7E6D0BF8" w14:textId="64C10064" w:rsidR="00FD578D" w:rsidRPr="00D60FAE" w:rsidRDefault="00FD578D">
            <w:pPr>
              <w:spacing w:after="0"/>
              <w:jc w:val="right"/>
              <w:rPr>
                <w:color w:val="FF0000"/>
                <w:lang w:val="en-IE" w:eastAsia="en-IE"/>
              </w:rPr>
            </w:pPr>
            <w:r w:rsidRPr="00D60FAE">
              <w:rPr>
                <w:color w:val="FF0000"/>
              </w:rPr>
              <w:t>-80</w:t>
            </w:r>
            <w:r w:rsidR="006010DE">
              <w:rPr>
                <w:color w:val="FF0000"/>
              </w:rPr>
              <w:t xml:space="preserve"> m</w:t>
            </w:r>
          </w:p>
        </w:tc>
        <w:tc>
          <w:tcPr>
            <w:tcW w:w="2359" w:type="dxa"/>
          </w:tcPr>
          <w:p w14:paraId="38711CDC" w14:textId="7C2E57D1" w:rsidR="00FD578D" w:rsidRPr="00D60FAE" w:rsidRDefault="00FD578D">
            <w:pPr>
              <w:spacing w:after="0"/>
              <w:jc w:val="right"/>
              <w:rPr>
                <w:color w:val="FF0000"/>
              </w:rPr>
            </w:pPr>
            <w:r w:rsidRPr="00D60FAE">
              <w:rPr>
                <w:color w:val="FF0000"/>
              </w:rPr>
              <w:t>-240</w:t>
            </w:r>
            <w:r w:rsidR="006010DE">
              <w:rPr>
                <w:color w:val="FF0000"/>
              </w:rPr>
              <w:t xml:space="preserve"> m</w:t>
            </w:r>
          </w:p>
        </w:tc>
      </w:tr>
      <w:tr w:rsidR="00FD578D" w:rsidRPr="00943367" w14:paraId="2A6F5523" w14:textId="77777777" w:rsidTr="004570F2">
        <w:trPr>
          <w:trHeight w:val="290"/>
        </w:trPr>
        <w:tc>
          <w:tcPr>
            <w:tcW w:w="3969" w:type="dxa"/>
            <w:noWrap/>
            <w:hideMark/>
          </w:tcPr>
          <w:p w14:paraId="7C394B90" w14:textId="77777777" w:rsidR="00FD578D" w:rsidRPr="00D60FAE" w:rsidRDefault="00FD578D">
            <w:pPr>
              <w:spacing w:after="0"/>
              <w:rPr>
                <w:lang w:val="en-IE" w:eastAsia="en-IE"/>
              </w:rPr>
            </w:pPr>
            <w:r w:rsidRPr="00D60FAE">
              <w:rPr>
                <w:lang w:val="en-IE" w:eastAsia="en-IE"/>
              </w:rPr>
              <w:t>Cost to public payer</w:t>
            </w:r>
          </w:p>
        </w:tc>
        <w:tc>
          <w:tcPr>
            <w:tcW w:w="2127" w:type="dxa"/>
            <w:noWrap/>
            <w:hideMark/>
          </w:tcPr>
          <w:p w14:paraId="3D14D251" w14:textId="2ECD7DAC" w:rsidR="00FD578D" w:rsidRPr="00D60FAE" w:rsidRDefault="00FD578D">
            <w:pPr>
              <w:spacing w:after="0"/>
              <w:jc w:val="right"/>
              <w:rPr>
                <w:color w:val="FF0000"/>
                <w:lang w:val="en-IE" w:eastAsia="en-IE"/>
              </w:rPr>
            </w:pPr>
            <w:r w:rsidRPr="00D60FAE">
              <w:rPr>
                <w:color w:val="FF0000"/>
              </w:rPr>
              <w:t>70</w:t>
            </w:r>
            <w:r w:rsidR="006010DE">
              <w:rPr>
                <w:color w:val="FF0000"/>
              </w:rPr>
              <w:t xml:space="preserve"> m</w:t>
            </w:r>
          </w:p>
        </w:tc>
        <w:tc>
          <w:tcPr>
            <w:tcW w:w="2359" w:type="dxa"/>
          </w:tcPr>
          <w:p w14:paraId="62D542C4" w14:textId="2E597849" w:rsidR="00FD578D" w:rsidRPr="00D60FAE" w:rsidRDefault="00FD578D">
            <w:pPr>
              <w:spacing w:after="0"/>
              <w:jc w:val="right"/>
              <w:rPr>
                <w:color w:val="FF0000"/>
              </w:rPr>
            </w:pPr>
            <w:r w:rsidRPr="00D60FAE">
              <w:rPr>
                <w:color w:val="FF0000"/>
              </w:rPr>
              <w:t>210</w:t>
            </w:r>
            <w:r w:rsidR="006010DE">
              <w:rPr>
                <w:color w:val="FF0000"/>
              </w:rPr>
              <w:t xml:space="preserve"> m</w:t>
            </w:r>
          </w:p>
        </w:tc>
      </w:tr>
      <w:tr w:rsidR="00FD578D" w:rsidRPr="00943367" w14:paraId="39653092" w14:textId="77777777" w:rsidTr="004570F2">
        <w:trPr>
          <w:trHeight w:val="290"/>
        </w:trPr>
        <w:tc>
          <w:tcPr>
            <w:tcW w:w="3969" w:type="dxa"/>
            <w:noWrap/>
            <w:hideMark/>
          </w:tcPr>
          <w:p w14:paraId="0C21E3D4" w14:textId="77777777" w:rsidR="00FD578D" w:rsidRPr="00D60FAE" w:rsidRDefault="00FD578D">
            <w:pPr>
              <w:spacing w:after="0"/>
              <w:rPr>
                <w:lang w:val="en-IE" w:eastAsia="en-IE"/>
              </w:rPr>
            </w:pPr>
            <w:r w:rsidRPr="00D60FAE">
              <w:rPr>
                <w:lang w:val="en-IE" w:eastAsia="en-IE"/>
              </w:rPr>
              <w:t>Patients monetised gains/losses</w:t>
            </w:r>
          </w:p>
        </w:tc>
        <w:tc>
          <w:tcPr>
            <w:tcW w:w="2127" w:type="dxa"/>
            <w:noWrap/>
            <w:hideMark/>
          </w:tcPr>
          <w:p w14:paraId="0B2DF3C4" w14:textId="6B64C81D" w:rsidR="00FD578D" w:rsidRPr="00D60FAE" w:rsidRDefault="00FD578D">
            <w:pPr>
              <w:spacing w:after="0"/>
              <w:jc w:val="right"/>
              <w:rPr>
                <w:color w:val="FF0000"/>
                <w:lang w:val="en-IE" w:eastAsia="en-IE"/>
              </w:rPr>
            </w:pPr>
            <w:r w:rsidRPr="00D60FAE">
              <w:rPr>
                <w:color w:val="FF0000"/>
              </w:rPr>
              <w:t>135</w:t>
            </w:r>
            <w:r w:rsidR="006010DE">
              <w:rPr>
                <w:color w:val="FF0000"/>
              </w:rPr>
              <w:t xml:space="preserve"> m</w:t>
            </w:r>
          </w:p>
        </w:tc>
        <w:tc>
          <w:tcPr>
            <w:tcW w:w="2359" w:type="dxa"/>
          </w:tcPr>
          <w:p w14:paraId="7CED5F12" w14:textId="7239701F" w:rsidR="00FD578D" w:rsidRPr="00D60FAE" w:rsidRDefault="00FD578D">
            <w:pPr>
              <w:spacing w:after="0"/>
              <w:jc w:val="right"/>
              <w:rPr>
                <w:color w:val="FF0000"/>
              </w:rPr>
            </w:pPr>
            <w:r w:rsidRPr="00D60FAE">
              <w:rPr>
                <w:color w:val="FF0000"/>
              </w:rPr>
              <w:t>405</w:t>
            </w:r>
            <w:r w:rsidR="006010DE">
              <w:rPr>
                <w:color w:val="FF0000"/>
              </w:rPr>
              <w:t xml:space="preserve"> m</w:t>
            </w:r>
          </w:p>
        </w:tc>
      </w:tr>
      <w:tr w:rsidR="00FD578D" w:rsidRPr="00943367" w14:paraId="5898F480" w14:textId="77777777" w:rsidTr="004570F2">
        <w:trPr>
          <w:trHeight w:val="290"/>
        </w:trPr>
        <w:tc>
          <w:tcPr>
            <w:tcW w:w="3969" w:type="dxa"/>
            <w:noWrap/>
            <w:hideMark/>
          </w:tcPr>
          <w:p w14:paraId="7A0534C4" w14:textId="77777777" w:rsidR="00FD578D" w:rsidRPr="00D60FAE" w:rsidRDefault="00FD578D">
            <w:pPr>
              <w:spacing w:after="0"/>
              <w:rPr>
                <w:b/>
                <w:lang w:val="en-IE" w:eastAsia="en-IE"/>
              </w:rPr>
            </w:pPr>
            <w:r w:rsidRPr="00D60FAE">
              <w:rPr>
                <w:b/>
                <w:lang w:val="en-IE" w:eastAsia="en-IE"/>
              </w:rPr>
              <w:t>Patients + payer monetised gain/loss</w:t>
            </w:r>
          </w:p>
        </w:tc>
        <w:tc>
          <w:tcPr>
            <w:tcW w:w="2127" w:type="dxa"/>
            <w:noWrap/>
            <w:hideMark/>
          </w:tcPr>
          <w:p w14:paraId="34C63A57" w14:textId="75AB2044" w:rsidR="00FD578D" w:rsidRPr="00D60FAE" w:rsidRDefault="00FD578D">
            <w:pPr>
              <w:spacing w:after="0"/>
              <w:jc w:val="right"/>
              <w:rPr>
                <w:b/>
                <w:color w:val="FF0000"/>
                <w:lang w:val="en-IE" w:eastAsia="en-IE"/>
              </w:rPr>
            </w:pPr>
            <w:r w:rsidRPr="00D60FAE">
              <w:rPr>
                <w:b/>
                <w:color w:val="FF0000"/>
              </w:rPr>
              <w:t>205</w:t>
            </w:r>
            <w:r w:rsidR="006010DE">
              <w:rPr>
                <w:b/>
                <w:color w:val="FF0000"/>
              </w:rPr>
              <w:t xml:space="preserve"> m</w:t>
            </w:r>
          </w:p>
        </w:tc>
        <w:tc>
          <w:tcPr>
            <w:tcW w:w="2359" w:type="dxa"/>
          </w:tcPr>
          <w:p w14:paraId="33B8EE41" w14:textId="32958D05" w:rsidR="00FD578D" w:rsidRPr="00D60FAE" w:rsidRDefault="00FD578D">
            <w:pPr>
              <w:spacing w:after="0"/>
              <w:jc w:val="right"/>
              <w:rPr>
                <w:b/>
                <w:color w:val="FF0000"/>
                <w:lang w:val="en-IE" w:eastAsia="en-IE"/>
              </w:rPr>
            </w:pPr>
            <w:r w:rsidRPr="00336851">
              <w:rPr>
                <w:rStyle w:val="Strong"/>
                <w:color w:val="FF0000"/>
              </w:rPr>
              <w:t>6</w:t>
            </w:r>
            <w:r>
              <w:rPr>
                <w:rStyle w:val="Strong"/>
                <w:color w:val="FF0000"/>
              </w:rPr>
              <w:t>15</w:t>
            </w:r>
            <w:r w:rsidR="006010DE">
              <w:rPr>
                <w:rStyle w:val="Strong"/>
                <w:color w:val="FF0000"/>
              </w:rPr>
              <w:t xml:space="preserve"> m</w:t>
            </w:r>
          </w:p>
        </w:tc>
      </w:tr>
    </w:tbl>
    <w:p w14:paraId="7EE8B7E0" w14:textId="34A869BA" w:rsidR="00FD578D" w:rsidRPr="00D60FAE" w:rsidRDefault="00F5FDBA" w:rsidP="00FD578D">
      <w:pPr>
        <w:rPr>
          <w:i/>
          <w:iCs/>
          <w:sz w:val="20"/>
          <w:szCs w:val="16"/>
        </w:rPr>
      </w:pPr>
      <w:r w:rsidRPr="4EC480EB">
        <w:rPr>
          <w:b/>
          <w:bCs/>
          <w:i/>
          <w:iCs/>
          <w:sz w:val="20"/>
          <w:szCs w:val="20"/>
        </w:rPr>
        <w:t>Source</w:t>
      </w:r>
      <w:r w:rsidRPr="4EC480EB">
        <w:rPr>
          <w:i/>
          <w:iCs/>
          <w:sz w:val="20"/>
          <w:szCs w:val="20"/>
        </w:rPr>
        <w:t xml:space="preserve">: Author </w:t>
      </w:r>
      <w:r w:rsidR="60B34F65" w:rsidRPr="4EC480EB">
        <w:rPr>
          <w:i/>
          <w:iCs/>
          <w:sz w:val="20"/>
          <w:szCs w:val="20"/>
        </w:rPr>
        <w:t>analysis</w:t>
      </w:r>
      <w:r w:rsidR="4A982D76" w:rsidRPr="4EC480EB">
        <w:rPr>
          <w:i/>
          <w:iCs/>
          <w:sz w:val="20"/>
          <w:szCs w:val="20"/>
        </w:rPr>
        <w:t xml:space="preserve"> </w:t>
      </w:r>
      <w:r w:rsidRPr="4EC480EB">
        <w:rPr>
          <w:i/>
          <w:iCs/>
          <w:sz w:val="20"/>
          <w:szCs w:val="20"/>
        </w:rPr>
        <w:t>based on IQVIA MIDAS data</w:t>
      </w:r>
      <w:r w:rsidR="00FD578D" w:rsidRPr="4EC480EB">
        <w:rPr>
          <w:rStyle w:val="FootnoteReference"/>
          <w:i/>
          <w:iCs/>
          <w:sz w:val="20"/>
          <w:szCs w:val="20"/>
        </w:rPr>
        <w:footnoteReference w:id="323"/>
      </w:r>
    </w:p>
    <w:p w14:paraId="4762C3D7" w14:textId="79C578CB" w:rsidR="009A2C23" w:rsidRDefault="77E53746" w:rsidP="3512B3AF">
      <w:pPr>
        <w:spacing w:after="160" w:line="259" w:lineRule="auto"/>
      </w:pPr>
      <w:r w:rsidRPr="61FCB7C3">
        <w:lastRenderedPageBreak/>
        <w:t>Sensitivity analysis, applying stricter sample filters and modified parameters</w:t>
      </w:r>
      <w:r w:rsidR="009A2C23" w:rsidRPr="3512B3AF">
        <w:rPr>
          <w:rStyle w:val="FootnoteReference"/>
        </w:rPr>
        <w:footnoteReference w:id="324"/>
      </w:r>
      <w:r w:rsidR="3E3298D2">
        <w:t xml:space="preserve">, yields a range of EUR </w:t>
      </w:r>
      <w:r w:rsidR="5FD2A75C">
        <w:t>5</w:t>
      </w:r>
      <w:r w:rsidR="3E3298D2">
        <w:t xml:space="preserve"> million to EUR 8</w:t>
      </w:r>
      <w:r w:rsidR="5FD2A75C">
        <w:t>0</w:t>
      </w:r>
      <w:r w:rsidR="3E3298D2">
        <w:t xml:space="preserve"> million per medicine</w:t>
      </w:r>
      <w:r w:rsidR="586E1522">
        <w:t xml:space="preserve"> (see table </w:t>
      </w:r>
      <w:r w:rsidR="006C10EA">
        <w:t>19</w:t>
      </w:r>
      <w:r w:rsidR="586E1522">
        <w:t>)</w:t>
      </w:r>
      <w:r w:rsidR="3E3298D2">
        <w:t>. The relatively contained magnitude of the payer cost impact reflects the shallow post-expiry revenue decline characteristic of SPC-reliant biologicals: unlike the sharp price erosion observed for small-molecule medicines upon generic entry, biosimilar competition produces more gradual and moderate price reductions, limiting the price differential between the extension scenario and the baseline.</w:t>
      </w:r>
    </w:p>
    <w:p w14:paraId="1B81B9F0" w14:textId="6B09DD4A" w:rsidR="00EC3A7C" w:rsidRPr="00D60FAE" w:rsidRDefault="00612DC7" w:rsidP="004570F2">
      <w:pPr>
        <w:rPr>
          <w:b/>
          <w:bCs/>
        </w:rPr>
      </w:pPr>
      <w:r w:rsidRPr="00987661">
        <w:rPr>
          <w:b/>
        </w:rPr>
        <w:t xml:space="preserve">Table </w:t>
      </w:r>
      <w:r w:rsidR="00EF070B">
        <w:rPr>
          <w:b/>
        </w:rPr>
        <w:t>19</w:t>
      </w:r>
      <w:r w:rsidR="006009B0">
        <w:rPr>
          <w:b/>
          <w:bCs/>
        </w:rPr>
        <w:t>.</w:t>
      </w:r>
      <w:r w:rsidRPr="00987661">
        <w:rPr>
          <w:b/>
        </w:rPr>
        <w:t xml:space="preserve"> </w:t>
      </w:r>
      <w:r w:rsidR="00106AA9" w:rsidRPr="00987661">
        <w:rPr>
          <w:b/>
        </w:rPr>
        <w:t>S</w:t>
      </w:r>
      <w:r w:rsidRPr="00987661">
        <w:rPr>
          <w:b/>
        </w:rPr>
        <w:t xml:space="preserve">ensitivity analysis </w:t>
      </w:r>
      <w:r w:rsidR="00EC3A7C" w:rsidRPr="00987661">
        <w:rPr>
          <w:b/>
        </w:rPr>
        <w:t>on impact of change of +1 SPC extension for biotechnology medicines</w:t>
      </w:r>
    </w:p>
    <w:tbl>
      <w:tblPr>
        <w:tblStyle w:val="TableGrid"/>
        <w:tblW w:w="8635" w:type="dxa"/>
        <w:tblLook w:val="04A0" w:firstRow="1" w:lastRow="0" w:firstColumn="1" w:lastColumn="0" w:noHBand="0" w:noVBand="1"/>
      </w:tblPr>
      <w:tblGrid>
        <w:gridCol w:w="4287"/>
        <w:gridCol w:w="2008"/>
        <w:gridCol w:w="2340"/>
      </w:tblGrid>
      <w:tr w:rsidR="003E15E4" w:rsidRPr="00DD4265" w14:paraId="73D8F408" w14:textId="77777777" w:rsidTr="004570F2">
        <w:trPr>
          <w:trHeight w:val="290"/>
        </w:trPr>
        <w:tc>
          <w:tcPr>
            <w:tcW w:w="4287" w:type="dxa"/>
            <w:noWrap/>
            <w:hideMark/>
          </w:tcPr>
          <w:p w14:paraId="5A682529" w14:textId="77777777" w:rsidR="003E15E4" w:rsidRPr="004570F2" w:rsidRDefault="003E15E4">
            <w:pPr>
              <w:spacing w:after="0"/>
              <w:rPr>
                <w:lang w:val="en-IE"/>
              </w:rPr>
            </w:pPr>
            <w:r w:rsidRPr="004570F2">
              <w:rPr>
                <w:lang w:val="en-IE"/>
              </w:rPr>
              <w:t>1 year increase in SPC</w:t>
            </w:r>
          </w:p>
        </w:tc>
        <w:tc>
          <w:tcPr>
            <w:tcW w:w="2008" w:type="dxa"/>
            <w:noWrap/>
            <w:hideMark/>
          </w:tcPr>
          <w:p w14:paraId="686678F3" w14:textId="77777777" w:rsidR="003E15E4" w:rsidRPr="004570F2" w:rsidRDefault="003E15E4">
            <w:pPr>
              <w:spacing w:after="0"/>
              <w:rPr>
                <w:lang w:val="en-IE"/>
              </w:rPr>
            </w:pPr>
            <w:r w:rsidRPr="004570F2">
              <w:rPr>
                <w:lang w:val="en-IE"/>
              </w:rPr>
              <w:t>Min per medicine</w:t>
            </w:r>
          </w:p>
        </w:tc>
        <w:tc>
          <w:tcPr>
            <w:tcW w:w="2340" w:type="dxa"/>
          </w:tcPr>
          <w:p w14:paraId="3E3AE110" w14:textId="77777777" w:rsidR="003E15E4" w:rsidRPr="004570F2" w:rsidRDefault="003E15E4">
            <w:pPr>
              <w:spacing w:after="0"/>
              <w:rPr>
                <w:lang w:val="en-IE"/>
              </w:rPr>
            </w:pPr>
            <w:r w:rsidRPr="004570F2">
              <w:rPr>
                <w:lang w:val="en-IE"/>
              </w:rPr>
              <w:t>Max per medicine</w:t>
            </w:r>
          </w:p>
        </w:tc>
      </w:tr>
      <w:tr w:rsidR="003E15E4" w:rsidRPr="00DD4265" w14:paraId="06876E7F" w14:textId="77777777" w:rsidTr="004570F2">
        <w:trPr>
          <w:trHeight w:val="290"/>
        </w:trPr>
        <w:tc>
          <w:tcPr>
            <w:tcW w:w="4287" w:type="dxa"/>
            <w:noWrap/>
            <w:hideMark/>
          </w:tcPr>
          <w:p w14:paraId="6516D336" w14:textId="77777777" w:rsidR="003E15E4" w:rsidRPr="00D60FAE" w:rsidRDefault="003E15E4">
            <w:pPr>
              <w:spacing w:after="0"/>
              <w:rPr>
                <w:lang w:val="en-IE" w:eastAsia="en-IE"/>
              </w:rPr>
            </w:pPr>
            <w:r w:rsidRPr="00D60FAE">
              <w:rPr>
                <w:lang w:val="en-IE" w:eastAsia="en-IE"/>
              </w:rPr>
              <w:t>Originator gross profit</w:t>
            </w:r>
          </w:p>
        </w:tc>
        <w:tc>
          <w:tcPr>
            <w:tcW w:w="2008" w:type="dxa"/>
            <w:noWrap/>
          </w:tcPr>
          <w:p w14:paraId="37B1A5A5" w14:textId="1EC18420" w:rsidR="003E15E4" w:rsidRPr="00D60FAE" w:rsidRDefault="003E15E4">
            <w:pPr>
              <w:spacing w:after="0"/>
              <w:jc w:val="right"/>
              <w:rPr>
                <w:color w:val="00B050"/>
                <w:lang w:val="en-IE" w:eastAsia="en-IE"/>
              </w:rPr>
            </w:pPr>
            <w:r w:rsidRPr="00D60FAE">
              <w:rPr>
                <w:color w:val="00B050"/>
              </w:rPr>
              <w:t>140</w:t>
            </w:r>
            <w:r w:rsidR="00860A61">
              <w:rPr>
                <w:color w:val="00B050"/>
              </w:rPr>
              <w:t xml:space="preserve"> m</w:t>
            </w:r>
          </w:p>
        </w:tc>
        <w:tc>
          <w:tcPr>
            <w:tcW w:w="2340" w:type="dxa"/>
          </w:tcPr>
          <w:p w14:paraId="352C7B6A" w14:textId="19D5BE40" w:rsidR="003E15E4" w:rsidRPr="00D60FAE" w:rsidRDefault="003E15E4">
            <w:pPr>
              <w:spacing w:after="0"/>
              <w:jc w:val="right"/>
              <w:rPr>
                <w:color w:val="00B050"/>
                <w:lang w:val="en-IE" w:eastAsia="en-IE"/>
              </w:rPr>
            </w:pPr>
            <w:r w:rsidRPr="00D60FAE">
              <w:rPr>
                <w:color w:val="00B050"/>
              </w:rPr>
              <w:t>290</w:t>
            </w:r>
            <w:r w:rsidR="00860A61">
              <w:rPr>
                <w:color w:val="00B050"/>
              </w:rPr>
              <w:t xml:space="preserve"> m</w:t>
            </w:r>
          </w:p>
        </w:tc>
      </w:tr>
      <w:tr w:rsidR="003E15E4" w:rsidRPr="00DD4265" w14:paraId="771716DA" w14:textId="77777777" w:rsidTr="004570F2">
        <w:trPr>
          <w:trHeight w:val="290"/>
        </w:trPr>
        <w:tc>
          <w:tcPr>
            <w:tcW w:w="4287" w:type="dxa"/>
            <w:noWrap/>
            <w:hideMark/>
          </w:tcPr>
          <w:p w14:paraId="14A6C193" w14:textId="747B5285" w:rsidR="003E15E4" w:rsidRPr="00D60FAE" w:rsidRDefault="4E502B8F">
            <w:pPr>
              <w:spacing w:after="0"/>
              <w:rPr>
                <w:lang w:val="en-IE" w:eastAsia="en-IE"/>
              </w:rPr>
            </w:pPr>
            <w:r w:rsidRPr="043522AD">
              <w:rPr>
                <w:lang w:val="en-IE" w:eastAsia="en-IE"/>
              </w:rPr>
              <w:t>Biosimilar</w:t>
            </w:r>
            <w:r w:rsidR="12F18C43" w:rsidRPr="043522AD">
              <w:rPr>
                <w:lang w:val="en-IE" w:eastAsia="en-IE"/>
              </w:rPr>
              <w:t xml:space="preserve"> gross profit</w:t>
            </w:r>
          </w:p>
        </w:tc>
        <w:tc>
          <w:tcPr>
            <w:tcW w:w="2008" w:type="dxa"/>
            <w:noWrap/>
          </w:tcPr>
          <w:p w14:paraId="5C5CEA29" w14:textId="0C22E1AB" w:rsidR="003E15E4" w:rsidRPr="00D60FAE" w:rsidRDefault="003E15E4">
            <w:pPr>
              <w:spacing w:after="0"/>
              <w:jc w:val="right"/>
              <w:rPr>
                <w:color w:val="FF0000"/>
                <w:lang w:val="en-IE" w:eastAsia="en-IE"/>
              </w:rPr>
            </w:pPr>
            <w:r w:rsidRPr="00D60FAE">
              <w:rPr>
                <w:color w:val="FF0000"/>
              </w:rPr>
              <w:t>-60</w:t>
            </w:r>
            <w:r w:rsidR="00860A61">
              <w:rPr>
                <w:color w:val="FF0000"/>
              </w:rPr>
              <w:t xml:space="preserve"> m</w:t>
            </w:r>
          </w:p>
        </w:tc>
        <w:tc>
          <w:tcPr>
            <w:tcW w:w="2340" w:type="dxa"/>
          </w:tcPr>
          <w:p w14:paraId="739004DA" w14:textId="18CEA753" w:rsidR="003E15E4" w:rsidRPr="00D60FAE" w:rsidRDefault="003E15E4">
            <w:pPr>
              <w:spacing w:after="0"/>
              <w:jc w:val="right"/>
              <w:rPr>
                <w:color w:val="FF0000"/>
                <w:lang w:val="en-IE" w:eastAsia="en-IE"/>
              </w:rPr>
            </w:pPr>
            <w:r w:rsidRPr="00D60FAE">
              <w:rPr>
                <w:color w:val="FF0000"/>
              </w:rPr>
              <w:t>-110</w:t>
            </w:r>
            <w:r w:rsidR="00860A61">
              <w:rPr>
                <w:color w:val="FF0000"/>
              </w:rPr>
              <w:t xml:space="preserve"> m</w:t>
            </w:r>
          </w:p>
        </w:tc>
      </w:tr>
      <w:tr w:rsidR="003E15E4" w:rsidRPr="00DD4265" w14:paraId="5589CD00" w14:textId="77777777" w:rsidTr="004570F2">
        <w:trPr>
          <w:trHeight w:val="290"/>
        </w:trPr>
        <w:tc>
          <w:tcPr>
            <w:tcW w:w="4287" w:type="dxa"/>
            <w:noWrap/>
            <w:hideMark/>
          </w:tcPr>
          <w:p w14:paraId="4BD4AC8B" w14:textId="77777777" w:rsidR="003E15E4" w:rsidRPr="00D60FAE" w:rsidRDefault="003E15E4">
            <w:pPr>
              <w:spacing w:after="0"/>
              <w:rPr>
                <w:lang w:val="en-IE" w:eastAsia="en-IE"/>
              </w:rPr>
            </w:pPr>
            <w:r w:rsidRPr="00D60FAE">
              <w:rPr>
                <w:lang w:val="en-IE" w:eastAsia="en-IE"/>
              </w:rPr>
              <w:t>Cost to public payer</w:t>
            </w:r>
          </w:p>
        </w:tc>
        <w:tc>
          <w:tcPr>
            <w:tcW w:w="2008" w:type="dxa"/>
            <w:noWrap/>
          </w:tcPr>
          <w:p w14:paraId="38EC3A5F" w14:textId="50ECC338" w:rsidR="003E15E4" w:rsidRPr="00D60FAE" w:rsidRDefault="003E15E4">
            <w:pPr>
              <w:spacing w:after="0"/>
              <w:jc w:val="right"/>
              <w:rPr>
                <w:color w:val="FF0000"/>
                <w:lang w:val="en-IE" w:eastAsia="en-IE"/>
              </w:rPr>
            </w:pPr>
            <w:r w:rsidRPr="00D60FAE">
              <w:rPr>
                <w:color w:val="FF0000"/>
              </w:rPr>
              <w:t>5</w:t>
            </w:r>
            <w:r w:rsidR="00860A61">
              <w:rPr>
                <w:color w:val="FF0000"/>
              </w:rPr>
              <w:t xml:space="preserve"> m</w:t>
            </w:r>
          </w:p>
        </w:tc>
        <w:tc>
          <w:tcPr>
            <w:tcW w:w="2340" w:type="dxa"/>
          </w:tcPr>
          <w:p w14:paraId="59881B3D" w14:textId="533B65B4" w:rsidR="003E15E4" w:rsidRPr="00D60FAE" w:rsidRDefault="003E15E4">
            <w:pPr>
              <w:spacing w:after="0"/>
              <w:jc w:val="right"/>
              <w:rPr>
                <w:color w:val="FF0000"/>
                <w:lang w:val="en-IE" w:eastAsia="en-IE"/>
              </w:rPr>
            </w:pPr>
            <w:r w:rsidRPr="00D60FAE">
              <w:rPr>
                <w:color w:val="FF0000"/>
              </w:rPr>
              <w:t>80</w:t>
            </w:r>
            <w:r w:rsidR="00860A61">
              <w:rPr>
                <w:color w:val="FF0000"/>
              </w:rPr>
              <w:t xml:space="preserve"> m</w:t>
            </w:r>
          </w:p>
        </w:tc>
      </w:tr>
      <w:tr w:rsidR="003E15E4" w:rsidRPr="00DD4265" w14:paraId="074FABB4" w14:textId="77777777" w:rsidTr="004570F2">
        <w:trPr>
          <w:trHeight w:val="290"/>
        </w:trPr>
        <w:tc>
          <w:tcPr>
            <w:tcW w:w="4287" w:type="dxa"/>
            <w:noWrap/>
            <w:hideMark/>
          </w:tcPr>
          <w:p w14:paraId="228A4AAD" w14:textId="77777777" w:rsidR="003E15E4" w:rsidRPr="00D60FAE" w:rsidRDefault="003E15E4">
            <w:pPr>
              <w:spacing w:after="0"/>
              <w:rPr>
                <w:lang w:val="en-IE" w:eastAsia="en-IE"/>
              </w:rPr>
            </w:pPr>
            <w:r w:rsidRPr="00D60FAE">
              <w:rPr>
                <w:lang w:val="en-IE" w:eastAsia="en-IE"/>
              </w:rPr>
              <w:t>Patients monetised gains/losses</w:t>
            </w:r>
          </w:p>
        </w:tc>
        <w:tc>
          <w:tcPr>
            <w:tcW w:w="2008" w:type="dxa"/>
            <w:noWrap/>
          </w:tcPr>
          <w:p w14:paraId="2E5F81E0" w14:textId="6AD199BE" w:rsidR="003E15E4" w:rsidRPr="00D60FAE" w:rsidRDefault="003E15E4">
            <w:pPr>
              <w:spacing w:after="0"/>
              <w:jc w:val="right"/>
              <w:rPr>
                <w:color w:val="FF0000"/>
                <w:lang w:val="en-IE" w:eastAsia="en-IE"/>
              </w:rPr>
            </w:pPr>
            <w:r w:rsidRPr="00D60FAE">
              <w:rPr>
                <w:color w:val="FF0000"/>
              </w:rPr>
              <w:t>135</w:t>
            </w:r>
            <w:r w:rsidR="00860A61">
              <w:rPr>
                <w:color w:val="FF0000"/>
              </w:rPr>
              <w:t xml:space="preserve"> m</w:t>
            </w:r>
          </w:p>
        </w:tc>
        <w:tc>
          <w:tcPr>
            <w:tcW w:w="2340" w:type="dxa"/>
          </w:tcPr>
          <w:p w14:paraId="21063C9A" w14:textId="6FC50098" w:rsidR="003E15E4" w:rsidRPr="00D60FAE" w:rsidRDefault="003E15E4">
            <w:pPr>
              <w:spacing w:after="0"/>
              <w:jc w:val="right"/>
              <w:rPr>
                <w:color w:val="FF0000"/>
                <w:lang w:val="en-IE" w:eastAsia="en-IE"/>
              </w:rPr>
            </w:pPr>
            <w:r w:rsidRPr="00D60FAE">
              <w:rPr>
                <w:color w:val="FF0000"/>
              </w:rPr>
              <w:t>180</w:t>
            </w:r>
            <w:r w:rsidR="00860A61">
              <w:rPr>
                <w:color w:val="FF0000"/>
              </w:rPr>
              <w:t xml:space="preserve"> m</w:t>
            </w:r>
          </w:p>
        </w:tc>
      </w:tr>
      <w:tr w:rsidR="003E15E4" w:rsidRPr="00DD4265" w14:paraId="43ACB16D" w14:textId="77777777" w:rsidTr="004570F2">
        <w:trPr>
          <w:trHeight w:val="290"/>
        </w:trPr>
        <w:tc>
          <w:tcPr>
            <w:tcW w:w="4287" w:type="dxa"/>
            <w:noWrap/>
            <w:hideMark/>
          </w:tcPr>
          <w:p w14:paraId="167ABE02" w14:textId="77777777" w:rsidR="003E15E4" w:rsidRPr="00D60FAE" w:rsidRDefault="003E15E4">
            <w:pPr>
              <w:spacing w:after="0"/>
              <w:rPr>
                <w:b/>
                <w:bCs/>
                <w:lang w:val="en-IE" w:eastAsia="en-IE"/>
              </w:rPr>
            </w:pPr>
            <w:r w:rsidRPr="00D60FAE">
              <w:rPr>
                <w:b/>
                <w:bCs/>
                <w:lang w:val="en-IE" w:eastAsia="en-IE"/>
              </w:rPr>
              <w:t>Patients + payer monetised gain/loss</w:t>
            </w:r>
          </w:p>
        </w:tc>
        <w:tc>
          <w:tcPr>
            <w:tcW w:w="2008" w:type="dxa"/>
            <w:noWrap/>
          </w:tcPr>
          <w:p w14:paraId="7DD80D3E" w14:textId="64B997C8" w:rsidR="003E15E4" w:rsidRPr="00D60FAE" w:rsidRDefault="003E15E4">
            <w:pPr>
              <w:spacing w:after="0"/>
              <w:jc w:val="right"/>
              <w:rPr>
                <w:b/>
                <w:bCs/>
                <w:color w:val="FF0000"/>
                <w:lang w:val="en-IE" w:eastAsia="en-IE"/>
              </w:rPr>
            </w:pPr>
            <w:r w:rsidRPr="00D60FAE">
              <w:rPr>
                <w:color w:val="FF0000"/>
              </w:rPr>
              <w:t>170</w:t>
            </w:r>
            <w:r w:rsidR="00860A61">
              <w:rPr>
                <w:color w:val="FF0000"/>
              </w:rPr>
              <w:t xml:space="preserve"> m</w:t>
            </w:r>
          </w:p>
        </w:tc>
        <w:tc>
          <w:tcPr>
            <w:tcW w:w="2340" w:type="dxa"/>
          </w:tcPr>
          <w:p w14:paraId="6480FE67" w14:textId="78AF736D" w:rsidR="003E15E4" w:rsidRPr="00D60FAE" w:rsidRDefault="003E15E4">
            <w:pPr>
              <w:spacing w:after="0"/>
              <w:jc w:val="right"/>
              <w:rPr>
                <w:b/>
                <w:bCs/>
                <w:color w:val="FF0000"/>
                <w:lang w:val="en-IE" w:eastAsia="en-IE"/>
              </w:rPr>
            </w:pPr>
            <w:r w:rsidRPr="00D60FAE">
              <w:rPr>
                <w:color w:val="FF0000"/>
              </w:rPr>
              <w:t>260</w:t>
            </w:r>
            <w:r w:rsidR="00860A61">
              <w:rPr>
                <w:color w:val="FF0000"/>
              </w:rPr>
              <w:t xml:space="preserve"> m</w:t>
            </w:r>
          </w:p>
        </w:tc>
      </w:tr>
    </w:tbl>
    <w:p w14:paraId="531F6DAD" w14:textId="3A19B539" w:rsidR="003E15E4" w:rsidRPr="00D60FAE" w:rsidRDefault="003E15E4" w:rsidP="003E15E4">
      <w:pPr>
        <w:rPr>
          <w:i/>
          <w:iCs/>
          <w:sz w:val="20"/>
          <w:szCs w:val="20"/>
        </w:rPr>
      </w:pPr>
      <w:r w:rsidRPr="00D60FAE">
        <w:rPr>
          <w:b/>
          <w:bCs/>
          <w:i/>
          <w:iCs/>
          <w:sz w:val="20"/>
          <w:szCs w:val="20"/>
        </w:rPr>
        <w:t>Source</w:t>
      </w:r>
      <w:r w:rsidRPr="00D60FAE">
        <w:rPr>
          <w:i/>
          <w:iCs/>
          <w:sz w:val="20"/>
          <w:szCs w:val="20"/>
        </w:rPr>
        <w:t xml:space="preserve">: </w:t>
      </w:r>
      <w:r w:rsidR="007E1693" w:rsidRPr="00D60FAE">
        <w:rPr>
          <w:i/>
          <w:iCs/>
          <w:sz w:val="20"/>
          <w:szCs w:val="20"/>
        </w:rPr>
        <w:t xml:space="preserve">Author </w:t>
      </w:r>
      <w:r w:rsidR="007E1693">
        <w:rPr>
          <w:i/>
          <w:iCs/>
          <w:sz w:val="20"/>
          <w:szCs w:val="20"/>
        </w:rPr>
        <w:t xml:space="preserve">analysis </w:t>
      </w:r>
      <w:r w:rsidRPr="00D60FAE">
        <w:rPr>
          <w:i/>
          <w:iCs/>
          <w:sz w:val="20"/>
          <w:szCs w:val="20"/>
        </w:rPr>
        <w:t>based on IQVIA MIDAS data. NB. Because the maximum/minimum has been taken for each line, the combined cost will not equal the sum of the two components.</w:t>
      </w:r>
    </w:p>
    <w:p w14:paraId="7055C3AF" w14:textId="3A3442D8" w:rsidR="00A219F7" w:rsidRPr="008C4635" w:rsidRDefault="00056137" w:rsidP="00A219F7">
      <w:pPr>
        <w:rPr>
          <w:b/>
          <w:bCs/>
        </w:rPr>
      </w:pPr>
      <w:r w:rsidRPr="00D60FAE">
        <w:rPr>
          <w:b/>
          <w:bCs/>
        </w:rPr>
        <w:t>Further distributional</w:t>
      </w:r>
      <w:r w:rsidR="00A219F7">
        <w:rPr>
          <w:b/>
          <w:bCs/>
        </w:rPr>
        <w:t xml:space="preserve"> analysis of the SPC cost-benefit results</w:t>
      </w:r>
    </w:p>
    <w:p w14:paraId="2540FAD2" w14:textId="074A1DC2" w:rsidR="00A219F7" w:rsidRDefault="00A219F7">
      <w:r>
        <w:t xml:space="preserve">In this section, we argue that the total of the monetised cost to patients and the additional cost to </w:t>
      </w:r>
      <w:r w:rsidR="006D07D0">
        <w:t>payers</w:t>
      </w:r>
      <w:r>
        <w:t xml:space="preserve"> can be interpreted as an approximation of the transfer of surplus from payers and patients to companies. In our analysis, we calculate the following costs:</w:t>
      </w:r>
    </w:p>
    <w:p w14:paraId="5FB2B8FA" w14:textId="41644AFB" w:rsidR="0093415D" w:rsidRDefault="00305EF6" w:rsidP="00987661">
      <w:pPr>
        <w:rPr>
          <w:b/>
          <w:bCs/>
        </w:rPr>
      </w:pPr>
      <w:r w:rsidRPr="00D60FAE">
        <w:rPr>
          <w:b/>
          <w:bCs/>
        </w:rPr>
        <w:t>Table 2</w:t>
      </w:r>
      <w:r w:rsidR="00EF070B">
        <w:rPr>
          <w:b/>
          <w:bCs/>
        </w:rPr>
        <w:t>0</w:t>
      </w:r>
      <w:r w:rsidR="00106AA9">
        <w:rPr>
          <w:b/>
          <w:bCs/>
        </w:rPr>
        <w:t>.</w:t>
      </w:r>
      <w:r w:rsidR="0073450E" w:rsidRPr="0073450E">
        <w:rPr>
          <w:rFonts w:eastAsia="Times New Roman"/>
          <w:b/>
          <w:bCs/>
          <w:lang w:val="en-IE" w:eastAsia="en-IE"/>
        </w:rPr>
        <w:t xml:space="preserve"> </w:t>
      </w:r>
      <w:r w:rsidR="0073450E" w:rsidRPr="00D60FAE">
        <w:rPr>
          <w:rFonts w:eastAsia="Times New Roman"/>
          <w:b/>
          <w:bCs/>
          <w:lang w:val="en-IE" w:eastAsia="en-IE"/>
        </w:rPr>
        <w:t>Patients + payer monetised loss</w:t>
      </w:r>
      <w:r w:rsidR="0093415D">
        <w:rPr>
          <w:rFonts w:eastAsia="Times New Roman"/>
          <w:b/>
          <w:bCs/>
          <w:lang w:val="en-IE" w:eastAsia="en-IE"/>
        </w:rPr>
        <w:t xml:space="preserve"> </w:t>
      </w:r>
      <w:r w:rsidR="000924E5">
        <w:rPr>
          <w:rFonts w:eastAsia="Times New Roman"/>
          <w:b/>
          <w:bCs/>
          <w:lang w:val="en-IE" w:eastAsia="en-IE"/>
        </w:rPr>
        <w:t>of</w:t>
      </w:r>
      <w:r w:rsidR="0093415D">
        <w:rPr>
          <w:rFonts w:eastAsia="Times New Roman"/>
          <w:b/>
          <w:bCs/>
          <w:lang w:val="en-IE" w:eastAsia="en-IE"/>
        </w:rPr>
        <w:t xml:space="preserve"> </w:t>
      </w:r>
      <w:r w:rsidR="0093415D" w:rsidRPr="00E463B3">
        <w:rPr>
          <w:b/>
          <w:bCs/>
        </w:rPr>
        <w:t>+1 SPC extension for biotechnology medicines</w:t>
      </w:r>
      <w:r w:rsidR="00A731F5">
        <w:rPr>
          <w:b/>
          <w:bCs/>
        </w:rPr>
        <w:t xml:space="preserve"> </w:t>
      </w:r>
    </w:p>
    <w:tbl>
      <w:tblPr>
        <w:tblStyle w:val="TableGrid"/>
        <w:tblW w:w="6555" w:type="dxa"/>
        <w:tblLook w:val="04A0" w:firstRow="1" w:lastRow="0" w:firstColumn="1" w:lastColumn="0" w:noHBand="0" w:noVBand="1"/>
      </w:tblPr>
      <w:tblGrid>
        <w:gridCol w:w="4820"/>
        <w:gridCol w:w="1735"/>
      </w:tblGrid>
      <w:tr w:rsidR="00A219F7" w:rsidRPr="007806D3" w14:paraId="26E616FE" w14:textId="77777777" w:rsidTr="004570F2">
        <w:trPr>
          <w:trHeight w:val="290"/>
        </w:trPr>
        <w:tc>
          <w:tcPr>
            <w:tcW w:w="4820" w:type="dxa"/>
            <w:noWrap/>
            <w:hideMark/>
          </w:tcPr>
          <w:p w14:paraId="48E30C00" w14:textId="77777777" w:rsidR="00A219F7" w:rsidRPr="004570F2" w:rsidRDefault="00A219F7">
            <w:pPr>
              <w:spacing w:after="0"/>
              <w:rPr>
                <w:lang w:val="en-IE"/>
              </w:rPr>
            </w:pPr>
            <w:r w:rsidRPr="004570F2">
              <w:rPr>
                <w:lang w:val="en-IE"/>
              </w:rPr>
              <w:t>SPC+1</w:t>
            </w:r>
          </w:p>
        </w:tc>
        <w:tc>
          <w:tcPr>
            <w:tcW w:w="1735" w:type="dxa"/>
            <w:noWrap/>
            <w:hideMark/>
          </w:tcPr>
          <w:p w14:paraId="4950414E" w14:textId="77777777" w:rsidR="00A219F7" w:rsidRPr="004570F2" w:rsidRDefault="00A219F7">
            <w:pPr>
              <w:spacing w:after="0"/>
              <w:rPr>
                <w:lang w:val="en-IE"/>
              </w:rPr>
            </w:pPr>
            <w:r w:rsidRPr="004570F2">
              <w:rPr>
                <w:lang w:val="en-IE"/>
              </w:rPr>
              <w:t>Per medicine</w:t>
            </w:r>
          </w:p>
        </w:tc>
      </w:tr>
      <w:tr w:rsidR="00A219F7" w:rsidRPr="007806D3" w14:paraId="04FA7BAF" w14:textId="77777777" w:rsidTr="004570F2">
        <w:trPr>
          <w:trHeight w:val="290"/>
        </w:trPr>
        <w:tc>
          <w:tcPr>
            <w:tcW w:w="4820" w:type="dxa"/>
            <w:noWrap/>
            <w:hideMark/>
          </w:tcPr>
          <w:p w14:paraId="640CD6F4" w14:textId="77777777" w:rsidR="00A219F7" w:rsidRPr="00D60FAE" w:rsidRDefault="00A219F7">
            <w:pPr>
              <w:pStyle w:val="ListParagraph"/>
              <w:numPr>
                <w:ilvl w:val="0"/>
                <w:numId w:val="455"/>
              </w:numPr>
              <w:spacing w:after="0"/>
              <w:rPr>
                <w:lang w:val="en-IE" w:eastAsia="en-IE"/>
              </w:rPr>
            </w:pPr>
            <w:r w:rsidRPr="00D60FAE">
              <w:rPr>
                <w:lang w:val="en-IE" w:eastAsia="en-IE"/>
              </w:rPr>
              <w:t>Cost to public payer</w:t>
            </w:r>
          </w:p>
        </w:tc>
        <w:tc>
          <w:tcPr>
            <w:tcW w:w="1735" w:type="dxa"/>
            <w:noWrap/>
            <w:hideMark/>
          </w:tcPr>
          <w:p w14:paraId="5B9F2FD2" w14:textId="631758E0" w:rsidR="00A219F7" w:rsidRPr="00D60FAE" w:rsidRDefault="00A219F7">
            <w:pPr>
              <w:spacing w:after="0"/>
              <w:rPr>
                <w:color w:val="FF0000"/>
                <w:lang w:val="en-IE" w:eastAsia="en-IE"/>
              </w:rPr>
            </w:pPr>
            <w:r w:rsidRPr="00D60FAE">
              <w:rPr>
                <w:color w:val="FF0000"/>
              </w:rPr>
              <w:t>70</w:t>
            </w:r>
            <w:r w:rsidR="00860A61">
              <w:rPr>
                <w:color w:val="FF0000"/>
              </w:rPr>
              <w:t xml:space="preserve"> m</w:t>
            </w:r>
          </w:p>
        </w:tc>
      </w:tr>
      <w:tr w:rsidR="00A219F7" w:rsidRPr="007806D3" w14:paraId="55004A47" w14:textId="77777777" w:rsidTr="004570F2">
        <w:trPr>
          <w:trHeight w:val="290"/>
        </w:trPr>
        <w:tc>
          <w:tcPr>
            <w:tcW w:w="4820" w:type="dxa"/>
            <w:noWrap/>
            <w:hideMark/>
          </w:tcPr>
          <w:p w14:paraId="1867ADBC" w14:textId="77777777" w:rsidR="00A219F7" w:rsidRPr="00D60FAE" w:rsidRDefault="00A219F7">
            <w:pPr>
              <w:pStyle w:val="ListParagraph"/>
              <w:numPr>
                <w:ilvl w:val="0"/>
                <w:numId w:val="455"/>
              </w:numPr>
              <w:spacing w:after="0"/>
              <w:rPr>
                <w:lang w:val="en-IE" w:eastAsia="en-IE"/>
              </w:rPr>
            </w:pPr>
            <w:r w:rsidRPr="00D60FAE">
              <w:rPr>
                <w:lang w:val="en-IE" w:eastAsia="en-IE"/>
              </w:rPr>
              <w:t>Patients monetised gains/losses</w:t>
            </w:r>
          </w:p>
        </w:tc>
        <w:tc>
          <w:tcPr>
            <w:tcW w:w="1735" w:type="dxa"/>
            <w:noWrap/>
            <w:hideMark/>
          </w:tcPr>
          <w:p w14:paraId="5C80D1DF" w14:textId="15A64707" w:rsidR="00A219F7" w:rsidRPr="00D60FAE" w:rsidRDefault="00A219F7">
            <w:pPr>
              <w:spacing w:after="0"/>
              <w:rPr>
                <w:color w:val="FF0000"/>
                <w:lang w:val="en-IE" w:eastAsia="en-IE"/>
              </w:rPr>
            </w:pPr>
            <w:r w:rsidRPr="00D60FAE">
              <w:rPr>
                <w:color w:val="FF0000"/>
              </w:rPr>
              <w:t>135</w:t>
            </w:r>
            <w:r w:rsidR="00860A61">
              <w:rPr>
                <w:color w:val="FF0000"/>
              </w:rPr>
              <w:t xml:space="preserve"> m</w:t>
            </w:r>
          </w:p>
        </w:tc>
      </w:tr>
      <w:tr w:rsidR="00A219F7" w:rsidRPr="007806D3" w14:paraId="27FCA6F6" w14:textId="77777777" w:rsidTr="004570F2">
        <w:trPr>
          <w:trHeight w:val="290"/>
        </w:trPr>
        <w:tc>
          <w:tcPr>
            <w:tcW w:w="4820" w:type="dxa"/>
            <w:noWrap/>
            <w:hideMark/>
          </w:tcPr>
          <w:p w14:paraId="072E5FB6" w14:textId="77777777" w:rsidR="00A219F7" w:rsidRPr="00D60FAE" w:rsidRDefault="00A219F7">
            <w:pPr>
              <w:pStyle w:val="ListParagraph"/>
              <w:numPr>
                <w:ilvl w:val="0"/>
                <w:numId w:val="455"/>
              </w:numPr>
              <w:spacing w:after="0"/>
              <w:rPr>
                <w:b/>
                <w:lang w:val="en-IE" w:eastAsia="en-IE"/>
              </w:rPr>
            </w:pPr>
            <w:r w:rsidRPr="00D60FAE">
              <w:rPr>
                <w:b/>
                <w:lang w:val="en-IE" w:eastAsia="en-IE"/>
              </w:rPr>
              <w:t>Patients + payer monetised gain/loss</w:t>
            </w:r>
          </w:p>
        </w:tc>
        <w:tc>
          <w:tcPr>
            <w:tcW w:w="1735" w:type="dxa"/>
            <w:noWrap/>
            <w:hideMark/>
          </w:tcPr>
          <w:p w14:paraId="191A7B66" w14:textId="354E4770" w:rsidR="00A219F7" w:rsidRPr="00D60FAE" w:rsidRDefault="00A219F7">
            <w:pPr>
              <w:spacing w:after="0"/>
              <w:rPr>
                <w:b/>
                <w:color w:val="FF0000"/>
                <w:lang w:val="en-IE" w:eastAsia="en-IE"/>
              </w:rPr>
            </w:pPr>
            <w:r w:rsidRPr="00D60FAE">
              <w:rPr>
                <w:b/>
                <w:bCs/>
                <w:color w:val="FF0000"/>
              </w:rPr>
              <w:t>205</w:t>
            </w:r>
            <w:r w:rsidR="00860A61">
              <w:rPr>
                <w:b/>
                <w:bCs/>
                <w:color w:val="FF0000"/>
              </w:rPr>
              <w:t xml:space="preserve"> m</w:t>
            </w:r>
          </w:p>
        </w:tc>
      </w:tr>
    </w:tbl>
    <w:p w14:paraId="4E35CCDF" w14:textId="444F0738" w:rsidR="00305EF6" w:rsidRDefault="007C042D" w:rsidP="00305EF6">
      <w:r w:rsidRPr="00D60FAE">
        <w:rPr>
          <w:b/>
          <w:bCs/>
          <w:i/>
          <w:iCs/>
          <w:sz w:val="20"/>
          <w:szCs w:val="20"/>
        </w:rPr>
        <w:t>Source</w:t>
      </w:r>
      <w:r w:rsidRPr="00D60FAE">
        <w:rPr>
          <w:i/>
          <w:iCs/>
          <w:sz w:val="20"/>
          <w:szCs w:val="20"/>
        </w:rPr>
        <w:t xml:space="preserve">: </w:t>
      </w:r>
      <w:r w:rsidR="007E7DAA" w:rsidRPr="00D60FAE">
        <w:rPr>
          <w:i/>
          <w:iCs/>
          <w:sz w:val="20"/>
          <w:szCs w:val="20"/>
        </w:rPr>
        <w:t xml:space="preserve">Author </w:t>
      </w:r>
      <w:r w:rsidR="007E7DAA">
        <w:rPr>
          <w:i/>
          <w:iCs/>
          <w:sz w:val="20"/>
          <w:szCs w:val="20"/>
        </w:rPr>
        <w:t xml:space="preserve">analysis </w:t>
      </w:r>
      <w:r w:rsidRPr="00D60FAE">
        <w:rPr>
          <w:i/>
          <w:iCs/>
          <w:sz w:val="20"/>
          <w:szCs w:val="20"/>
        </w:rPr>
        <w:t>based on IQVIA MIDAS data</w:t>
      </w:r>
    </w:p>
    <w:p w14:paraId="218B6754" w14:textId="3F9D5F2B" w:rsidR="00A219F7" w:rsidRPr="00B956FA" w:rsidRDefault="3B9935CF" w:rsidP="00A219F7">
      <w:pPr>
        <w:rPr>
          <w:lang w:val="en-IE"/>
        </w:rPr>
      </w:pPr>
      <w:r>
        <w:t xml:space="preserve">For the purposes of </w:t>
      </w:r>
      <w:r w:rsidR="7AA76B7E">
        <w:t>this</w:t>
      </w:r>
      <w:r>
        <w:t xml:space="preserve"> analysis, focussing on the distributional impacts as between patients/payers/society on the one hand and companies on the other hand, we will not distinguish between originators and </w:t>
      </w:r>
      <w:r w:rsidR="1EADCADD">
        <w:t>biosimilars</w:t>
      </w:r>
      <w:r>
        <w:t>. In the diagram below, Q</w:t>
      </w:r>
      <w:r w:rsidRPr="043522AD">
        <w:rPr>
          <w:vertAlign w:val="subscript"/>
        </w:rPr>
        <w:t>B</w:t>
      </w:r>
      <w:r>
        <w:t xml:space="preserve"> refers to the baseline quantity, P</w:t>
      </w:r>
      <w:r w:rsidRPr="043522AD">
        <w:rPr>
          <w:vertAlign w:val="subscript"/>
        </w:rPr>
        <w:t>B</w:t>
      </w:r>
      <w:r>
        <w:t xml:space="preserve"> to the baseline price etc. Manufacturing, marketing and distribution costs are assumed to be constant and less than P</w:t>
      </w:r>
      <w:r w:rsidRPr="043522AD">
        <w:rPr>
          <w:vertAlign w:val="subscript"/>
        </w:rPr>
        <w:t>B</w:t>
      </w:r>
      <w:r w:rsidR="154D0A25" w:rsidRPr="043522AD">
        <w:rPr>
          <w:lang w:val="en-IE"/>
        </w:rPr>
        <w:t xml:space="preserve"> (not shown on the diagram).</w:t>
      </w:r>
      <w:r w:rsidRPr="043522AD">
        <w:rPr>
          <w:lang w:val="en-IE"/>
        </w:rPr>
        <w:t xml:space="preserve"> For both scenarios, </w:t>
      </w:r>
      <w:r>
        <w:t>P</w:t>
      </w:r>
      <w:r w:rsidRPr="043522AD">
        <w:rPr>
          <w:vertAlign w:val="subscript"/>
        </w:rPr>
        <w:t>B</w:t>
      </w:r>
      <w:r w:rsidRPr="043522AD">
        <w:rPr>
          <w:lang w:val="en-IE"/>
        </w:rPr>
        <w:t>/</w:t>
      </w:r>
      <w:r>
        <w:t>P</w:t>
      </w:r>
      <w:r w:rsidRPr="043522AD">
        <w:rPr>
          <w:vertAlign w:val="subscript"/>
        </w:rPr>
        <w:t>SPC+1</w:t>
      </w:r>
      <w:r w:rsidRPr="043522AD">
        <w:rPr>
          <w:lang w:val="en-IE"/>
        </w:rPr>
        <w:t xml:space="preserve"> can be thought of as the average price over the reference period. The willingness to pay (WTP) curve is depicted as steep, but not vertical, indicating a certain degree of price-sensitivity on the part of payers. This is confirmed empirically by the </w:t>
      </w:r>
      <w:r w:rsidRPr="043522AD">
        <w:rPr>
          <w:lang w:val="en-IE"/>
        </w:rPr>
        <w:lastRenderedPageBreak/>
        <w:t xml:space="preserve">trajectory of the total volume as can be seen in </w:t>
      </w:r>
      <w:r w:rsidR="4A062C39" w:rsidRPr="043522AD">
        <w:rPr>
          <w:lang w:val="en-IE"/>
        </w:rPr>
        <w:t xml:space="preserve">Figure 1 </w:t>
      </w:r>
      <w:r w:rsidR="73DC2D0D" w:rsidRPr="043522AD">
        <w:rPr>
          <w:lang w:val="en-IE"/>
        </w:rPr>
        <w:t>of</w:t>
      </w:r>
      <w:r w:rsidR="4A062C39" w:rsidRPr="043522AD">
        <w:rPr>
          <w:lang w:val="en-IE"/>
        </w:rPr>
        <w:t xml:space="preserve"> Annex 4</w:t>
      </w:r>
      <w:r w:rsidRPr="043522AD">
        <w:rPr>
          <w:lang w:val="en-IE"/>
        </w:rPr>
        <w:t>, with a marked uptick in growth coinciding with the decline in price that occurs upon loss of protection.</w:t>
      </w:r>
    </w:p>
    <w:p w14:paraId="7C07B8E2" w14:textId="0208FE6C" w:rsidR="00A219F7" w:rsidRDefault="00544E47" w:rsidP="00A219F7">
      <w:r>
        <w:rPr>
          <w:noProof/>
        </w:rPr>
        <w:drawing>
          <wp:inline distT="0" distB="0" distL="0" distR="0" wp14:anchorId="613ABCE9" wp14:editId="3E0C89A3">
            <wp:extent cx="4356100" cy="3327400"/>
            <wp:effectExtent l="0" t="0" r="6350" b="6350"/>
            <wp:docPr id="1041403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356100" cy="3327400"/>
                    </a:xfrm>
                    <a:prstGeom prst="rect">
                      <a:avLst/>
                    </a:prstGeom>
                    <a:noFill/>
                    <a:ln>
                      <a:noFill/>
                    </a:ln>
                  </pic:spPr>
                </pic:pic>
              </a:graphicData>
            </a:graphic>
          </wp:inline>
        </w:drawing>
      </w:r>
    </w:p>
    <w:p w14:paraId="4F4CBF38" w14:textId="5B4DFE12" w:rsidR="00A219F7" w:rsidRPr="00D60FAE" w:rsidRDefault="00A219F7" w:rsidP="00A219F7">
      <w:pPr>
        <w:rPr>
          <w:b/>
          <w:bCs/>
        </w:rPr>
      </w:pPr>
      <w:r w:rsidRPr="00305EF6">
        <w:rPr>
          <w:b/>
        </w:rPr>
        <w:t>Figure</w:t>
      </w:r>
      <w:r w:rsidRPr="00305EF6">
        <w:rPr>
          <w:b/>
          <w:bCs/>
        </w:rPr>
        <w:t xml:space="preserve"> </w:t>
      </w:r>
      <w:r w:rsidR="00890DEE">
        <w:rPr>
          <w:b/>
          <w:bCs/>
        </w:rPr>
        <w:t>2.</w:t>
      </w:r>
      <w:r w:rsidR="00DE0BD8">
        <w:rPr>
          <w:b/>
          <w:bCs/>
        </w:rPr>
        <w:t xml:space="preserve"> Illustrating the derivation of costs from prices and quantities in the model</w:t>
      </w:r>
    </w:p>
    <w:p w14:paraId="4E50B0C4" w14:textId="7481EBBE" w:rsidR="00A219F7" w:rsidRDefault="00A219F7" w:rsidP="00A219F7">
      <w:r>
        <w:t>Note that in the model, we calculate the price and quantity in both scenarios, so we are able to calculate:</w:t>
      </w:r>
    </w:p>
    <w:p w14:paraId="089A3EDA" w14:textId="5E0782B6" w:rsidR="00A219F7" w:rsidRDefault="00A219F7" w:rsidP="00A219F7">
      <w:pPr>
        <w:pStyle w:val="ListParagraph"/>
        <w:numPr>
          <w:ilvl w:val="0"/>
          <w:numId w:val="457"/>
        </w:numPr>
        <w:spacing w:after="160" w:line="259" w:lineRule="auto"/>
      </w:pPr>
      <w:r>
        <w:t>Baseline quantity at baseline prices = Q</w:t>
      </w:r>
      <w:r w:rsidRPr="00367844">
        <w:rPr>
          <w:vertAlign w:val="subscript"/>
        </w:rPr>
        <w:t>B</w:t>
      </w:r>
      <w:r>
        <w:t xml:space="preserve"> x P</w:t>
      </w:r>
      <w:r w:rsidRPr="00367844">
        <w:rPr>
          <w:vertAlign w:val="subscript"/>
        </w:rPr>
        <w:t>B</w:t>
      </w:r>
      <w:r>
        <w:t xml:space="preserve"> = G+O</w:t>
      </w:r>
    </w:p>
    <w:p w14:paraId="2069D709" w14:textId="31D81FEF" w:rsidR="00A219F7" w:rsidRDefault="00A219F7" w:rsidP="00A219F7">
      <w:pPr>
        <w:pStyle w:val="ListParagraph"/>
        <w:numPr>
          <w:ilvl w:val="0"/>
          <w:numId w:val="457"/>
        </w:numPr>
        <w:spacing w:after="160" w:line="259" w:lineRule="auto"/>
      </w:pPr>
      <w:r>
        <w:t>Baseline quantity at scenario prices = Q</w:t>
      </w:r>
      <w:r w:rsidRPr="00367844">
        <w:rPr>
          <w:vertAlign w:val="subscript"/>
        </w:rPr>
        <w:t>B</w:t>
      </w:r>
      <w:r>
        <w:t xml:space="preserve"> x P</w:t>
      </w:r>
      <w:r w:rsidRPr="00367844">
        <w:rPr>
          <w:vertAlign w:val="subscript"/>
        </w:rPr>
        <w:t>SPC+1</w:t>
      </w:r>
      <w:r>
        <w:t xml:space="preserve"> = </w:t>
      </w:r>
      <w:r w:rsidRPr="00B953EC">
        <w:rPr>
          <w:lang w:val="es-ES"/>
        </w:rPr>
        <w:t>R+G+O</w:t>
      </w:r>
      <w:r>
        <w:rPr>
          <w:lang w:val="es-ES"/>
        </w:rPr>
        <w:t>+Y+P</w:t>
      </w:r>
    </w:p>
    <w:p w14:paraId="176B43B2" w14:textId="5C9DDD2A" w:rsidR="00A219F7" w:rsidRPr="00D60FAE" w:rsidRDefault="00A219F7" w:rsidP="00A219F7">
      <w:pPr>
        <w:pStyle w:val="ListParagraph"/>
        <w:numPr>
          <w:ilvl w:val="0"/>
          <w:numId w:val="457"/>
        </w:numPr>
        <w:spacing w:after="160" w:line="259" w:lineRule="auto"/>
        <w:rPr>
          <w:lang w:val="it-IT"/>
        </w:rPr>
      </w:pPr>
      <w:r w:rsidRPr="00D60FAE">
        <w:rPr>
          <w:lang w:val="it-IT"/>
        </w:rPr>
        <w:t>Scenario quantity at scenario prices = Q</w:t>
      </w:r>
      <w:r w:rsidRPr="00D60FAE">
        <w:rPr>
          <w:vertAlign w:val="subscript"/>
          <w:lang w:val="it-IT"/>
        </w:rPr>
        <w:t>SPC+1</w:t>
      </w:r>
      <w:r w:rsidRPr="00D60FAE">
        <w:rPr>
          <w:lang w:val="it-IT"/>
        </w:rPr>
        <w:t xml:space="preserve"> x P</w:t>
      </w:r>
      <w:r w:rsidRPr="00D60FAE">
        <w:rPr>
          <w:vertAlign w:val="subscript"/>
          <w:lang w:val="it-IT"/>
        </w:rPr>
        <w:t>SPC+1</w:t>
      </w:r>
      <w:r w:rsidRPr="00D60FAE">
        <w:rPr>
          <w:lang w:val="it-IT"/>
        </w:rPr>
        <w:t xml:space="preserve"> = G</w:t>
      </w:r>
    </w:p>
    <w:p w14:paraId="0910CBD3" w14:textId="440B104E" w:rsidR="00A219F7" w:rsidRDefault="00A219F7" w:rsidP="00A219F7">
      <w:pPr>
        <w:pStyle w:val="ListParagraph"/>
        <w:numPr>
          <w:ilvl w:val="0"/>
          <w:numId w:val="457"/>
        </w:numPr>
        <w:spacing w:after="160" w:line="259" w:lineRule="auto"/>
      </w:pPr>
      <w:r>
        <w:t>Scenario quantity at baseline prices = Q</w:t>
      </w:r>
      <w:r w:rsidRPr="00367844">
        <w:rPr>
          <w:vertAlign w:val="subscript"/>
        </w:rPr>
        <w:t>SPC+1</w:t>
      </w:r>
      <w:r>
        <w:t xml:space="preserve"> x P</w:t>
      </w:r>
      <w:r>
        <w:rPr>
          <w:vertAlign w:val="subscript"/>
        </w:rPr>
        <w:t>B</w:t>
      </w:r>
      <w:r>
        <w:t xml:space="preserve"> = G+R</w:t>
      </w:r>
    </w:p>
    <w:p w14:paraId="64680E0E" w14:textId="251F1376" w:rsidR="00A219F7" w:rsidRDefault="00A219F7" w:rsidP="00A219F7">
      <w:r>
        <w:t xml:space="preserve">Using the initials R(ed), G(reen), O(range), Y(ellow), P(urple), we find that: </w:t>
      </w:r>
    </w:p>
    <w:p w14:paraId="06F015F7" w14:textId="76CCD1F1" w:rsidR="00A219F7" w:rsidRDefault="00A219F7" w:rsidP="00A219F7">
      <w:pPr>
        <w:pStyle w:val="ListParagraph"/>
        <w:numPr>
          <w:ilvl w:val="0"/>
          <w:numId w:val="456"/>
        </w:numPr>
        <w:spacing w:after="160" w:line="259" w:lineRule="auto"/>
      </w:pPr>
      <w:r>
        <w:t>is given by C - A = (R+G) – (G+O) = R-O</w:t>
      </w:r>
    </w:p>
    <w:p w14:paraId="43876744" w14:textId="630B4923" w:rsidR="00A219F7" w:rsidRDefault="00A219F7" w:rsidP="00A219F7">
      <w:pPr>
        <w:pStyle w:val="ListParagraph"/>
        <w:numPr>
          <w:ilvl w:val="0"/>
          <w:numId w:val="456"/>
        </w:numPr>
        <w:spacing w:after="160" w:line="259" w:lineRule="auto"/>
      </w:pPr>
      <w:r>
        <w:t xml:space="preserve">is given by B - C = </w:t>
      </w:r>
      <w:r w:rsidRPr="008A7105">
        <w:rPr>
          <w:lang w:val="en-IE"/>
        </w:rPr>
        <w:t xml:space="preserve">(R+G+O+Y+P) – (R+G) </w:t>
      </w:r>
      <w:r>
        <w:t>= O+Y+P</w:t>
      </w:r>
    </w:p>
    <w:p w14:paraId="3C9180EF" w14:textId="7BE3EAE4" w:rsidR="00A219F7" w:rsidRDefault="00A219F7" w:rsidP="00A219F7">
      <w:pPr>
        <w:pStyle w:val="ListParagraph"/>
        <w:numPr>
          <w:ilvl w:val="0"/>
          <w:numId w:val="456"/>
        </w:numPr>
        <w:spacing w:after="160" w:line="259" w:lineRule="auto"/>
      </w:pPr>
      <w:r>
        <w:t>is given by (2)+(1) = R+Y+P</w:t>
      </w:r>
    </w:p>
    <w:p w14:paraId="350C1383" w14:textId="361BF4A9" w:rsidR="00A219F7" w:rsidRDefault="00A219F7" w:rsidP="00A219F7">
      <w:pPr>
        <w:rPr>
          <w:lang w:val="en-IE"/>
        </w:rPr>
      </w:pPr>
      <w:r w:rsidRPr="001A11CF">
        <w:t xml:space="preserve">In addition, assuming linear WTP with Y=P, we </w:t>
      </w:r>
      <w:r>
        <w:t xml:space="preserve">have </w:t>
      </w:r>
      <w:r w:rsidRPr="008A55FC">
        <w:rPr>
          <w:lang w:val="en-IE"/>
        </w:rPr>
        <w:t>B-A-C+D = (R+G+O+Y+P) – (R+G) – (G+O) + G = Y+P = 2Y</w:t>
      </w:r>
      <w:r>
        <w:rPr>
          <w:lang w:val="en-IE"/>
        </w:rPr>
        <w:t>, allowing Y</w:t>
      </w:r>
      <w:r w:rsidR="00592CDE">
        <w:rPr>
          <w:lang w:val="en-IE"/>
        </w:rPr>
        <w:t>+P</w:t>
      </w:r>
      <w:r>
        <w:rPr>
          <w:lang w:val="en-IE"/>
        </w:rPr>
        <w:t xml:space="preserve"> to be estimated at </w:t>
      </w:r>
      <w:r w:rsidR="003663D0">
        <w:rPr>
          <w:lang w:val="en-IE"/>
        </w:rPr>
        <w:t>EUR 10 million</w:t>
      </w:r>
      <w:r w:rsidR="00592CDE">
        <w:rPr>
          <w:lang w:val="en-IE"/>
        </w:rPr>
        <w:t xml:space="preserve"> and</w:t>
      </w:r>
      <w:r>
        <w:rPr>
          <w:lang w:val="en-IE"/>
        </w:rPr>
        <w:t xml:space="preserve"> Y </w:t>
      </w:r>
      <w:r w:rsidR="00592CDE">
        <w:rPr>
          <w:lang w:val="en-IE"/>
        </w:rPr>
        <w:t xml:space="preserve">at </w:t>
      </w:r>
      <w:r w:rsidR="003663D0">
        <w:rPr>
          <w:lang w:val="en-IE"/>
        </w:rPr>
        <w:t xml:space="preserve">EUR </w:t>
      </w:r>
      <w:r>
        <w:rPr>
          <w:lang w:val="en-IE"/>
        </w:rPr>
        <w:t>5</w:t>
      </w:r>
      <w:r w:rsidR="003663D0">
        <w:rPr>
          <w:lang w:val="en-IE"/>
        </w:rPr>
        <w:t xml:space="preserve"> million</w:t>
      </w:r>
      <w:r>
        <w:rPr>
          <w:lang w:val="en-IE"/>
        </w:rPr>
        <w:t>.</w:t>
      </w:r>
    </w:p>
    <w:p w14:paraId="2B555565" w14:textId="1358C240" w:rsidR="00A219F7" w:rsidRDefault="00A219F7" w:rsidP="00A219F7">
      <w:r>
        <w:t xml:space="preserve">(1) has clear policy relevance, being the change in spending by payers. As for (2), calculated at </w:t>
      </w:r>
      <w:r w:rsidR="00597B44">
        <w:t xml:space="preserve">EUR </w:t>
      </w:r>
      <w:r>
        <w:t>135</w:t>
      </w:r>
      <w:r w:rsidR="00597B44">
        <w:t xml:space="preserve"> million</w:t>
      </w:r>
      <w:r>
        <w:t xml:space="preserve">, it has a common-sense interpretation – the amount we would have to pay to restore baseline coverage at policy scenario prices. The </w:t>
      </w:r>
      <w:r w:rsidR="005338CE">
        <w:t xml:space="preserve">objective here is to </w:t>
      </w:r>
      <w:r w:rsidR="00B20048">
        <w:t>argue</w:t>
      </w:r>
      <w:r w:rsidR="005338CE">
        <w:t xml:space="preserve"> that the</w:t>
      </w:r>
      <w:r>
        <w:t xml:space="preserve"> combined amount (3) is </w:t>
      </w:r>
      <w:r w:rsidR="00B20048">
        <w:t>also</w:t>
      </w:r>
      <w:r>
        <w:t xml:space="preserve"> of economic </w:t>
      </w:r>
      <w:r w:rsidR="00B20048">
        <w:t>significance, since it can be interpreted</w:t>
      </w:r>
      <w:r>
        <w:t xml:space="preserve"> as an approximation of the transfer of surplus from payers/patients to companies (i.e. R, the red rectangle on the diagram). To give a more precise figure, we </w:t>
      </w:r>
      <w:r>
        <w:lastRenderedPageBreak/>
        <w:t xml:space="preserve">would subtract Y+P, which can be estimated from the model at around </w:t>
      </w:r>
      <w:r w:rsidR="43FD5B11">
        <w:t xml:space="preserve">EUR </w:t>
      </w:r>
      <w:r>
        <w:t>10</w:t>
      </w:r>
      <w:r w:rsidR="2E0105D6">
        <w:t xml:space="preserve"> </w:t>
      </w:r>
      <w:r>
        <w:t>m</w:t>
      </w:r>
      <w:r w:rsidR="08A6EB6D">
        <w:t>illio</w:t>
      </w:r>
      <w:r>
        <w:t xml:space="preserve">n, giving </w:t>
      </w:r>
      <w:r w:rsidR="1F01F92E">
        <w:t xml:space="preserve">EUR </w:t>
      </w:r>
      <w:r>
        <w:t>19</w:t>
      </w:r>
      <w:r w:rsidR="00DE2979">
        <w:t>5</w:t>
      </w:r>
      <w:r w:rsidR="017ACAFB">
        <w:t xml:space="preserve"> million</w:t>
      </w:r>
      <w:r>
        <w:t xml:space="preserve"> for the transfer of surplus. However, given that the difference is small, (3) remains a good approximation.</w:t>
      </w:r>
    </w:p>
    <w:p w14:paraId="1C45272E" w14:textId="77777777" w:rsidR="00127F33" w:rsidRPr="00893ABD" w:rsidRDefault="00127F33" w:rsidP="00127F33">
      <w:pPr>
        <w:rPr>
          <w:szCs w:val="20"/>
        </w:rPr>
      </w:pPr>
      <w:r>
        <w:rPr>
          <w:b/>
          <w:bCs/>
        </w:rPr>
        <w:t>Impact on public health</w:t>
      </w:r>
    </w:p>
    <w:p w14:paraId="341ACBA0" w14:textId="17779209" w:rsidR="00127F33" w:rsidRDefault="00902323" w:rsidP="00127F33">
      <w:r>
        <w:t>As outlined in the previous section</w:t>
      </w:r>
      <w:r w:rsidR="002C4EF1">
        <w:t>,</w:t>
      </w:r>
      <w:r>
        <w:t xml:space="preserve"> d</w:t>
      </w:r>
      <w:r w:rsidR="00127F33" w:rsidRPr="00893ABD">
        <w:t xml:space="preserve">elayed entry is associated with a </w:t>
      </w:r>
      <w:r w:rsidR="00127F33">
        <w:t xml:space="preserve">reduction of coverage </w:t>
      </w:r>
      <w:r w:rsidR="00127F33" w:rsidRPr="00893ABD">
        <w:t xml:space="preserve">relative to the baseline, combining direct payer expenditure with the monetised </w:t>
      </w:r>
      <w:r w:rsidR="00127F33" w:rsidRPr="00C9707C">
        <w:t>cost of delayed patient access. Our model estimates this combined cost at approximately EUR 205 million per medicine in the central case (sensitivity range: EUR 170 million to EUR 260 million), corresponding to approximately EUR 615 million annually at aggregate level based on an average of three qualifying medicines per year. The cost is driven primarily by the delay in the expansion of patient coverage rather than by direct price effects: the modelling shows that coverage expands rapidly upon loss of protection, and the main social cost of the extension therefore consists in the temporary postponement of this expansion. The monetised cost of delayed patient access, estimated at approximately EUR 135 million per medicine (EUR 405 million annually based on an average of three qualifying medicines per year), substantially exceeds the direct payer cost, reflecting the fact that for SPC-reliant biologicals the volume effects of competition are at least as significant as the price effects.</w:t>
      </w:r>
      <w:r w:rsidR="00127F33">
        <w:t xml:space="preserve">  </w:t>
      </w:r>
    </w:p>
    <w:p w14:paraId="73BF2556" w14:textId="38305958" w:rsidR="00902323" w:rsidRPr="00893ABD" w:rsidRDefault="569EDCFB" w:rsidP="00902323">
      <w:bookmarkStart w:id="378" w:name="_Hlk225177131"/>
      <w:r>
        <w:t xml:space="preserve">To illustrate how this impact may translate across Member States, </w:t>
      </w:r>
      <w:bookmarkEnd w:id="378"/>
      <w:r>
        <w:t>the EU total was allocated according to national shares of the EU pharmaceutical market (EFPIA 2023). This assumes that additional expenditure from delayed biosimilar entry broadly follows the existing geographic distribution of pharmaceutical consumption. Large pharmaceutical markets are therefore expected to account for the majority of the aggregate cost. Germany, France, Italy and Spain together represent around 65</w:t>
      </w:r>
      <w:r w:rsidR="006856C2">
        <w:t>%</w:t>
      </w:r>
      <w:r>
        <w:t xml:space="preserve"> of the EU pharmaceutical market, implying that they would bear a similar share of the additional expenditure. At the same time, these countries also exhibit relatively high healthcare spending capacity, with total health expenditure exceeding the EU average of around 9</w:t>
      </w:r>
      <w:r w:rsidR="006856C2">
        <w:t>%</w:t>
      </w:r>
      <w:r>
        <w:t xml:space="preserve"> of GDP</w:t>
      </w:r>
      <w:r w:rsidR="00902323" w:rsidRPr="61FCB7C3">
        <w:rPr>
          <w:rStyle w:val="FootnoteReference"/>
        </w:rPr>
        <w:footnoteReference w:id="325"/>
      </w:r>
      <w:r>
        <w:t>. This suggests that, while the absolute budgetary impact would be concentrated in these large markets, their health systems may be better positioned to absorb the additional costs compared with Member States with lower health spending levels.</w:t>
      </w:r>
    </w:p>
    <w:p w14:paraId="25434780" w14:textId="7892B05B" w:rsidR="009A2C23" w:rsidRPr="00893ABD" w:rsidRDefault="009A2C23" w:rsidP="009A2C23">
      <w:pPr>
        <w:rPr>
          <w:b/>
          <w:bCs/>
          <w:szCs w:val="20"/>
        </w:rPr>
      </w:pPr>
      <w:r w:rsidRPr="00893ABD">
        <w:rPr>
          <w:b/>
          <w:bCs/>
          <w:szCs w:val="20"/>
        </w:rPr>
        <w:t>Innovation output and geographic anchoring of biotech R&amp;D</w:t>
      </w:r>
    </w:p>
    <w:p w14:paraId="211AB42C" w14:textId="77777777" w:rsidR="009A2C23" w:rsidRPr="00893ABD" w:rsidRDefault="009A2C23" w:rsidP="009A2C23">
      <w:pPr>
        <w:rPr>
          <w:szCs w:val="20"/>
        </w:rPr>
      </w:pPr>
      <w:r w:rsidRPr="00893ABD">
        <w:rPr>
          <w:szCs w:val="20"/>
        </w:rPr>
        <w:t xml:space="preserve">The extension of SPC protection is expected to improve the EU’s relative attractiveness for SPC-eligible biotech innovation at the margin, by increasing the expected duration and predictability of post-authorisation exclusivity for </w:t>
      </w:r>
      <w:r>
        <w:rPr>
          <w:szCs w:val="20"/>
        </w:rPr>
        <w:t>highly innovative products</w:t>
      </w:r>
      <w:r w:rsidRPr="00893ABD">
        <w:rPr>
          <w:szCs w:val="20"/>
        </w:rPr>
        <w:t xml:space="preserve">. </w:t>
      </w:r>
    </w:p>
    <w:p w14:paraId="187EB814" w14:textId="77777777" w:rsidR="009A2C23" w:rsidRPr="00893ABD" w:rsidRDefault="009A2C23" w:rsidP="009A2C23">
      <w:r w:rsidRPr="00893ABD">
        <w:t xml:space="preserve">In practical terms, the impact is expected to materialise mainly through early patenting and protection strategies, as these are among the first observable decisions influenced by changes in expected protection. Relative to the baseline, the SPC extension is expected to marginally increase the likelihood that the EU is included as an early filing jurisdiction for SPC-eligible biotech inventions, either as a first filing location or as part of simultaneous multi-jurisdiction filings. Effects are expected to be more pronounced for EU-based firms, </w:t>
      </w:r>
      <w:r w:rsidRPr="00893ABD">
        <w:lastRenderedPageBreak/>
        <w:t>for which EU protection conditions directly affect portfolio and sequencing decisions, while impacts on non-EU firms are likely to be limited to a subset of globally oriented, high-value biotech projects.</w:t>
      </w:r>
    </w:p>
    <w:p w14:paraId="5068A4AA" w14:textId="77777777" w:rsidR="009A2C23" w:rsidRPr="00535D22" w:rsidRDefault="009A2C23" w:rsidP="009A2C23">
      <w:pPr>
        <w:spacing w:after="160" w:line="259" w:lineRule="auto"/>
        <w:rPr>
          <w:lang w:val="en-IE"/>
        </w:rPr>
      </w:pPr>
      <w:r w:rsidRPr="00893ABD">
        <w:rPr>
          <w:szCs w:val="20"/>
        </w:rPr>
        <w:t>Given the multiplicity of factors influencing innovation location decisions,</w:t>
      </w:r>
      <w:r>
        <w:rPr>
          <w:szCs w:val="20"/>
        </w:rPr>
        <w:t xml:space="preserve"> the SPC extension is expected to contribute as one among several factors including national policies, tax regimes and regulatory procedures.</w:t>
      </w:r>
    </w:p>
    <w:p w14:paraId="5981FFF3" w14:textId="77777777" w:rsidR="009A2C23" w:rsidRPr="00E51FA7" w:rsidRDefault="009A2C23" w:rsidP="009A2C23">
      <w:pPr>
        <w:rPr>
          <w:b/>
          <w:bCs/>
        </w:rPr>
      </w:pPr>
      <w:r w:rsidRPr="00E51FA7">
        <w:rPr>
          <w:b/>
          <w:bCs/>
        </w:rPr>
        <w:t>Competitiveness, trade and investment flows</w:t>
      </w:r>
    </w:p>
    <w:p w14:paraId="339A10D6" w14:textId="2F492680" w:rsidR="5BFFC05B" w:rsidRDefault="6449E116" w:rsidP="2093D7A5">
      <w:r w:rsidDel="00D913AF">
        <w:t>T</w:t>
      </w:r>
      <w:r w:rsidRPr="2093D7A5" w:rsidDel="00D913AF">
        <w:rPr>
          <w:lang w:val="en-IE"/>
        </w:rPr>
        <w:t xml:space="preserve">he EU faces </w:t>
      </w:r>
      <w:r w:rsidR="009A2C23" w:rsidRPr="2093D7A5" w:rsidDel="00D913AF">
        <w:rPr>
          <w:lang w:val="en-IE"/>
        </w:rPr>
        <w:t>i</w:t>
      </w:r>
      <w:r w:rsidRPr="2093D7A5" w:rsidDel="00D913AF">
        <w:rPr>
          <w:lang w:val="en-IE"/>
        </w:rPr>
        <w:t>ncreasing global competition in the field of biotechnology.</w:t>
      </w:r>
      <w:r w:rsidDel="00D913AF">
        <w:t xml:space="preserve"> </w:t>
      </w:r>
      <w:r w:rsidR="5BFFC05B" w:rsidRPr="2093D7A5">
        <w:rPr>
          <w:rFonts w:eastAsia="Times New Roman"/>
        </w:rPr>
        <w:t xml:space="preserve">The </w:t>
      </w:r>
      <w:r w:rsidR="00834106">
        <w:rPr>
          <w:rFonts w:eastAsia="Times New Roman"/>
        </w:rPr>
        <w:t xml:space="preserve">problem drivers </w:t>
      </w:r>
      <w:r w:rsidR="5BFFC05B" w:rsidRPr="2093D7A5">
        <w:rPr>
          <w:rFonts w:eastAsia="Times New Roman"/>
        </w:rPr>
        <w:t xml:space="preserve">outlined in </w:t>
      </w:r>
      <w:r w:rsidR="008F7949">
        <w:rPr>
          <w:rFonts w:eastAsia="Times New Roman"/>
        </w:rPr>
        <w:t>paragraph 2.2</w:t>
      </w:r>
      <w:r w:rsidR="00C04D8B">
        <w:rPr>
          <w:rFonts w:eastAsia="Times New Roman"/>
        </w:rPr>
        <w:t xml:space="preserve"> -</w:t>
      </w:r>
      <w:r w:rsidR="008F7949">
        <w:rPr>
          <w:rFonts w:eastAsia="Times New Roman"/>
        </w:rPr>
        <w:t xml:space="preserve"> </w:t>
      </w:r>
      <w:r w:rsidR="006C708F">
        <w:rPr>
          <w:rFonts w:eastAsia="Times New Roman"/>
        </w:rPr>
        <w:t>including</w:t>
      </w:r>
      <w:r w:rsidR="5BFFC05B" w:rsidRPr="2093D7A5">
        <w:rPr>
          <w:rFonts w:eastAsia="Times New Roman"/>
        </w:rPr>
        <w:t xml:space="preserve"> </w:t>
      </w:r>
      <w:r w:rsidR="00D4081F">
        <w:rPr>
          <w:rFonts w:eastAsia="Times New Roman"/>
        </w:rPr>
        <w:t xml:space="preserve">in </w:t>
      </w:r>
      <w:r w:rsidR="00F06916">
        <w:rPr>
          <w:rFonts w:eastAsia="Times New Roman"/>
        </w:rPr>
        <w:t>subparagraph</w:t>
      </w:r>
      <w:r w:rsidR="5BFFC05B" w:rsidRPr="2093D7A5">
        <w:rPr>
          <w:rFonts w:eastAsia="Times New Roman"/>
        </w:rPr>
        <w:t xml:space="preserve"> 2.2.6 on SPCs</w:t>
      </w:r>
      <w:r w:rsidR="00C04D8B">
        <w:rPr>
          <w:rFonts w:eastAsia="Times New Roman"/>
        </w:rPr>
        <w:t xml:space="preserve"> -</w:t>
      </w:r>
      <w:r w:rsidR="5BFFC05B" w:rsidRPr="2093D7A5">
        <w:rPr>
          <w:rFonts w:eastAsia="Times New Roman"/>
        </w:rPr>
        <w:t>underscore the need for policy action to foster investment in clinical trials and biomanufacturing in the EU</w:t>
      </w:r>
      <w:r w:rsidR="00F06916">
        <w:rPr>
          <w:rFonts w:eastAsia="Times New Roman"/>
        </w:rPr>
        <w:t>.</w:t>
      </w:r>
    </w:p>
    <w:p w14:paraId="264AF6D5" w14:textId="06D29876" w:rsidR="009A2C23" w:rsidRPr="00960345" w:rsidRDefault="009A2C23" w:rsidP="009A2C23">
      <w:pPr>
        <w:rPr>
          <w:rFonts w:eastAsia="Times New Roman"/>
          <w:color w:val="000000" w:themeColor="text1"/>
        </w:rPr>
      </w:pPr>
      <w:r>
        <w:t xml:space="preserve">If we analyse the products </w:t>
      </w:r>
      <w:r w:rsidR="00D03C1E">
        <w:t>authorised in the EU</w:t>
      </w:r>
      <w:r>
        <w:t xml:space="preserve"> that would have been eligible for the SPC extension between 2016 and 2025, according to EMA data, almost half of those that met the “innovation” criteria (i.e. </w:t>
      </w:r>
      <w:r w:rsidRPr="67844295">
        <w:rPr>
          <w:rFonts w:eastAsia="Times New Roman"/>
          <w:noProof/>
          <w:color w:val="000000" w:themeColor="text1"/>
        </w:rPr>
        <w:t xml:space="preserve">new active substance </w:t>
      </w:r>
      <w:r>
        <w:rPr>
          <w:rFonts w:eastAsia="Times New Roman"/>
          <w:noProof/>
          <w:color w:val="000000" w:themeColor="text1"/>
        </w:rPr>
        <w:t>and</w:t>
      </w:r>
      <w:r w:rsidRPr="67844295">
        <w:rPr>
          <w:rFonts w:eastAsia="Times New Roman"/>
          <w:noProof/>
          <w:color w:val="000000" w:themeColor="text1"/>
        </w:rPr>
        <w:t xml:space="preserve"> mechanism of action</w:t>
      </w:r>
      <w:r>
        <w:rPr>
          <w:rFonts w:eastAsia="Times New Roman"/>
          <w:noProof/>
          <w:color w:val="000000" w:themeColor="text1"/>
        </w:rPr>
        <w:t>)</w:t>
      </w:r>
      <w:r>
        <w:t xml:space="preserve"> also conducted clinical trials in more than two member states and a part of their manufacturing in Europe. This means that o</w:t>
      </w:r>
      <w:r w:rsidRPr="00D0495B">
        <w:t xml:space="preserve">n average, there </w:t>
      </w:r>
      <w:r>
        <w:t>were</w:t>
      </w:r>
      <w:r w:rsidRPr="00D0495B">
        <w:t xml:space="preserve"> five medicines approved per year that meet all the criteria</w:t>
      </w:r>
      <w:r>
        <w:t xml:space="preserve"> between 2016 and 2025</w:t>
      </w:r>
      <w:r w:rsidRPr="00D0495B">
        <w:t xml:space="preserve">. A further five meet the </w:t>
      </w:r>
      <w:r>
        <w:t>“innovation” criteria</w:t>
      </w:r>
      <w:r w:rsidRPr="00D0495B">
        <w:t xml:space="preserve"> but fail on one or both of the geographical criteria</w:t>
      </w:r>
      <w:r>
        <w:t xml:space="preserve"> (i.e. </w:t>
      </w:r>
      <w:r>
        <w:rPr>
          <w:rFonts w:eastAsia="Times New Roman"/>
          <w:noProof/>
          <w:color w:val="000000" w:themeColor="text1"/>
        </w:rPr>
        <w:t>c</w:t>
      </w:r>
      <w:r w:rsidRPr="67844295">
        <w:rPr>
          <w:rFonts w:eastAsia="Times New Roman"/>
          <w:noProof/>
          <w:color w:val="000000" w:themeColor="text1"/>
        </w:rPr>
        <w:t>linical</w:t>
      </w:r>
      <w:r w:rsidRPr="0085005C">
        <w:rPr>
          <w:rFonts w:eastAsia="Times New Roman"/>
          <w:noProof/>
          <w:color w:val="000000" w:themeColor="text1"/>
        </w:rPr>
        <w:t xml:space="preserve"> trials supporting </w:t>
      </w:r>
      <w:r w:rsidRPr="00DD512D">
        <w:rPr>
          <w:rFonts w:eastAsia="Times New Roman"/>
          <w:color w:val="000000" w:themeColor="text1"/>
        </w:rPr>
        <w:t>their</w:t>
      </w:r>
      <w:r>
        <w:rPr>
          <w:rFonts w:eastAsia="Times New Roman"/>
          <w:noProof/>
          <w:color w:val="000000" w:themeColor="text1"/>
        </w:rPr>
        <w:t xml:space="preserve"> </w:t>
      </w:r>
      <w:r w:rsidRPr="00EA3404">
        <w:rPr>
          <w:rFonts w:eastAsia="Times New Roman"/>
          <w:color w:val="000000" w:themeColor="text1"/>
        </w:rPr>
        <w:t xml:space="preserve">marketing </w:t>
      </w:r>
      <w:r w:rsidRPr="0085005C">
        <w:rPr>
          <w:rFonts w:eastAsia="Times New Roman"/>
          <w:noProof/>
          <w:color w:val="000000" w:themeColor="text1"/>
        </w:rPr>
        <w:t>authorisation conducted in</w:t>
      </w:r>
      <w:r>
        <w:rPr>
          <w:rFonts w:eastAsia="Times New Roman"/>
          <w:noProof/>
          <w:color w:val="000000" w:themeColor="text1"/>
        </w:rPr>
        <w:t xml:space="preserve"> </w:t>
      </w:r>
      <w:r w:rsidRPr="0085005C">
        <w:rPr>
          <w:rFonts w:eastAsia="Times New Roman"/>
          <w:noProof/>
          <w:color w:val="000000" w:themeColor="text1"/>
        </w:rPr>
        <w:t xml:space="preserve">more than two </w:t>
      </w:r>
      <w:r>
        <w:rPr>
          <w:rFonts w:eastAsia="Times New Roman"/>
          <w:noProof/>
          <w:color w:val="000000" w:themeColor="text1"/>
        </w:rPr>
        <w:t>M</w:t>
      </w:r>
      <w:r w:rsidRPr="0085005C">
        <w:rPr>
          <w:rFonts w:eastAsia="Times New Roman"/>
          <w:noProof/>
          <w:color w:val="000000" w:themeColor="text1"/>
        </w:rPr>
        <w:t xml:space="preserve">ember </w:t>
      </w:r>
      <w:r>
        <w:rPr>
          <w:rFonts w:eastAsia="Times New Roman"/>
          <w:noProof/>
          <w:color w:val="000000" w:themeColor="text1"/>
        </w:rPr>
        <w:t>S</w:t>
      </w:r>
      <w:r w:rsidRPr="0085005C">
        <w:rPr>
          <w:rFonts w:eastAsia="Times New Roman"/>
          <w:noProof/>
          <w:color w:val="000000" w:themeColor="text1"/>
        </w:rPr>
        <w:t>tates</w:t>
      </w:r>
      <w:r>
        <w:rPr>
          <w:rFonts w:eastAsia="Times New Roman"/>
          <w:noProof/>
          <w:color w:val="000000" w:themeColor="text1"/>
        </w:rPr>
        <w:t xml:space="preserve"> </w:t>
      </w:r>
      <w:r w:rsidRPr="0085005C">
        <w:rPr>
          <w:rFonts w:eastAsia="Times New Roman"/>
          <w:noProof/>
          <w:color w:val="000000" w:themeColor="text1"/>
        </w:rPr>
        <w:t>and at least one manufacturing step, excluding packaging, quality and testing certification</w:t>
      </w:r>
      <w:r>
        <w:rPr>
          <w:rFonts w:eastAsia="Times New Roman"/>
          <w:noProof/>
          <w:color w:val="000000" w:themeColor="text1"/>
        </w:rPr>
        <w:t xml:space="preserve"> conducted in the EU)</w:t>
      </w:r>
      <w:r w:rsidRPr="00960345">
        <w:rPr>
          <w:rFonts w:eastAsia="Times New Roman"/>
          <w:color w:val="000000" w:themeColor="text1"/>
        </w:rPr>
        <w:t>. The table below summarises this dynamic.</w:t>
      </w:r>
    </w:p>
    <w:p w14:paraId="51A31BA3" w14:textId="2DF46C9F" w:rsidR="009A2C23" w:rsidRPr="00960345" w:rsidRDefault="46094406" w:rsidP="00960345">
      <w:pPr>
        <w:rPr>
          <w:bCs/>
          <w:color w:val="000000" w:themeColor="text1"/>
        </w:rPr>
      </w:pPr>
      <w:r w:rsidRPr="00960345">
        <w:rPr>
          <w:rFonts w:eastAsia="Times New Roman"/>
          <w:b/>
          <w:bCs/>
          <w:noProof/>
          <w:color w:val="000000" w:themeColor="text1"/>
        </w:rPr>
        <w:t>Table 2</w:t>
      </w:r>
      <w:r w:rsidR="00EF070B">
        <w:rPr>
          <w:rFonts w:eastAsia="Times New Roman"/>
          <w:b/>
          <w:bCs/>
          <w:noProof/>
          <w:color w:val="000000" w:themeColor="text1"/>
        </w:rPr>
        <w:t>1</w:t>
      </w:r>
      <w:r w:rsidR="006009B0" w:rsidRPr="4EC480EB">
        <w:rPr>
          <w:rFonts w:eastAsia="Times New Roman"/>
          <w:b/>
          <w:bCs/>
          <w:noProof/>
          <w:color w:val="000000" w:themeColor="text1"/>
        </w:rPr>
        <w:t>.</w:t>
      </w:r>
      <w:r w:rsidRPr="00960345">
        <w:rPr>
          <w:rFonts w:eastAsia="Times New Roman"/>
          <w:b/>
          <w:bCs/>
          <w:noProof/>
          <w:color w:val="000000" w:themeColor="text1"/>
        </w:rPr>
        <w:t xml:space="preserve"> </w:t>
      </w:r>
      <w:r w:rsidR="6A20F2E4" w:rsidRPr="00960345">
        <w:rPr>
          <w:rFonts w:eastAsia="Times New Roman"/>
          <w:b/>
          <w:bCs/>
          <w:color w:val="000000" w:themeColor="text1"/>
        </w:rPr>
        <w:t>ATMP</w:t>
      </w:r>
      <w:r w:rsidR="3E3298D2" w:rsidRPr="00960345">
        <w:rPr>
          <w:rFonts w:eastAsia="Times New Roman"/>
          <w:b/>
          <w:bCs/>
          <w:color w:val="000000" w:themeColor="text1"/>
        </w:rPr>
        <w:t xml:space="preserve"> and biotechnology product </w:t>
      </w:r>
      <w:r w:rsidR="6A20F2E4" w:rsidRPr="00960345">
        <w:rPr>
          <w:rFonts w:eastAsia="Times New Roman"/>
          <w:b/>
          <w:bCs/>
          <w:color w:val="000000" w:themeColor="text1"/>
        </w:rPr>
        <w:t>eligibility</w:t>
      </w:r>
      <w:r w:rsidR="3E3298D2" w:rsidRPr="00960345">
        <w:rPr>
          <w:rFonts w:eastAsia="Times New Roman"/>
          <w:b/>
          <w:bCs/>
          <w:color w:val="000000" w:themeColor="text1"/>
        </w:rPr>
        <w:t xml:space="preserve"> for 1</w:t>
      </w:r>
      <w:r w:rsidR="09D92B9A" w:rsidRPr="4EC480EB">
        <w:rPr>
          <w:rFonts w:eastAsia="Times New Roman"/>
          <w:b/>
          <w:bCs/>
          <w:color w:val="000000" w:themeColor="text1"/>
        </w:rPr>
        <w:t>+</w:t>
      </w:r>
      <w:r w:rsidR="3E3298D2" w:rsidRPr="00960345">
        <w:rPr>
          <w:rFonts w:eastAsia="Times New Roman"/>
          <w:b/>
          <w:bCs/>
          <w:color w:val="000000" w:themeColor="text1"/>
        </w:rPr>
        <w:t xml:space="preserve"> </w:t>
      </w:r>
      <w:r w:rsidR="6A20F2E4" w:rsidRPr="00960345">
        <w:rPr>
          <w:rFonts w:eastAsia="Times New Roman"/>
          <w:b/>
          <w:bCs/>
          <w:color w:val="000000" w:themeColor="text1"/>
        </w:rPr>
        <w:t>SPC</w:t>
      </w:r>
      <w:r w:rsidR="3E3298D2" w:rsidRPr="00960345">
        <w:rPr>
          <w:rFonts w:eastAsia="Times New Roman"/>
          <w:b/>
          <w:bCs/>
          <w:color w:val="000000" w:themeColor="text1"/>
        </w:rPr>
        <w:t xml:space="preserve"> </w:t>
      </w:r>
      <w:r w:rsidR="7F548C4A" w:rsidRPr="00960345">
        <w:rPr>
          <w:rFonts w:eastAsia="Times New Roman"/>
          <w:b/>
          <w:bCs/>
          <w:color w:val="000000" w:themeColor="text1"/>
        </w:rPr>
        <w:t>extension</w:t>
      </w:r>
      <w:r w:rsidR="3E3298D2" w:rsidRPr="00960345">
        <w:rPr>
          <w:rFonts w:eastAsia="Times New Roman"/>
          <w:b/>
          <w:bCs/>
          <w:color w:val="000000" w:themeColor="text1"/>
        </w:rPr>
        <w:t xml:space="preserve"> (2016-2025)</w:t>
      </w:r>
      <w:r w:rsidR="00E40588">
        <w:rPr>
          <w:rStyle w:val="FootnoteReference"/>
          <w:rFonts w:eastAsia="Times New Roman"/>
          <w:b/>
          <w:bCs/>
          <w:color w:val="000000" w:themeColor="text1"/>
        </w:rPr>
        <w:footnoteReference w:id="326"/>
      </w:r>
    </w:p>
    <w:tbl>
      <w:tblPr>
        <w:tblW w:w="8647" w:type="dxa"/>
        <w:tblInd w:w="-10" w:type="dxa"/>
        <w:tblCellMar>
          <w:left w:w="0" w:type="dxa"/>
          <w:right w:w="0" w:type="dxa"/>
        </w:tblCellMar>
        <w:tblLook w:val="04A0" w:firstRow="1" w:lastRow="0" w:firstColumn="1" w:lastColumn="0" w:noHBand="0" w:noVBand="1"/>
      </w:tblPr>
      <w:tblGrid>
        <w:gridCol w:w="6379"/>
        <w:gridCol w:w="1134"/>
        <w:gridCol w:w="1134"/>
      </w:tblGrid>
      <w:tr w:rsidR="009A2C23" w:rsidRPr="00DD7CF4" w14:paraId="6DBB7A92" w14:textId="77777777" w:rsidTr="00E5568D">
        <w:trPr>
          <w:trHeight w:val="146"/>
        </w:trPr>
        <w:tc>
          <w:tcPr>
            <w:tcW w:w="6379"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79681C45" w14:textId="77777777" w:rsidR="009A2C23" w:rsidRPr="00E51FA7" w:rsidRDefault="009A2C23" w:rsidP="00E51FA7">
            <w:pPr>
              <w:spacing w:after="160" w:line="259" w:lineRule="auto"/>
              <w:rPr>
                <w:sz w:val="20"/>
                <w:szCs w:val="20"/>
              </w:rPr>
            </w:pPr>
          </w:p>
        </w:tc>
        <w:tc>
          <w:tcPr>
            <w:tcW w:w="1134"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2A117E07" w14:textId="77777777" w:rsidR="009A2C23" w:rsidRPr="00E51FA7" w:rsidRDefault="009A2C23" w:rsidP="00E51FA7">
            <w:pPr>
              <w:spacing w:after="160" w:line="259" w:lineRule="auto"/>
              <w:rPr>
                <w:sz w:val="20"/>
                <w:szCs w:val="20"/>
              </w:rPr>
            </w:pPr>
            <w:r w:rsidRPr="00E51FA7">
              <w:rPr>
                <w:sz w:val="20"/>
                <w:szCs w:val="20"/>
              </w:rPr>
              <w:t>2016-25</w:t>
            </w:r>
          </w:p>
        </w:tc>
        <w:tc>
          <w:tcPr>
            <w:tcW w:w="1134"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7C1C88DD" w14:textId="77777777" w:rsidR="009A2C23" w:rsidRPr="00E51FA7" w:rsidRDefault="009A2C23" w:rsidP="00E51FA7">
            <w:pPr>
              <w:spacing w:after="160" w:line="259" w:lineRule="auto"/>
              <w:rPr>
                <w:sz w:val="20"/>
                <w:szCs w:val="20"/>
              </w:rPr>
            </w:pPr>
            <w:r w:rsidRPr="00E51FA7">
              <w:rPr>
                <w:sz w:val="20"/>
                <w:szCs w:val="20"/>
              </w:rPr>
              <w:t>Annual</w:t>
            </w:r>
          </w:p>
        </w:tc>
      </w:tr>
      <w:tr w:rsidR="009A2C23" w:rsidRPr="00DD7CF4" w14:paraId="400A0BF8" w14:textId="77777777" w:rsidTr="00E5568D">
        <w:trPr>
          <w:trHeight w:val="290"/>
        </w:trPr>
        <w:tc>
          <w:tcPr>
            <w:tcW w:w="6379"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C5A2FA5" w14:textId="77777777" w:rsidR="009A2C23" w:rsidRPr="00E51FA7" w:rsidRDefault="009A2C23" w:rsidP="009A2C23">
            <w:pPr>
              <w:pStyle w:val="ListParagraph"/>
              <w:numPr>
                <w:ilvl w:val="0"/>
                <w:numId w:val="382"/>
              </w:numPr>
              <w:spacing w:after="160" w:line="259" w:lineRule="auto"/>
              <w:jc w:val="left"/>
              <w:rPr>
                <w:sz w:val="20"/>
                <w:szCs w:val="20"/>
              </w:rPr>
            </w:pPr>
            <w:r w:rsidRPr="00E51FA7">
              <w:rPr>
                <w:sz w:val="20"/>
                <w:szCs w:val="20"/>
              </w:rPr>
              <w:t>Meeting all criteria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14:paraId="3AE2A97A" w14:textId="71C60D10" w:rsidR="009A2C23" w:rsidRPr="00E51FA7" w:rsidRDefault="009A2C23" w:rsidP="00E51FA7">
            <w:pPr>
              <w:spacing w:after="160" w:line="259" w:lineRule="auto"/>
              <w:rPr>
                <w:sz w:val="20"/>
                <w:szCs w:val="20"/>
              </w:rPr>
            </w:pPr>
            <w:r w:rsidRPr="00E51FA7">
              <w:rPr>
                <w:sz w:val="20"/>
                <w:szCs w:val="20"/>
              </w:rPr>
              <w:t>49</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14:paraId="248C93AD" w14:textId="77777777" w:rsidR="009A2C23" w:rsidRPr="00E51FA7" w:rsidRDefault="009A2C23" w:rsidP="00E51FA7">
            <w:pPr>
              <w:spacing w:after="160" w:line="259" w:lineRule="auto"/>
              <w:rPr>
                <w:sz w:val="20"/>
                <w:szCs w:val="20"/>
              </w:rPr>
            </w:pPr>
            <w:r w:rsidRPr="00E51FA7">
              <w:rPr>
                <w:sz w:val="20"/>
                <w:szCs w:val="20"/>
              </w:rPr>
              <w:t>5</w:t>
            </w:r>
          </w:p>
        </w:tc>
      </w:tr>
      <w:tr w:rsidR="009A2C23" w:rsidRPr="00DD7CF4" w14:paraId="50173943" w14:textId="77777777" w:rsidTr="004570F2">
        <w:trPr>
          <w:trHeight w:val="290"/>
        </w:trPr>
        <w:tc>
          <w:tcPr>
            <w:tcW w:w="8647" w:type="dxa"/>
            <w:gridSpan w:val="3"/>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C7A04CE" w14:textId="12684F3D" w:rsidR="009A2C23" w:rsidRPr="00E51FA7" w:rsidRDefault="009A2C23" w:rsidP="00E5568D">
            <w:pPr>
              <w:spacing w:after="0" w:line="259" w:lineRule="auto"/>
              <w:rPr>
                <w:sz w:val="20"/>
                <w:szCs w:val="20"/>
              </w:rPr>
            </w:pPr>
            <w:r w:rsidRPr="00E51FA7">
              <w:rPr>
                <w:sz w:val="20"/>
                <w:szCs w:val="20"/>
              </w:rPr>
              <w:t xml:space="preserve">With distinct and different </w:t>
            </w:r>
            <w:r w:rsidR="003A76A9">
              <w:rPr>
                <w:sz w:val="20"/>
                <w:szCs w:val="20"/>
              </w:rPr>
              <w:t>n</w:t>
            </w:r>
            <w:r w:rsidRPr="00E51FA7">
              <w:rPr>
                <w:sz w:val="20"/>
                <w:szCs w:val="20"/>
              </w:rPr>
              <w:t xml:space="preserve">ew </w:t>
            </w:r>
            <w:r w:rsidR="003A76A9">
              <w:rPr>
                <w:sz w:val="20"/>
                <w:szCs w:val="20"/>
              </w:rPr>
              <w:t>a</w:t>
            </w:r>
            <w:r w:rsidRPr="00E51FA7">
              <w:rPr>
                <w:sz w:val="20"/>
                <w:szCs w:val="20"/>
              </w:rPr>
              <w:t xml:space="preserve">ctive substance and </w:t>
            </w:r>
            <w:r w:rsidR="003A76A9">
              <w:rPr>
                <w:sz w:val="20"/>
                <w:szCs w:val="20"/>
              </w:rPr>
              <w:t>m</w:t>
            </w:r>
            <w:r w:rsidRPr="00E51FA7">
              <w:rPr>
                <w:sz w:val="20"/>
                <w:szCs w:val="20"/>
              </w:rPr>
              <w:t>echanism of action and either</w:t>
            </w:r>
            <w:r w:rsidR="003A76A9">
              <w:rPr>
                <w:sz w:val="20"/>
                <w:szCs w:val="20"/>
              </w:rPr>
              <w:t>:</w:t>
            </w:r>
          </w:p>
        </w:tc>
      </w:tr>
      <w:tr w:rsidR="009A2C23" w:rsidRPr="00DD7CF4" w14:paraId="53E6B8ED" w14:textId="77777777" w:rsidTr="00E5568D">
        <w:trPr>
          <w:trHeight w:val="290"/>
        </w:trPr>
        <w:tc>
          <w:tcPr>
            <w:tcW w:w="6379"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5FCA4CB" w14:textId="77777777" w:rsidR="009A2C23" w:rsidRPr="00E51FA7" w:rsidRDefault="009A2C23" w:rsidP="009A2C23">
            <w:pPr>
              <w:pStyle w:val="ListParagraph"/>
              <w:numPr>
                <w:ilvl w:val="0"/>
                <w:numId w:val="382"/>
              </w:numPr>
              <w:spacing w:after="160" w:line="259" w:lineRule="auto"/>
              <w:jc w:val="left"/>
              <w:rPr>
                <w:sz w:val="20"/>
                <w:szCs w:val="20"/>
              </w:rPr>
            </w:pPr>
            <w:r w:rsidRPr="00E51FA7">
              <w:rPr>
                <w:sz w:val="20"/>
                <w:szCs w:val="20"/>
              </w:rPr>
              <w:t>one manufacturing step in the EU other than packaging, labelling and testing (manufacturing criterion), but no Clinical Trials (CTs) in more than 2 Member States (MS)</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14:paraId="684AD756" w14:textId="77777777" w:rsidR="009A2C23" w:rsidRPr="00E51FA7" w:rsidRDefault="009A2C23" w:rsidP="00E51FA7">
            <w:pPr>
              <w:spacing w:after="160" w:line="259" w:lineRule="auto"/>
              <w:rPr>
                <w:sz w:val="20"/>
                <w:szCs w:val="20"/>
              </w:rPr>
            </w:pPr>
            <w:r w:rsidRPr="00E51FA7">
              <w:rPr>
                <w:sz w:val="20"/>
                <w:szCs w:val="20"/>
              </w:rPr>
              <w:t>14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14:paraId="1A33E50C" w14:textId="77777777" w:rsidR="009A2C23" w:rsidRPr="00E51FA7" w:rsidRDefault="009A2C23" w:rsidP="00E51FA7">
            <w:pPr>
              <w:spacing w:after="160" w:line="259" w:lineRule="auto"/>
              <w:rPr>
                <w:sz w:val="20"/>
                <w:szCs w:val="20"/>
              </w:rPr>
            </w:pPr>
            <w:r w:rsidRPr="00E51FA7">
              <w:rPr>
                <w:sz w:val="20"/>
                <w:szCs w:val="20"/>
              </w:rPr>
              <w:t>1</w:t>
            </w:r>
          </w:p>
        </w:tc>
      </w:tr>
      <w:tr w:rsidR="009A2C23" w:rsidRPr="00DD7CF4" w14:paraId="526BA342" w14:textId="77777777" w:rsidTr="00E5568D">
        <w:trPr>
          <w:trHeight w:val="290"/>
        </w:trPr>
        <w:tc>
          <w:tcPr>
            <w:tcW w:w="6379"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5514572" w14:textId="77777777" w:rsidR="009A2C23" w:rsidRPr="00E51FA7" w:rsidRDefault="009A2C23" w:rsidP="009A2C23">
            <w:pPr>
              <w:pStyle w:val="ListParagraph"/>
              <w:numPr>
                <w:ilvl w:val="0"/>
                <w:numId w:val="382"/>
              </w:numPr>
              <w:spacing w:after="160" w:line="259" w:lineRule="auto"/>
              <w:jc w:val="left"/>
              <w:rPr>
                <w:sz w:val="20"/>
                <w:szCs w:val="20"/>
              </w:rPr>
            </w:pPr>
            <w:r w:rsidRPr="00E51FA7">
              <w:rPr>
                <w:sz w:val="20"/>
                <w:szCs w:val="20"/>
              </w:rPr>
              <w:t>CT in more than 2 MS, but manufacturing criterion not met</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14:paraId="29E20F17" w14:textId="77777777" w:rsidR="009A2C23" w:rsidRPr="00E51FA7" w:rsidRDefault="009A2C23" w:rsidP="00E51FA7">
            <w:pPr>
              <w:spacing w:after="160" w:line="259" w:lineRule="auto"/>
              <w:rPr>
                <w:sz w:val="20"/>
                <w:szCs w:val="20"/>
              </w:rPr>
            </w:pPr>
            <w:r w:rsidRPr="00E51FA7">
              <w:rPr>
                <w:sz w:val="20"/>
                <w:szCs w:val="20"/>
              </w:rPr>
              <w:t>24</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14:paraId="6069B5AD" w14:textId="77777777" w:rsidR="009A2C23" w:rsidRPr="00E51FA7" w:rsidRDefault="009A2C23" w:rsidP="00E51FA7">
            <w:pPr>
              <w:spacing w:after="160" w:line="259" w:lineRule="auto"/>
              <w:rPr>
                <w:sz w:val="20"/>
                <w:szCs w:val="20"/>
              </w:rPr>
            </w:pPr>
            <w:r w:rsidRPr="00E51FA7">
              <w:rPr>
                <w:sz w:val="20"/>
                <w:szCs w:val="20"/>
              </w:rPr>
              <w:t>2</w:t>
            </w:r>
          </w:p>
        </w:tc>
      </w:tr>
      <w:tr w:rsidR="009A2C23" w:rsidRPr="00DD7CF4" w14:paraId="02EB7D2E" w14:textId="77777777" w:rsidTr="00E5568D">
        <w:trPr>
          <w:trHeight w:val="290"/>
        </w:trPr>
        <w:tc>
          <w:tcPr>
            <w:tcW w:w="6379"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6630D05" w14:textId="77777777" w:rsidR="009A2C23" w:rsidRPr="00E51FA7" w:rsidRDefault="009A2C23" w:rsidP="009A2C23">
            <w:pPr>
              <w:pStyle w:val="ListParagraph"/>
              <w:numPr>
                <w:ilvl w:val="0"/>
                <w:numId w:val="382"/>
              </w:numPr>
              <w:spacing w:after="160" w:line="259" w:lineRule="auto"/>
              <w:jc w:val="left"/>
              <w:rPr>
                <w:sz w:val="20"/>
                <w:szCs w:val="20"/>
              </w:rPr>
            </w:pPr>
            <w:r w:rsidRPr="00E51FA7">
              <w:rPr>
                <w:sz w:val="20"/>
                <w:szCs w:val="20"/>
              </w:rPr>
              <w:t>Neither b nor c met</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14:paraId="20F73DD4" w14:textId="77777777" w:rsidR="009A2C23" w:rsidRPr="00E51FA7" w:rsidRDefault="009A2C23" w:rsidP="00E51FA7">
            <w:pPr>
              <w:spacing w:after="160" w:line="259" w:lineRule="auto"/>
              <w:rPr>
                <w:sz w:val="20"/>
                <w:szCs w:val="20"/>
              </w:rPr>
            </w:pPr>
            <w:r w:rsidRPr="00E51FA7">
              <w:rPr>
                <w:sz w:val="20"/>
                <w:szCs w:val="20"/>
              </w:rPr>
              <w:t>13</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14:paraId="480BACA8" w14:textId="77777777" w:rsidR="009A2C23" w:rsidRPr="00E51FA7" w:rsidRDefault="009A2C23" w:rsidP="00E51FA7">
            <w:pPr>
              <w:spacing w:after="160" w:line="259" w:lineRule="auto"/>
              <w:rPr>
                <w:sz w:val="20"/>
                <w:szCs w:val="20"/>
              </w:rPr>
            </w:pPr>
            <w:r w:rsidRPr="00E51FA7">
              <w:rPr>
                <w:sz w:val="20"/>
                <w:szCs w:val="20"/>
              </w:rPr>
              <w:t>1</w:t>
            </w:r>
          </w:p>
        </w:tc>
      </w:tr>
      <w:tr w:rsidR="004005A7" w:rsidRPr="00DD7CF4" w14:paraId="54E23828" w14:textId="77777777" w:rsidTr="00E5568D">
        <w:trPr>
          <w:trHeight w:val="290"/>
        </w:trPr>
        <w:tc>
          <w:tcPr>
            <w:tcW w:w="6379"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F2E0084" w14:textId="77777777" w:rsidR="009A2C23" w:rsidRPr="00E51FA7" w:rsidRDefault="009A2C23" w:rsidP="00E51FA7">
            <w:pPr>
              <w:spacing w:after="160" w:line="259" w:lineRule="auto"/>
              <w:jc w:val="left"/>
              <w:rPr>
                <w:sz w:val="20"/>
                <w:szCs w:val="20"/>
              </w:rPr>
            </w:pPr>
            <w:r w:rsidRPr="00E51FA7">
              <w:rPr>
                <w:sz w:val="20"/>
                <w:szCs w:val="20"/>
              </w:rPr>
              <w:t>Subtotal</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14:paraId="42D68147" w14:textId="77777777" w:rsidR="009A2C23" w:rsidRPr="00E51FA7" w:rsidRDefault="009A2C23" w:rsidP="00E51FA7">
            <w:pPr>
              <w:spacing w:after="160" w:line="259" w:lineRule="auto"/>
              <w:jc w:val="left"/>
              <w:rPr>
                <w:sz w:val="20"/>
                <w:szCs w:val="20"/>
              </w:rPr>
            </w:pPr>
            <w:r w:rsidRPr="00E51FA7">
              <w:rPr>
                <w:i/>
                <w:iCs/>
                <w:sz w:val="20"/>
                <w:szCs w:val="20"/>
              </w:rPr>
              <w:t>51</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14:paraId="3A2A498D" w14:textId="77777777" w:rsidR="009A2C23" w:rsidRPr="00E51FA7" w:rsidRDefault="009A2C23" w:rsidP="00E51FA7">
            <w:pPr>
              <w:spacing w:after="160" w:line="259" w:lineRule="auto"/>
              <w:jc w:val="left"/>
              <w:rPr>
                <w:sz w:val="20"/>
                <w:szCs w:val="20"/>
              </w:rPr>
            </w:pPr>
            <w:r w:rsidRPr="00E51FA7">
              <w:rPr>
                <w:i/>
                <w:iCs/>
                <w:sz w:val="20"/>
                <w:szCs w:val="20"/>
              </w:rPr>
              <w:t>5</w:t>
            </w:r>
          </w:p>
        </w:tc>
      </w:tr>
      <w:tr w:rsidR="009A2C23" w:rsidRPr="00DD7CF4" w14:paraId="159BB6C3" w14:textId="77777777" w:rsidTr="00E5568D">
        <w:trPr>
          <w:trHeight w:val="101"/>
        </w:trPr>
        <w:tc>
          <w:tcPr>
            <w:tcW w:w="6379" w:type="dxa"/>
            <w:tcBorders>
              <w:top w:val="single" w:sz="8" w:space="0" w:color="auto"/>
              <w:left w:val="single" w:sz="8" w:space="0" w:color="auto"/>
              <w:bottom w:val="single" w:sz="4" w:space="0" w:color="auto"/>
              <w:right w:val="single" w:sz="8" w:space="0" w:color="auto"/>
            </w:tcBorders>
            <w:noWrap/>
            <w:tcMar>
              <w:top w:w="0" w:type="dxa"/>
              <w:left w:w="108" w:type="dxa"/>
              <w:bottom w:w="0" w:type="dxa"/>
              <w:right w:w="108" w:type="dxa"/>
            </w:tcMar>
            <w:hideMark/>
          </w:tcPr>
          <w:p w14:paraId="582700FF" w14:textId="77777777" w:rsidR="009A2C23" w:rsidRPr="00E51FA7" w:rsidRDefault="009A2C23" w:rsidP="00E51FA7">
            <w:pPr>
              <w:spacing w:after="160" w:line="259" w:lineRule="auto"/>
              <w:rPr>
                <w:sz w:val="20"/>
                <w:szCs w:val="20"/>
              </w:rPr>
            </w:pPr>
            <w:r w:rsidRPr="00E51FA7">
              <w:rPr>
                <w:sz w:val="20"/>
                <w:szCs w:val="20"/>
              </w:rPr>
              <w:t>Total</w:t>
            </w:r>
          </w:p>
        </w:tc>
        <w:tc>
          <w:tcPr>
            <w:tcW w:w="1134" w:type="dxa"/>
            <w:tcBorders>
              <w:top w:val="single" w:sz="8" w:space="0" w:color="auto"/>
              <w:left w:val="nil"/>
              <w:bottom w:val="single" w:sz="4" w:space="0" w:color="auto"/>
              <w:right w:val="single" w:sz="8" w:space="0" w:color="auto"/>
            </w:tcBorders>
            <w:noWrap/>
            <w:tcMar>
              <w:top w:w="0" w:type="dxa"/>
              <w:left w:w="108" w:type="dxa"/>
              <w:bottom w:w="0" w:type="dxa"/>
              <w:right w:w="108" w:type="dxa"/>
            </w:tcMar>
            <w:hideMark/>
          </w:tcPr>
          <w:p w14:paraId="6B5E2289" w14:textId="60C68C27" w:rsidR="009A2C23" w:rsidRPr="00E51FA7" w:rsidRDefault="009A2C23" w:rsidP="00E5568D">
            <w:pPr>
              <w:spacing w:after="0" w:line="259" w:lineRule="auto"/>
              <w:rPr>
                <w:sz w:val="20"/>
                <w:szCs w:val="20"/>
              </w:rPr>
            </w:pPr>
            <w:r w:rsidRPr="00E51FA7">
              <w:rPr>
                <w:sz w:val="20"/>
                <w:szCs w:val="20"/>
              </w:rPr>
              <w:t>100</w:t>
            </w:r>
          </w:p>
        </w:tc>
        <w:tc>
          <w:tcPr>
            <w:tcW w:w="1134" w:type="dxa"/>
            <w:tcBorders>
              <w:top w:val="single" w:sz="8" w:space="0" w:color="auto"/>
              <w:left w:val="nil"/>
              <w:bottom w:val="single" w:sz="4" w:space="0" w:color="auto"/>
              <w:right w:val="single" w:sz="8" w:space="0" w:color="auto"/>
            </w:tcBorders>
            <w:noWrap/>
            <w:tcMar>
              <w:top w:w="0" w:type="dxa"/>
              <w:left w:w="108" w:type="dxa"/>
              <w:bottom w:w="0" w:type="dxa"/>
              <w:right w:w="108" w:type="dxa"/>
            </w:tcMar>
            <w:hideMark/>
          </w:tcPr>
          <w:p w14:paraId="155FC1D5" w14:textId="46B485B1" w:rsidR="009A2C23" w:rsidRPr="00E51FA7" w:rsidRDefault="009A2C23" w:rsidP="00E51FA7">
            <w:pPr>
              <w:spacing w:after="160" w:line="259" w:lineRule="auto"/>
              <w:rPr>
                <w:sz w:val="20"/>
                <w:szCs w:val="20"/>
              </w:rPr>
            </w:pPr>
            <w:r w:rsidRPr="00E51FA7">
              <w:rPr>
                <w:sz w:val="20"/>
                <w:szCs w:val="20"/>
              </w:rPr>
              <w:t>1</w:t>
            </w:r>
            <w:r w:rsidR="005D5551">
              <w:rPr>
                <w:sz w:val="20"/>
                <w:szCs w:val="20"/>
              </w:rPr>
              <w:t>0</w:t>
            </w:r>
          </w:p>
        </w:tc>
      </w:tr>
    </w:tbl>
    <w:p w14:paraId="11BF1B07" w14:textId="6E1D7CA2" w:rsidR="009A2C23" w:rsidRPr="00E5568D" w:rsidRDefault="008B2FBC" w:rsidP="009A2C23">
      <w:pPr>
        <w:rPr>
          <w:i/>
          <w:iCs/>
          <w:sz w:val="18"/>
          <w:szCs w:val="18"/>
        </w:rPr>
      </w:pPr>
      <w:r w:rsidRPr="00E5568D">
        <w:rPr>
          <w:b/>
          <w:bCs/>
          <w:i/>
          <w:iCs/>
          <w:sz w:val="18"/>
          <w:szCs w:val="18"/>
        </w:rPr>
        <w:t>Source</w:t>
      </w:r>
      <w:r w:rsidRPr="00E5568D">
        <w:rPr>
          <w:i/>
          <w:iCs/>
          <w:sz w:val="18"/>
          <w:szCs w:val="18"/>
        </w:rPr>
        <w:t>: author own calculation based on EMA data between 2016-2025</w:t>
      </w:r>
    </w:p>
    <w:p w14:paraId="6B7C9A41" w14:textId="1679A96D" w:rsidR="009A2C23" w:rsidRPr="00E51FA7" w:rsidRDefault="009A2C23" w:rsidP="009A2C23">
      <w:pPr>
        <w:rPr>
          <w:strike/>
        </w:rPr>
      </w:pPr>
      <w:r>
        <w:lastRenderedPageBreak/>
        <w:t>O</w:t>
      </w:r>
      <w:r w:rsidRPr="004B0FE0">
        <w:t>ut of the 31 biologics we analysed</w:t>
      </w:r>
      <w:r>
        <w:t xml:space="preserve"> for assessing the cost of the SPC extension</w:t>
      </w:r>
      <w:r w:rsidRPr="004B0FE0">
        <w:t>,</w:t>
      </w:r>
      <w:r w:rsidR="00305EF6">
        <w:t xml:space="preserve"> </w:t>
      </w:r>
      <w:r w:rsidRPr="004B0FE0">
        <w:t>40</w:t>
      </w:r>
      <w:r w:rsidR="006856C2">
        <w:t>%</w:t>
      </w:r>
      <w:r w:rsidRPr="004B0FE0">
        <w:t xml:space="preserve"> relied on SPC as</w:t>
      </w:r>
      <w:r w:rsidR="00305EF6">
        <w:t xml:space="preserve"> </w:t>
      </w:r>
      <w:r w:rsidRPr="004B0FE0">
        <w:t>their</w:t>
      </w:r>
      <w:r w:rsidR="00305EF6">
        <w:t xml:space="preserve"> </w:t>
      </w:r>
      <w:r w:rsidRPr="004B0FE0">
        <w:t>last effective protection.</w:t>
      </w:r>
      <w:r w:rsidR="00305EF6">
        <w:t xml:space="preserve"> </w:t>
      </w:r>
      <w:r w:rsidRPr="004B0FE0">
        <w:t>Assuming the</w:t>
      </w:r>
      <w:r w:rsidR="00305EF6">
        <w:t xml:space="preserve"> </w:t>
      </w:r>
      <w:r w:rsidRPr="004B0FE0">
        <w:t>proportion of</w:t>
      </w:r>
      <w:r w:rsidR="00305EF6">
        <w:t xml:space="preserve"> </w:t>
      </w:r>
      <w:r w:rsidRPr="004B0FE0">
        <w:t>products relying</w:t>
      </w:r>
      <w:r>
        <w:t xml:space="preserve"> </w:t>
      </w:r>
      <w:r w:rsidRPr="004B0FE0">
        <w:t>on</w:t>
      </w:r>
      <w:r w:rsidR="00305EF6">
        <w:t xml:space="preserve"> </w:t>
      </w:r>
      <w:r w:rsidRPr="004B0FE0">
        <w:t>SPC</w:t>
      </w:r>
      <w:r w:rsidR="00305EF6">
        <w:t xml:space="preserve"> </w:t>
      </w:r>
      <w:r w:rsidRPr="004B0FE0">
        <w:t>remains</w:t>
      </w:r>
      <w:r w:rsidR="00305EF6">
        <w:t xml:space="preserve"> </w:t>
      </w:r>
      <w:r w:rsidRPr="004B0FE0">
        <w:t>constant,</w:t>
      </w:r>
      <w:r w:rsidR="00305EF6">
        <w:t xml:space="preserve"> </w:t>
      </w:r>
      <w:r w:rsidRPr="004B0FE0">
        <w:t>the</w:t>
      </w:r>
      <w:r w:rsidR="00305EF6">
        <w:t xml:space="preserve"> </w:t>
      </w:r>
      <w:r w:rsidRPr="004B0FE0">
        <w:t>SPC extension would</w:t>
      </w:r>
      <w:r w:rsidR="00305EF6">
        <w:t xml:space="preserve"> </w:t>
      </w:r>
      <w:r w:rsidRPr="004B0FE0">
        <w:t>have an</w:t>
      </w:r>
      <w:r w:rsidR="00305EF6">
        <w:t xml:space="preserve"> </w:t>
      </w:r>
      <w:r w:rsidRPr="004B0FE0">
        <w:t>economic</w:t>
      </w:r>
      <w:r w:rsidR="00305EF6">
        <w:t xml:space="preserve"> </w:t>
      </w:r>
      <w:r w:rsidRPr="004B0FE0">
        <w:t>impact on</w:t>
      </w:r>
      <w:r w:rsidR="00305EF6">
        <w:t xml:space="preserve"> </w:t>
      </w:r>
      <w:r w:rsidRPr="004B0FE0">
        <w:rPr>
          <w:b/>
          <w:bCs/>
        </w:rPr>
        <w:t>2</w:t>
      </w:r>
      <w:r w:rsidRPr="004B0FE0">
        <w:t>-</w:t>
      </w:r>
      <w:r w:rsidRPr="004B0FE0">
        <w:rPr>
          <w:b/>
          <w:bCs/>
        </w:rPr>
        <w:t>3 products per year</w:t>
      </w:r>
      <w:r w:rsidRPr="004B0FE0">
        <w:t>.</w:t>
      </w:r>
      <w:r w:rsidR="00305EF6">
        <w:t xml:space="preserve"> </w:t>
      </w:r>
      <w:r w:rsidRPr="00893ABD">
        <w:t xml:space="preserve">These products represent marginal cases for which trial design </w:t>
      </w:r>
      <w:r>
        <w:t>and/or manufacturing decisions</w:t>
      </w:r>
      <w:r w:rsidRPr="00893ABD">
        <w:t xml:space="preserve"> could plausibly be adjusted in response to the additional incentive</w:t>
      </w:r>
      <w:r>
        <w:t>s.</w:t>
      </w:r>
    </w:p>
    <w:p w14:paraId="2636B117" w14:textId="31BD347B" w:rsidR="009A2C23" w:rsidRPr="00893ABD" w:rsidRDefault="009A2C23" w:rsidP="009A2C23">
      <w:pPr>
        <w:rPr>
          <w:b/>
          <w:bCs/>
        </w:rPr>
      </w:pPr>
      <w:r w:rsidRPr="00893ABD">
        <w:rPr>
          <w:b/>
          <w:bCs/>
        </w:rPr>
        <w:t>Public Authorities</w:t>
      </w:r>
    </w:p>
    <w:p w14:paraId="1B349467" w14:textId="77777777" w:rsidR="009A2C23" w:rsidRPr="00893ABD" w:rsidRDefault="009A2C23" w:rsidP="009A2C23">
      <w:r w:rsidRPr="00960345">
        <w:t>The proposed SPC extension would not materially increase administrative workload for national patent offices</w:t>
      </w:r>
      <w:r w:rsidRPr="00893ABD">
        <w:t xml:space="preserve">. Eligibility conditions would be assessed by the European Medicines Agency (EMA), with national authorities mainly verifying documentation rather than performing additional substantive assessment. </w:t>
      </w:r>
    </w:p>
    <w:p w14:paraId="4B2DED1D" w14:textId="77777777" w:rsidR="009A2C23" w:rsidRPr="00893ABD" w:rsidRDefault="009A2C23" w:rsidP="009A2C23">
      <w:r w:rsidRPr="00893ABD">
        <w:t>The measure introduces a new eligibility verification task for EMA, which would confirm whether applicants fulfil the conditions for the extension. The assessment would rely largely on regulatory information already available to the Agency, including clinical trial data, marketing authorisation documentation and manufacturing information. Based on comparable regulatory verification tasks, and consistent with the paediatric SPC experience at national patent offices, the assessment is estimated to require approximately one full-time equivalent working day per application.</w:t>
      </w:r>
    </w:p>
    <w:p w14:paraId="3BEE4621" w14:textId="43E04815" w:rsidR="009A2C23" w:rsidRPr="00893ABD" w:rsidRDefault="009A2C23" w:rsidP="009A2C23">
      <w:r w:rsidRPr="00893ABD">
        <w:t xml:space="preserve">Given the limited number of products expected to qualify, the resulting annual workload for EMA is expected to remain small. Between 2020 and 2025, EMA granted authorisations to between 15 and 28 biotech products annually. While not all of these would be eligible under the proposed </w:t>
      </w:r>
      <w:r w:rsidR="00EB60CC">
        <w:t xml:space="preserve">European </w:t>
      </w:r>
      <w:r w:rsidRPr="00893ABD">
        <w:t>Biotech Act, they represent the total population of products potentially subject to assessment, implying a maximum workload of up to 28-30 working days per year.</w:t>
      </w:r>
    </w:p>
    <w:p w14:paraId="3F053C9A" w14:textId="77777777" w:rsidR="009A2C23" w:rsidRPr="00893ABD" w:rsidRDefault="009A2C23" w:rsidP="009A2C23">
      <w:r w:rsidRPr="00893ABD">
        <w:rPr>
          <w:b/>
          <w:bCs/>
        </w:rPr>
        <w:t>Administrative costs on businesses, including SMEs</w:t>
      </w:r>
    </w:p>
    <w:p w14:paraId="46F2A6E7" w14:textId="77777777" w:rsidR="009A2C23" w:rsidRPr="00337033" w:rsidRDefault="3E3298D2" w:rsidP="009A2C23">
      <w:r>
        <w:t xml:space="preserve">Under the current regulatory framework, companies applying for SPCs incur </w:t>
      </w:r>
      <w:r w:rsidRPr="3F982D60">
        <w:rPr>
          <w:b/>
          <w:bCs/>
        </w:rPr>
        <w:t>administrative costs</w:t>
      </w:r>
      <w:r>
        <w:t xml:space="preserve"> associated with preparing and submitting applications, assessing eligibility, and interacting with patent and regulatory authorities. SPC applications require legal interpretation of patent scope, marketing authorisation timelines and regulatory status. They require internal legal and regulatory staff time and, in many cases, recourse to external legal advisors. For SMEs, SPC-related administrative and advisory costs can weigh more heavily, given their more limited in-house legal and regulatory resources and greater dependence on outsourced expertise.</w:t>
      </w:r>
      <w:r w:rsidR="009A2C23" w:rsidRPr="00337033">
        <w:rPr>
          <w:vertAlign w:val="superscript"/>
        </w:rPr>
        <w:footnoteReference w:id="327"/>
      </w:r>
      <w:r>
        <w:t xml:space="preserve"> Evidence from the impact assessment of the Commission proposals for a unitary SPC</w:t>
      </w:r>
      <w:r w:rsidR="009A2C23" w:rsidRPr="00337033">
        <w:rPr>
          <w:vertAlign w:val="superscript"/>
        </w:rPr>
        <w:footnoteReference w:id="328"/>
      </w:r>
      <w:r>
        <w:t xml:space="preserve"> shows that that overall administrative and </w:t>
      </w:r>
      <w:r>
        <w:lastRenderedPageBreak/>
        <w:t>advisory costs for filing SPC extensions across multiple Member States typically range between approximately EUR 80,000 and EUR 150,000 per product.</w:t>
      </w:r>
    </w:p>
    <w:p w14:paraId="3A38943E" w14:textId="54657112" w:rsidR="009A2C23" w:rsidRPr="00893ABD" w:rsidRDefault="009A2C23" w:rsidP="009A2C23">
      <w:r w:rsidRPr="00893ABD">
        <w:t>Compared with the additional revenues</w:t>
      </w:r>
      <w:r w:rsidR="000A15F7">
        <w:t xml:space="preserve"> linked to obtaining</w:t>
      </w:r>
      <w:r w:rsidRPr="00893ABD">
        <w:t xml:space="preserve"> the SPC extension, the administrative costs associated with preparing and filing SPC applications represent a negligible fraction of the economic value generated by the extension. Even under the most conservative assumptions (maximum administrative cost of EUR 150,000 against the lower-bound profit estimate of EUR 203 million), administrative costs remain below 0.08</w:t>
      </w:r>
      <w:r w:rsidR="006856C2">
        <w:t>%</w:t>
      </w:r>
      <w:r w:rsidRPr="00893ABD">
        <w:t xml:space="preserve"> of additional gross profits.</w:t>
      </w:r>
    </w:p>
    <w:p w14:paraId="2BFD4AB9" w14:textId="5363A1F0" w:rsidR="00C85A81" w:rsidRPr="00893ABD" w:rsidRDefault="00C85A81" w:rsidP="009A2C23">
      <w:r w:rsidRPr="004B0FE0">
        <w:t>The SPC system is subject to</w:t>
      </w:r>
      <w:r w:rsidR="006D3D07">
        <w:rPr>
          <w:b/>
          <w:bCs/>
        </w:rPr>
        <w:t xml:space="preserve"> </w:t>
      </w:r>
      <w:r w:rsidRPr="004B0FE0">
        <w:rPr>
          <w:b/>
          <w:bCs/>
        </w:rPr>
        <w:t>disputes over eligibility,</w:t>
      </w:r>
      <w:r w:rsidR="006D3D07">
        <w:rPr>
          <w:b/>
          <w:bCs/>
        </w:rPr>
        <w:t xml:space="preserve"> </w:t>
      </w:r>
      <w:r w:rsidRPr="004B0FE0">
        <w:rPr>
          <w:b/>
          <w:bCs/>
        </w:rPr>
        <w:t>duration</w:t>
      </w:r>
      <w:r w:rsidR="006D3D07">
        <w:rPr>
          <w:b/>
          <w:bCs/>
        </w:rPr>
        <w:t xml:space="preserve"> </w:t>
      </w:r>
      <w:r w:rsidRPr="004B0FE0">
        <w:rPr>
          <w:b/>
          <w:bCs/>
        </w:rPr>
        <w:t>and scope</w:t>
      </w:r>
      <w:r w:rsidRPr="004B0FE0">
        <w:t>, which generate administrative and legal costs for</w:t>
      </w:r>
      <w:r w:rsidR="006D3D07">
        <w:t xml:space="preserve"> </w:t>
      </w:r>
      <w:r w:rsidRPr="004B0FE0">
        <w:t>companies,</w:t>
      </w:r>
      <w:r w:rsidR="006D3D07">
        <w:t xml:space="preserve"> </w:t>
      </w:r>
      <w:r w:rsidRPr="004B0FE0">
        <w:t>public</w:t>
      </w:r>
      <w:r w:rsidR="006D3D07">
        <w:t xml:space="preserve"> </w:t>
      </w:r>
      <w:r w:rsidRPr="004B0FE0">
        <w:t>authorities</w:t>
      </w:r>
      <w:r w:rsidR="006D3D07">
        <w:t xml:space="preserve"> </w:t>
      </w:r>
      <w:r w:rsidRPr="004B0FE0">
        <w:t>and courts</w:t>
      </w:r>
      <w:r w:rsidRPr="004B0FE0">
        <w:rPr>
          <w:vertAlign w:val="superscript"/>
        </w:rPr>
        <w:t>185</w:t>
      </w:r>
      <w:r w:rsidRPr="004B0FE0">
        <w:t>.</w:t>
      </w:r>
      <w:r w:rsidR="006D3D07">
        <w:t xml:space="preserve"> </w:t>
      </w:r>
      <w:r w:rsidRPr="004B0FE0">
        <w:t xml:space="preserve">The proposed SPC extension, by introducing novel eligibility criteria, </w:t>
      </w:r>
      <w:r w:rsidR="005734CF">
        <w:t>could</w:t>
      </w:r>
      <w:r w:rsidRPr="004B0FE0">
        <w:t xml:space="preserve"> increase litigation risk and consequently administrative costs and burdens. </w:t>
      </w:r>
    </w:p>
    <w:p w14:paraId="279BF16E" w14:textId="77777777" w:rsidR="009A2C23" w:rsidRPr="00E51FA7" w:rsidRDefault="009A2C23" w:rsidP="009A2C23">
      <w:pPr>
        <w:rPr>
          <w:b/>
          <w:bCs/>
        </w:rPr>
      </w:pPr>
      <w:r w:rsidRPr="00E51FA7">
        <w:rPr>
          <w:b/>
          <w:bCs/>
          <w:szCs w:val="20"/>
        </w:rPr>
        <w:t>Conclusion</w:t>
      </w:r>
    </w:p>
    <w:p w14:paraId="2489D9D0" w14:textId="77777777" w:rsidR="009A2C23" w:rsidRPr="00535D22" w:rsidRDefault="009A2C23" w:rsidP="009A2C23">
      <w:pPr>
        <w:spacing w:after="160" w:line="259" w:lineRule="auto"/>
        <w:rPr>
          <w:lang w:val="en-IE"/>
        </w:rPr>
      </w:pPr>
      <w:r w:rsidRPr="00535D22">
        <w:rPr>
          <w:lang w:val="en-IE"/>
        </w:rPr>
        <w:t>Overall, the SPC extension constitutes a targeted policy instrument that seeks to strengthen incentives for high-value biotechnology innovation while generating limited and time-bound costs for healthcare systems. Its impact is expected to be moderate in scale but strategically relevant in the context of broader efforts to enhance the competitiveness of the EU biotechnology sector.</w:t>
      </w:r>
    </w:p>
    <w:p w14:paraId="20375746" w14:textId="30485944" w:rsidR="007636EB" w:rsidRPr="00960345" w:rsidRDefault="007636EB" w:rsidP="00960345">
      <w:pPr>
        <w:spacing w:after="160" w:line="259" w:lineRule="auto"/>
        <w:rPr>
          <w:bCs/>
          <w:lang w:val="en-IE"/>
        </w:rPr>
      </w:pPr>
      <w:bookmarkStart w:id="379" w:name="_Toc221617234"/>
      <w:r w:rsidRPr="00960345">
        <w:rPr>
          <w:b/>
          <w:bCs/>
          <w:lang w:val="en-IE"/>
        </w:rPr>
        <w:t xml:space="preserve">Table </w:t>
      </w:r>
      <w:r w:rsidR="00305EF6" w:rsidRPr="00960345">
        <w:rPr>
          <w:b/>
          <w:bCs/>
          <w:lang w:val="en-IE"/>
        </w:rPr>
        <w:t>2</w:t>
      </w:r>
      <w:r w:rsidR="00EF070B">
        <w:rPr>
          <w:b/>
          <w:bCs/>
          <w:lang w:val="en-IE"/>
        </w:rPr>
        <w:t>2</w:t>
      </w:r>
      <w:r w:rsidR="006009B0">
        <w:rPr>
          <w:b/>
          <w:bCs/>
          <w:lang w:val="en-IE"/>
        </w:rPr>
        <w:t>.</w:t>
      </w:r>
      <w:r w:rsidRPr="00960345">
        <w:rPr>
          <w:b/>
          <w:bCs/>
          <w:lang w:val="en-IE"/>
        </w:rPr>
        <w:t xml:space="preserve"> Summary assessment of the effects due to the policy measure</w:t>
      </w:r>
      <w:bookmarkEnd w:id="379"/>
    </w:p>
    <w:tbl>
      <w:tblPr>
        <w:tblStyle w:val="TableGrid"/>
        <w:tblW w:w="0" w:type="auto"/>
        <w:tblLook w:val="04A0" w:firstRow="1" w:lastRow="0" w:firstColumn="1" w:lastColumn="0" w:noHBand="0" w:noVBand="1"/>
      </w:tblPr>
      <w:tblGrid>
        <w:gridCol w:w="1171"/>
        <w:gridCol w:w="1210"/>
        <w:gridCol w:w="1085"/>
        <w:gridCol w:w="1093"/>
        <w:gridCol w:w="935"/>
        <w:gridCol w:w="1080"/>
        <w:gridCol w:w="1096"/>
        <w:gridCol w:w="937"/>
      </w:tblGrid>
      <w:tr w:rsidR="007636EB" w:rsidRPr="00893ABD" w14:paraId="065320B3" w14:textId="77777777">
        <w:tc>
          <w:tcPr>
            <w:tcW w:w="1279" w:type="dxa"/>
          </w:tcPr>
          <w:p w14:paraId="061BD979" w14:textId="77777777" w:rsidR="007636EB" w:rsidRPr="005701A4" w:rsidRDefault="007636EB">
            <w:pPr>
              <w:rPr>
                <w:sz w:val="14"/>
                <w:szCs w:val="14"/>
              </w:rPr>
            </w:pPr>
            <w:r w:rsidRPr="005701A4">
              <w:rPr>
                <w:sz w:val="14"/>
                <w:szCs w:val="14"/>
              </w:rPr>
              <w:t>Policy interventions</w:t>
            </w:r>
          </w:p>
        </w:tc>
        <w:tc>
          <w:tcPr>
            <w:tcW w:w="1327" w:type="dxa"/>
          </w:tcPr>
          <w:p w14:paraId="75729D8B" w14:textId="77777777" w:rsidR="007636EB" w:rsidRPr="005701A4" w:rsidRDefault="007636EB">
            <w:pPr>
              <w:rPr>
                <w:sz w:val="14"/>
                <w:szCs w:val="14"/>
              </w:rPr>
            </w:pPr>
            <w:r w:rsidRPr="005701A4">
              <w:rPr>
                <w:sz w:val="14"/>
                <w:szCs w:val="14"/>
              </w:rPr>
              <w:t>COB</w:t>
            </w:r>
          </w:p>
        </w:tc>
        <w:tc>
          <w:tcPr>
            <w:tcW w:w="1117" w:type="dxa"/>
          </w:tcPr>
          <w:p w14:paraId="4912CC3D" w14:textId="77777777" w:rsidR="007636EB" w:rsidRPr="005701A4" w:rsidRDefault="007636EB">
            <w:pPr>
              <w:rPr>
                <w:sz w:val="14"/>
                <w:szCs w:val="14"/>
              </w:rPr>
            </w:pPr>
            <w:r w:rsidRPr="005701A4">
              <w:rPr>
                <w:sz w:val="14"/>
                <w:szCs w:val="14"/>
              </w:rPr>
              <w:t>Admin</w:t>
            </w:r>
          </w:p>
        </w:tc>
        <w:tc>
          <w:tcPr>
            <w:tcW w:w="1121" w:type="dxa"/>
          </w:tcPr>
          <w:p w14:paraId="71322BFB" w14:textId="77777777" w:rsidR="007636EB" w:rsidRPr="005701A4" w:rsidRDefault="007636EB">
            <w:pPr>
              <w:rPr>
                <w:sz w:val="14"/>
                <w:szCs w:val="14"/>
              </w:rPr>
            </w:pPr>
            <w:r w:rsidRPr="005701A4">
              <w:rPr>
                <w:sz w:val="14"/>
                <w:szCs w:val="14"/>
              </w:rPr>
              <w:t>CTI</w:t>
            </w:r>
          </w:p>
        </w:tc>
        <w:tc>
          <w:tcPr>
            <w:tcW w:w="944" w:type="dxa"/>
          </w:tcPr>
          <w:p w14:paraId="2CCE24A3" w14:textId="77777777" w:rsidR="007636EB" w:rsidRPr="005701A4" w:rsidRDefault="007636EB">
            <w:pPr>
              <w:rPr>
                <w:sz w:val="14"/>
                <w:szCs w:val="14"/>
              </w:rPr>
            </w:pPr>
            <w:r w:rsidRPr="005701A4">
              <w:rPr>
                <w:sz w:val="14"/>
                <w:szCs w:val="14"/>
              </w:rPr>
              <w:t>Int Mar</w:t>
            </w:r>
          </w:p>
        </w:tc>
        <w:tc>
          <w:tcPr>
            <w:tcW w:w="1158" w:type="dxa"/>
          </w:tcPr>
          <w:p w14:paraId="7B603CC8" w14:textId="77777777" w:rsidR="007636EB" w:rsidRPr="005701A4" w:rsidRDefault="007636EB">
            <w:pPr>
              <w:rPr>
                <w:sz w:val="14"/>
                <w:szCs w:val="14"/>
                <w:lang w:val="en-US"/>
              </w:rPr>
            </w:pPr>
            <w:r w:rsidRPr="005701A4">
              <w:rPr>
                <w:sz w:val="14"/>
                <w:szCs w:val="14"/>
              </w:rPr>
              <w:t>I</w:t>
            </w:r>
            <w:r w:rsidRPr="005701A4">
              <w:rPr>
                <w:sz w:val="14"/>
                <w:szCs w:val="14"/>
                <w:lang w:val="en-US"/>
              </w:rPr>
              <w:t>&amp;R</w:t>
            </w:r>
          </w:p>
        </w:tc>
        <w:tc>
          <w:tcPr>
            <w:tcW w:w="1134" w:type="dxa"/>
          </w:tcPr>
          <w:p w14:paraId="3608AE02" w14:textId="77777777" w:rsidR="007636EB" w:rsidRPr="005701A4" w:rsidRDefault="007636EB">
            <w:pPr>
              <w:rPr>
                <w:sz w:val="14"/>
                <w:szCs w:val="14"/>
              </w:rPr>
            </w:pPr>
            <w:r w:rsidRPr="005701A4">
              <w:rPr>
                <w:sz w:val="14"/>
                <w:szCs w:val="14"/>
              </w:rPr>
              <w:t>PA</w:t>
            </w:r>
          </w:p>
        </w:tc>
        <w:tc>
          <w:tcPr>
            <w:tcW w:w="1010" w:type="dxa"/>
          </w:tcPr>
          <w:p w14:paraId="06084531" w14:textId="77777777" w:rsidR="007636EB" w:rsidRPr="005701A4" w:rsidRDefault="007636EB">
            <w:pPr>
              <w:rPr>
                <w:sz w:val="14"/>
                <w:szCs w:val="14"/>
              </w:rPr>
            </w:pPr>
            <w:r w:rsidRPr="005701A4">
              <w:rPr>
                <w:sz w:val="14"/>
                <w:szCs w:val="14"/>
              </w:rPr>
              <w:t>H&amp;S</w:t>
            </w:r>
          </w:p>
        </w:tc>
      </w:tr>
      <w:tr w:rsidR="007636EB" w:rsidRPr="00893ABD" w14:paraId="1C754B44" w14:textId="77777777">
        <w:tc>
          <w:tcPr>
            <w:tcW w:w="1279" w:type="dxa"/>
          </w:tcPr>
          <w:p w14:paraId="3E1A39D6" w14:textId="77777777" w:rsidR="007636EB" w:rsidRPr="005701A4" w:rsidRDefault="007636EB">
            <w:pPr>
              <w:rPr>
                <w:sz w:val="14"/>
                <w:szCs w:val="14"/>
              </w:rPr>
            </w:pPr>
            <w:r w:rsidRPr="005701A4">
              <w:rPr>
                <w:sz w:val="14"/>
                <w:szCs w:val="14"/>
              </w:rPr>
              <w:t>MCA score</w:t>
            </w:r>
          </w:p>
        </w:tc>
        <w:tc>
          <w:tcPr>
            <w:tcW w:w="1327" w:type="dxa"/>
          </w:tcPr>
          <w:p w14:paraId="0F29932C" w14:textId="77777777" w:rsidR="007636EB" w:rsidRPr="005701A4" w:rsidRDefault="007636EB">
            <w:pPr>
              <w:rPr>
                <w:sz w:val="18"/>
                <w:szCs w:val="18"/>
              </w:rPr>
            </w:pPr>
            <w:r w:rsidRPr="005701A4">
              <w:rPr>
                <w:sz w:val="18"/>
                <w:szCs w:val="18"/>
              </w:rPr>
              <w:t>++</w:t>
            </w:r>
          </w:p>
        </w:tc>
        <w:tc>
          <w:tcPr>
            <w:tcW w:w="1117" w:type="dxa"/>
          </w:tcPr>
          <w:p w14:paraId="48FFBCF3" w14:textId="51EE0F8B" w:rsidR="007636EB" w:rsidRPr="005701A4" w:rsidRDefault="007636EB">
            <w:pPr>
              <w:rPr>
                <w:sz w:val="18"/>
                <w:szCs w:val="18"/>
              </w:rPr>
            </w:pPr>
            <w:r w:rsidRPr="005701A4">
              <w:rPr>
                <w:sz w:val="18"/>
                <w:szCs w:val="18"/>
              </w:rPr>
              <w:t>0</w:t>
            </w:r>
            <w:r w:rsidR="00A35761" w:rsidRPr="005701A4">
              <w:rPr>
                <w:sz w:val="18"/>
                <w:szCs w:val="18"/>
              </w:rPr>
              <w:t>/-</w:t>
            </w:r>
          </w:p>
        </w:tc>
        <w:tc>
          <w:tcPr>
            <w:tcW w:w="1121" w:type="dxa"/>
          </w:tcPr>
          <w:p w14:paraId="16009870" w14:textId="77777777" w:rsidR="007636EB" w:rsidRPr="005701A4" w:rsidRDefault="007636EB">
            <w:pPr>
              <w:rPr>
                <w:sz w:val="18"/>
                <w:szCs w:val="18"/>
              </w:rPr>
            </w:pPr>
            <w:r w:rsidRPr="005701A4">
              <w:rPr>
                <w:sz w:val="18"/>
                <w:szCs w:val="18"/>
              </w:rPr>
              <w:t>+</w:t>
            </w:r>
          </w:p>
        </w:tc>
        <w:tc>
          <w:tcPr>
            <w:tcW w:w="944" w:type="dxa"/>
          </w:tcPr>
          <w:p w14:paraId="2FE4B237" w14:textId="77777777" w:rsidR="007636EB" w:rsidRPr="005701A4" w:rsidRDefault="007636EB">
            <w:pPr>
              <w:rPr>
                <w:sz w:val="18"/>
                <w:szCs w:val="18"/>
              </w:rPr>
            </w:pPr>
            <w:r w:rsidRPr="005701A4">
              <w:rPr>
                <w:sz w:val="18"/>
                <w:szCs w:val="18"/>
              </w:rPr>
              <w:t>-</w:t>
            </w:r>
          </w:p>
        </w:tc>
        <w:tc>
          <w:tcPr>
            <w:tcW w:w="1158" w:type="dxa"/>
          </w:tcPr>
          <w:p w14:paraId="7395C44A" w14:textId="77777777" w:rsidR="007636EB" w:rsidRPr="005701A4" w:rsidRDefault="007636EB">
            <w:pPr>
              <w:rPr>
                <w:sz w:val="18"/>
                <w:szCs w:val="18"/>
              </w:rPr>
            </w:pPr>
            <w:r w:rsidRPr="005701A4">
              <w:rPr>
                <w:sz w:val="18"/>
                <w:szCs w:val="18"/>
              </w:rPr>
              <w:t>+</w:t>
            </w:r>
          </w:p>
        </w:tc>
        <w:tc>
          <w:tcPr>
            <w:tcW w:w="1134" w:type="dxa"/>
          </w:tcPr>
          <w:p w14:paraId="539842B1" w14:textId="77777777" w:rsidR="007636EB" w:rsidRPr="005701A4" w:rsidRDefault="007636EB">
            <w:pPr>
              <w:rPr>
                <w:sz w:val="18"/>
                <w:szCs w:val="18"/>
              </w:rPr>
            </w:pPr>
            <w:r w:rsidRPr="005701A4">
              <w:rPr>
                <w:sz w:val="18"/>
                <w:szCs w:val="18"/>
              </w:rPr>
              <w:t>0</w:t>
            </w:r>
          </w:p>
        </w:tc>
        <w:tc>
          <w:tcPr>
            <w:tcW w:w="1010" w:type="dxa"/>
          </w:tcPr>
          <w:p w14:paraId="13436B3A" w14:textId="77777777" w:rsidR="007636EB" w:rsidRPr="005701A4" w:rsidRDefault="007636EB">
            <w:pPr>
              <w:rPr>
                <w:sz w:val="18"/>
                <w:szCs w:val="18"/>
              </w:rPr>
            </w:pPr>
            <w:r w:rsidRPr="005701A4">
              <w:rPr>
                <w:sz w:val="18"/>
                <w:szCs w:val="18"/>
              </w:rPr>
              <w:t>-</w:t>
            </w:r>
          </w:p>
        </w:tc>
      </w:tr>
      <w:tr w:rsidR="007636EB" w:rsidRPr="00893ABD" w14:paraId="5CEEB500" w14:textId="77777777">
        <w:tc>
          <w:tcPr>
            <w:tcW w:w="1279" w:type="dxa"/>
          </w:tcPr>
          <w:p w14:paraId="5AD53636" w14:textId="77777777" w:rsidR="007636EB" w:rsidRPr="005701A4" w:rsidRDefault="007636EB">
            <w:pPr>
              <w:rPr>
                <w:sz w:val="14"/>
                <w:szCs w:val="14"/>
              </w:rPr>
            </w:pPr>
            <w:r w:rsidRPr="005701A4">
              <w:rPr>
                <w:sz w:val="14"/>
                <w:szCs w:val="14"/>
              </w:rPr>
              <w:t>Justification for each category</w:t>
            </w:r>
          </w:p>
        </w:tc>
        <w:tc>
          <w:tcPr>
            <w:tcW w:w="1327" w:type="dxa"/>
          </w:tcPr>
          <w:p w14:paraId="408D8C89" w14:textId="77777777" w:rsidR="007636EB" w:rsidRPr="005701A4" w:rsidRDefault="007636EB">
            <w:pPr>
              <w:rPr>
                <w:sz w:val="14"/>
                <w:szCs w:val="14"/>
              </w:rPr>
            </w:pPr>
            <w:r w:rsidRPr="005701A4">
              <w:rPr>
                <w:sz w:val="14"/>
                <w:szCs w:val="14"/>
              </w:rPr>
              <w:t>Improved business certainty, reduced late-stage commercial risk, and enhanced predictability of returns for a limited but clearly defined subset of biotech and ATMP products</w:t>
            </w:r>
          </w:p>
        </w:tc>
        <w:tc>
          <w:tcPr>
            <w:tcW w:w="1117" w:type="dxa"/>
          </w:tcPr>
          <w:p w14:paraId="11553239" w14:textId="77777777" w:rsidR="007636EB" w:rsidRPr="005701A4" w:rsidRDefault="007636EB">
            <w:pPr>
              <w:rPr>
                <w:sz w:val="14"/>
                <w:szCs w:val="14"/>
              </w:rPr>
            </w:pPr>
            <w:r w:rsidRPr="005701A4">
              <w:rPr>
                <w:sz w:val="14"/>
                <w:szCs w:val="14"/>
              </w:rPr>
              <w:t>No new standalone administrative obligations introduced by the SPC extension itself. Possible minor adjustment costs</w:t>
            </w:r>
          </w:p>
        </w:tc>
        <w:tc>
          <w:tcPr>
            <w:tcW w:w="1121" w:type="dxa"/>
          </w:tcPr>
          <w:p w14:paraId="0C746F01" w14:textId="77777777" w:rsidR="007636EB" w:rsidRPr="005701A4" w:rsidRDefault="007636EB">
            <w:pPr>
              <w:rPr>
                <w:sz w:val="14"/>
                <w:szCs w:val="14"/>
              </w:rPr>
            </w:pPr>
            <w:r w:rsidRPr="005701A4">
              <w:rPr>
                <w:sz w:val="14"/>
                <w:szCs w:val="14"/>
              </w:rPr>
              <w:t>Incremental influence on: clinical trials location, late-stage manufacturing decisions, scale-up in the EU, inclusion of EU in global value chains</w:t>
            </w:r>
          </w:p>
        </w:tc>
        <w:tc>
          <w:tcPr>
            <w:tcW w:w="944" w:type="dxa"/>
          </w:tcPr>
          <w:p w14:paraId="69D338FA" w14:textId="77777777" w:rsidR="007636EB" w:rsidRPr="005701A4" w:rsidRDefault="007636EB">
            <w:pPr>
              <w:rPr>
                <w:sz w:val="14"/>
                <w:szCs w:val="14"/>
              </w:rPr>
            </w:pPr>
            <w:r w:rsidRPr="005701A4">
              <w:rPr>
                <w:sz w:val="14"/>
                <w:szCs w:val="14"/>
              </w:rPr>
              <w:t>Competition is postponed but not distorted structurally</w:t>
            </w:r>
          </w:p>
        </w:tc>
        <w:tc>
          <w:tcPr>
            <w:tcW w:w="1158" w:type="dxa"/>
          </w:tcPr>
          <w:p w14:paraId="673DB0D3" w14:textId="77777777" w:rsidR="007636EB" w:rsidRPr="005701A4" w:rsidRDefault="007636EB">
            <w:pPr>
              <w:rPr>
                <w:sz w:val="14"/>
                <w:szCs w:val="14"/>
              </w:rPr>
            </w:pPr>
            <w:r w:rsidRPr="005701A4">
              <w:rPr>
                <w:sz w:val="14"/>
                <w:szCs w:val="14"/>
              </w:rPr>
              <w:t>Operates mainly through: expectations of protection, early patenting and portfolio decisions, anchoring high-value biotech projects</w:t>
            </w:r>
          </w:p>
        </w:tc>
        <w:tc>
          <w:tcPr>
            <w:tcW w:w="1134" w:type="dxa"/>
          </w:tcPr>
          <w:p w14:paraId="44B57EF8" w14:textId="77777777" w:rsidR="007636EB" w:rsidRPr="005701A4" w:rsidRDefault="007636EB">
            <w:pPr>
              <w:rPr>
                <w:sz w:val="14"/>
                <w:szCs w:val="14"/>
              </w:rPr>
            </w:pPr>
            <w:r w:rsidRPr="005701A4">
              <w:rPr>
                <w:sz w:val="14"/>
                <w:szCs w:val="14"/>
              </w:rPr>
              <w:t>No new standalone administrative obligations introduced by the SPC extension itself. Possible minor adjustment costs</w:t>
            </w:r>
          </w:p>
        </w:tc>
        <w:tc>
          <w:tcPr>
            <w:tcW w:w="1010" w:type="dxa"/>
          </w:tcPr>
          <w:p w14:paraId="01D4D4A7" w14:textId="77777777" w:rsidR="007636EB" w:rsidRPr="005701A4" w:rsidRDefault="007636EB">
            <w:pPr>
              <w:rPr>
                <w:sz w:val="14"/>
                <w:szCs w:val="14"/>
              </w:rPr>
            </w:pPr>
            <w:r w:rsidRPr="005701A4">
              <w:rPr>
                <w:sz w:val="14"/>
                <w:szCs w:val="14"/>
              </w:rPr>
              <w:t>fewer available products during extension period, prices remain somewhat higher for longer</w:t>
            </w:r>
          </w:p>
        </w:tc>
      </w:tr>
    </w:tbl>
    <w:p w14:paraId="18699013" w14:textId="610DA69F" w:rsidR="00625BEE" w:rsidRPr="006D796A" w:rsidRDefault="00625BEE" w:rsidP="00960345">
      <w:pPr>
        <w:pStyle w:val="Heading1"/>
      </w:pPr>
      <w:bookmarkStart w:id="380" w:name="_Toc225783218"/>
      <w:bookmarkStart w:id="381" w:name="_Toc225969836"/>
      <w:bookmarkStart w:id="382" w:name="_Toc225979168"/>
      <w:r w:rsidRPr="006D796A">
        <w:t xml:space="preserve">Intervention n°15: </w:t>
      </w:r>
      <w:r w:rsidRPr="006D796A">
        <w:rPr>
          <w:noProof/>
        </w:rPr>
        <w:t>Use of Artificial Intelligence and Data</w:t>
      </w:r>
      <w:bookmarkEnd w:id="380"/>
      <w:bookmarkEnd w:id="381"/>
      <w:bookmarkEnd w:id="382"/>
    </w:p>
    <w:p w14:paraId="24C8D9D5" w14:textId="77777777" w:rsidR="00625BEE" w:rsidRPr="006D796A" w:rsidRDefault="00625BEE" w:rsidP="00960345">
      <w:pPr>
        <w:pStyle w:val="Heading2"/>
      </w:pPr>
      <w:bookmarkStart w:id="383" w:name="_Toc225969837"/>
      <w:bookmarkStart w:id="384" w:name="_Toc225979169"/>
      <w:r w:rsidRPr="006D796A">
        <w:t>Detailed description of the proposed measures</w:t>
      </w:r>
      <w:bookmarkEnd w:id="383"/>
      <w:bookmarkEnd w:id="384"/>
    </w:p>
    <w:p w14:paraId="48598B4F" w14:textId="77777777" w:rsidR="00625BEE" w:rsidRPr="006D796A" w:rsidRDefault="00625BEE" w:rsidP="00625BEE">
      <w:pPr>
        <w:rPr>
          <w:lang w:val="en-IE"/>
        </w:rPr>
      </w:pPr>
      <w:r w:rsidRPr="006D796A">
        <w:rPr>
          <w:lang w:val="en-IE"/>
        </w:rPr>
        <w:t>The proposal establishes a framework to facilitate the safe, effective and scalable deployment of AI across the lifecycle of medicinal products, addressing regulatory uncertainty, infrastructure gaps and data limitations that currently constrain uptake.</w:t>
      </w:r>
    </w:p>
    <w:p w14:paraId="2E4221C1" w14:textId="248F1886" w:rsidR="00625BEE" w:rsidRPr="006D796A" w:rsidRDefault="00625BEE" w:rsidP="00625BEE">
      <w:pPr>
        <w:rPr>
          <w:lang w:val="en-IE"/>
        </w:rPr>
      </w:pPr>
      <w:r w:rsidRPr="006D796A">
        <w:rPr>
          <w:lang w:val="en-IE"/>
        </w:rPr>
        <w:t>First, the proposal introduces non-binding guidance to be developed and regularly updated by the European Medicines Agency (EMA), in agreement with the Commission, including the AI Office. This guidance covers the full lifecycle of medicinal products, including pre-</w:t>
      </w:r>
      <w:r w:rsidRPr="006D796A">
        <w:rPr>
          <w:lang w:val="en-IE"/>
        </w:rPr>
        <w:lastRenderedPageBreak/>
        <w:t>clinical research, clinical development and trials, manufacturing, regulatory evaluation and approval, and post-authorisation monitoring. It aims to provide clarity on the</w:t>
      </w:r>
      <w:r w:rsidRPr="4FCA6451">
        <w:rPr>
          <w:lang w:val="en-IE"/>
        </w:rPr>
        <w:t xml:space="preserve"> </w:t>
      </w:r>
      <w:r w:rsidR="6A7983D0" w:rsidRPr="4FCA6451">
        <w:rPr>
          <w:lang w:val="en-IE"/>
        </w:rPr>
        <w:t>development,</w:t>
      </w:r>
      <w:r w:rsidRPr="006D796A">
        <w:rPr>
          <w:lang w:val="en-IE"/>
        </w:rPr>
        <w:t xml:space="preserve"> deployment and validation of AI-enabled methodologies, including general-purpose AI models, while ensuring full coherence with the requirements of the AI Act and relevant sectoral legislation.</w:t>
      </w:r>
    </w:p>
    <w:p w14:paraId="6C3EA657" w14:textId="77777777" w:rsidR="00625BEE" w:rsidRPr="006D796A" w:rsidRDefault="00625BEE" w:rsidP="00625BEE">
      <w:pPr>
        <w:rPr>
          <w:lang w:val="en-IE"/>
        </w:rPr>
      </w:pPr>
      <w:r w:rsidRPr="006D796A">
        <w:rPr>
          <w:lang w:val="en-IE"/>
        </w:rPr>
        <w:t>Second, the proposal provides for the recognition of high-impact health biotechnology strategic projects in the form of trusted AI-enabled biotechnology testing environments. These environments are designed to bridge the gap between research and market deployment by providing integrated infrastructures combining wet-lab, computational and data-driven capabilities. Operating under “trusted conditions” that ensure compliance with Union and national legislation, they aim to complement existing AI regulatory sandboxes and testing facilities established under the AI Act, while avoiding duplication.</w:t>
      </w:r>
    </w:p>
    <w:p w14:paraId="3A8053FD" w14:textId="77777777" w:rsidR="00625BEE" w:rsidRPr="006D796A" w:rsidRDefault="00625BEE" w:rsidP="00625BEE">
      <w:pPr>
        <w:rPr>
          <w:lang w:val="en-IE"/>
        </w:rPr>
      </w:pPr>
      <w:r w:rsidRPr="006D796A">
        <w:rPr>
          <w:lang w:val="en-IE"/>
        </w:rPr>
        <w:t xml:space="preserve">These testing environments are intended to support experimentation, development and translational validation of AI-enabled biotechnology innovations, particularly in areas where AI can have a transformative impact, such as advanced therapies (e.g. ATMPs), immunology, and the development of new approach methodologies (NAMs). By enabling the joint use of advanced experimental systems and computational tools, they aim to optimise workflows, reduce development risks and accelerate validation processes. </w:t>
      </w:r>
    </w:p>
    <w:p w14:paraId="6822D877" w14:textId="77777777" w:rsidR="00625BEE" w:rsidRPr="006D796A" w:rsidRDefault="00625BEE" w:rsidP="00625BEE">
      <w:pPr>
        <w:rPr>
          <w:lang w:val="en-IE"/>
        </w:rPr>
      </w:pPr>
      <w:r w:rsidRPr="006D796A">
        <w:rPr>
          <w:lang w:val="en-IE"/>
        </w:rPr>
        <w:t>Third, the proposal establishes a framework for biotechnology data quality accelerators as a distinct category of high-impact strategic projects, addressing a critical bottleneck for AI deployment in biotechnology: the limited availability of high-quality, interoperable and AI-ready datasets. These accelerators aim to support the curation, standardisation, annotation and provenance verification of datasets used for training, testing and validation of AI systems and models in health biotechnology applications.</w:t>
      </w:r>
    </w:p>
    <w:p w14:paraId="1BD738FB" w14:textId="77777777" w:rsidR="00625BEE" w:rsidRPr="006D796A" w:rsidRDefault="00625BEE" w:rsidP="00960345">
      <w:pPr>
        <w:pStyle w:val="Heading2"/>
      </w:pPr>
      <w:bookmarkStart w:id="385" w:name="_Toc225969838"/>
      <w:bookmarkStart w:id="386" w:name="_Toc225979170"/>
      <w:r w:rsidRPr="006D796A">
        <w:t>Baseline and counterfactual scenario</w:t>
      </w:r>
      <w:bookmarkEnd w:id="385"/>
      <w:bookmarkEnd w:id="386"/>
    </w:p>
    <w:p w14:paraId="2AB1B04E" w14:textId="09BB4A3F" w:rsidR="00625BEE" w:rsidRPr="006D796A" w:rsidRDefault="5B35215A" w:rsidP="00625BEE">
      <w:pPr>
        <w:spacing w:before="240"/>
      </w:pPr>
      <w:r>
        <w:t>In the absence of the enabling measures on AI and data, the EU biotechnology sector is expected to face a widening capability gap relative to global competitors, such as US or China. While the Union possesses strong fundamental research, the lack of integrated infrastructure and lifecycle guidance specifically for bio-AI creates a bottleneck that constrains the translation of into scalable industrial value.  According to industry surveys, 82</w:t>
      </w:r>
      <w:r w:rsidR="006856C2">
        <w:t>%</w:t>
      </w:r>
      <w:r>
        <w:t xml:space="preserve"> of biopharmaceutical executives believe AI will fundamentally transform research and development within five years, and 63</w:t>
      </w:r>
      <w:r w:rsidR="006856C2">
        <w:t>%</w:t>
      </w:r>
      <w:r>
        <w:t xml:space="preserve"> consider that organisations failing to scale AI will fall behind in market relevance.</w:t>
      </w:r>
      <w:r w:rsidR="00625BEE" w:rsidRPr="006D796A">
        <w:rPr>
          <w:rStyle w:val="CommentSubjectChar"/>
          <w:b w:val="0"/>
          <w:bCs w:val="0"/>
          <w:sz w:val="24"/>
          <w:szCs w:val="24"/>
          <w:vertAlign w:val="superscript"/>
        </w:rPr>
        <w:footnoteReference w:id="329"/>
      </w:r>
      <w:r>
        <w:t xml:space="preserve"> However, the Union is losing ground to faster-moving competitors in North America and Asia, who are scaling up through targeted policy interventions.</w:t>
      </w:r>
      <w:r w:rsidR="00625BEE" w:rsidRPr="006D796A">
        <w:rPr>
          <w:rStyle w:val="CommentSubjectChar"/>
          <w:b w:val="0"/>
          <w:bCs w:val="0"/>
          <w:sz w:val="24"/>
          <w:szCs w:val="24"/>
          <w:vertAlign w:val="superscript"/>
        </w:rPr>
        <w:footnoteReference w:id="330"/>
      </w:r>
    </w:p>
    <w:p w14:paraId="7DC55FDF" w14:textId="77777777" w:rsidR="00625BEE" w:rsidRPr="006D796A" w:rsidRDefault="00625BEE" w:rsidP="00625BEE">
      <w:pPr>
        <w:spacing w:before="240"/>
        <w:rPr>
          <w:b/>
          <w:bCs/>
          <w:i/>
          <w:iCs/>
        </w:rPr>
      </w:pPr>
      <w:r w:rsidRPr="006D796A">
        <w:rPr>
          <w:b/>
          <w:bCs/>
          <w:i/>
          <w:iCs/>
        </w:rPr>
        <w:t>Regulatory clarity</w:t>
      </w:r>
    </w:p>
    <w:p w14:paraId="17FBEF6A" w14:textId="711C19D7" w:rsidR="00625BEE" w:rsidRPr="006D796A" w:rsidRDefault="5B35215A" w:rsidP="00625BEE">
      <w:pPr>
        <w:pStyle w:val="BodyText"/>
        <w:jc w:val="both"/>
        <w:rPr>
          <w:rFonts w:ascii="Times New Roman" w:hAnsi="Times New Roman" w:cs="Times New Roman"/>
        </w:rPr>
      </w:pPr>
      <w:r w:rsidRPr="3F982D60">
        <w:rPr>
          <w:rFonts w:ascii="Times New Roman" w:hAnsi="Times New Roman" w:cs="Times New Roman"/>
        </w:rPr>
        <w:lastRenderedPageBreak/>
        <w:t>AI-based methods are already widely used in pharmaceutical and biotechnology development, primarily to optimise processes, with outputs validated through conventional scientific methods</w:t>
      </w:r>
      <w:r w:rsidR="00625BEE" w:rsidRPr="006D796A">
        <w:rPr>
          <w:rStyle w:val="FootnoteReference"/>
          <w:rFonts w:ascii="Times New Roman" w:hAnsi="Times New Roman" w:cs="Times New Roman"/>
        </w:rPr>
        <w:footnoteReference w:id="331"/>
      </w:r>
      <w:r w:rsidRPr="3F982D60">
        <w:rPr>
          <w:rFonts w:ascii="Times New Roman" w:hAnsi="Times New Roman" w:cs="Times New Roman"/>
        </w:rPr>
        <w:t xml:space="preserve">. However, the emergence of AI uses in the lifecycle of medicines is creating uncertainty regarding how AI-enabled approaches may be applied within existing regulatory processes. This uncertainty largely reflects the absence of specific guidance or established practice for the </w:t>
      </w:r>
      <w:r w:rsidR="569061C2" w:rsidRPr="3F982D60">
        <w:rPr>
          <w:rFonts w:ascii="Times New Roman" w:hAnsi="Times New Roman" w:cs="Times New Roman"/>
        </w:rPr>
        <w:t xml:space="preserve">development, </w:t>
      </w:r>
      <w:r w:rsidRPr="3F982D60">
        <w:rPr>
          <w:rFonts w:ascii="Times New Roman" w:hAnsi="Times New Roman" w:cs="Times New Roman"/>
        </w:rPr>
        <w:t xml:space="preserve">validation and acceptance of AI-enabled methodologies in </w:t>
      </w:r>
      <w:r w:rsidR="1B45724E" w:rsidRPr="3F982D60">
        <w:rPr>
          <w:rFonts w:ascii="Times New Roman" w:hAnsi="Times New Roman" w:cs="Times New Roman"/>
        </w:rPr>
        <w:t xml:space="preserve"> across the medicines lifecycle</w:t>
      </w:r>
      <w:r w:rsidRPr="3F982D60">
        <w:rPr>
          <w:rFonts w:ascii="Times New Roman" w:hAnsi="Times New Roman" w:cs="Times New Roman"/>
        </w:rPr>
        <w:t xml:space="preserve">. Developers must rely primarily on case-by-case regulatory interactions to obtain feedback on whether specific AI applications  may be considered acceptable in regulatory submissions, in </w:t>
      </w:r>
      <w:r w:rsidR="007D48E7" w:rsidRPr="3F982D60">
        <w:rPr>
          <w:rFonts w:ascii="Times New Roman" w:hAnsi="Times New Roman" w:cs="Times New Roman"/>
        </w:rPr>
        <w:t>order</w:t>
      </w:r>
      <w:r w:rsidRPr="3F982D60">
        <w:rPr>
          <w:rFonts w:ascii="Times New Roman" w:hAnsi="Times New Roman" w:cs="Times New Roman"/>
        </w:rPr>
        <w:t xml:space="preserve"> to obtain clarity on whether internal governance and validation procedures will satisfy regulatory authorities</w:t>
      </w:r>
      <w:r w:rsidR="00625BEE" w:rsidRPr="006D796A">
        <w:rPr>
          <w:rStyle w:val="FootnoteReference"/>
          <w:rFonts w:ascii="Times New Roman" w:hAnsi="Times New Roman" w:cs="Times New Roman"/>
        </w:rPr>
        <w:footnoteReference w:id="332"/>
      </w:r>
      <w:r w:rsidRPr="3F982D60">
        <w:rPr>
          <w:rFonts w:ascii="Times New Roman" w:hAnsi="Times New Roman" w:cs="Times New Roman"/>
        </w:rPr>
        <w:t>.</w:t>
      </w:r>
    </w:p>
    <w:p w14:paraId="371C83A9" w14:textId="5E184DD5" w:rsidR="00625BEE" w:rsidRPr="006D796A" w:rsidRDefault="5B35215A" w:rsidP="00625BEE">
      <w:pPr>
        <w:spacing w:before="240"/>
      </w:pPr>
      <w:r>
        <w:t>The principal formal mechanism for obtaining regulatory clarity is EMA's Qualification Procedure for Novel Methodologies, costing EUR 89,000 per request (90</w:t>
      </w:r>
      <w:r w:rsidR="006856C2">
        <w:t>%</w:t>
      </w:r>
      <w:r>
        <w:t xml:space="preserve"> reduction for SMEs; no reduction for academic or non-profit developers) and taking 160–250 days</w:t>
      </w:r>
      <w:r w:rsidR="00625BEE" w:rsidRPr="006D796A">
        <w:rPr>
          <w:vertAlign w:val="superscript"/>
          <w:lang w:val="en-US"/>
        </w:rPr>
        <w:footnoteReference w:id="333"/>
      </w:r>
      <w:r>
        <w:t>. Firms also use other forms of regulatory interaction, including scientific advice procedures, Innovation Task Force meetings, and other early-stage regulatory discussions, which serve distinct purposes within the regulatory framework, with AI-related interactions growing and concentrated at the pre-authorisation stage</w:t>
      </w:r>
      <w:r w:rsidR="00625BEE" w:rsidRPr="006D796A">
        <w:rPr>
          <w:vertAlign w:val="superscript"/>
          <w:lang w:val="en-US"/>
        </w:rPr>
        <w:footnoteReference w:id="334"/>
      </w:r>
      <w:r w:rsidRPr="3F982D60">
        <w:rPr>
          <w:vertAlign w:val="superscript"/>
        </w:rPr>
        <w:t>,</w:t>
      </w:r>
      <w:r w:rsidR="00625BEE" w:rsidRPr="006D796A">
        <w:rPr>
          <w:vertAlign w:val="superscript"/>
          <w:lang w:val="en-US"/>
        </w:rPr>
        <w:footnoteReference w:id="335"/>
      </w:r>
      <w:r w:rsidRPr="3F982D60">
        <w:rPr>
          <w:vertAlign w:val="superscript"/>
        </w:rPr>
        <w:t>,</w:t>
      </w:r>
      <w:r w:rsidR="00625BEE" w:rsidRPr="006D796A">
        <w:rPr>
          <w:vertAlign w:val="superscript"/>
          <w:lang w:val="en-US"/>
        </w:rPr>
        <w:footnoteReference w:id="336"/>
      </w:r>
      <w:r w:rsidRPr="3F982D60">
        <w:rPr>
          <w:vertAlign w:val="superscript"/>
        </w:rPr>
        <w:t>,</w:t>
      </w:r>
      <w:r w:rsidR="00625BEE" w:rsidRPr="006D796A">
        <w:rPr>
          <w:vertAlign w:val="superscript"/>
          <w:lang w:val="en-US"/>
        </w:rPr>
        <w:footnoteReference w:id="337"/>
      </w:r>
      <w:r>
        <w:t>. Crucially, all outcomes are confidential and non-reusable — each company must fund its own interaction, producing no cumulative public knowledge base</w:t>
      </w:r>
      <w:r w:rsidR="00625BEE" w:rsidRPr="006D796A">
        <w:rPr>
          <w:vertAlign w:val="superscript"/>
          <w:lang w:val="en-US"/>
        </w:rPr>
        <w:footnoteReference w:id="338"/>
      </w:r>
      <w:r>
        <w:t>.</w:t>
      </w:r>
    </w:p>
    <w:p w14:paraId="5BF3AF2D" w14:textId="77777777" w:rsidR="00625BEE" w:rsidRPr="006D796A" w:rsidRDefault="5B35215A" w:rsidP="00625BEE">
      <w:pPr>
        <w:spacing w:before="240"/>
        <w:rPr>
          <w:lang w:val="en-US"/>
        </w:rPr>
      </w:pPr>
      <w:r w:rsidRPr="3F982D60">
        <w:rPr>
          <w:lang w:val="en-US"/>
        </w:rPr>
        <w:t>These timelines capture only the duration of the EMA Qualification Procedure for Novel Methodologies described above. The upstream period during which firms assess whether AI-enabled approaches are regulatorily viable before engaging EMA is unquantified but acknowledged as significant</w:t>
      </w:r>
      <w:r w:rsidR="00625BEE" w:rsidRPr="006D796A">
        <w:rPr>
          <w:vertAlign w:val="superscript"/>
          <w:lang w:val="en-US"/>
        </w:rPr>
        <w:footnoteReference w:id="339"/>
      </w:r>
      <w:r w:rsidRPr="3F982D60">
        <w:rPr>
          <w:lang w:val="en-US"/>
        </w:rPr>
        <w:t xml:space="preserve">. Workshop participants confirmed that R&amp;D teams delay commitment to AI-enabled approaches pending regulatory clarity, particularly for patient-facing applications such as AI-driven clinical trial site selection and patient selection, where validation standards remain unclear (workshop). No regulatory standard, guidance, or accepted practice currently exists for validation of AI-generated evidence, generative </w:t>
      </w:r>
      <w:r w:rsidRPr="3F982D60">
        <w:rPr>
          <w:lang w:val="en-US"/>
        </w:rPr>
        <w:lastRenderedPageBreak/>
        <w:t>AI outputs, internal AI governance frameworks, or AI applications in clinical trials</w:t>
      </w:r>
      <w:r w:rsidR="00625BEE" w:rsidRPr="006D796A">
        <w:rPr>
          <w:vertAlign w:val="superscript"/>
          <w:lang w:val="en-US"/>
        </w:rPr>
        <w:footnoteReference w:id="340"/>
      </w:r>
      <w:r w:rsidRPr="3F982D60">
        <w:rPr>
          <w:lang w:val="en-US"/>
        </w:rPr>
        <w:t xml:space="preserve"> (sentiment was also expressed in stakeholder workshop).</w:t>
      </w:r>
    </w:p>
    <w:p w14:paraId="2E9447D0" w14:textId="77777777" w:rsidR="00625BEE" w:rsidRPr="006D796A" w:rsidRDefault="5B35215A" w:rsidP="00625BEE">
      <w:pPr>
        <w:spacing w:before="240"/>
      </w:pPr>
      <w:r>
        <w:t>The measurable baseline is therefore EUR 89,000 and 160–250 days per formal interaction, with total pathway identification time substantially longer due to upstream deliberation</w:t>
      </w:r>
      <w:r w:rsidR="00625BEE" w:rsidRPr="006D796A">
        <w:rPr>
          <w:vertAlign w:val="superscript"/>
          <w:lang w:val="en-US"/>
        </w:rPr>
        <w:footnoteReference w:id="341"/>
      </w:r>
      <w:r w:rsidRPr="3F982D60">
        <w:rPr>
          <w:vertAlign w:val="superscript"/>
        </w:rPr>
        <w:t>,</w:t>
      </w:r>
      <w:r w:rsidR="00625BEE" w:rsidRPr="006D796A">
        <w:rPr>
          <w:vertAlign w:val="superscript"/>
          <w:lang w:val="en-US"/>
        </w:rPr>
        <w:footnoteReference w:id="342"/>
      </w:r>
      <w:r>
        <w:t>.</w:t>
      </w:r>
    </w:p>
    <w:p w14:paraId="0993B0B6" w14:textId="6B3761FE" w:rsidR="00625BEE" w:rsidRPr="006D796A" w:rsidRDefault="5B35215A" w:rsidP="00625BEE">
      <w:pPr>
        <w:spacing w:before="240"/>
        <w:rPr>
          <w:lang w:val="en-US"/>
        </w:rPr>
      </w:pPr>
      <w:r w:rsidRPr="3F982D60">
        <w:rPr>
          <w:lang w:val="en-US"/>
        </w:rPr>
        <w:t xml:space="preserve">Once developers have identified the applicable regulatory </w:t>
      </w:r>
      <w:r w:rsidRPr="4EC480EB" w:rsidDel="5B35215A">
        <w:rPr>
          <w:lang w:val="en-US"/>
        </w:rPr>
        <w:t>pathway</w:t>
      </w:r>
      <w:r w:rsidR="57A67BE6" w:rsidRPr="4EC480EB">
        <w:rPr>
          <w:lang w:val="en-US"/>
        </w:rPr>
        <w:t>,</w:t>
      </w:r>
      <w:r w:rsidRPr="3F982D60">
        <w:rPr>
          <w:lang w:val="en-US"/>
        </w:rPr>
        <w:t xml:space="preserve"> additional clarification and documentation efforts may arise when AI-enabled methodologies are used, due to the absence of specific guidance on their regulatory acceptance. The absence of codified evidence standards for AI-derived data</w:t>
      </w:r>
      <w:r w:rsidR="00625BEE" w:rsidRPr="006D796A">
        <w:rPr>
          <w:vertAlign w:val="superscript"/>
          <w:lang w:val="en-US"/>
        </w:rPr>
        <w:footnoteReference w:id="343"/>
      </w:r>
      <w:r w:rsidRPr="3F982D60">
        <w:rPr>
          <w:lang w:val="en-US"/>
        </w:rPr>
        <w:t xml:space="preserve"> forces developers into repeated clarification requests and additional regulator engagement to confirm the acceptability of their approaches. Stakeholders note that without fit-for-purpose frameworks, developers cannot align with regulatory expectations early in the process</w:t>
      </w:r>
      <w:r w:rsidR="00625BEE" w:rsidRPr="006D796A">
        <w:rPr>
          <w:vertAlign w:val="superscript"/>
          <w:lang w:val="en-US"/>
        </w:rPr>
        <w:footnoteReference w:id="344"/>
      </w:r>
      <w:r w:rsidRPr="3F982D60">
        <w:rPr>
          <w:lang w:val="en-US"/>
        </w:rPr>
        <w:t>, and the EMA's AI Workplan acknowledges that gaps in guidance require ongoing stakeholder engagement to prevent frameworks from lagging behind technological advances</w:t>
      </w:r>
      <w:r w:rsidR="00625BEE" w:rsidRPr="006D796A">
        <w:rPr>
          <w:vertAlign w:val="superscript"/>
          <w:lang w:val="en-US"/>
        </w:rPr>
        <w:footnoteReference w:id="345"/>
      </w:r>
      <w:r w:rsidRPr="3F982D60">
        <w:rPr>
          <w:lang w:val="en-US"/>
        </w:rPr>
        <w:t>.</w:t>
      </w:r>
    </w:p>
    <w:p w14:paraId="01EEE7CC" w14:textId="77777777" w:rsidR="00625BEE" w:rsidRPr="006D796A" w:rsidRDefault="5B35215A" w:rsidP="00625BEE">
      <w:pPr>
        <w:spacing w:before="240"/>
        <w:rPr>
          <w:lang w:val="en-US"/>
        </w:rPr>
      </w:pPr>
      <w:r w:rsidRPr="3F982D60">
        <w:rPr>
          <w:lang w:val="en-US"/>
        </w:rPr>
        <w:t>No specific guidance is yet available for lifecycle management of AI-based tools, including model retraining and updates, leaving "model change management" unresolved</w:t>
      </w:r>
      <w:r w:rsidR="00625BEE" w:rsidRPr="006D796A">
        <w:rPr>
          <w:vertAlign w:val="superscript"/>
          <w:lang w:val="en-US"/>
        </w:rPr>
        <w:footnoteReference w:id="346"/>
      </w:r>
      <w:r w:rsidRPr="3F982D60">
        <w:rPr>
          <w:lang w:val="en-US"/>
        </w:rPr>
        <w:t xml:space="preserve"> and imposing ongoing post-approval costs as developers design and justify their own procedures without regulatory reference points. Public consultations confirm that a substantial share of administrative costs arises from the need to interpret how different regulatory frameworks interact when applied to emerging AI-enabled methodologies</w:t>
      </w:r>
      <w:r w:rsidR="00625BEE" w:rsidRPr="006D796A">
        <w:rPr>
          <w:vertAlign w:val="superscript"/>
          <w:lang w:val="en-US"/>
        </w:rPr>
        <w:footnoteReference w:id="347"/>
      </w:r>
      <w:r w:rsidRPr="3F982D60">
        <w:rPr>
          <w:lang w:val="en-US"/>
        </w:rPr>
        <w:t>.</w:t>
      </w:r>
    </w:p>
    <w:p w14:paraId="453F40FF" w14:textId="656EC09D" w:rsidR="00625BEE" w:rsidRPr="006D796A" w:rsidRDefault="5B35215A" w:rsidP="00625BEE">
      <w:pPr>
        <w:spacing w:before="240"/>
        <w:rPr>
          <w:lang w:val="en-US"/>
        </w:rPr>
      </w:pPr>
      <w:r w:rsidRPr="3F982D60">
        <w:rPr>
          <w:lang w:val="en-US"/>
        </w:rPr>
        <w:t>AI tools could accelerate regulatory submissions by approximately 19</w:t>
      </w:r>
      <w:r w:rsidR="006856C2">
        <w:rPr>
          <w:lang w:val="en-US"/>
        </w:rPr>
        <w:t>%</w:t>
      </w:r>
      <w:r w:rsidRPr="3F982D60">
        <w:rPr>
          <w:lang w:val="en-US"/>
        </w:rPr>
        <w:t xml:space="preserve"> through automation and predictive modelling</w:t>
      </w:r>
      <w:r w:rsidR="00625BEE" w:rsidRPr="006D796A">
        <w:rPr>
          <w:vertAlign w:val="superscript"/>
          <w:lang w:val="en-US"/>
        </w:rPr>
        <w:footnoteReference w:id="348"/>
      </w:r>
      <w:r w:rsidRPr="3F982D60">
        <w:rPr>
          <w:lang w:val="en-US"/>
        </w:rPr>
        <w:t xml:space="preserve">. However, this potential is limited by uncertainty regarding how systems based on advanced technologies, including AI, can be deployed and used within existing regulatory frameworks for medicinal products across the </w:t>
      </w:r>
      <w:r w:rsidR="63AA8E3C" w:rsidRPr="3F982D60">
        <w:rPr>
          <w:lang w:val="en-US"/>
        </w:rPr>
        <w:t xml:space="preserve">medicines </w:t>
      </w:r>
      <w:r w:rsidRPr="3F982D60">
        <w:rPr>
          <w:lang w:val="en-US"/>
        </w:rPr>
        <w:t xml:space="preserve">lifecycle. </w:t>
      </w:r>
    </w:p>
    <w:p w14:paraId="26AD3FD9" w14:textId="77777777" w:rsidR="00625BEE" w:rsidRPr="006D796A" w:rsidRDefault="5B35215A" w:rsidP="00625BEE">
      <w:pPr>
        <w:spacing w:before="240"/>
        <w:rPr>
          <w:lang w:val="en-US"/>
        </w:rPr>
      </w:pPr>
      <w:r w:rsidRPr="3F982D60">
        <w:rPr>
          <w:lang w:val="en-US"/>
        </w:rPr>
        <w:lastRenderedPageBreak/>
        <w:t>Under the business-as-usual scenario, these conditions are expected to worsen. AI-related regulatory queries are already increasing</w:t>
      </w:r>
      <w:r w:rsidR="00625BEE" w:rsidRPr="006D796A">
        <w:rPr>
          <w:vertAlign w:val="superscript"/>
          <w:lang w:val="en-US"/>
        </w:rPr>
        <w:footnoteReference w:id="349"/>
      </w:r>
      <w:r w:rsidRPr="3F982D60">
        <w:rPr>
          <w:lang w:val="en-US"/>
        </w:rPr>
        <w:t xml:space="preserve"> and will accelerate as AI integration deepens. Each new entrant will face the same navigation costs, the confidential nature of outcomes will prevent any cumulative learning, and the growing complexity of the regulatory environment applicable to AI-enabled approaches will lengthen upstream deliberation further. For SMEs and academic developers, the barrier will become progressively more prohibitive, increasing the risk of project deferral, relocation outside the Union, or discontinuation.</w:t>
      </w:r>
    </w:p>
    <w:p w14:paraId="5F771DB4" w14:textId="77777777" w:rsidR="00625BEE" w:rsidRPr="006D796A" w:rsidRDefault="00625BEE" w:rsidP="00625BEE">
      <w:pPr>
        <w:spacing w:before="240"/>
        <w:rPr>
          <w:b/>
          <w:bCs/>
          <w:i/>
          <w:iCs/>
          <w:lang w:val="en-US"/>
        </w:rPr>
      </w:pPr>
      <w:r w:rsidRPr="006D796A">
        <w:rPr>
          <w:b/>
          <w:bCs/>
          <w:i/>
          <w:iCs/>
          <w:lang w:val="en-US"/>
        </w:rPr>
        <w:t>Use of data for AI</w:t>
      </w:r>
    </w:p>
    <w:p w14:paraId="77BB733B" w14:textId="08CC7B59" w:rsidR="00625BEE" w:rsidRPr="006D796A" w:rsidRDefault="5B35215A" w:rsidP="00625BEE">
      <w:pPr>
        <w:spacing w:before="240"/>
      </w:pPr>
      <w:r>
        <w:t xml:space="preserve">In terms of data use, </w:t>
      </w:r>
      <w:r w:rsidRPr="3F982D60">
        <w:rPr>
          <w:sz w:val="22"/>
          <w:szCs w:val="22"/>
        </w:rPr>
        <w:t>European AI models frequently rely on datasets originating from outside the Union, in particular for reference genetic sequences and multi-omics data.</w:t>
      </w:r>
      <w:r w:rsidR="00625BEE" w:rsidRPr="00084560">
        <w:rPr>
          <w:rStyle w:val="FootnoteReference"/>
        </w:rPr>
        <w:footnoteReference w:id="350"/>
      </w:r>
      <w:r w:rsidRPr="3F982D60">
        <w:rPr>
          <w:sz w:val="22"/>
          <w:szCs w:val="22"/>
        </w:rPr>
        <w:t xml:space="preserve"> </w:t>
      </w:r>
      <w:r w:rsidR="1308613B" w:rsidRPr="3F982D60">
        <w:rPr>
          <w:sz w:val="22"/>
          <w:szCs w:val="22"/>
        </w:rPr>
        <w:t xml:space="preserve">The European Health Data Space will provide diverse health data for AI training, testing and validation. </w:t>
      </w:r>
      <w:r w:rsidR="1308613B">
        <w:t>At the same time, d</w:t>
      </w:r>
      <w:r>
        <w:t>atasets relevant for biotechnology innovation often lack the annotation, interoperability, metadata, and provenance needed to support the training of regulatory-grade AI models.</w:t>
      </w:r>
      <w:r w:rsidR="00625BEE" w:rsidRPr="61FCB7C3">
        <w:rPr>
          <w:rStyle w:val="FootnoteReference"/>
        </w:rPr>
        <w:footnoteReference w:id="351"/>
      </w:r>
      <w:r>
        <w:t xml:space="preserve"> Health and genomic datasets remain siloed under incompatible formats</w:t>
      </w:r>
      <w:r w:rsidR="1308613B">
        <w:t>.</w:t>
      </w:r>
      <w:r w:rsidR="00625BEE" w:rsidRPr="61FCB7C3">
        <w:rPr>
          <w:rStyle w:val="FootnoteReference"/>
        </w:rPr>
        <w:footnoteReference w:id="352"/>
      </w:r>
      <w:r>
        <w:t xml:space="preserve"> Fewer than 20</w:t>
      </w:r>
      <w:r w:rsidR="006856C2">
        <w:t>%</w:t>
      </w:r>
      <w:r>
        <w:t xml:space="preserve"> of Union life-science firms possess the in-house AI expertise to curate high-quality datasets.</w:t>
      </w:r>
      <w:r w:rsidR="00625BEE" w:rsidRPr="61FCB7C3">
        <w:rPr>
          <w:rStyle w:val="FootnoteReference"/>
        </w:rPr>
        <w:footnoteReference w:id="353"/>
      </w:r>
      <w:r>
        <w:t xml:space="preserve"> Industry surveys reveal that for eight out of eleven key data elements needed for AI in research and development, fewer than half of biopharma executives believe their companies are adequately prepared.</w:t>
      </w:r>
      <w:r w:rsidR="00625BEE" w:rsidRPr="61FCB7C3">
        <w:rPr>
          <w:rStyle w:val="FootnoteReference"/>
        </w:rPr>
        <w:footnoteReference w:id="354"/>
      </w:r>
    </w:p>
    <w:p w14:paraId="6D408D66" w14:textId="77777777" w:rsidR="00625BEE" w:rsidRPr="006D796A" w:rsidRDefault="5B35215A" w:rsidP="00625BEE">
      <w:pPr>
        <w:spacing w:before="100" w:beforeAutospacing="1" w:after="100" w:afterAutospacing="1"/>
      </w:pPr>
      <w:r>
        <w:t>The biotechnology sector faces challenges with both data quantity and quality; without standardising curation processes, the Union cannot leverage its data assets to compete with the massive, integrated datasets available to competitors in North America and Asia.</w:t>
      </w:r>
      <w:r w:rsidR="00625BEE" w:rsidRPr="61FCB7C3">
        <w:rPr>
          <w:rStyle w:val="FootnoteReference"/>
        </w:rPr>
        <w:footnoteReference w:id="355"/>
      </w:r>
      <w:r>
        <w:t xml:space="preserve"> Fragmented metadata standards and inconsistent provenance documentation reduce interoperability across Member States, limiting the formation of large, regulatory-grade training datasets.</w:t>
      </w:r>
    </w:p>
    <w:p w14:paraId="607D82B4" w14:textId="77777777" w:rsidR="00625BEE" w:rsidRPr="006D796A" w:rsidRDefault="5B35215A" w:rsidP="00625BEE">
      <w:pPr>
        <w:spacing w:before="100" w:beforeAutospacing="1" w:after="100" w:afterAutospacing="1"/>
      </w:pPr>
      <w:r>
        <w:t>Databases with errors or incomplete data continue to result in imprecise outcomes.</w:t>
      </w:r>
      <w:r w:rsidR="00625BEE" w:rsidRPr="61FCB7C3">
        <w:rPr>
          <w:rStyle w:val="FootnoteReference"/>
        </w:rPr>
        <w:footnoteReference w:id="356"/>
      </w:r>
      <w:r>
        <w:t xml:space="preserve"> AI models require large, high-quality, annotated datasets. Absent stronger initiatives for data curation processes, validation criteria and interoperability standards, high-value datasets are likely to remain dispersed across incompatible environments. This may limit the development of foundational biological AI models trained on European data and slow the emergence of shared reference datasets for regulatory use. Over time, the interaction between fragmented standards, delayed guidance and uneven data quality risks reinforcing a cycle in which innovation advances faster than harmonised oversight frameworks, constraining the effective functioning of the internal market.</w:t>
      </w:r>
    </w:p>
    <w:p w14:paraId="4A0C2EF2" w14:textId="77777777" w:rsidR="00625BEE" w:rsidRPr="006D796A" w:rsidRDefault="00625BEE" w:rsidP="00625BEE">
      <w:pPr>
        <w:spacing w:before="100" w:beforeAutospacing="1" w:after="100" w:afterAutospacing="1"/>
      </w:pPr>
      <w:r w:rsidRPr="006D796A">
        <w:lastRenderedPageBreak/>
        <w:t>Under the baseline, data fragmentation, uneven standard adoption and regulatory variability are expected to persist. Their interaction increases cumulative compliance and integration costs for cross-border operations, effectively raising the marginal cost of scaling AI-enabled biotechnology within the Union. Over time, this dynamic may discourage multi-country deployment strategies, slow Union-wide diffusion of AI-enabled innovations and reduce the effective functioning of the internal market for advanced biotechnology.</w:t>
      </w:r>
    </w:p>
    <w:p w14:paraId="4BD5865C" w14:textId="77777777" w:rsidR="004D76BD" w:rsidRPr="004D76BD" w:rsidRDefault="1308613B" w:rsidP="004D76BD">
      <w:pPr>
        <w:spacing w:before="100" w:beforeAutospacing="1" w:after="100" w:afterAutospacing="1"/>
      </w:pPr>
      <w:r>
        <w:t>Without the intervention of data quality accelerators, the lack of clear standards means that the uptake of enhanced datasets is expected to remain low, and the volume of data available for secondary use is not expected to increase significantly.</w:t>
      </w:r>
      <w:r w:rsidR="004D76BD" w:rsidRPr="004D76BD">
        <w:rPr>
          <w:vertAlign w:val="superscript"/>
        </w:rPr>
        <w:footnoteReference w:id="357"/>
      </w:r>
    </w:p>
    <w:p w14:paraId="5071E7E8" w14:textId="77777777" w:rsidR="00625BEE" w:rsidRPr="006D796A" w:rsidRDefault="00625BEE" w:rsidP="00625BEE">
      <w:pPr>
        <w:spacing w:before="100" w:beforeAutospacing="1" w:after="100" w:afterAutospacing="1"/>
        <w:rPr>
          <w:i/>
          <w:iCs/>
        </w:rPr>
      </w:pPr>
      <w:r w:rsidRPr="006D796A">
        <w:rPr>
          <w:b/>
          <w:i/>
          <w:iCs/>
        </w:rPr>
        <w:t>Access to shared infrastructure and cross-border scale-up capacity</w:t>
      </w:r>
    </w:p>
    <w:p w14:paraId="3CDAA1FF" w14:textId="77777777" w:rsidR="00625BEE" w:rsidRPr="006D796A" w:rsidRDefault="5B35215A" w:rsidP="00625BEE">
      <w:pPr>
        <w:spacing w:before="100" w:beforeAutospacing="1" w:after="100" w:afterAutospacing="1"/>
      </w:pPr>
      <w:r>
        <w:t>Under current conditions, severe capacity constraints limit scale-up opportunities for the wider ecosystem. Facilities such as the Bio Base Europe Pilot Plant report performing scale-up work for over 280 different companies, including large enterprises. However, public authorities note that most European fermentation and production capacity is already fully utilised.</w:t>
      </w:r>
      <w:r w:rsidR="00625BEE" w:rsidRPr="61FCB7C3">
        <w:rPr>
          <w:rStyle w:val="FootnoteReference"/>
        </w:rPr>
        <w:footnoteReference w:id="358"/>
      </w:r>
      <w:r>
        <w:t xml:space="preserve"> The lack of available capacity creates a bottleneck for the entire sector. </w:t>
      </w:r>
    </w:p>
    <w:p w14:paraId="2A859100" w14:textId="77777777" w:rsidR="00625BEE" w:rsidRPr="006D796A" w:rsidRDefault="5B35215A" w:rsidP="00625BEE">
      <w:pPr>
        <w:spacing w:before="100" w:beforeAutospacing="1" w:after="100" w:afterAutospacing="1"/>
      </w:pPr>
      <w:r>
        <w:t>When pilot and demonstration facilities operate at or near full capacity, project timelines lengthen and firms must queue for access, increasing opportunity costs and delaying commercial translation. While SMEs are financially excluded from access to industrial-grade infrastructure, larger firms also face delays due to the scarcity of open-access demonstration facilities required to generate scalable data.</w:t>
      </w:r>
      <w:r w:rsidR="00625BEE" w:rsidRPr="61FCB7C3">
        <w:rPr>
          <w:rStyle w:val="FootnoteReference"/>
        </w:rPr>
        <w:footnoteReference w:id="359"/>
      </w:r>
      <w:r>
        <w:t xml:space="preserve"> This scarcity affects both entry and expansion, limiting the ability of smaller firms to transition from laboratory validation to industrial deployment.</w:t>
      </w:r>
    </w:p>
    <w:p w14:paraId="61186CEA" w14:textId="77777777" w:rsidR="00625BEE" w:rsidRPr="006D796A" w:rsidRDefault="5B35215A" w:rsidP="00625BEE">
      <w:pPr>
        <w:spacing w:before="100" w:beforeAutospacing="1" w:after="100" w:afterAutospacing="1"/>
      </w:pPr>
      <w:r>
        <w:t>Several examples of cross-border bio-AI scale-ups exist, including Biohm, MICROBS, and Kantify. Pilot facilities such as the Bio Base Europe Pilot Plant, Utrecht Science Park, and Estonia's Biobank facilitate effective scaling across borders.</w:t>
      </w:r>
      <w:r w:rsidR="00625BEE" w:rsidRPr="61FCB7C3">
        <w:rPr>
          <w:rStyle w:val="FootnoteReference"/>
        </w:rPr>
        <w:footnoteReference w:id="360"/>
      </w:r>
      <w:r>
        <w:t xml:space="preserve"> In the medium and long term, capacity constraints are expected to persist. This may reinforce geographic concentration of industrial biotechnology in a limited number of hubs and reduce the ability of firms to scale operations across multiple Member States. Over time, constrained access to industrial-grade infrastructure risks slowing the translation of AI-enabled research into market-ready production within the Union.</w:t>
      </w:r>
    </w:p>
    <w:p w14:paraId="01172487" w14:textId="27A4B92F" w:rsidR="00625BEE" w:rsidRPr="006D796A" w:rsidRDefault="5B35215A" w:rsidP="00625BEE">
      <w:pPr>
        <w:spacing w:before="100" w:beforeAutospacing="1" w:after="100" w:afterAutospacing="1"/>
      </w:pPr>
      <w:r>
        <w:t>The lack of investment in AI testbeds and innovation sandboxes limits opportunities for experimentation in realistic settings. Stakeholders stress that voluntary risk assessments are inadequate and call for mandatory safety evaluations for high-risk biological AI tools.</w:t>
      </w:r>
      <w:r w:rsidR="00625BEE" w:rsidRPr="61FCB7C3">
        <w:rPr>
          <w:rStyle w:val="FootnoteReference"/>
        </w:rPr>
        <w:footnoteReference w:id="361"/>
      </w:r>
      <w:r>
        <w:t xml:space="preserve"> Workshop participants also emphasised that uncertainty regarding validation standards and lifecycle management increases the difficulty of designing effective test environments, as developers lack clarity on what constitutes acceptable regulatory-grade </w:t>
      </w:r>
      <w:r>
        <w:lastRenderedPageBreak/>
        <w:t xml:space="preserve">evidence. </w:t>
      </w:r>
      <w:r w:rsidR="4C1C800E">
        <w:t>An international regulatory stakeholder</w:t>
      </w:r>
      <w:r>
        <w:t xml:space="preserve"> notes that innovation is hampered by the lack of structured, validated evidence from real-world testing environments. Without access to dedicated validation infrastructures, AI models cannot be effectively trained or tested against biological ground truth, limiting the accumulation of evidence that regulators need to issue fit-for-purpose guidance.</w:t>
      </w:r>
      <w:r w:rsidR="00625BEE" w:rsidRPr="61FCB7C3">
        <w:rPr>
          <w:rStyle w:val="FootnoteReference"/>
        </w:rPr>
        <w:footnoteReference w:id="362"/>
      </w:r>
    </w:p>
    <w:p w14:paraId="6FE10883" w14:textId="77777777" w:rsidR="00625BEE" w:rsidRPr="006D796A" w:rsidRDefault="5B35215A" w:rsidP="00625BEE">
      <w:pPr>
        <w:spacing w:before="100" w:beforeAutospacing="1" w:after="100" w:afterAutospacing="1"/>
      </w:pPr>
      <w:r>
        <w:t>Under the baseline, the transition from proof-of-concept to validation is expected to remain slow. Multiple digital policy frameworks addressing different aspects of AI and data and the lack of accessible validation infrastructure, including biobanks and high-performance computing, extend timelines. Regulatory requirements for rigorous validation are resource-intensive, and SMEs in particular face uncertainty about the level of proof required, leading to delays. Workshop stakeholders confirmed that ambiguity regarding evidentiary standards contributes to iterative clarification processes, increasing time-to-validation. The absence of integrated testing environments means that flaws in biological AI models are often detected only after significant investment, rather than during early-stage iterative testing. The research and development process remains linear and risk-heavy rather than iterative and agile. Public authorities are unable to accumulate the structured evidence needed to issue rapid, fit-for-purpose guidance.</w:t>
      </w:r>
      <w:r w:rsidR="00625BEE" w:rsidRPr="61FCB7C3">
        <w:rPr>
          <w:rStyle w:val="FootnoteReference"/>
        </w:rPr>
        <w:footnoteReference w:id="363"/>
      </w:r>
    </w:p>
    <w:p w14:paraId="27106FA5" w14:textId="276B8BDB" w:rsidR="00625BEE" w:rsidRPr="006D796A" w:rsidRDefault="5B35215A" w:rsidP="00625BEE">
      <w:pPr>
        <w:spacing w:before="100" w:beforeAutospacing="1" w:after="100" w:afterAutospacing="1"/>
      </w:pPr>
      <w:r>
        <w:t>In the baseline, the Union's biotechnology sector faces a significant capability gap in AI expertise. Fewer than 20</w:t>
      </w:r>
      <w:r w:rsidR="006856C2">
        <w:t>%</w:t>
      </w:r>
      <w:r>
        <w:t xml:space="preserve"> of Union life-science firms possess in-house AI expertise, compared to 45</w:t>
      </w:r>
      <w:r w:rsidR="006856C2">
        <w:t>%</w:t>
      </w:r>
      <w:r>
        <w:t xml:space="preserve"> in the United States.</w:t>
      </w:r>
      <w:r w:rsidR="00625BEE" w:rsidRPr="61FCB7C3">
        <w:rPr>
          <w:rStyle w:val="FootnoteReference"/>
        </w:rPr>
        <w:footnoteReference w:id="364"/>
      </w:r>
      <w:r>
        <w:t xml:space="preserve"> Industry surveys reveal that for eight out of eleven key data elements needed for AI in research and development, fewer than half of biopharma executives believe their companies are adequately prepared.</w:t>
      </w:r>
      <w:r w:rsidR="00625BEE" w:rsidRPr="61FCB7C3">
        <w:rPr>
          <w:rStyle w:val="FootnoteReference"/>
        </w:rPr>
        <w:footnoteReference w:id="365"/>
      </w:r>
    </w:p>
    <w:p w14:paraId="3C97DB18" w14:textId="469CA5A3" w:rsidR="00625BEE" w:rsidRPr="006D796A" w:rsidRDefault="5B35215A" w:rsidP="002E3043">
      <w:pPr>
        <w:spacing w:before="100" w:beforeAutospacing="1" w:after="100" w:afterAutospacing="1"/>
      </w:pPr>
      <w:r>
        <w:t>This capability gap limits firms’ ability not only to develop AI tools internally but also to critically assess, validate and integrate externally developed models into regulated workflows. In controlled tasks, AI demonstrates exceptional capability. The EMA's Scientific Explorer achieved F1 scores of 0.89 to 0.94 in information retrieval</w:t>
      </w:r>
      <w:r w:rsidR="00625BEE" w:rsidRPr="61FCB7C3">
        <w:rPr>
          <w:rStyle w:val="FootnoteReference"/>
        </w:rPr>
        <w:footnoteReference w:id="366"/>
      </w:r>
      <w:r>
        <w:t>, and OpenAI's o1-preview model achieved 96</w:t>
      </w:r>
      <w:r w:rsidR="006856C2">
        <w:t>%</w:t>
      </w:r>
      <w:r>
        <w:t xml:space="preserve"> accuracy on medical licensing datasets</w:t>
      </w:r>
      <w:r w:rsidR="00625BEE" w:rsidRPr="61FCB7C3">
        <w:rPr>
          <w:rStyle w:val="FootnoteReference"/>
        </w:rPr>
        <w:footnoteReference w:id="367"/>
      </w:r>
      <w:r>
        <w:t>. However, a systematic review reveals a knowledge-practice gap: while models score high on knowledge benchmarks (61 to 79</w:t>
      </w:r>
      <w:r w:rsidR="006856C2">
        <w:t>%</w:t>
      </w:r>
      <w:r>
        <w:t>), their performance drops in practice-based scenarios (45 to 69</w:t>
      </w:r>
      <w:r w:rsidR="006856C2">
        <w:t>%</w:t>
      </w:r>
      <w:r>
        <w:t>)</w:t>
      </w:r>
      <w:r w:rsidR="00625BEE" w:rsidRPr="61FCB7C3">
        <w:rPr>
          <w:rStyle w:val="FootnoteReference"/>
        </w:rPr>
        <w:footnoteReference w:id="368"/>
      </w:r>
      <w:r>
        <w:t xml:space="preserve">. </w:t>
      </w:r>
    </w:p>
    <w:p w14:paraId="28BCEC81" w14:textId="77777777" w:rsidR="00625BEE" w:rsidRPr="006D796A" w:rsidRDefault="00625BEE" w:rsidP="00625BEE">
      <w:pPr>
        <w:spacing w:before="100" w:beforeAutospacing="1" w:after="100" w:afterAutospacing="1"/>
      </w:pPr>
      <w:r w:rsidRPr="006D796A">
        <w:t xml:space="preserve">This knowledge–practice gap underscores the difference between benchmark performance and deployment readiness. Without integrated testing environments and clear validation </w:t>
      </w:r>
      <w:r w:rsidRPr="006D796A">
        <w:lastRenderedPageBreak/>
        <w:t>standards, high-performing models are expected to struggle to translate into reliable, regulatory-grade tools.</w:t>
      </w:r>
    </w:p>
    <w:p w14:paraId="72C9E0F5" w14:textId="77777777" w:rsidR="00625BEE" w:rsidRPr="006D796A" w:rsidRDefault="00625BEE" w:rsidP="00625BEE">
      <w:pPr>
        <w:spacing w:before="100" w:beforeAutospacing="1" w:after="100" w:afterAutospacing="1"/>
      </w:pPr>
      <w:r w:rsidRPr="006D796A">
        <w:t>Workshop participants emphasised that uncertainty regarding evidentiary requirements and lifecycle management further complicates internal capability development, as firms lack clarity on the level of proof and documentation required for regulatory acceptance. This increases reliance on external consultants and technology providers, reinforcing capability asymmetries between large firms and SMEs.</w:t>
      </w:r>
    </w:p>
    <w:p w14:paraId="292EF26B" w14:textId="028B46BE" w:rsidR="00625BEE" w:rsidRPr="006D796A" w:rsidRDefault="00625BEE" w:rsidP="00625BEE">
      <w:pPr>
        <w:spacing w:before="100" w:beforeAutospacing="1" w:after="100" w:afterAutospacing="1"/>
      </w:pPr>
      <w:r w:rsidRPr="006D796A">
        <w:t xml:space="preserve">Under the baseline, limited in-house expertise, ambiguous validation expectations and insufficient integrated experimentation environments are expected to reinforce each other. Firms with constrained AI capability may underinvest in lifecycle integration, while regulatory uncertainty discourages ambitious internal scaling strategies. Over time, </w:t>
      </w:r>
      <w:r w:rsidR="00F86D60" w:rsidRPr="006D796A">
        <w:t>these dynamic risks</w:t>
      </w:r>
      <w:r w:rsidRPr="006D796A">
        <w:t xml:space="preserve"> widening the capability gap between Union firms and global competitors with more mature AI integration ecosystems.</w:t>
      </w:r>
    </w:p>
    <w:p w14:paraId="0916B6C3" w14:textId="77777777" w:rsidR="00625BEE" w:rsidRPr="006D796A" w:rsidRDefault="00625BEE" w:rsidP="00960345">
      <w:pPr>
        <w:pStyle w:val="Heading2"/>
      </w:pPr>
      <w:bookmarkStart w:id="387" w:name="_Toc225969839"/>
      <w:bookmarkStart w:id="388" w:name="_Toc225979171"/>
      <w:r w:rsidRPr="006D796A">
        <w:t>Expected impacts</w:t>
      </w:r>
      <w:bookmarkEnd w:id="387"/>
      <w:bookmarkEnd w:id="388"/>
    </w:p>
    <w:p w14:paraId="7ED31312" w14:textId="559D8B2F" w:rsidR="00071C29" w:rsidRPr="006D796A" w:rsidRDefault="00071C29" w:rsidP="00071C29">
      <w:pPr>
        <w:rPr>
          <w:b/>
          <w:bCs/>
        </w:rPr>
      </w:pPr>
      <w:bookmarkStart w:id="389" w:name="_Toc224218992"/>
      <w:r w:rsidRPr="006D796A">
        <w:rPr>
          <w:b/>
          <w:bCs/>
        </w:rPr>
        <w:t>Conduct of business</w:t>
      </w:r>
      <w:bookmarkEnd w:id="389"/>
    </w:p>
    <w:p w14:paraId="028F8D28" w14:textId="77777777" w:rsidR="00071C29" w:rsidRPr="00960345" w:rsidRDefault="7504CECB" w:rsidP="00960345">
      <w:r w:rsidRPr="00960345">
        <w:t>The non-binding guidance is expected to help reduce costly, one-off bilateral interactions by having a single publicly available reference point, reducing per-company transaction costs and enabling firms, to make development decisions with greater confidence</w:t>
      </w:r>
      <w:r w:rsidR="00071C29" w:rsidRPr="00960345">
        <w:rPr>
          <w:rStyle w:val="FootnoteReference"/>
        </w:rPr>
        <w:footnoteReference w:id="369"/>
      </w:r>
      <w:r w:rsidRPr="00960345">
        <w:t xml:space="preserve">. The guidance would also reduce internal deliberation time within companies, where R&amp;D teams currently delay commitment to AI-enabled approaches pending clarity on regulatory acceptability. </w:t>
      </w:r>
    </w:p>
    <w:p w14:paraId="69A4EB4B" w14:textId="08A7C29F" w:rsidR="00071C29" w:rsidRPr="00960345" w:rsidRDefault="7504CECB" w:rsidP="00960345">
      <w:r w:rsidRPr="00960345">
        <w:t>The guidance would disproportionately benefit SMEs, start-ups, and scale-ups by democratising access to regulatory intelligence that is currently available only through expensive formal procedures or informal networks with EMA.</w:t>
      </w:r>
      <w:r w:rsidR="631C36B4">
        <w:t xml:space="preserve"> </w:t>
      </w:r>
      <w:r w:rsidRPr="00960345">
        <w:t>The potential cost relief is concrete. EMA's qualification procedure costs EUR 89,000</w:t>
      </w:r>
      <w:r w:rsidR="24D9481C">
        <w:t xml:space="preserve"> </w:t>
      </w:r>
      <w:r w:rsidRPr="00960345">
        <w:t>reduced by 90</w:t>
      </w:r>
      <w:r w:rsidR="006856C2">
        <w:t>%</w:t>
      </w:r>
      <w:r w:rsidRPr="00960345">
        <w:t xml:space="preserve"> for SMEs but not for academic or non-profit developers</w:t>
      </w:r>
      <w:r w:rsidR="00071C29" w:rsidRPr="00960345">
        <w:rPr>
          <w:rStyle w:val="FootnoteReference"/>
        </w:rPr>
        <w:footnoteReference w:id="370"/>
      </w:r>
      <w:r w:rsidRPr="00960345">
        <w:t xml:space="preserve">. Even with the reduction, the procedure demands 160–250 days and produces confidential, non-reusable outcomes. Published guidance could help replace at least part of these procedures this with a free, publicly accessible reference point. </w:t>
      </w:r>
    </w:p>
    <w:p w14:paraId="76E38B23" w14:textId="202C5CF3" w:rsidR="00071C29" w:rsidRPr="00960345" w:rsidRDefault="00071C29" w:rsidP="00960345">
      <w:r w:rsidRPr="00960345">
        <w:t>It is important to note, however, that the costs will not be fully eliminated. While the guidance is not binding, once EMA publishes this guidance it will become a de facto standard that assessors reference</w:t>
      </w:r>
      <w:r w:rsidR="00402EA3" w:rsidRPr="006D796A">
        <w:t>, so c</w:t>
      </w:r>
      <w:r w:rsidRPr="00960345">
        <w:t xml:space="preserve">ompanies that deviate will bear the burden of justifying alternative approaches. </w:t>
      </w:r>
    </w:p>
    <w:p w14:paraId="304EBD80" w14:textId="08557003" w:rsidR="00071C29" w:rsidRPr="00960345" w:rsidRDefault="00071C29" w:rsidP="00960345">
      <w:r w:rsidRPr="00960345">
        <w:t xml:space="preserve">The </w:t>
      </w:r>
      <w:r w:rsidRPr="00960345">
        <w:rPr>
          <w:lang w:val="en-IE"/>
        </w:rPr>
        <w:t xml:space="preserve">testing environments </w:t>
      </w:r>
      <w:r w:rsidRPr="00960345">
        <w:t xml:space="preserve">are expected to generate significant structural impacts by addressing the current deficit of shared GMP-compliant pilot and scale-up infrastructure </w:t>
      </w:r>
      <w:r w:rsidRPr="00960345">
        <w:lastRenderedPageBreak/>
        <w:t xml:space="preserve">in the Union. </w:t>
      </w:r>
      <w:r w:rsidR="003F1F8D" w:rsidRPr="00E6106C">
        <w:t>They</w:t>
      </w:r>
      <w:r w:rsidRPr="00960345">
        <w:t xml:space="preserve"> would convert </w:t>
      </w:r>
      <w:r w:rsidR="001165A0" w:rsidRPr="00E6106C">
        <w:t xml:space="preserve">some </w:t>
      </w:r>
      <w:r w:rsidRPr="00960345">
        <w:t>firm-level fixed capital expenditure into pooled infrastructure accessible to multiple users. This is expected to reduce per-firm investment requirements for AI-enabled validation and scale-up activities. Where supported by predictable funding, comparable shared infrastructure models have demonstrated the capacity to crowd in private investment and accelerate the commercial translation of research outputs.</w:t>
      </w:r>
    </w:p>
    <w:p w14:paraId="3E0C17E7" w14:textId="49A95810" w:rsidR="00071C29" w:rsidRPr="00960345" w:rsidRDefault="00071C29" w:rsidP="00960345">
      <w:r w:rsidRPr="00960345">
        <w:t>Time-to-access effects are likely to be material. SMEs may face delays of up to 18–24 months in securing pilot-GMP capacity under current conditions. Such delays reduce the effective duration of intellectual property protection and weaken competitiveness. Criteria-based access to shared facilities would reduce these delays by removing the nee</w:t>
      </w:r>
      <w:r w:rsidR="007F4D73">
        <w:t xml:space="preserve">d </w:t>
      </w:r>
      <w:r w:rsidRPr="00960345">
        <w:t>for individual firms to establish or negotiate bespoke infrastructure arrangements.</w:t>
      </w:r>
    </w:p>
    <w:p w14:paraId="471D613D" w14:textId="77777777" w:rsidR="00071C29" w:rsidRDefault="00071C29" w:rsidP="00960345">
      <w:r w:rsidRPr="00960345">
        <w:t>For SMEs and start-ups in particular, the expected impact extends beyond cost reduction. Limited access to pilot-scale infrastructure constrains the practical deployment of AI-enabled biotechnology and increases the risk that projects are delayed, outsourced outside the Union, or discontinued. Shared testing environments are therefore expected to function as an enabling condition for commercialisation, rather than merely as a cost-efficiency measure.</w:t>
      </w:r>
    </w:p>
    <w:p w14:paraId="3DCBCED7" w14:textId="77777777" w:rsidR="00BB3429" w:rsidRPr="006D796A" w:rsidRDefault="00BB3429" w:rsidP="00960345"/>
    <w:p w14:paraId="4D283049" w14:textId="77777777" w:rsidR="00071C29" w:rsidRPr="00960345" w:rsidRDefault="00071C29" w:rsidP="00960345">
      <w:pPr>
        <w:rPr>
          <w:b/>
          <w:bCs/>
        </w:rPr>
      </w:pPr>
      <w:bookmarkStart w:id="390" w:name="_Toc224218993"/>
      <w:r w:rsidRPr="00960345">
        <w:rPr>
          <w:b/>
          <w:bCs/>
        </w:rPr>
        <w:t>Administrative costs on businesses, including SMEs</w:t>
      </w:r>
      <w:bookmarkEnd w:id="390"/>
    </w:p>
    <w:p w14:paraId="19D1332B" w14:textId="60C2C0C2" w:rsidR="00071C29" w:rsidRPr="00E05569" w:rsidRDefault="00071C29" w:rsidP="00071C29">
      <w:pPr>
        <w:spacing w:before="100" w:beforeAutospacing="1" w:after="100" w:afterAutospacing="1"/>
      </w:pPr>
      <w:r>
        <w:t>D</w:t>
      </w:r>
      <w:r w:rsidRPr="00E05569">
        <w:t>etailed guidance may function as a de facto standard</w:t>
      </w:r>
      <w:r w:rsidR="004C657B">
        <w:t>, which means that i</w:t>
      </w:r>
      <w:r w:rsidRPr="00E05569">
        <w:t xml:space="preserve">f guidance is overly prescriptive or diverges from emerging international approaches, EU-based developers may face higher compliance burdens in global development programmes. </w:t>
      </w:r>
    </w:p>
    <w:p w14:paraId="09A4B983" w14:textId="6215855A" w:rsidR="00071C29" w:rsidRPr="00320ABE" w:rsidRDefault="0EA38B93" w:rsidP="00071C29">
      <w:pPr>
        <w:spacing w:before="100" w:beforeAutospacing="1" w:after="100" w:afterAutospacing="1"/>
      </w:pPr>
      <w:r w:rsidRPr="3F982D60">
        <w:rPr>
          <w:lang w:val="en-IE"/>
        </w:rPr>
        <w:t>As regards</w:t>
      </w:r>
      <w:r w:rsidR="7504CECB" w:rsidRPr="3F982D60">
        <w:rPr>
          <w:lang w:val="en-IE"/>
        </w:rPr>
        <w:t xml:space="preserve"> testing environments and data quality accelerators</w:t>
      </w:r>
      <w:r w:rsidRPr="3F982D60">
        <w:rPr>
          <w:lang w:val="en-IE"/>
        </w:rPr>
        <w:t>, their recognition</w:t>
      </w:r>
      <w:r w:rsidR="7504CECB" w:rsidRPr="3F982D60">
        <w:rPr>
          <w:lang w:val="en-IE"/>
        </w:rPr>
        <w:t xml:space="preserve"> </w:t>
      </w:r>
      <w:r w:rsidR="7504CECB">
        <w:t>as high impact health biotechnology strategic projects</w:t>
      </w:r>
      <w:r>
        <w:t xml:space="preserve"> entails that</w:t>
      </w:r>
      <w:r w:rsidR="7504CECB">
        <w:t xml:space="preserve"> promoters must prepare applications, demonstrate eligibility against defined criteria, and operate under trusted conditions with ongoing reporting and knowledge-sharing obligations. This creates material implementation costs at firm level, the scale of which depends on the governance route chosen by Member States. For the recognition-and-coordination pathway the </w:t>
      </w:r>
      <w:r w:rsidR="470B39FD">
        <w:t>proposal</w:t>
      </w:r>
      <w:r w:rsidR="7504CECB">
        <w:t xml:space="preserve"> establishes, </w:t>
      </w:r>
      <w:r w:rsidR="470B39FD">
        <w:t>cost</w:t>
      </w:r>
      <w:r w:rsidR="7504CECB">
        <w:t xml:space="preserve"> estimates </w:t>
      </w:r>
      <w:r w:rsidR="470B39FD">
        <w:t>can be</w:t>
      </w:r>
      <w:r w:rsidR="7504CECB">
        <w:t xml:space="preserve"> drawn from Horizon Europe experience</w:t>
      </w:r>
      <w:r w:rsidR="470B39FD">
        <w:t>s</w:t>
      </w:r>
      <w:r w:rsidR="7504CECB">
        <w:t>, where beneficiary administrative effort typically runs at 6–10</w:t>
      </w:r>
      <w:r w:rsidR="006856C2">
        <w:t>%</w:t>
      </w:r>
      <w:r w:rsidR="7504CECB">
        <w:t xml:space="preserve"> of project budgets, corresponding to approximately 0.5–1 FTE per project per year</w:t>
      </w:r>
      <w:r w:rsidR="00071C29">
        <w:rPr>
          <w:rStyle w:val="FootnoteReference"/>
        </w:rPr>
        <w:footnoteReference w:id="371"/>
      </w:r>
      <w:r w:rsidR="7504CECB">
        <w:t>. Scaled to reflect the additional requirements of a strategic project recognition framework, including dual reporting to national and EU authorities and longer monitoring periods,  a reasonable central estimate is 1–2 FTE per project per year, corresponding to approximately 1–2</w:t>
      </w:r>
      <w:r w:rsidR="006856C2">
        <w:t>%</w:t>
      </w:r>
      <w:r w:rsidR="7504CECB">
        <w:t xml:space="preserve"> of total project value. Evidence from comparable EU funding instruments indicates that beneficiary administrative burden can absorb around 11</w:t>
      </w:r>
      <w:r w:rsidR="006856C2">
        <w:t>%</w:t>
      </w:r>
      <w:r w:rsidR="7504CECB">
        <w:t xml:space="preserve"> of eligible funding compared with 4</w:t>
      </w:r>
      <w:r w:rsidR="006856C2">
        <w:t>%</w:t>
      </w:r>
      <w:r w:rsidR="7504CECB">
        <w:t xml:space="preserve"> for </w:t>
      </w:r>
      <w:r w:rsidR="7504CECB">
        <w:lastRenderedPageBreak/>
        <w:t>managing authorities</w:t>
      </w:r>
      <w:r w:rsidR="00071C29">
        <w:rPr>
          <w:rStyle w:val="FootnoteReference"/>
        </w:rPr>
        <w:footnoteReference w:id="372"/>
      </w:r>
      <w:r w:rsidR="7504CECB">
        <w:t>; given the lighter governance structure of the Act's recognition pathway, this figure should be treated as an upper bound rather than a central estimate.</w:t>
      </w:r>
    </w:p>
    <w:p w14:paraId="46BA688D" w14:textId="3D46C08A" w:rsidR="00380603" w:rsidRPr="00320ABE" w:rsidRDefault="00380603" w:rsidP="00380603">
      <w:pPr>
        <w:tabs>
          <w:tab w:val="left" w:pos="5954"/>
        </w:tabs>
        <w:spacing w:before="100" w:beforeAutospacing="1" w:after="100" w:afterAutospacing="1"/>
      </w:pPr>
      <w:r>
        <w:t xml:space="preserve">Where Member States choose to route funding under State aid rules, they are obliged to notify the envisaged aid to the Commission (for assessment and decision) before the public funding is </w:t>
      </w:r>
      <w:r w:rsidR="00C74950">
        <w:t>granted. This</w:t>
      </w:r>
      <w:r>
        <w:t xml:space="preserve"> should be factored in the overall procedure, while however it is not necessarily representative of the Act's default recognition-and-coordination pathway.</w:t>
      </w:r>
    </w:p>
    <w:p w14:paraId="7A112BEE" w14:textId="77777777" w:rsidR="00071C29" w:rsidRPr="00960345" w:rsidRDefault="00071C29" w:rsidP="00960345">
      <w:pPr>
        <w:rPr>
          <w:b/>
          <w:bCs/>
        </w:rPr>
      </w:pPr>
      <w:bookmarkStart w:id="391" w:name="_Toc224218994"/>
      <w:r w:rsidRPr="00960345">
        <w:rPr>
          <w:b/>
          <w:bCs/>
        </w:rPr>
        <w:t>Competitiveness, trade and investment flows</w:t>
      </w:r>
      <w:bookmarkEnd w:id="391"/>
    </w:p>
    <w:p w14:paraId="7FCF3461" w14:textId="6EA9B9E4" w:rsidR="00071C29" w:rsidRPr="008B7FAB" w:rsidRDefault="7504CECB" w:rsidP="00071C29">
      <w:pPr>
        <w:spacing w:before="100" w:beforeAutospacing="1" w:after="100" w:afterAutospacing="1"/>
      </w:pPr>
      <w:r>
        <w:t>OECD analysis confirms that investment increasingly concentrates in jurisdictions with specialised infrastructure: regions possessing advanced clusters and pilot facilities capture 78</w:t>
      </w:r>
      <w:r w:rsidR="006856C2">
        <w:t>%</w:t>
      </w:r>
      <w:r>
        <w:t xml:space="preserve"> of R&amp;D-related FDI projects</w:t>
      </w:r>
      <w:r w:rsidR="00071C29" w:rsidRPr="00084560">
        <w:rPr>
          <w:rStyle w:val="FootnoteReference"/>
        </w:rPr>
        <w:footnoteReference w:id="373"/>
      </w:r>
      <w:r>
        <w:t>, and capital sorts towards jurisdictions with mature digital ecosystems</w:t>
      </w:r>
      <w:r w:rsidR="00071C29" w:rsidRPr="00084560">
        <w:rPr>
          <w:rStyle w:val="FootnoteReference"/>
        </w:rPr>
        <w:footnoteReference w:id="374"/>
      </w:r>
      <w:r>
        <w:t xml:space="preserve">. These patterns underpin the rationale for </w:t>
      </w:r>
      <w:r w:rsidRPr="00960345">
        <w:t xml:space="preserve">trusted biotechnology testing environments and </w:t>
      </w:r>
      <w:r w:rsidRPr="3F982D60">
        <w:rPr>
          <w:lang w:val="en-IE"/>
        </w:rPr>
        <w:t xml:space="preserve">data quality accelerators </w:t>
      </w:r>
      <w:r>
        <w:t>as competitiveness-enhancing instruments.</w:t>
      </w:r>
    </w:p>
    <w:p w14:paraId="4B19753C" w14:textId="704746A0" w:rsidR="00071C29" w:rsidRPr="008B7FAB" w:rsidRDefault="00071C29" w:rsidP="00960345">
      <w:pPr>
        <w:spacing w:before="100" w:beforeAutospacing="1" w:after="0"/>
      </w:pPr>
      <w:r w:rsidRPr="008B7FAB">
        <w:t xml:space="preserve">Expected benefits of </w:t>
      </w:r>
      <w:r>
        <w:t xml:space="preserve">the testing environments that could be developed as high-impact strategic projects under the framework set out in the </w:t>
      </w:r>
      <w:r w:rsidR="00EB60CC">
        <w:t xml:space="preserve">European </w:t>
      </w:r>
      <w:r>
        <w:t>Biotech Act proposal include:</w:t>
      </w:r>
    </w:p>
    <w:p w14:paraId="2AB34C59" w14:textId="0F12CA3B" w:rsidR="00071C29" w:rsidRPr="008B7FAB" w:rsidRDefault="7504CECB" w:rsidP="00960345">
      <w:pPr>
        <w:pStyle w:val="ListParagraph"/>
        <w:numPr>
          <w:ilvl w:val="0"/>
          <w:numId w:val="407"/>
        </w:numPr>
        <w:spacing w:after="100" w:afterAutospacing="1"/>
        <w:ind w:right="284"/>
      </w:pPr>
      <w:r>
        <w:t>Addressing the principal R&amp;D bottleneck. Firm-level evidence indicates that the most significant bottleneck for AI-biotech innovation lies in the validation phase, where computational models must be tested against biological data in regulated environments. The main causes of AI pilot failure are data quality and availability (55</w:t>
      </w:r>
      <w:r w:rsidR="006856C2">
        <w:t>%</w:t>
      </w:r>
      <w:r>
        <w:t>) and IP, data security and compliance friction (50</w:t>
      </w:r>
      <w:r w:rsidR="006856C2">
        <w:t>%</w:t>
      </w:r>
      <w:r>
        <w:t>)</w:t>
      </w:r>
      <w:r w:rsidR="00071C29" w:rsidRPr="00084560">
        <w:rPr>
          <w:rStyle w:val="FootnoteReference"/>
        </w:rPr>
        <w:footnoteReference w:id="375"/>
      </w:r>
      <w:r>
        <w:t>. Firms with integrated "wet-dry" research environments are nearly twice as likely to attract investment (30</w:t>
      </w:r>
      <w:r w:rsidR="006856C2">
        <w:t>%</w:t>
      </w:r>
      <w:r>
        <w:t xml:space="preserve"> vs 18</w:t>
      </w:r>
      <w:r w:rsidR="006856C2">
        <w:t>%</w:t>
      </w:r>
      <w:r>
        <w:t>)</w:t>
      </w:r>
      <w:r w:rsidR="00071C29" w:rsidRPr="00084560">
        <w:rPr>
          <w:rStyle w:val="FootnoteReference"/>
        </w:rPr>
        <w:footnoteReference w:id="376"/>
      </w:r>
      <w:r>
        <w:t>.</w:t>
      </w:r>
    </w:p>
    <w:p w14:paraId="3B84CC19" w14:textId="77777777" w:rsidR="00071C29" w:rsidRPr="008B7FAB" w:rsidRDefault="00071C29" w:rsidP="00960345">
      <w:pPr>
        <w:pStyle w:val="ListParagraph"/>
        <w:numPr>
          <w:ilvl w:val="0"/>
          <w:numId w:val="407"/>
        </w:numPr>
        <w:spacing w:after="0"/>
        <w:ind w:right="284"/>
      </w:pPr>
      <w:r w:rsidRPr="008B7FAB">
        <w:t>Reducing offshore relocation of validation activity. By offering shared, regulatory-proximate validation capacity, Article 32 reduces the need for firms, particularly SMEs and startups, to build proprietary infrastructure or relocate validation activities to competing jurisdictions. The greatest expected impact is on the validation and translational stages of R&amp;D, increasing the likelihood that AI-generated assets are developed within the Union rather than relocated to competing ecosystems.</w:t>
      </w:r>
    </w:p>
    <w:p w14:paraId="7096A5C8" w14:textId="77777777" w:rsidR="00071C29" w:rsidRPr="008B7FAB" w:rsidRDefault="00071C29" w:rsidP="00960345">
      <w:pPr>
        <w:spacing w:after="100" w:afterAutospacing="1"/>
      </w:pPr>
      <w:r w:rsidRPr="008B7FAB">
        <w:lastRenderedPageBreak/>
        <w:t>If access procedures are complex or facilities remain insufficiently integrated with regulatory pathways, the expected investment-attraction effect may be reduced despite public expenditure.</w:t>
      </w:r>
    </w:p>
    <w:p w14:paraId="5E62ED87" w14:textId="6C801839" w:rsidR="00071C29" w:rsidRPr="008B7FAB" w:rsidRDefault="00071C29" w:rsidP="00960345">
      <w:pPr>
        <w:spacing w:before="100" w:beforeAutospacing="1" w:after="0"/>
      </w:pPr>
      <w:r w:rsidRPr="00960345">
        <w:t>As regards data quality accelerator projects</w:t>
      </w:r>
      <w:r w:rsidRPr="00541109">
        <w:t>,</w:t>
      </w:r>
      <w:r>
        <w:t xml:space="preserve"> e</w:t>
      </w:r>
      <w:r w:rsidRPr="008B7FAB">
        <w:t xml:space="preserve">xpected benefits </w:t>
      </w:r>
      <w:r>
        <w:t>include:</w:t>
      </w:r>
    </w:p>
    <w:p w14:paraId="143F4842" w14:textId="5EE4EA49" w:rsidR="00071C29" w:rsidRPr="008B7FAB" w:rsidRDefault="7504CECB" w:rsidP="00960345">
      <w:pPr>
        <w:pStyle w:val="ListParagraph"/>
        <w:numPr>
          <w:ilvl w:val="0"/>
          <w:numId w:val="408"/>
        </w:numPr>
        <w:spacing w:after="100" w:afterAutospacing="1"/>
        <w:ind w:right="284"/>
      </w:pPr>
      <w:r>
        <w:t>Reducing "data friction" as a driver of R&amp;D relocation. The binding constraint for AI-biotech is often not compute or algorithms but the availability of "AI-ready" datasets: 48</w:t>
      </w:r>
      <w:r w:rsidR="006856C2">
        <w:t>%</w:t>
      </w:r>
      <w:r>
        <w:t xml:space="preserve"> of healthcare respondents identify data quality and integration as the main barrier to AI adoption</w:t>
      </w:r>
      <w:r w:rsidR="00071C29" w:rsidRPr="00084560">
        <w:rPr>
          <w:rStyle w:val="FootnoteReference"/>
        </w:rPr>
        <w:footnoteReference w:id="377"/>
      </w:r>
      <w:r>
        <w:t>, and the OECD identifies access to large, high-quality datasets as a "key competitive differentiator" that effectively subsidises R&amp;D costs in data-rich jurisdictions</w:t>
      </w:r>
      <w:r w:rsidR="00071C29" w:rsidRPr="00084560">
        <w:rPr>
          <w:rStyle w:val="FootnoteReference"/>
        </w:rPr>
        <w:footnoteReference w:id="378"/>
      </w:r>
      <w:r>
        <w:t>.</w:t>
      </w:r>
    </w:p>
    <w:p w14:paraId="5AC3DB40" w14:textId="0EFCDCD9" w:rsidR="00071C29" w:rsidRPr="008B7FAB" w:rsidRDefault="7504CECB" w:rsidP="00071C29">
      <w:pPr>
        <w:pStyle w:val="ListParagraph"/>
        <w:numPr>
          <w:ilvl w:val="0"/>
          <w:numId w:val="408"/>
        </w:numPr>
        <w:spacing w:before="100" w:beforeAutospacing="1" w:after="100" w:afterAutospacing="1"/>
        <w:ind w:right="284"/>
      </w:pPr>
      <w:r>
        <w:t xml:space="preserve">Lowering material cost penalties from fragmented data. The Commission estimates the absence of FAIR data costs the EU economy at least </w:t>
      </w:r>
      <w:r w:rsidR="54CFDB4D">
        <w:t xml:space="preserve">EUR </w:t>
      </w:r>
      <w:r>
        <w:t>10.2 billion annually in lost productivity and innovation spillovers</w:t>
      </w:r>
      <w:r w:rsidR="00071C29" w:rsidRPr="00084560">
        <w:rPr>
          <w:rStyle w:val="FootnoteReference"/>
        </w:rPr>
        <w:footnoteReference w:id="379"/>
      </w:r>
      <w:r>
        <w:t>. Data engineering consumes 25–40</w:t>
      </w:r>
      <w:r w:rsidR="006856C2">
        <w:t>%</w:t>
      </w:r>
      <w:r>
        <w:t xml:space="preserve"> of total AI spend, with integration complexity adding a 2–3× labour-cost premium</w:t>
      </w:r>
      <w:r w:rsidR="00071C29" w:rsidRPr="00084560">
        <w:rPr>
          <w:rStyle w:val="FootnoteReference"/>
        </w:rPr>
        <w:footnoteReference w:id="380"/>
      </w:r>
      <w:r>
        <w:t>. Jurisdictions that reduce these burdens improve their attractiveness for inward AI-biotech investment.</w:t>
      </w:r>
    </w:p>
    <w:p w14:paraId="26BF06D6" w14:textId="6F3294C3" w:rsidR="00071C29" w:rsidRPr="008B7FAB" w:rsidRDefault="7504CECB" w:rsidP="00071C29">
      <w:pPr>
        <w:pStyle w:val="ListParagraph"/>
        <w:numPr>
          <w:ilvl w:val="0"/>
          <w:numId w:val="408"/>
        </w:numPr>
        <w:spacing w:before="100" w:beforeAutospacing="1" w:after="100" w:afterAutospacing="1"/>
        <w:ind w:right="284"/>
      </w:pPr>
      <w:r>
        <w:t xml:space="preserve">Converting the EHDS into a distinctive competitiveness asset. Article 33 enables the EU to position EHDS secondary use across a 450-million population as an industrial competitiveness instrument. The Data Union Strategy projects </w:t>
      </w:r>
      <w:r w:rsidR="1EF19894">
        <w:t>EUR</w:t>
      </w:r>
      <w:r>
        <w:t xml:space="preserve"> 11 billion in economic value over ten years from secondary use</w:t>
      </w:r>
      <w:r w:rsidR="00071C29" w:rsidRPr="00084560">
        <w:rPr>
          <w:rStyle w:val="FootnoteReference"/>
        </w:rPr>
        <w:footnoteReference w:id="381"/>
      </w:r>
      <w:r w:rsidRPr="3F982D60">
        <w:rPr>
          <w:vertAlign w:val="superscript"/>
        </w:rPr>
        <w:t>,</w:t>
      </w:r>
      <w:r w:rsidR="00071C29" w:rsidRPr="00084560">
        <w:rPr>
          <w:rStyle w:val="FootnoteReference"/>
        </w:rPr>
        <w:footnoteReference w:id="382"/>
      </w:r>
      <w:r>
        <w:t>. The phased implementation timetable provides a planning horizon for investment decisions, while Health Data Access Bodies as "one-stop shops" are intended to reduce fragmentation-related "push factors." The expected benefit is therefore not only increased data volume but improved data usability and predictability for cross-border, data-intensive R&amp;D.</w:t>
      </w:r>
    </w:p>
    <w:p w14:paraId="0975F864" w14:textId="77777777" w:rsidR="00071C29" w:rsidRDefault="00071C29" w:rsidP="00071C29">
      <w:pPr>
        <w:spacing w:before="100" w:beforeAutospacing="1" w:after="100" w:afterAutospacing="1"/>
      </w:pPr>
      <w:r w:rsidRPr="008B7FAB">
        <w:t>Both policy measures require non-trivial public CAPEX and sustained OPEX. Their intended functions are comparable to EU "meaningful scale" technology infrastructure interventions rather than small grants. The following EU instruments provide financial proxies for the order of magnitude required to make such environments globally credible:</w:t>
      </w:r>
    </w:p>
    <w:p w14:paraId="74B1FF94" w14:textId="77777777" w:rsidR="00EB7828" w:rsidRPr="008B7FAB" w:rsidRDefault="00EB7828" w:rsidP="00071C29">
      <w:pPr>
        <w:spacing w:before="100" w:beforeAutospacing="1" w:after="100" w:afterAutospacing="1"/>
      </w:pPr>
    </w:p>
    <w:p w14:paraId="5D73D0E3" w14:textId="00B9F683" w:rsidR="00305EF6" w:rsidRPr="00960345" w:rsidRDefault="00305EF6" w:rsidP="004570F2">
      <w:pPr>
        <w:spacing w:before="100" w:beforeAutospacing="1" w:after="0"/>
        <w:rPr>
          <w:b/>
          <w:bCs/>
        </w:rPr>
      </w:pPr>
      <w:r w:rsidRPr="00960345">
        <w:rPr>
          <w:b/>
          <w:bCs/>
        </w:rPr>
        <w:lastRenderedPageBreak/>
        <w:t>Table 2</w:t>
      </w:r>
      <w:r w:rsidR="00EF070B">
        <w:rPr>
          <w:b/>
          <w:bCs/>
        </w:rPr>
        <w:t>3</w:t>
      </w:r>
      <w:r w:rsidR="00106AA9">
        <w:rPr>
          <w:b/>
          <w:bCs/>
        </w:rPr>
        <w:t>.</w:t>
      </w:r>
      <w:r w:rsidR="00991E5C">
        <w:rPr>
          <w:b/>
          <w:bCs/>
        </w:rPr>
        <w:t xml:space="preserve"> </w:t>
      </w:r>
      <w:r w:rsidR="00991E5C" w:rsidRPr="00991E5C">
        <w:rPr>
          <w:b/>
          <w:bCs/>
        </w:rPr>
        <w:t>EU instruments providing financial proxies for the order of magnitude of investment in testing environments/data quality accelerators</w:t>
      </w:r>
    </w:p>
    <w:tbl>
      <w:tblPr>
        <w:tblStyle w:val="TableGrid"/>
        <w:tblW w:w="0" w:type="auto"/>
        <w:tblLook w:val="04A0" w:firstRow="1" w:lastRow="0" w:firstColumn="1" w:lastColumn="0" w:noHBand="0" w:noVBand="1"/>
      </w:tblPr>
      <w:tblGrid>
        <w:gridCol w:w="1968"/>
        <w:gridCol w:w="2422"/>
        <w:gridCol w:w="4217"/>
      </w:tblGrid>
      <w:tr w:rsidR="00071C29" w:rsidRPr="006D796A" w14:paraId="5AD573E0" w14:textId="77777777">
        <w:tc>
          <w:tcPr>
            <w:tcW w:w="0" w:type="auto"/>
            <w:hideMark/>
          </w:tcPr>
          <w:p w14:paraId="0DC6D418" w14:textId="77777777" w:rsidR="00071C29" w:rsidRPr="00960345" w:rsidRDefault="00071C29">
            <w:pPr>
              <w:spacing w:after="0"/>
              <w:jc w:val="center"/>
              <w:rPr>
                <w:bCs/>
                <w:sz w:val="18"/>
                <w:szCs w:val="18"/>
              </w:rPr>
            </w:pPr>
            <w:r w:rsidRPr="00960345">
              <w:rPr>
                <w:bCs/>
                <w:sz w:val="18"/>
                <w:szCs w:val="18"/>
              </w:rPr>
              <w:t>Proxy instrument</w:t>
            </w:r>
          </w:p>
        </w:tc>
        <w:tc>
          <w:tcPr>
            <w:tcW w:w="0" w:type="auto"/>
            <w:hideMark/>
          </w:tcPr>
          <w:p w14:paraId="1FC3664D" w14:textId="77777777" w:rsidR="00071C29" w:rsidRPr="00960345" w:rsidRDefault="00071C29">
            <w:pPr>
              <w:spacing w:after="0"/>
              <w:jc w:val="center"/>
              <w:rPr>
                <w:bCs/>
                <w:sz w:val="18"/>
                <w:szCs w:val="18"/>
              </w:rPr>
            </w:pPr>
            <w:r w:rsidRPr="00960345">
              <w:rPr>
                <w:bCs/>
                <w:sz w:val="18"/>
                <w:szCs w:val="18"/>
              </w:rPr>
              <w:t>Scale</w:t>
            </w:r>
          </w:p>
        </w:tc>
        <w:tc>
          <w:tcPr>
            <w:tcW w:w="0" w:type="auto"/>
            <w:hideMark/>
          </w:tcPr>
          <w:p w14:paraId="263859B0" w14:textId="04176D39" w:rsidR="00071C29" w:rsidRPr="00960345" w:rsidRDefault="00071C29">
            <w:pPr>
              <w:spacing w:after="0"/>
              <w:jc w:val="center"/>
              <w:rPr>
                <w:bCs/>
                <w:sz w:val="18"/>
                <w:szCs w:val="18"/>
              </w:rPr>
            </w:pPr>
            <w:r w:rsidRPr="00960345">
              <w:rPr>
                <w:bCs/>
                <w:sz w:val="18"/>
                <w:szCs w:val="18"/>
              </w:rPr>
              <w:t xml:space="preserve">Relevance to </w:t>
            </w:r>
            <w:r w:rsidR="006D796A" w:rsidRPr="00960345">
              <w:rPr>
                <w:bCs/>
                <w:sz w:val="18"/>
                <w:szCs w:val="18"/>
              </w:rPr>
              <w:t>testing environments/data quality accelerators</w:t>
            </w:r>
          </w:p>
        </w:tc>
      </w:tr>
      <w:tr w:rsidR="00071C29" w:rsidRPr="006D796A" w14:paraId="4DF1EAB1" w14:textId="77777777">
        <w:tc>
          <w:tcPr>
            <w:tcW w:w="0" w:type="auto"/>
            <w:hideMark/>
          </w:tcPr>
          <w:p w14:paraId="49CB4864" w14:textId="77777777" w:rsidR="00071C29" w:rsidRPr="00960345" w:rsidRDefault="00071C29">
            <w:pPr>
              <w:spacing w:after="0"/>
              <w:jc w:val="left"/>
              <w:rPr>
                <w:sz w:val="18"/>
                <w:szCs w:val="18"/>
              </w:rPr>
            </w:pPr>
            <w:r w:rsidRPr="00960345">
              <w:rPr>
                <w:sz w:val="18"/>
                <w:szCs w:val="18"/>
              </w:rPr>
              <w:t xml:space="preserve">IPCEI European Battery Innovation </w:t>
            </w:r>
          </w:p>
        </w:tc>
        <w:tc>
          <w:tcPr>
            <w:tcW w:w="0" w:type="auto"/>
            <w:hideMark/>
          </w:tcPr>
          <w:p w14:paraId="16A51360" w14:textId="362E0602" w:rsidR="00071C29" w:rsidRPr="00960345" w:rsidRDefault="44F2C659">
            <w:pPr>
              <w:spacing w:after="0"/>
              <w:jc w:val="left"/>
              <w:rPr>
                <w:sz w:val="18"/>
                <w:szCs w:val="18"/>
              </w:rPr>
            </w:pPr>
            <w:r w:rsidRPr="458BC1E1">
              <w:rPr>
                <w:sz w:val="18"/>
                <w:szCs w:val="18"/>
              </w:rPr>
              <w:t xml:space="preserve">EUR </w:t>
            </w:r>
            <w:r w:rsidR="00071C29" w:rsidRPr="00960345">
              <w:rPr>
                <w:sz w:val="18"/>
                <w:szCs w:val="18"/>
              </w:rPr>
              <w:t>2.9 b</w:t>
            </w:r>
            <w:r w:rsidR="0051345D">
              <w:rPr>
                <w:sz w:val="18"/>
                <w:szCs w:val="18"/>
              </w:rPr>
              <w:t>illio</w:t>
            </w:r>
            <w:r w:rsidR="00071C29" w:rsidRPr="00960345">
              <w:rPr>
                <w:sz w:val="18"/>
                <w:szCs w:val="18"/>
              </w:rPr>
              <w:t xml:space="preserve">n public funding, unlocking </w:t>
            </w:r>
            <w:r w:rsidR="48F7E6B2" w:rsidRPr="458BC1E1">
              <w:rPr>
                <w:sz w:val="18"/>
                <w:szCs w:val="18"/>
              </w:rPr>
              <w:t xml:space="preserve">EUR </w:t>
            </w:r>
            <w:r w:rsidR="00071C29" w:rsidRPr="00960345">
              <w:rPr>
                <w:sz w:val="18"/>
                <w:szCs w:val="18"/>
              </w:rPr>
              <w:t>9 b</w:t>
            </w:r>
            <w:r w:rsidR="004E7B0F">
              <w:rPr>
                <w:sz w:val="18"/>
                <w:szCs w:val="18"/>
              </w:rPr>
              <w:t>illio</w:t>
            </w:r>
            <w:r w:rsidR="00071C29" w:rsidRPr="00960345">
              <w:rPr>
                <w:sz w:val="18"/>
                <w:szCs w:val="18"/>
              </w:rPr>
              <w:t>n private (≈1:3 leverage)</w:t>
            </w:r>
          </w:p>
        </w:tc>
        <w:tc>
          <w:tcPr>
            <w:tcW w:w="0" w:type="auto"/>
            <w:hideMark/>
          </w:tcPr>
          <w:p w14:paraId="55E504B1" w14:textId="77777777" w:rsidR="00071C29" w:rsidRPr="00960345" w:rsidRDefault="00071C29">
            <w:pPr>
              <w:spacing w:after="0"/>
              <w:jc w:val="left"/>
              <w:rPr>
                <w:sz w:val="18"/>
                <w:szCs w:val="18"/>
              </w:rPr>
            </w:pPr>
            <w:r w:rsidRPr="00960345">
              <w:rPr>
                <w:sz w:val="18"/>
                <w:szCs w:val="18"/>
              </w:rPr>
              <w:t>Upper bound; Act anticipates large-scale public-private investment for high-impact projects</w:t>
            </w:r>
          </w:p>
        </w:tc>
      </w:tr>
      <w:tr w:rsidR="00071C29" w:rsidRPr="006D796A" w14:paraId="50BA3628" w14:textId="77777777">
        <w:tc>
          <w:tcPr>
            <w:tcW w:w="0" w:type="auto"/>
            <w:hideMark/>
          </w:tcPr>
          <w:p w14:paraId="54C573D2" w14:textId="77777777" w:rsidR="00071C29" w:rsidRPr="00960345" w:rsidRDefault="00071C29">
            <w:pPr>
              <w:spacing w:after="0"/>
              <w:jc w:val="left"/>
              <w:rPr>
                <w:sz w:val="18"/>
                <w:szCs w:val="18"/>
              </w:rPr>
            </w:pPr>
            <w:r w:rsidRPr="00960345">
              <w:rPr>
                <w:sz w:val="18"/>
                <w:szCs w:val="18"/>
              </w:rPr>
              <w:t>Microelectronics IPCEI</w:t>
            </w:r>
          </w:p>
        </w:tc>
        <w:tc>
          <w:tcPr>
            <w:tcW w:w="0" w:type="auto"/>
            <w:hideMark/>
          </w:tcPr>
          <w:p w14:paraId="35F9323B" w14:textId="5DE23598" w:rsidR="00071C29" w:rsidRPr="00960345" w:rsidRDefault="00071C29">
            <w:pPr>
              <w:spacing w:after="0"/>
              <w:jc w:val="left"/>
              <w:rPr>
                <w:sz w:val="18"/>
                <w:szCs w:val="18"/>
                <w:lang w:val="it-IT"/>
              </w:rPr>
            </w:pPr>
            <w:r w:rsidRPr="00960345">
              <w:rPr>
                <w:sz w:val="18"/>
                <w:szCs w:val="18"/>
                <w:lang w:val="it-IT"/>
              </w:rPr>
              <w:t>~</w:t>
            </w:r>
            <w:r w:rsidR="6839CD95" w:rsidRPr="458BC1E1">
              <w:rPr>
                <w:sz w:val="18"/>
                <w:szCs w:val="18"/>
                <w:lang w:val="it-IT"/>
              </w:rPr>
              <w:t xml:space="preserve">EUR </w:t>
            </w:r>
            <w:r w:rsidRPr="00960345">
              <w:rPr>
                <w:sz w:val="18"/>
                <w:szCs w:val="18"/>
                <w:lang w:val="it-IT"/>
              </w:rPr>
              <w:t>63 m</w:t>
            </w:r>
            <w:r w:rsidR="0051345D">
              <w:rPr>
                <w:sz w:val="18"/>
                <w:szCs w:val="18"/>
                <w:lang w:val="it-IT"/>
              </w:rPr>
              <w:t>illion</w:t>
            </w:r>
            <w:r w:rsidRPr="00960345">
              <w:rPr>
                <w:sz w:val="18"/>
                <w:szCs w:val="18"/>
                <w:lang w:val="it-IT"/>
              </w:rPr>
              <w:t xml:space="preserve"> per partner (2018) → ~</w:t>
            </w:r>
            <w:r w:rsidR="6697315B" w:rsidRPr="458BC1E1">
              <w:rPr>
                <w:sz w:val="18"/>
                <w:szCs w:val="18"/>
                <w:lang w:val="it-IT"/>
              </w:rPr>
              <w:t xml:space="preserve">EUR </w:t>
            </w:r>
            <w:r w:rsidRPr="00960345">
              <w:rPr>
                <w:sz w:val="18"/>
                <w:szCs w:val="18"/>
                <w:lang w:val="it-IT"/>
              </w:rPr>
              <w:t>145 m</w:t>
            </w:r>
            <w:r w:rsidR="0051345D">
              <w:rPr>
                <w:sz w:val="18"/>
                <w:szCs w:val="18"/>
                <w:lang w:val="it-IT"/>
              </w:rPr>
              <w:t>illion</w:t>
            </w:r>
            <w:r w:rsidRPr="00960345">
              <w:rPr>
                <w:sz w:val="18"/>
                <w:szCs w:val="18"/>
                <w:lang w:val="it-IT"/>
              </w:rPr>
              <w:t xml:space="preserve"> per partner (2021)</w:t>
            </w:r>
          </w:p>
        </w:tc>
        <w:tc>
          <w:tcPr>
            <w:tcW w:w="0" w:type="auto"/>
            <w:hideMark/>
          </w:tcPr>
          <w:p w14:paraId="3408CD56" w14:textId="6B7E36AB" w:rsidR="00071C29" w:rsidRPr="004570F2" w:rsidRDefault="00C62987">
            <w:pPr>
              <w:spacing w:after="0"/>
              <w:jc w:val="left"/>
              <w:rPr>
                <w:sz w:val="18"/>
              </w:rPr>
            </w:pPr>
            <w:r w:rsidRPr="00C62987">
              <w:rPr>
                <w:sz w:val="18"/>
                <w:szCs w:val="18"/>
              </w:rPr>
              <w:t xml:space="preserve">Illustrative proxy for the order of magnitude of support observed in selected strategic technology projects </w:t>
            </w:r>
            <w:r w:rsidR="00950987" w:rsidRPr="00950987">
              <w:rPr>
                <w:sz w:val="18"/>
                <w:szCs w:val="18"/>
              </w:rPr>
              <w:t>developed under the</w:t>
            </w:r>
            <w:r w:rsidRPr="00C62987">
              <w:rPr>
                <w:sz w:val="18"/>
                <w:szCs w:val="18"/>
              </w:rPr>
              <w:t xml:space="preserve"> IPCEI </w:t>
            </w:r>
            <w:r w:rsidR="00950987" w:rsidRPr="00950987">
              <w:rPr>
                <w:sz w:val="18"/>
                <w:szCs w:val="18"/>
              </w:rPr>
              <w:t>framework</w:t>
            </w:r>
            <w:r w:rsidRPr="00C62987">
              <w:rPr>
                <w:sz w:val="18"/>
                <w:szCs w:val="18"/>
              </w:rPr>
              <w:t xml:space="preserve">, </w:t>
            </w:r>
          </w:p>
        </w:tc>
      </w:tr>
      <w:tr w:rsidR="00071C29" w:rsidRPr="006D796A" w14:paraId="3FDDC036" w14:textId="77777777">
        <w:tc>
          <w:tcPr>
            <w:tcW w:w="0" w:type="auto"/>
            <w:hideMark/>
          </w:tcPr>
          <w:p w14:paraId="12BC752D" w14:textId="77777777" w:rsidR="00071C29" w:rsidRPr="00960345" w:rsidRDefault="00071C29">
            <w:pPr>
              <w:spacing w:after="0"/>
              <w:jc w:val="left"/>
              <w:rPr>
                <w:sz w:val="18"/>
                <w:szCs w:val="18"/>
                <w:lang w:val="fr-FR"/>
              </w:rPr>
            </w:pPr>
            <w:r w:rsidRPr="00960345">
              <w:rPr>
                <w:sz w:val="18"/>
                <w:szCs w:val="18"/>
                <w:lang w:val="fr-FR"/>
              </w:rPr>
              <w:t xml:space="preserve">Horizon Europe Large-Scale Service Pilot </w:t>
            </w:r>
          </w:p>
        </w:tc>
        <w:tc>
          <w:tcPr>
            <w:tcW w:w="0" w:type="auto"/>
            <w:hideMark/>
          </w:tcPr>
          <w:p w14:paraId="62E7EE40" w14:textId="4A2EDF36" w:rsidR="00071C29" w:rsidRPr="00960345" w:rsidRDefault="795B024D">
            <w:pPr>
              <w:spacing w:after="0"/>
              <w:jc w:val="left"/>
              <w:rPr>
                <w:sz w:val="18"/>
                <w:szCs w:val="18"/>
              </w:rPr>
            </w:pPr>
            <w:r w:rsidRPr="458BC1E1">
              <w:rPr>
                <w:sz w:val="18"/>
                <w:szCs w:val="18"/>
              </w:rPr>
              <w:t>EUR 35 m</w:t>
            </w:r>
            <w:r w:rsidR="0051345D">
              <w:rPr>
                <w:sz w:val="18"/>
                <w:szCs w:val="18"/>
              </w:rPr>
              <w:t>illion</w:t>
            </w:r>
            <w:r w:rsidRPr="458BC1E1">
              <w:rPr>
                <w:sz w:val="18"/>
                <w:szCs w:val="18"/>
              </w:rPr>
              <w:t xml:space="preserve"> per </w:t>
            </w:r>
            <w:r w:rsidR="11A04F3B" w:rsidRPr="458BC1E1">
              <w:rPr>
                <w:sz w:val="18"/>
                <w:szCs w:val="18"/>
              </w:rPr>
              <w:t>pilot</w:t>
            </w:r>
          </w:p>
        </w:tc>
        <w:tc>
          <w:tcPr>
            <w:tcW w:w="0" w:type="auto"/>
            <w:hideMark/>
          </w:tcPr>
          <w:p w14:paraId="76AC0236" w14:textId="77777777" w:rsidR="00071C29" w:rsidRPr="00960345" w:rsidRDefault="00071C29">
            <w:pPr>
              <w:spacing w:after="0"/>
              <w:jc w:val="left"/>
              <w:rPr>
                <w:sz w:val="18"/>
                <w:szCs w:val="18"/>
              </w:rPr>
            </w:pPr>
            <w:r w:rsidRPr="00960345">
              <w:rPr>
                <w:sz w:val="18"/>
                <w:szCs w:val="18"/>
              </w:rPr>
              <w:t>Mid-scale proxy for individual Art. 32 nodes or Art. 33 accelerator configurations</w:t>
            </w:r>
          </w:p>
        </w:tc>
      </w:tr>
      <w:tr w:rsidR="00071C29" w:rsidRPr="006D796A" w14:paraId="4172656E" w14:textId="77777777">
        <w:tc>
          <w:tcPr>
            <w:tcW w:w="0" w:type="auto"/>
            <w:hideMark/>
          </w:tcPr>
          <w:p w14:paraId="3923B55A" w14:textId="77777777" w:rsidR="00071C29" w:rsidRPr="00960345" w:rsidRDefault="00071C29">
            <w:pPr>
              <w:spacing w:after="0"/>
              <w:jc w:val="left"/>
              <w:rPr>
                <w:sz w:val="18"/>
                <w:szCs w:val="18"/>
              </w:rPr>
            </w:pPr>
            <w:r w:rsidRPr="00960345">
              <w:rPr>
                <w:sz w:val="18"/>
                <w:szCs w:val="18"/>
              </w:rPr>
              <w:t>Graphene Flagship</w:t>
            </w:r>
          </w:p>
        </w:tc>
        <w:tc>
          <w:tcPr>
            <w:tcW w:w="0" w:type="auto"/>
            <w:hideMark/>
          </w:tcPr>
          <w:p w14:paraId="29F12074" w14:textId="0335F00A" w:rsidR="00071C29" w:rsidRPr="00960345" w:rsidRDefault="00071C29">
            <w:pPr>
              <w:spacing w:after="0"/>
              <w:jc w:val="left"/>
              <w:rPr>
                <w:sz w:val="18"/>
                <w:szCs w:val="18"/>
              </w:rPr>
            </w:pPr>
            <w:r w:rsidRPr="00960345">
              <w:rPr>
                <w:sz w:val="18"/>
                <w:szCs w:val="18"/>
              </w:rPr>
              <w:t>~</w:t>
            </w:r>
            <w:r w:rsidR="3B71E8E2" w:rsidRPr="458BC1E1">
              <w:rPr>
                <w:sz w:val="18"/>
                <w:szCs w:val="18"/>
              </w:rPr>
              <w:t xml:space="preserve">EUR </w:t>
            </w:r>
            <w:r w:rsidRPr="00960345">
              <w:rPr>
                <w:sz w:val="18"/>
                <w:szCs w:val="18"/>
              </w:rPr>
              <w:t>1 b</w:t>
            </w:r>
            <w:r w:rsidR="0051345D">
              <w:rPr>
                <w:sz w:val="18"/>
                <w:szCs w:val="18"/>
              </w:rPr>
              <w:t>illion</w:t>
            </w:r>
            <w:r w:rsidRPr="00960345">
              <w:rPr>
                <w:sz w:val="18"/>
                <w:szCs w:val="18"/>
              </w:rPr>
              <w:t xml:space="preserve"> over 10 years</w:t>
            </w:r>
          </w:p>
        </w:tc>
        <w:tc>
          <w:tcPr>
            <w:tcW w:w="0" w:type="auto"/>
            <w:hideMark/>
          </w:tcPr>
          <w:p w14:paraId="2276C50E" w14:textId="77777777" w:rsidR="00071C29" w:rsidRPr="00960345" w:rsidRDefault="00071C29">
            <w:pPr>
              <w:spacing w:after="0"/>
              <w:jc w:val="left"/>
              <w:rPr>
                <w:sz w:val="18"/>
                <w:szCs w:val="18"/>
              </w:rPr>
            </w:pPr>
            <w:r w:rsidRPr="00960345">
              <w:rPr>
                <w:sz w:val="18"/>
                <w:szCs w:val="18"/>
              </w:rPr>
              <w:t>Long-running network model illustrating OPEX exposure</w:t>
            </w:r>
          </w:p>
        </w:tc>
      </w:tr>
      <w:tr w:rsidR="00071C29" w:rsidRPr="006D796A" w14:paraId="444FF702" w14:textId="77777777">
        <w:tc>
          <w:tcPr>
            <w:tcW w:w="0" w:type="auto"/>
            <w:hideMark/>
          </w:tcPr>
          <w:p w14:paraId="5CAA0167" w14:textId="77777777" w:rsidR="00071C29" w:rsidRPr="00960345" w:rsidRDefault="00071C29">
            <w:pPr>
              <w:spacing w:after="0"/>
              <w:jc w:val="left"/>
              <w:rPr>
                <w:sz w:val="18"/>
                <w:szCs w:val="18"/>
              </w:rPr>
            </w:pPr>
            <w:r w:rsidRPr="00960345">
              <w:rPr>
                <w:sz w:val="18"/>
                <w:szCs w:val="18"/>
              </w:rPr>
              <w:t>IMI2 life-science PPP</w:t>
            </w:r>
          </w:p>
        </w:tc>
        <w:tc>
          <w:tcPr>
            <w:tcW w:w="0" w:type="auto"/>
            <w:hideMark/>
          </w:tcPr>
          <w:p w14:paraId="0104C176" w14:textId="474665CE" w:rsidR="00071C29" w:rsidRPr="00960345" w:rsidRDefault="2B319193">
            <w:pPr>
              <w:spacing w:after="0"/>
              <w:jc w:val="left"/>
              <w:rPr>
                <w:sz w:val="18"/>
                <w:szCs w:val="18"/>
              </w:rPr>
            </w:pPr>
            <w:r w:rsidRPr="458BC1E1">
              <w:rPr>
                <w:sz w:val="18"/>
                <w:szCs w:val="18"/>
              </w:rPr>
              <w:t xml:space="preserve">EUR </w:t>
            </w:r>
            <w:r w:rsidR="00071C29" w:rsidRPr="00960345">
              <w:rPr>
                <w:sz w:val="18"/>
                <w:szCs w:val="18"/>
              </w:rPr>
              <w:t>3.276 b</w:t>
            </w:r>
            <w:r w:rsidR="0051345D">
              <w:rPr>
                <w:sz w:val="18"/>
                <w:szCs w:val="18"/>
              </w:rPr>
              <w:t>illio</w:t>
            </w:r>
            <w:r w:rsidR="00071C29" w:rsidRPr="00960345">
              <w:rPr>
                <w:sz w:val="18"/>
                <w:szCs w:val="18"/>
              </w:rPr>
              <w:t>n (≈50/50 public-industry)</w:t>
            </w:r>
          </w:p>
        </w:tc>
        <w:tc>
          <w:tcPr>
            <w:tcW w:w="0" w:type="auto"/>
            <w:hideMark/>
          </w:tcPr>
          <w:p w14:paraId="2E7E74B4" w14:textId="77777777" w:rsidR="00071C29" w:rsidRPr="00960345" w:rsidRDefault="00071C29">
            <w:pPr>
              <w:spacing w:after="0"/>
              <w:jc w:val="left"/>
              <w:rPr>
                <w:sz w:val="18"/>
                <w:szCs w:val="18"/>
              </w:rPr>
            </w:pPr>
            <w:r w:rsidRPr="00960345">
              <w:rPr>
                <w:sz w:val="18"/>
                <w:szCs w:val="18"/>
              </w:rPr>
              <w:t>PPP proxy where Art. 32/33 projects pool public and private expertise</w:t>
            </w:r>
          </w:p>
        </w:tc>
      </w:tr>
    </w:tbl>
    <w:p w14:paraId="45E5A134" w14:textId="77777777" w:rsidR="00EB7828" w:rsidRDefault="00EB7828" w:rsidP="00960345"/>
    <w:p w14:paraId="4AC3CFFF" w14:textId="14957CE9" w:rsidR="00071C29" w:rsidRPr="00960345" w:rsidRDefault="00071C29" w:rsidP="00960345">
      <w:r w:rsidRPr="00960345">
        <w:t>If implemented at the scale implied by their intended functions, budget impacts will materialise primarily through (i) prioritisation and mobilisation of existing Union programmes and (ii) Member State co-financing and/or State-aid compatible funding, rather than negligible incremental spending.</w:t>
      </w:r>
    </w:p>
    <w:p w14:paraId="550F37B6" w14:textId="323CCABF" w:rsidR="00071C29" w:rsidRPr="00960345" w:rsidRDefault="7504CECB" w:rsidP="00960345">
      <w:r w:rsidRPr="00960345">
        <w:t>Infrastructure evidence suggests stable operation typically requires core funding covering 60–70</w:t>
      </w:r>
      <w:r w:rsidR="006856C2">
        <w:t>%</w:t>
      </w:r>
      <w:r w:rsidRPr="00960345">
        <w:t xml:space="preserve"> of operational costs as a "healthy" baseline, with user-fee-only models often unrealistic for research-grade infrastructures</w:t>
      </w:r>
      <w:r w:rsidR="00071C29" w:rsidRPr="00960345">
        <w:rPr>
          <w:rStyle w:val="FootnoteReference"/>
        </w:rPr>
        <w:footnoteReference w:id="383"/>
      </w:r>
      <w:r w:rsidRPr="00960345">
        <w:t>. This is directly relevant because the Act's policy intent is to provide shared capability, particularly supporting SMEs and cross-ecosystem networking, rather than purely commercial facilities financed by full cost recovery.</w:t>
      </w:r>
    </w:p>
    <w:p w14:paraId="7B8C1586" w14:textId="6192C1D2" w:rsidR="00071C29" w:rsidRPr="00960345" w:rsidRDefault="00071C29" w:rsidP="00960345">
      <w:r w:rsidRPr="00960345">
        <w:t>A risk common to both articles is the potential for an "operation gap": facilities and data services are launched but cannot be sustained at the utilisation and quality level required to deliver the Act's competitiveness objectives. Unless long-term funding and governance arrangements are secured through Union programmes, Member State co-financing, and/or PPP co-investment significant public CAPEX may be deployed without the ongoing OPEX needed for credible, high-utilisation operation. This would reduce bo</w:t>
      </w:r>
      <w:r w:rsidR="00F70AF4">
        <w:t>t</w:t>
      </w:r>
      <w:r w:rsidRPr="00960345">
        <w:t>h the direct benefits (validation capacity, data quality uplift) and the indirect competitiveness signal to global investors.</w:t>
      </w:r>
    </w:p>
    <w:p w14:paraId="7C78A8D3" w14:textId="77777777" w:rsidR="00071C29" w:rsidRPr="00960345" w:rsidRDefault="00071C29" w:rsidP="00960345">
      <w:pPr>
        <w:rPr>
          <w:b/>
          <w:bCs/>
        </w:rPr>
      </w:pPr>
      <w:bookmarkStart w:id="392" w:name="_Toc224218995"/>
      <w:r w:rsidRPr="00960345">
        <w:rPr>
          <w:b/>
          <w:bCs/>
        </w:rPr>
        <w:t>Functioning of the internal market and competition</w:t>
      </w:r>
      <w:bookmarkEnd w:id="392"/>
    </w:p>
    <w:p w14:paraId="3BF1AD26" w14:textId="77777777" w:rsidR="00071C29" w:rsidRDefault="00071C29" w:rsidP="00960345">
      <w:pPr>
        <w:rPr>
          <w:lang w:val="en-IE"/>
        </w:rPr>
      </w:pPr>
      <w:r w:rsidRPr="00A010A2">
        <w:t xml:space="preserve">Impacts in this category are expected to be driven primarily by the measure on </w:t>
      </w:r>
      <w:r w:rsidRPr="00A010A2">
        <w:rPr>
          <w:lang w:val="en-IE"/>
        </w:rPr>
        <w:t>data quality accelerators.</w:t>
      </w:r>
    </w:p>
    <w:p w14:paraId="418C6671" w14:textId="55D83C94" w:rsidR="00071C29" w:rsidRPr="00960345" w:rsidRDefault="7504CECB" w:rsidP="00960345">
      <w:r w:rsidRPr="00960345">
        <w:t>The current EU health data landscape is characterised by heterogeneity in readiness. While the EU-27 composite eHealth maturity score stands at 83</w:t>
      </w:r>
      <w:r w:rsidR="006856C2">
        <w:t>%</w:t>
      </w:r>
      <w:r w:rsidRPr="00960345">
        <w:t>, this aggregate masks a stark divide: "trendsetters" such as Belgium (100</w:t>
      </w:r>
      <w:r w:rsidR="006856C2">
        <w:t>%</w:t>
      </w:r>
      <w:r w:rsidRPr="00960345">
        <w:t>), Estonia (100</w:t>
      </w:r>
      <w:r w:rsidR="006856C2">
        <w:t>%</w:t>
      </w:r>
      <w:r w:rsidRPr="00960345">
        <w:t>) and Denmark (98</w:t>
      </w:r>
      <w:r w:rsidR="006856C2">
        <w:t>%</w:t>
      </w:r>
      <w:r w:rsidRPr="00960345">
        <w:t>) operate near-universal digital coverage, while Romania (46</w:t>
      </w:r>
      <w:r w:rsidR="006856C2">
        <w:t>%</w:t>
      </w:r>
      <w:r w:rsidRPr="00960345">
        <w:t>) and Ireland (44</w:t>
      </w:r>
      <w:r w:rsidR="006856C2">
        <w:t>%</w:t>
      </w:r>
      <w:r w:rsidRPr="00960345">
        <w:t xml:space="preserve">) lag </w:t>
      </w:r>
      <w:r w:rsidRPr="00960345">
        <w:lastRenderedPageBreak/>
        <w:t>significantly</w:t>
      </w:r>
      <w:r w:rsidR="00071C29" w:rsidRPr="00960345">
        <w:rPr>
          <w:rStyle w:val="FootnoteReference"/>
        </w:rPr>
        <w:footnoteReference w:id="384"/>
      </w:r>
      <w:r w:rsidRPr="00960345">
        <w:rPr>
          <w:vertAlign w:val="superscript"/>
        </w:rPr>
        <w:t>,</w:t>
      </w:r>
      <w:r w:rsidR="00071C29" w:rsidRPr="00960345">
        <w:rPr>
          <w:rStyle w:val="FootnoteReference"/>
        </w:rPr>
        <w:footnoteReference w:id="385"/>
      </w:r>
      <w:r w:rsidRPr="00960345">
        <w:t>. The divide is most acute in data depth: only 26</w:t>
      </w:r>
      <w:r w:rsidR="006856C2">
        <w:t>%</w:t>
      </w:r>
      <w:r w:rsidRPr="00960345">
        <w:t xml:space="preserve"> of Member States provide access to medical imaging through national infrastructures. The "meaningful use" of EHRs varies from 73</w:t>
      </w:r>
      <w:r w:rsidR="006856C2">
        <w:t>%</w:t>
      </w:r>
      <w:r w:rsidRPr="00960345">
        <w:t xml:space="preserve"> in Finland to 5</w:t>
      </w:r>
      <w:r w:rsidR="006856C2">
        <w:t>%</w:t>
      </w:r>
      <w:r w:rsidRPr="00960345">
        <w:t xml:space="preserve"> in Germany</w:t>
      </w:r>
      <w:r w:rsidR="00071C29" w:rsidRPr="00960345">
        <w:rPr>
          <w:rStyle w:val="FootnoteReference"/>
        </w:rPr>
        <w:footnoteReference w:id="386"/>
      </w:r>
      <w:r w:rsidRPr="00960345">
        <w:t>, and private provider connectivity lags at 59</w:t>
      </w:r>
      <w:r w:rsidR="006856C2">
        <w:t>%</w:t>
      </w:r>
      <w:r w:rsidRPr="00960345">
        <w:t xml:space="preserve"> versus 79</w:t>
      </w:r>
      <w:r w:rsidR="006856C2">
        <w:t>%</w:t>
      </w:r>
      <w:r w:rsidRPr="00960345">
        <w:t xml:space="preserve"> for public providers</w:t>
      </w:r>
      <w:r w:rsidR="00071C29" w:rsidRPr="00960345">
        <w:rPr>
          <w:rStyle w:val="FootnoteReference"/>
        </w:rPr>
        <w:footnoteReference w:id="387"/>
      </w:r>
      <w:r w:rsidRPr="00960345">
        <w:t>. The data quality uplift that data quality accelerators would bring is therefore expected to expand the number of Member States where legally compliant AI development is practically feasible, enlarging the effective Single Market for data-driven biotech products.</w:t>
      </w:r>
    </w:p>
    <w:p w14:paraId="4242DC82" w14:textId="09C054B8" w:rsidR="00071C29" w:rsidRPr="00960345" w:rsidRDefault="7504CECB" w:rsidP="00960345">
      <w:r w:rsidRPr="00960345">
        <w:t>These infrastructure disparities currently drive measurable innovation concentration. Medicon Valley (Eastern Denmark and Southern Sweden) alone attracted over EUR 2.5 billion in financing between 2023–2024, while for example, Romania's digital infrastructure contributes to "negligible" clinical trial activity</w:t>
      </w:r>
      <w:r w:rsidR="00071C29" w:rsidRPr="00960345">
        <w:rPr>
          <w:rStyle w:val="FootnoteReference"/>
        </w:rPr>
        <w:footnoteReference w:id="388"/>
      </w:r>
      <w:r w:rsidRPr="00960345">
        <w:t xml:space="preserve">. </w:t>
      </w:r>
      <w:r w:rsidR="36DA6C1F">
        <w:t>In addition, i</w:t>
      </w:r>
      <w:r w:rsidRPr="00960345">
        <w:t>ndustry stakeholders report that pharmaceutical companies "mainly use data from outside the EU, primarily from the US," because US datasets are larger, more streamlined and easier to access at scale</w:t>
      </w:r>
      <w:r w:rsidR="00071C29" w:rsidRPr="00960345">
        <w:rPr>
          <w:rStyle w:val="FootnoteReference"/>
        </w:rPr>
        <w:footnoteReference w:id="389"/>
      </w:r>
      <w:r w:rsidRPr="00960345">
        <w:t>. Data quality accelerators are expected to reduce these location-based asymmetries and support a broader geographic distribution of AI-biotech activity, rather than further concentration in existing hubs.</w:t>
      </w:r>
    </w:p>
    <w:p w14:paraId="67FA5243" w14:textId="77777777" w:rsidR="008A70A0" w:rsidRDefault="006F34D1" w:rsidP="004570F2">
      <w:pPr>
        <w:spacing w:after="0"/>
      </w:pPr>
      <w:bookmarkStart w:id="393" w:name="_Toc224218996"/>
      <w:r w:rsidRPr="004D6895">
        <w:t>On the risk side, three structural dynamics could partially offset these gains</w:t>
      </w:r>
      <w:r w:rsidR="008A70A0">
        <w:t>:</w:t>
      </w:r>
    </w:p>
    <w:p w14:paraId="08FC06D3" w14:textId="1A6626C2" w:rsidR="008A70A0" w:rsidRDefault="7B16090D" w:rsidP="004570F2">
      <w:pPr>
        <w:spacing w:after="0"/>
      </w:pPr>
      <w:r>
        <w:t>-</w:t>
      </w:r>
      <w:r w:rsidR="47EEE0D6">
        <w:t xml:space="preserve"> The absorptive capacity gap (80</w:t>
      </w:r>
      <w:r w:rsidR="006856C2">
        <w:t>%</w:t>
      </w:r>
      <w:r w:rsidR="47EEE0D6">
        <w:t xml:space="preserve"> of large firms vs under 30</w:t>
      </w:r>
      <w:r w:rsidR="006856C2">
        <w:t>%</w:t>
      </w:r>
      <w:r w:rsidR="47EEE0D6">
        <w:t xml:space="preserve"> of SMEs using advanced analytics</w:t>
      </w:r>
      <w:r w:rsidR="005B016B">
        <w:rPr>
          <w:rStyle w:val="FootnoteReference"/>
        </w:rPr>
        <w:footnoteReference w:id="390"/>
      </w:r>
      <w:r w:rsidR="47EEE0D6">
        <w:t xml:space="preserve">) means data quality improvements may disproportionately benefit incumbents. </w:t>
      </w:r>
    </w:p>
    <w:p w14:paraId="0BCD80DF" w14:textId="5BE98D82" w:rsidR="00C314D6" w:rsidRDefault="7B16090D" w:rsidP="00186900">
      <w:pPr>
        <w:spacing w:after="0"/>
      </w:pPr>
      <w:r>
        <w:t xml:space="preserve">- </w:t>
      </w:r>
      <w:r w:rsidR="47EEE0D6">
        <w:t>Gatekeeping by data holders (52</w:t>
      </w:r>
      <w:r w:rsidR="006856C2">
        <w:t>%</w:t>
      </w:r>
      <w:r w:rsidR="47EEE0D6">
        <w:t xml:space="preserve"> of user obstacles linked to legal fragmentation</w:t>
      </w:r>
      <w:r w:rsidR="008A70A0">
        <w:rPr>
          <w:rStyle w:val="FootnoteReference"/>
        </w:rPr>
        <w:footnoteReference w:id="391"/>
      </w:r>
      <w:r w:rsidR="47EEE0D6">
        <w:t xml:space="preserve">) may persist where the framework does not enforce transparent, non-discretionary access. </w:t>
      </w:r>
    </w:p>
    <w:p w14:paraId="6B89F819" w14:textId="02C2F213" w:rsidR="008A70A0" w:rsidRDefault="58159821" w:rsidP="004570F2">
      <w:pPr>
        <w:spacing w:after="0"/>
      </w:pPr>
      <w:r>
        <w:t>- T</w:t>
      </w:r>
      <w:r w:rsidR="586049AB">
        <w:t xml:space="preserve">he </w:t>
      </w:r>
      <w:r w:rsidR="479484B0">
        <w:t>length of the</w:t>
      </w:r>
      <w:r w:rsidR="586049AB">
        <w:t xml:space="preserve"> implementation timeline </w:t>
      </w:r>
      <w:r w:rsidR="479484B0">
        <w:t>may entail</w:t>
      </w:r>
      <w:r w:rsidR="586049AB">
        <w:t xml:space="preserve"> a prolonged transition during which the digital divide may widen before it narrows.</w:t>
      </w:r>
    </w:p>
    <w:p w14:paraId="567B9018" w14:textId="77777777" w:rsidR="00071C29" w:rsidRPr="00960345" w:rsidRDefault="00071C29" w:rsidP="00960345">
      <w:pPr>
        <w:pStyle w:val="BodyText"/>
        <w:rPr>
          <w:b/>
        </w:rPr>
      </w:pPr>
      <w:r w:rsidRPr="00960345">
        <w:rPr>
          <w:rFonts w:ascii="Times New Roman" w:hAnsi="Times New Roman" w:cs="Times New Roman"/>
          <w:b/>
          <w:bCs/>
        </w:rPr>
        <w:t>Innovation and research</w:t>
      </w:r>
      <w:bookmarkEnd w:id="393"/>
    </w:p>
    <w:p w14:paraId="5D53D357" w14:textId="760525D2" w:rsidR="00071C29" w:rsidRPr="00960345" w:rsidRDefault="00071C29" w:rsidP="004570F2">
      <w:pPr>
        <w:spacing w:after="0"/>
      </w:pPr>
      <w:r w:rsidRPr="00960345">
        <w:t>Overall, the net R&amp;I impact of the policy measures is expected to be positive</w:t>
      </w:r>
      <w:r w:rsidR="009A5D70" w:rsidRPr="00960345">
        <w:t>:</w:t>
      </w:r>
    </w:p>
    <w:p w14:paraId="6B7B8A59" w14:textId="46800172" w:rsidR="009A5D70" w:rsidRPr="00A010A2" w:rsidRDefault="00071C29" w:rsidP="00960345">
      <w:pPr>
        <w:pStyle w:val="ListParagraph"/>
        <w:numPr>
          <w:ilvl w:val="0"/>
          <w:numId w:val="465"/>
        </w:numPr>
      </w:pPr>
      <w:r w:rsidRPr="00960345">
        <w:t xml:space="preserve">Testing environments have the potential to address the validation bottleneck that </w:t>
      </w:r>
      <w:r w:rsidR="00D92651">
        <w:t>hampers</w:t>
      </w:r>
      <w:r w:rsidRPr="00960345">
        <w:t xml:space="preserve"> SMEs from the AI-biotech pipeline, </w:t>
      </w:r>
      <w:r w:rsidR="00D92651">
        <w:t>acce</w:t>
      </w:r>
      <w:r w:rsidR="00416983">
        <w:t>lerating</w:t>
      </w:r>
      <w:r w:rsidRPr="00960345">
        <w:t xml:space="preserve"> time-to-validation, </w:t>
      </w:r>
      <w:r w:rsidRPr="00960345">
        <w:rPr>
          <w:rStyle w:val="BodyTextChar"/>
        </w:rPr>
        <w:t xml:space="preserve">regulatory submissions and </w:t>
      </w:r>
      <w:r w:rsidR="00416983">
        <w:rPr>
          <w:rStyle w:val="BodyTextChar"/>
        </w:rPr>
        <w:t>boosting</w:t>
      </w:r>
      <w:r w:rsidRPr="00960345">
        <w:rPr>
          <w:rStyle w:val="BodyTextChar"/>
        </w:rPr>
        <w:t xml:space="preserve"> firm growth</w:t>
      </w:r>
      <w:r w:rsidR="00E250CB">
        <w:rPr>
          <w:rStyle w:val="BodyTextChar"/>
        </w:rPr>
        <w:t>;</w:t>
      </w:r>
    </w:p>
    <w:p w14:paraId="648989A8" w14:textId="14B13113" w:rsidR="00071C29" w:rsidRPr="00960345" w:rsidRDefault="7504CECB" w:rsidP="00960345">
      <w:pPr>
        <w:pStyle w:val="ListParagraph"/>
        <w:numPr>
          <w:ilvl w:val="0"/>
          <w:numId w:val="465"/>
        </w:numPr>
      </w:pPr>
      <w:r w:rsidRPr="00960345">
        <w:lastRenderedPageBreak/>
        <w:t>Data quality accelerators have the potential to address the data usability deficit that currently renders 87</w:t>
      </w:r>
      <w:r w:rsidR="006856C2">
        <w:t>%</w:t>
      </w:r>
      <w:r w:rsidRPr="00960345">
        <w:t xml:space="preserve"> of publicly hosted biomedical datasets inaccessible for machine learning</w:t>
      </w:r>
      <w:r w:rsidR="00071C29" w:rsidRPr="00960345">
        <w:rPr>
          <w:rStyle w:val="FootnoteReference"/>
        </w:rPr>
        <w:footnoteReference w:id="392"/>
      </w:r>
      <w:r w:rsidRPr="00960345">
        <w:t xml:space="preserve">, with the EU losing an estimated </w:t>
      </w:r>
      <w:r w:rsidR="02FFA1D2">
        <w:t xml:space="preserve">EUR </w:t>
      </w:r>
      <w:r w:rsidRPr="00960345">
        <w:t>10.2 billion annually from the absence of FAIR data</w:t>
      </w:r>
      <w:r w:rsidR="00071C29" w:rsidRPr="00960345">
        <w:rPr>
          <w:rStyle w:val="FootnoteReference"/>
        </w:rPr>
        <w:footnoteReference w:id="393"/>
      </w:r>
      <w:r w:rsidRPr="00960345">
        <w:t xml:space="preserve"> and targeted curation demonstrating savings of 5,000 researcher-hours and </w:t>
      </w:r>
      <w:r w:rsidR="079B72E4">
        <w:t xml:space="preserve">USD </w:t>
      </w:r>
      <w:r w:rsidRPr="00960345">
        <w:t>1.4 million per year in a single use case</w:t>
      </w:r>
      <w:r w:rsidR="00071C29" w:rsidRPr="00960345">
        <w:rPr>
          <w:rStyle w:val="FootnoteReference"/>
        </w:rPr>
        <w:footnoteReference w:id="394"/>
      </w:r>
      <w:r w:rsidRPr="00960345">
        <w:t>.</w:t>
      </w:r>
    </w:p>
    <w:p w14:paraId="0B72EDE4" w14:textId="2E4D5722" w:rsidR="00071C29" w:rsidRPr="00960345" w:rsidRDefault="7504CECB" w:rsidP="00960345">
      <w:r w:rsidRPr="00960345">
        <w:t>The principal downside risk across all three instruments is that benefits are eroded by infrastructure capture (49–65</w:t>
      </w:r>
      <w:r w:rsidR="006856C2">
        <w:t>%</w:t>
      </w:r>
      <w:r w:rsidRPr="00960345">
        <w:t xml:space="preserve"> of funding concentrated in top partners</w:t>
      </w:r>
      <w:r w:rsidR="00071C29" w:rsidRPr="00960345">
        <w:rPr>
          <w:rStyle w:val="FootnoteReference"/>
        </w:rPr>
        <w:footnoteReference w:id="395"/>
      </w:r>
      <w:r w:rsidRPr="00960345">
        <w:t>), technological obsolescence (15–20</w:t>
      </w:r>
      <w:r w:rsidR="006856C2">
        <w:t>%</w:t>
      </w:r>
      <w:r w:rsidRPr="00960345">
        <w:t xml:space="preserve"> annual CAPEX renewal requirement</w:t>
      </w:r>
      <w:r w:rsidR="00071C29" w:rsidRPr="00960345">
        <w:rPr>
          <w:rStyle w:val="FootnoteReference"/>
        </w:rPr>
        <w:footnoteReference w:id="396"/>
      </w:r>
      <w:r w:rsidRPr="00960345">
        <w:rPr>
          <w:vertAlign w:val="superscript"/>
        </w:rPr>
        <w:t>,</w:t>
      </w:r>
      <w:r w:rsidR="00071C29" w:rsidRPr="00960345">
        <w:rPr>
          <w:rStyle w:val="FootnoteReference"/>
        </w:rPr>
        <w:footnoteReference w:id="397"/>
      </w:r>
      <w:r w:rsidRPr="00960345">
        <w:t xml:space="preserve">), or administrative delay. If the EHDS delivers even a fraction of its projected </w:t>
      </w:r>
      <w:r w:rsidR="72F70CDD">
        <w:t xml:space="preserve">EUR </w:t>
      </w:r>
      <w:r w:rsidRPr="00960345">
        <w:t>11 billion in economic value over ten years at the scale of a 450-million population, the innovation return from data accelerator projects would be significant. The overall R&amp;I impact depends less on the initial creation of infrastructure and guidance than on the sustained quality of governance, access design and technology refresh funding over the operational lifecycle.</w:t>
      </w:r>
    </w:p>
    <w:p w14:paraId="1ABB0C54" w14:textId="608A636F" w:rsidR="00071C29" w:rsidRPr="00960345" w:rsidRDefault="7504CECB" w:rsidP="00960345">
      <w:r w:rsidRPr="00960345">
        <w:t>The guidance on AI use is expected to generate positive effects on innovation by reducing the "wait-and-see" behaviour currently observed in AI-enabled drug development. While 68</w:t>
      </w:r>
      <w:r w:rsidR="006856C2">
        <w:t>%</w:t>
      </w:r>
      <w:r w:rsidRPr="00960345">
        <w:t xml:space="preserve"> of biopharma organisations plan to increase AI investment in R&amp;D between 2025 and 2026</w:t>
      </w:r>
      <w:r w:rsidR="00071C29" w:rsidRPr="004570F2">
        <w:rPr>
          <w:vertAlign w:val="superscript"/>
        </w:rPr>
        <w:footnoteReference w:id="398"/>
      </w:r>
      <w:r w:rsidRPr="00960345">
        <w:t>, investment remains conditional on regulatory signals regarding the acceptability of AI-generated evidence. In analogous contexts, the provision of an operational framework has triggered measurable shifts in methodological uptake: under the EMA's Real-World Evidence framework, regulator-led RWD studies increased to 59 between February 2024 and February 2025, a 47.5</w:t>
      </w:r>
      <w:r w:rsidR="006856C2">
        <w:t>%</w:t>
      </w:r>
      <w:r w:rsidRPr="00960345">
        <w:t xml:space="preserve"> increase year-on-year, while study feasibility rose from 60</w:t>
      </w:r>
      <w:r w:rsidR="006856C2">
        <w:t>%</w:t>
      </w:r>
      <w:r w:rsidRPr="00960345">
        <w:t xml:space="preserve"> to 78</w:t>
      </w:r>
      <w:r w:rsidR="006856C2">
        <w:t>%</w:t>
      </w:r>
      <w:r w:rsidRPr="00960345">
        <w:t xml:space="preserve"> as the DARWIN EU network expanded to 30 data partners covering around 180 million patients across 16 countries</w:t>
      </w:r>
      <w:r w:rsidR="0E0334B6">
        <w:t xml:space="preserve"> </w:t>
      </w:r>
      <w:r w:rsidR="00071C29" w:rsidRPr="004570F2">
        <w:rPr>
          <w:vertAlign w:val="superscript"/>
        </w:rPr>
        <w:footnoteReference w:id="399"/>
      </w:r>
      <w:r w:rsidRPr="000114C1">
        <w:rPr>
          <w:vertAlign w:val="superscript"/>
        </w:rPr>
        <w:t>,</w:t>
      </w:r>
      <w:r w:rsidR="00071C29" w:rsidRPr="004570F2">
        <w:rPr>
          <w:vertAlign w:val="superscript"/>
        </w:rPr>
        <w:footnoteReference w:id="400"/>
      </w:r>
      <w:r w:rsidR="407B5FBD">
        <w:t>.</w:t>
      </w:r>
    </w:p>
    <w:p w14:paraId="14D4AB04" w14:textId="77777777" w:rsidR="00071C29" w:rsidRPr="00960345" w:rsidRDefault="00071C29" w:rsidP="00960345">
      <w:pPr>
        <w:rPr>
          <w:b/>
          <w:bCs/>
        </w:rPr>
      </w:pPr>
      <w:bookmarkStart w:id="394" w:name="_Toc224218997"/>
      <w:r w:rsidRPr="00960345">
        <w:rPr>
          <w:b/>
          <w:bCs/>
        </w:rPr>
        <w:t>Public authorities</w:t>
      </w:r>
      <w:bookmarkEnd w:id="394"/>
    </w:p>
    <w:p w14:paraId="3DB16A48" w14:textId="67C60D32" w:rsidR="00071C29" w:rsidRPr="009A5D70" w:rsidRDefault="00071C29" w:rsidP="00071C29">
      <w:r>
        <w:t xml:space="preserve">The costs on EMA regarding the development of the guidance are difficult to quantify. However, it is known that implementation of coordinated systems (as it is with EHDS), </w:t>
      </w:r>
      <w:r>
        <w:lastRenderedPageBreak/>
        <w:t xml:space="preserve">requires significant investment in capacity-building, training, and public engagement. The economic costs are borne at both Union and national levels, and additional resources are needed for healthcare systems, especially public ones. </w:t>
      </w:r>
    </w:p>
    <w:p w14:paraId="40D7DDC1" w14:textId="0952F3B5" w:rsidR="00071C29" w:rsidRPr="00960345" w:rsidRDefault="00071C29" w:rsidP="00071C29">
      <w:pPr>
        <w:pStyle w:val="BodyText"/>
        <w:jc w:val="both"/>
        <w:rPr>
          <w:rFonts w:ascii="Times New Roman" w:hAnsi="Times New Roman" w:cs="Times New Roman"/>
        </w:rPr>
      </w:pPr>
      <w:r w:rsidRPr="00960345">
        <w:rPr>
          <w:rFonts w:ascii="Times New Roman" w:hAnsi="Times New Roman" w:cs="Times New Roman"/>
        </w:rPr>
        <w:t>Testing environments and data quality accelerators share the same recognition-and-support architecture as high impact health biotechnology strategic projects. The following incremental costs apply to both.</w:t>
      </w:r>
    </w:p>
    <w:p w14:paraId="7555E725" w14:textId="227F577D" w:rsidR="00071C29" w:rsidRPr="009A5D70" w:rsidRDefault="7504CECB" w:rsidP="00071C29">
      <w:pPr>
        <w:spacing w:before="100" w:beforeAutospacing="1" w:after="100" w:afterAutospacing="1"/>
        <w:rPr>
          <w:color w:val="C0504D" w:themeColor="accent2"/>
        </w:rPr>
      </w:pPr>
      <w:r w:rsidRPr="3F982D60">
        <w:rPr>
          <w:rStyle w:val="Strong"/>
        </w:rPr>
        <w:t>EU-level supervisory costs.</w:t>
      </w:r>
      <w:r>
        <w:t xml:space="preserve"> EU-level supervisory tasks under Articles 32 and 33 cover recognition, monitoring, compliance verification and cross-border coordination for a limited portfolio of high impact projects. These are non-fiscal administrative functions and do not involve managing a direct funding portfolio. A bottom-up estimate of the staffing requirement suggests approximately 0.3–0.5 FTE per single-country project per year for ongoing supervision, rising to 0.5–1 FTE for multi-country projects given the additional coordination layer, plus a one-off recognition effort of approximately 1–1.5 person-months per project at initial designation</w:t>
      </w:r>
      <w:r w:rsidR="00071C29" w:rsidRPr="009A5D70">
        <w:rPr>
          <w:rStyle w:val="FootnoteReference"/>
        </w:rPr>
        <w:footnoteReference w:id="401"/>
      </w:r>
      <w:r>
        <w:t>. On this basis, EU-level supervisory requirement is estimated at 1–3 FTE under low uptake (2–3 projects), 2.5–8 FTE under medium uptake (5–8 projects), and 5–15 FTE under high uptake (10–15 projects). The additional complexity of health biotechnology strategic projects, which span multiple regulatory frameworks (AI Act, Clinical Trials Regulation, EHDS, GMO legislation) and require coordination across a broader range of Union agencies (EMA, EFSA, national competent authorities) and sectoral stakeholders, supports placing estimates at the higher end of these ranges for multi-country projects. The Chips Joint Undertaking, where 18 FTE supervise a portfolio of approximately EUR 4.175 billion in EU funding involving direct programme management</w:t>
      </w:r>
      <w:r w:rsidR="00071C29" w:rsidRPr="009A5D70">
        <w:rPr>
          <w:rStyle w:val="FootnoteReference"/>
        </w:rPr>
        <w:footnoteReference w:id="402"/>
      </w:r>
      <w:r>
        <w:t>, provides a structural upper bound; the Act's recognition-and-coordination function is materially less resource-intensive than direct programme management.</w:t>
      </w:r>
    </w:p>
    <w:p w14:paraId="7B9162C9" w14:textId="5C308BB0" w:rsidR="00071C29" w:rsidRPr="00960345" w:rsidRDefault="7504CECB" w:rsidP="00071C29">
      <w:pPr>
        <w:pStyle w:val="BodyText"/>
        <w:jc w:val="both"/>
        <w:rPr>
          <w:rFonts w:ascii="Times New Roman" w:hAnsi="Times New Roman" w:cs="Times New Roman"/>
        </w:rPr>
      </w:pPr>
      <w:r w:rsidRPr="00960345">
        <w:rPr>
          <w:rStyle w:val="Strong"/>
          <w:rFonts w:ascii="Times New Roman" w:hAnsi="Times New Roman" w:cs="Times New Roman"/>
        </w:rPr>
        <w:t>Technological obsolescence and refresh costs.</w:t>
      </w:r>
      <w:r w:rsidRPr="00960345">
        <w:rPr>
          <w:rFonts w:ascii="Times New Roman" w:hAnsi="Times New Roman" w:cs="Times New Roman"/>
        </w:rPr>
        <w:t xml:space="preserve"> Both articles establish infrastructure that relies on AI-enabled digital components evolving significantly faster than traditional research equipment. Computational power required for frontier AI experiments doubles approximately every 3.5 months</w:t>
      </w:r>
      <w:r w:rsidR="00071C29" w:rsidRPr="00960345">
        <w:rPr>
          <w:rStyle w:val="FootnoteReference"/>
          <w:rFonts w:ascii="Times New Roman" w:hAnsi="Times New Roman" w:cs="Times New Roman"/>
        </w:rPr>
        <w:footnoteReference w:id="403"/>
      </w:r>
      <w:r w:rsidRPr="00960345">
        <w:rPr>
          <w:rFonts w:ascii="Times New Roman" w:hAnsi="Times New Roman" w:cs="Times New Roman"/>
        </w:rPr>
        <w:t xml:space="preserve"> and 30–40</w:t>
      </w:r>
      <w:r w:rsidR="006856C2">
        <w:rPr>
          <w:rFonts w:ascii="Times New Roman" w:hAnsi="Times New Roman" w:cs="Times New Roman"/>
        </w:rPr>
        <w:t>%</w:t>
      </w:r>
      <w:r w:rsidRPr="00960345">
        <w:rPr>
          <w:rFonts w:ascii="Times New Roman" w:hAnsi="Times New Roman" w:cs="Times New Roman"/>
        </w:rPr>
        <w:t xml:space="preserve"> of software stacks require replacement or major updates every 18–24 months</w:t>
      </w:r>
      <w:r w:rsidR="00071C29" w:rsidRPr="00960345">
        <w:rPr>
          <w:rStyle w:val="FootnoteReference"/>
          <w:rFonts w:ascii="Times New Roman" w:hAnsi="Times New Roman" w:cs="Times New Roman"/>
        </w:rPr>
        <w:footnoteReference w:id="404"/>
      </w:r>
      <w:r w:rsidRPr="00960345">
        <w:rPr>
          <w:rFonts w:ascii="Times New Roman" w:hAnsi="Times New Roman" w:cs="Times New Roman"/>
        </w:rPr>
        <w:t>. Maintaining state-of-the-art status requires continuous reinvestment equivalent to 15–20</w:t>
      </w:r>
      <w:r w:rsidR="006856C2">
        <w:rPr>
          <w:rFonts w:ascii="Times New Roman" w:hAnsi="Times New Roman" w:cs="Times New Roman"/>
        </w:rPr>
        <w:t>%</w:t>
      </w:r>
      <w:r w:rsidRPr="00960345">
        <w:rPr>
          <w:rFonts w:ascii="Times New Roman" w:hAnsi="Times New Roman" w:cs="Times New Roman"/>
        </w:rPr>
        <w:t xml:space="preserve"> of initial CAPEX annually</w:t>
      </w:r>
      <w:r w:rsidR="00071C29" w:rsidRPr="00960345">
        <w:rPr>
          <w:rStyle w:val="FootnoteReference"/>
          <w:rFonts w:ascii="Times New Roman" w:hAnsi="Times New Roman" w:cs="Times New Roman"/>
        </w:rPr>
        <w:footnoteReference w:id="405"/>
      </w:r>
      <w:r w:rsidRPr="00960345">
        <w:rPr>
          <w:rFonts w:ascii="Times New Roman" w:hAnsi="Times New Roman" w:cs="Times New Roman"/>
          <w:vertAlign w:val="superscript"/>
        </w:rPr>
        <w:t>,</w:t>
      </w:r>
      <w:r w:rsidR="00071C29" w:rsidRPr="00960345">
        <w:rPr>
          <w:rStyle w:val="FootnoteReference"/>
          <w:rFonts w:ascii="Times New Roman" w:hAnsi="Times New Roman" w:cs="Times New Roman"/>
        </w:rPr>
        <w:footnoteReference w:id="406"/>
      </w:r>
      <w:r w:rsidRPr="00960345">
        <w:rPr>
          <w:rFonts w:ascii="Times New Roman" w:hAnsi="Times New Roman" w:cs="Times New Roman"/>
        </w:rPr>
        <w:t xml:space="preserve">.The </w:t>
      </w:r>
      <w:r w:rsidRPr="00960345">
        <w:rPr>
          <w:rFonts w:ascii="Times New Roman" w:hAnsi="Times New Roman" w:cs="Times New Roman"/>
        </w:rPr>
        <w:lastRenderedPageBreak/>
        <w:t xml:space="preserve">Hartree Centre evaluation illustrates the financial implication: </w:t>
      </w:r>
      <w:r w:rsidR="5A63C0B9" w:rsidRPr="4EC480EB">
        <w:rPr>
          <w:rFonts w:ascii="Times New Roman" w:hAnsi="Times New Roman" w:cs="Times New Roman"/>
        </w:rPr>
        <w:t>EUR 35.3</w:t>
      </w:r>
      <w:r w:rsidRPr="00960345">
        <w:rPr>
          <w:rFonts w:ascii="Times New Roman" w:hAnsi="Times New Roman" w:cs="Times New Roman"/>
        </w:rPr>
        <w:t xml:space="preserve"> million in active assets alongside </w:t>
      </w:r>
      <w:r w:rsidR="49E48859" w:rsidRPr="4EC480EB">
        <w:rPr>
          <w:rFonts w:ascii="Times New Roman" w:hAnsi="Times New Roman" w:cs="Times New Roman"/>
        </w:rPr>
        <w:t>EUR 31.9</w:t>
      </w:r>
      <w:r w:rsidRPr="00960345">
        <w:rPr>
          <w:rFonts w:ascii="Times New Roman" w:hAnsi="Times New Roman" w:cs="Times New Roman"/>
        </w:rPr>
        <w:t xml:space="preserve"> million already retired or repurposed</w:t>
      </w:r>
      <w:r w:rsidR="00071C29" w:rsidRPr="00960345">
        <w:rPr>
          <w:rStyle w:val="FootnoteReference"/>
          <w:rFonts w:ascii="Times New Roman" w:hAnsi="Times New Roman" w:cs="Times New Roman"/>
        </w:rPr>
        <w:footnoteReference w:id="407"/>
      </w:r>
      <w:r w:rsidRPr="00960345">
        <w:rPr>
          <w:rFonts w:ascii="Times New Roman" w:hAnsi="Times New Roman" w:cs="Times New Roman"/>
        </w:rPr>
        <w:t>.</w:t>
      </w:r>
    </w:p>
    <w:p w14:paraId="1387AC0A" w14:textId="66F8A730" w:rsidR="00071C29" w:rsidRPr="00960345" w:rsidRDefault="7504CECB" w:rsidP="00071C29">
      <w:pPr>
        <w:pStyle w:val="BodyText"/>
        <w:jc w:val="both"/>
        <w:rPr>
          <w:rFonts w:ascii="Times New Roman" w:hAnsi="Times New Roman" w:cs="Times New Roman"/>
        </w:rPr>
      </w:pPr>
      <w:r w:rsidRPr="00960345">
        <w:rPr>
          <w:rStyle w:val="Strong"/>
          <w:rFonts w:ascii="Times New Roman" w:hAnsi="Times New Roman" w:cs="Times New Roman"/>
        </w:rPr>
        <w:t>Human capital costs.</w:t>
      </w:r>
      <w:r w:rsidRPr="00960345">
        <w:rPr>
          <w:rFonts w:ascii="Times New Roman" w:hAnsi="Times New Roman" w:cs="Times New Roman"/>
        </w:rPr>
        <w:t xml:space="preserve"> Both types of </w:t>
      </w:r>
      <w:r w:rsidR="71D2FA77" w:rsidRPr="4EC480EB">
        <w:rPr>
          <w:rFonts w:ascii="Times New Roman" w:hAnsi="Times New Roman" w:cs="Times New Roman"/>
        </w:rPr>
        <w:t>projects</w:t>
      </w:r>
      <w:r w:rsidRPr="00960345">
        <w:rPr>
          <w:rFonts w:ascii="Times New Roman" w:hAnsi="Times New Roman" w:cs="Times New Roman"/>
        </w:rPr>
        <w:t xml:space="preserve"> require interdisciplinary profiles bridging medicine, data science and law, which are in critical shortage. AI talent concentration in hospitals remains below 2</w:t>
      </w:r>
      <w:r w:rsidR="006856C2">
        <w:rPr>
          <w:rFonts w:ascii="Times New Roman" w:hAnsi="Times New Roman" w:cs="Times New Roman"/>
        </w:rPr>
        <w:t>%</w:t>
      </w:r>
      <w:r w:rsidRPr="00960345">
        <w:rPr>
          <w:rFonts w:ascii="Times New Roman" w:hAnsi="Times New Roman" w:cs="Times New Roman"/>
        </w:rPr>
        <w:t xml:space="preserve"> of the workforce in most Member States</w:t>
      </w:r>
      <w:r w:rsidR="00071C29" w:rsidRPr="00960345">
        <w:rPr>
          <w:rStyle w:val="FootnoteReference"/>
          <w:rFonts w:ascii="Times New Roman" w:hAnsi="Times New Roman" w:cs="Times New Roman"/>
        </w:rPr>
        <w:footnoteReference w:id="408"/>
      </w:r>
      <w:r w:rsidRPr="00960345">
        <w:rPr>
          <w:rFonts w:ascii="Times New Roman" w:hAnsi="Times New Roman" w:cs="Times New Roman"/>
        </w:rPr>
        <w:t xml:space="preserve">. Operating testing environments (Article 32) and data quality accelerators (Article 33) </w:t>
      </w:r>
      <w:r w:rsidR="71D2FA77" w:rsidRPr="4EC480EB">
        <w:rPr>
          <w:rFonts w:ascii="Times New Roman" w:hAnsi="Times New Roman" w:cs="Times New Roman"/>
        </w:rPr>
        <w:t>require</w:t>
      </w:r>
      <w:r w:rsidRPr="00960345">
        <w:rPr>
          <w:rFonts w:ascii="Times New Roman" w:hAnsi="Times New Roman" w:cs="Times New Roman"/>
        </w:rPr>
        <w:t xml:space="preserve"> permanent specialist roles (data stewards, cloud engineers, validation scientists) that represent new fixed costs for the public authorities hosting or co-managing these projects</w:t>
      </w:r>
      <w:r w:rsidR="00071C29" w:rsidRPr="00960345">
        <w:rPr>
          <w:rStyle w:val="FootnoteReference"/>
          <w:rFonts w:ascii="Times New Roman" w:hAnsi="Times New Roman" w:cs="Times New Roman"/>
        </w:rPr>
        <w:footnoteReference w:id="409"/>
      </w:r>
      <w:r w:rsidRPr="00960345">
        <w:rPr>
          <w:rFonts w:ascii="Times New Roman" w:hAnsi="Times New Roman" w:cs="Times New Roman"/>
          <w:vertAlign w:val="superscript"/>
        </w:rPr>
        <w:t>,</w:t>
      </w:r>
      <w:r w:rsidR="00071C29" w:rsidRPr="00960345">
        <w:rPr>
          <w:rStyle w:val="FootnoteReference"/>
          <w:rFonts w:ascii="Times New Roman" w:hAnsi="Times New Roman" w:cs="Times New Roman"/>
        </w:rPr>
        <w:footnoteReference w:id="410"/>
      </w:r>
      <w:r w:rsidRPr="00960345">
        <w:rPr>
          <w:rFonts w:ascii="Times New Roman" w:hAnsi="Times New Roman" w:cs="Times New Roman"/>
        </w:rPr>
        <w:t>.</w:t>
      </w:r>
    </w:p>
    <w:p w14:paraId="56DFA837" w14:textId="77777777" w:rsidR="00071C29" w:rsidRPr="00960345" w:rsidRDefault="00071C29" w:rsidP="00071C29">
      <w:pPr>
        <w:pStyle w:val="BodyText"/>
        <w:jc w:val="both"/>
        <w:rPr>
          <w:rFonts w:ascii="Times New Roman" w:hAnsi="Times New Roman" w:cs="Times New Roman"/>
        </w:rPr>
      </w:pPr>
      <w:r w:rsidRPr="00960345">
        <w:rPr>
          <w:rFonts w:ascii="Times New Roman" w:hAnsi="Times New Roman" w:cs="Times New Roman"/>
          <w:b/>
          <w:bCs/>
        </w:rPr>
        <w:t>Beyond the shared strategic project costs, data quality accelerators potentially create incremental demands on public authorities that hold or govern health data</w:t>
      </w:r>
      <w:r w:rsidRPr="00960345">
        <w:rPr>
          <w:rFonts w:ascii="Times New Roman" w:hAnsi="Times New Roman" w:cs="Times New Roman"/>
        </w:rPr>
        <w:t>. These costs arise not from the EHDS baseline (which mandates data access) but from the accelerator-grade quality uplift including curating, annotating, verifying provenance and standardising datasets to a level suitable for AI training, validation and testing.</w:t>
      </w:r>
    </w:p>
    <w:p w14:paraId="5D4522BD" w14:textId="6C32BCB8" w:rsidR="00071C29" w:rsidRPr="00960345" w:rsidRDefault="7504CECB" w:rsidP="00071C29">
      <w:pPr>
        <w:pStyle w:val="BodyText"/>
        <w:jc w:val="both"/>
        <w:rPr>
          <w:rFonts w:ascii="Times New Roman" w:hAnsi="Times New Roman" w:cs="Times New Roman"/>
        </w:rPr>
      </w:pPr>
      <w:r w:rsidRPr="00960345">
        <w:rPr>
          <w:rFonts w:ascii="Times New Roman" w:hAnsi="Times New Roman" w:cs="Times New Roman"/>
        </w:rPr>
        <w:t>This quality uplift is labour-intensive and costly. Making experimental results "AI-ready" by systematically recording metadata adds roughly 15</w:t>
      </w:r>
      <w:r w:rsidR="006856C2">
        <w:rPr>
          <w:rFonts w:ascii="Times New Roman" w:hAnsi="Times New Roman" w:cs="Times New Roman"/>
        </w:rPr>
        <w:t>%</w:t>
      </w:r>
      <w:r w:rsidRPr="00960345">
        <w:rPr>
          <w:rFonts w:ascii="Times New Roman" w:hAnsi="Times New Roman" w:cs="Times New Roman"/>
        </w:rPr>
        <w:t xml:space="preserve"> to experimentation costs</w:t>
      </w:r>
      <w:r w:rsidR="5D35CBF8" w:rsidRPr="4EC480EB">
        <w:rPr>
          <w:rFonts w:ascii="Times New Roman" w:hAnsi="Times New Roman" w:cs="Times New Roman"/>
        </w:rPr>
        <w:t xml:space="preserve"> </w:t>
      </w:r>
      <w:r w:rsidR="00071C29" w:rsidRPr="00960345">
        <w:rPr>
          <w:rStyle w:val="FootnoteReference"/>
          <w:rFonts w:ascii="Times New Roman" w:hAnsi="Times New Roman" w:cs="Times New Roman"/>
        </w:rPr>
        <w:footnoteReference w:id="411"/>
      </w:r>
      <w:r w:rsidRPr="00960345">
        <w:rPr>
          <w:rFonts w:ascii="Times New Roman" w:hAnsi="Times New Roman" w:cs="Times New Roman"/>
        </w:rPr>
        <w:t>. For biobanks participating in accelerator-grade data provision, agreements range from EUR 100,000 to EUR 500,000 per project, reflecting the cost of providing "highly structured, harmonized data" capable of supporting computational cloud services</w:t>
      </w:r>
      <w:r w:rsidR="5D35CBF8" w:rsidRPr="4EC480EB">
        <w:rPr>
          <w:rFonts w:ascii="Times New Roman" w:hAnsi="Times New Roman" w:cs="Times New Roman"/>
        </w:rPr>
        <w:t xml:space="preserve"> </w:t>
      </w:r>
      <w:r w:rsidR="00071C29" w:rsidRPr="00960345">
        <w:rPr>
          <w:rStyle w:val="FootnoteReference"/>
          <w:rFonts w:ascii="Times New Roman" w:hAnsi="Times New Roman" w:cs="Times New Roman"/>
        </w:rPr>
        <w:footnoteReference w:id="412"/>
      </w:r>
      <w:r w:rsidRPr="00960345">
        <w:rPr>
          <w:rFonts w:ascii="Times New Roman" w:hAnsi="Times New Roman" w:cs="Times New Roman"/>
        </w:rPr>
        <w:t>. This level of curation goes substantially beyond standard EHDS access obligations. Effective anonymisation at accelerator grade cannot be fully automated: "use case–specific anonymisation" requires deep domain expertise to preserve statistical utility while ensuring GDPR compliance</w:t>
      </w:r>
      <w:r w:rsidR="00071C29" w:rsidRPr="00960345">
        <w:rPr>
          <w:rStyle w:val="FootnoteReference"/>
          <w:rFonts w:ascii="Times New Roman" w:hAnsi="Times New Roman" w:cs="Times New Roman"/>
        </w:rPr>
        <w:footnoteReference w:id="413"/>
      </w:r>
      <w:r w:rsidRPr="00960345">
        <w:rPr>
          <w:rFonts w:ascii="Times New Roman" w:hAnsi="Times New Roman" w:cs="Times New Roman"/>
        </w:rPr>
        <w:t>.</w:t>
      </w:r>
    </w:p>
    <w:p w14:paraId="4052A7EB" w14:textId="27D8A838" w:rsidR="00071C29" w:rsidRPr="00960345" w:rsidRDefault="7504CECB" w:rsidP="00071C29">
      <w:pPr>
        <w:pStyle w:val="BodyText"/>
        <w:jc w:val="both"/>
        <w:rPr>
          <w:rFonts w:ascii="Times New Roman" w:hAnsi="Times New Roman" w:cs="Times New Roman"/>
        </w:rPr>
      </w:pPr>
      <w:r w:rsidRPr="00960345">
        <w:rPr>
          <w:rStyle w:val="Strong"/>
          <w:rFonts w:ascii="Times New Roman" w:hAnsi="Times New Roman" w:cs="Times New Roman"/>
        </w:rPr>
        <w:t>Grant dependency risk.</w:t>
      </w:r>
      <w:r w:rsidRPr="00960345">
        <w:rPr>
          <w:rFonts w:ascii="Times New Roman" w:hAnsi="Times New Roman" w:cs="Times New Roman"/>
        </w:rPr>
        <w:t xml:space="preserve"> The public authorities </w:t>
      </w:r>
      <w:r w:rsidR="4FF77345" w:rsidRPr="4EC480EB">
        <w:rPr>
          <w:rFonts w:ascii="Times New Roman" w:hAnsi="Times New Roman" w:cs="Times New Roman"/>
        </w:rPr>
        <w:t>are most</w:t>
      </w:r>
      <w:r w:rsidRPr="00960345">
        <w:rPr>
          <w:rFonts w:ascii="Times New Roman" w:hAnsi="Times New Roman" w:cs="Times New Roman"/>
        </w:rPr>
        <w:t xml:space="preserve"> likely to host or co-manage Article 33 accelerators (biobanks, registries) have funding structures incompatible with permanent service obligations. Core budgets cover only 16–17</w:t>
      </w:r>
      <w:r w:rsidR="006856C2">
        <w:rPr>
          <w:rFonts w:ascii="Times New Roman" w:hAnsi="Times New Roman" w:cs="Times New Roman"/>
        </w:rPr>
        <w:t>%</w:t>
      </w:r>
      <w:r w:rsidRPr="00960345">
        <w:rPr>
          <w:rFonts w:ascii="Times New Roman" w:hAnsi="Times New Roman" w:cs="Times New Roman"/>
        </w:rPr>
        <w:t xml:space="preserve"> of IT and development services, with 83–84</w:t>
      </w:r>
      <w:r w:rsidR="006856C2">
        <w:rPr>
          <w:rFonts w:ascii="Times New Roman" w:hAnsi="Times New Roman" w:cs="Times New Roman"/>
        </w:rPr>
        <w:t>%</w:t>
      </w:r>
      <w:r w:rsidRPr="00960345">
        <w:rPr>
          <w:rFonts w:ascii="Times New Roman" w:hAnsi="Times New Roman" w:cs="Times New Roman"/>
        </w:rPr>
        <w:t xml:space="preserve"> dependent on volatile project-based grants</w:t>
      </w:r>
      <w:r w:rsidR="5D35CBF8" w:rsidRPr="4EC480EB">
        <w:rPr>
          <w:rFonts w:ascii="Times New Roman" w:hAnsi="Times New Roman" w:cs="Times New Roman"/>
        </w:rPr>
        <w:t xml:space="preserve"> </w:t>
      </w:r>
      <w:r w:rsidR="00071C29" w:rsidRPr="00960345">
        <w:rPr>
          <w:rStyle w:val="FootnoteReference"/>
          <w:rFonts w:ascii="Times New Roman" w:hAnsi="Times New Roman" w:cs="Times New Roman"/>
        </w:rPr>
        <w:footnoteReference w:id="414"/>
      </w:r>
      <w:r w:rsidRPr="00960345">
        <w:rPr>
          <w:rFonts w:ascii="Times New Roman" w:hAnsi="Times New Roman" w:cs="Times New Roman"/>
        </w:rPr>
        <w:t>. Article 33 imposes continuous curation, maintenance and data-holder support functions that require stable operational funding. Without structural budget allocation, accelerator projects risk the same "project trap" cycle observed in existing biobank infrastructure: facilities built up for specific grant periods and subsequently degraded once funding expires</w:t>
      </w:r>
      <w:r w:rsidR="5D35CBF8" w:rsidRPr="4EC480EB">
        <w:rPr>
          <w:rFonts w:ascii="Times New Roman" w:hAnsi="Times New Roman" w:cs="Times New Roman"/>
        </w:rPr>
        <w:t xml:space="preserve"> </w:t>
      </w:r>
      <w:r w:rsidR="00071C29" w:rsidRPr="00960345">
        <w:rPr>
          <w:rStyle w:val="FootnoteReference"/>
          <w:rFonts w:ascii="Times New Roman" w:hAnsi="Times New Roman" w:cs="Times New Roman"/>
        </w:rPr>
        <w:footnoteReference w:id="415"/>
      </w:r>
      <w:r w:rsidRPr="00960345">
        <w:rPr>
          <w:rFonts w:ascii="Times New Roman" w:hAnsi="Times New Roman" w:cs="Times New Roman"/>
        </w:rPr>
        <w:t xml:space="preserve">. </w:t>
      </w:r>
    </w:p>
    <w:p w14:paraId="3E00B47E" w14:textId="77777777" w:rsidR="00071C29" w:rsidRPr="00960345" w:rsidRDefault="00071C29" w:rsidP="00071C29">
      <w:pPr>
        <w:pStyle w:val="BodyText"/>
        <w:jc w:val="both"/>
        <w:rPr>
          <w:rFonts w:ascii="Times New Roman" w:hAnsi="Times New Roman" w:cs="Times New Roman"/>
        </w:rPr>
      </w:pPr>
      <w:r w:rsidRPr="00960345">
        <w:rPr>
          <w:rFonts w:ascii="Times New Roman" w:hAnsi="Times New Roman" w:cs="Times New Roman"/>
        </w:rPr>
        <w:t>Coordination needs with Health Data Access Bodies (an EHDS obligation) add an institutional coordination layer: accelerators must align their data quality standards, access procedures and governance with the HDAB framework operating in each participating Member State. For accelerators operating across borders, this involves navigating the heterogeneous implementation timelines and technical standards of multiple national systems, adding administrative complexity that scales with the number of Member States involved</w:t>
      </w:r>
      <w:r w:rsidRPr="00960345">
        <w:rPr>
          <w:rStyle w:val="FootnoteReference"/>
          <w:rFonts w:ascii="Times New Roman" w:hAnsi="Times New Roman" w:cs="Times New Roman"/>
        </w:rPr>
        <w:t>.</w:t>
      </w:r>
    </w:p>
    <w:p w14:paraId="3C19229C" w14:textId="3DBA3480" w:rsidR="00071C29" w:rsidRPr="00960345" w:rsidRDefault="00071C29" w:rsidP="00071C29">
      <w:pPr>
        <w:pStyle w:val="BodyText"/>
        <w:jc w:val="both"/>
        <w:rPr>
          <w:rFonts w:ascii="Times New Roman" w:hAnsi="Times New Roman" w:cs="Times New Roman"/>
        </w:rPr>
      </w:pPr>
      <w:r w:rsidRPr="00960345">
        <w:rPr>
          <w:rFonts w:ascii="Times New Roman" w:hAnsi="Times New Roman" w:cs="Times New Roman"/>
        </w:rPr>
        <w:t>Overall, the incremental costs to public authorities for testing environments and data quality accelerators are driven primarily by three factors: EU-level supervision of the strategic project portfolio (25–30 FTE), continuous technology refresh to avoid obsolescence (15–20</w:t>
      </w:r>
      <w:r w:rsidR="006856C2">
        <w:rPr>
          <w:rFonts w:ascii="Times New Roman" w:hAnsi="Times New Roman" w:cs="Times New Roman"/>
        </w:rPr>
        <w:t>%</w:t>
      </w:r>
      <w:r w:rsidRPr="00960345">
        <w:rPr>
          <w:rFonts w:ascii="Times New Roman" w:hAnsi="Times New Roman" w:cs="Times New Roman"/>
        </w:rPr>
        <w:t xml:space="preserve"> of CAPEX annually), and, for data quality accelerators</w:t>
      </w:r>
      <w:r w:rsidRPr="00960345" w:rsidDel="002A42A9">
        <w:rPr>
          <w:rFonts w:ascii="Times New Roman" w:hAnsi="Times New Roman" w:cs="Times New Roman"/>
        </w:rPr>
        <w:t xml:space="preserve"> </w:t>
      </w:r>
      <w:r w:rsidRPr="00960345">
        <w:rPr>
          <w:rFonts w:ascii="Times New Roman" w:hAnsi="Times New Roman" w:cs="Times New Roman"/>
        </w:rPr>
        <w:t>specifically, the accelerator-grade data curation burden that goes beyond baseline EHDS access obligations.</w:t>
      </w:r>
    </w:p>
    <w:p w14:paraId="2B519689" w14:textId="2B7CE945" w:rsidR="00071C29" w:rsidRDefault="00071C29" w:rsidP="00071C29">
      <w:pPr>
        <w:pStyle w:val="BodyText"/>
        <w:jc w:val="both"/>
        <w:rPr>
          <w:rFonts w:ascii="Times New Roman" w:hAnsi="Times New Roman" w:cs="Times New Roman"/>
        </w:rPr>
      </w:pPr>
      <w:r w:rsidRPr="00960345">
        <w:rPr>
          <w:rFonts w:ascii="Times New Roman" w:hAnsi="Times New Roman" w:cs="Times New Roman"/>
        </w:rPr>
        <w:t>The critical sustainability risk is concentrated in data quality accelerators. The public authorities best positioned to operate data quality accelerators (biobanks, registries) are also the most financially precarious: 83–84</w:t>
      </w:r>
      <w:r w:rsidR="006856C2">
        <w:rPr>
          <w:rFonts w:ascii="Times New Roman" w:hAnsi="Times New Roman" w:cs="Times New Roman"/>
        </w:rPr>
        <w:t>%</w:t>
      </w:r>
      <w:r w:rsidRPr="00960345">
        <w:rPr>
          <w:rFonts w:ascii="Times New Roman" w:hAnsi="Times New Roman" w:cs="Times New Roman"/>
        </w:rPr>
        <w:t xml:space="preserve"> grant-dependent, with fee recovery models covering only a fraction of operational costs in comparable settings. In the context of data quality accelerators</w:t>
      </w:r>
      <w:r w:rsidRPr="00960345" w:rsidDel="002A42A9">
        <w:rPr>
          <w:rFonts w:ascii="Times New Roman" w:hAnsi="Times New Roman" w:cs="Times New Roman"/>
        </w:rPr>
        <w:t xml:space="preserve"> </w:t>
      </w:r>
      <w:r w:rsidRPr="00960345">
        <w:rPr>
          <w:rFonts w:ascii="Times New Roman" w:hAnsi="Times New Roman" w:cs="Times New Roman"/>
        </w:rPr>
        <w:t>these entities would have to provide continuous, high-quality data stewardship as a permanent service, but their funding structures are designed for time-limited projects. Unless stable operational funding is provided, there is a material risk that accelerator projects are launched but cannot be sustained at the quality level required to deliver their intended innovation and competitiveness effects.</w:t>
      </w:r>
    </w:p>
    <w:p w14:paraId="7408D3C4" w14:textId="77777777" w:rsidR="00071C29" w:rsidRPr="00960345" w:rsidRDefault="00071C29" w:rsidP="00960345">
      <w:pPr>
        <w:pStyle w:val="BodyText"/>
        <w:rPr>
          <w:b/>
        </w:rPr>
      </w:pPr>
      <w:bookmarkStart w:id="395" w:name="_Toc224218998"/>
      <w:r w:rsidRPr="00960345">
        <w:rPr>
          <w:rFonts w:ascii="Times New Roman" w:hAnsi="Times New Roman" w:cs="Times New Roman"/>
          <w:b/>
          <w:bCs/>
        </w:rPr>
        <w:t>Public health and safety</w:t>
      </w:r>
      <w:bookmarkEnd w:id="395"/>
    </w:p>
    <w:p w14:paraId="4FD0EFA2" w14:textId="371815CE" w:rsidR="00071C29" w:rsidRPr="00960345" w:rsidRDefault="0027034B" w:rsidP="00960345">
      <w:r>
        <w:t>B</w:t>
      </w:r>
      <w:r w:rsidR="00071C29" w:rsidRPr="00960345">
        <w:t xml:space="preserve">iotechnology testing environments </w:t>
      </w:r>
      <w:r>
        <w:t>are the main driver of impacts in this category, as they are</w:t>
      </w:r>
      <w:r w:rsidR="00071C29" w:rsidRPr="00960345">
        <w:t xml:space="preserve"> expected to improve public health outcomes by enabling standardised, independent validation of AI-enabled biomedical tools before large-scale deployment. The expected effects operate through three channels.</w:t>
      </w:r>
    </w:p>
    <w:p w14:paraId="1D85F99D" w14:textId="140862AB" w:rsidR="00071C29" w:rsidRPr="00960345" w:rsidRDefault="7504CECB" w:rsidP="00960345">
      <w:r w:rsidRPr="00960345">
        <w:rPr>
          <w:rStyle w:val="Strong"/>
        </w:rPr>
        <w:t>Reducing the real-world performance gap.</w:t>
      </w:r>
      <w:r w:rsidRPr="00960345">
        <w:t xml:space="preserve"> AI models validated through ad hoc firm-level processes suffer performance declines of 15–30</w:t>
      </w:r>
      <w:r w:rsidR="006856C2">
        <w:t>%</w:t>
      </w:r>
      <w:r w:rsidRPr="00960345">
        <w:t xml:space="preserve"> when deployed against heterogeneous patient populations and clinical workflows</w:t>
      </w:r>
      <w:r w:rsidR="11425DA2">
        <w:t xml:space="preserve"> </w:t>
      </w:r>
      <w:r w:rsidR="00071C29" w:rsidRPr="00960345">
        <w:rPr>
          <w:rStyle w:val="FootnoteReference"/>
        </w:rPr>
        <w:footnoteReference w:id="416"/>
      </w:r>
      <w:r w:rsidRPr="00960345">
        <w:t>. Shared testing environments providing access to diverse, representative datasets and standardised protocols are expected to narrow this gap before deployment, reducing the risk of clinical failures such as the Epic Sepsis Model case, where real-world AUC fell from 0.76–0.83 to 0.63, missing 67</w:t>
      </w:r>
      <w:r w:rsidR="006856C2">
        <w:t>%</w:t>
      </w:r>
      <w:r w:rsidRPr="00960345">
        <w:t xml:space="preserve"> of sepsis cases</w:t>
      </w:r>
      <w:r w:rsidR="00071C29" w:rsidRPr="00960345">
        <w:rPr>
          <w:rStyle w:val="FootnoteReference"/>
        </w:rPr>
        <w:footnoteReference w:id="417"/>
      </w:r>
      <w:r w:rsidRPr="00960345">
        <w:t>.</w:t>
      </w:r>
    </w:p>
    <w:p w14:paraId="37C5B4C2" w14:textId="3305C499" w:rsidR="00071C29" w:rsidRPr="00960345" w:rsidRDefault="7504CECB" w:rsidP="00960345">
      <w:r w:rsidRPr="00960345">
        <w:rPr>
          <w:rStyle w:val="Strong"/>
        </w:rPr>
        <w:t>Improving reliability through structured multi-system validation.</w:t>
      </w:r>
      <w:r w:rsidRPr="00960345">
        <w:t xml:space="preserve"> Evidence from controlled testing architectures shows that where multiple AI systems cross-check outputs, the probability of achieving top-quartile safety performance increases 5.9-fold compared with single-model deployments</w:t>
      </w:r>
      <w:r w:rsidR="4FBD3953">
        <w:t xml:space="preserve"> </w:t>
      </w:r>
      <w:r w:rsidR="00071C29" w:rsidRPr="00960345">
        <w:rPr>
          <w:rStyle w:val="FootnoteReference"/>
        </w:rPr>
        <w:footnoteReference w:id="418"/>
      </w:r>
      <w:r w:rsidRPr="00960345">
        <w:t>. Article 32 environments are designed to replicate such rigorous testing conditions at scale. This is particularly relevant given that frontier large language models in clinical settings produce severely harmful recommendations in up to 22.2</w:t>
      </w:r>
      <w:r w:rsidR="006856C2">
        <w:t>%</w:t>
      </w:r>
      <w:r w:rsidRPr="00960345">
        <w:t xml:space="preserve"> of cases, with a Number Needed to Harm of approximately 11.5</w:t>
      </w:r>
      <w:r w:rsidR="4FBD3953">
        <w:t xml:space="preserve"> </w:t>
      </w:r>
      <w:r w:rsidR="00071C29" w:rsidRPr="00960345">
        <w:rPr>
          <w:rStyle w:val="FootnoteReference"/>
        </w:rPr>
        <w:footnoteReference w:id="419"/>
      </w:r>
      <w:r w:rsidRPr="00960345">
        <w:t>, and that by November 2024 the FDA had recorded 182 recall events involving 60 AI-enabled devices, with 43</w:t>
      </w:r>
      <w:r w:rsidR="006856C2">
        <w:t>%</w:t>
      </w:r>
      <w:r w:rsidRPr="00960345">
        <w:t xml:space="preserve"> occurring within one year of authorisation.</w:t>
      </w:r>
    </w:p>
    <w:p w14:paraId="36B43D36" w14:textId="51ED0668" w:rsidR="00071C29" w:rsidRPr="00960345" w:rsidRDefault="7504CECB" w:rsidP="00960345">
      <w:r w:rsidRPr="00960345">
        <w:rPr>
          <w:rStyle w:val="Strong"/>
        </w:rPr>
        <w:t>Reducing population-level bias.</w:t>
      </w:r>
      <w:r w:rsidRPr="00960345">
        <w:t xml:space="preserve"> Testing against diverse datasets in shared facilities is expected to reduce bias arising from non-representative validation data, a documented patient safety risk where dermatology AI systems have shown false-negative melanoma rates 28</w:t>
      </w:r>
      <w:r w:rsidR="006856C2">
        <w:t>%</w:t>
      </w:r>
      <w:r w:rsidRPr="00960345">
        <w:t xml:space="preserve"> higher for darker-skinned patients and critical care misdiagnosis rates 31</w:t>
      </w:r>
      <w:r w:rsidR="006856C2">
        <w:t>%</w:t>
      </w:r>
      <w:r w:rsidRPr="00960345">
        <w:t xml:space="preserve"> higher for minority patients</w:t>
      </w:r>
      <w:r w:rsidR="4FBD3953">
        <w:t xml:space="preserve"> </w:t>
      </w:r>
      <w:r w:rsidR="00071C29" w:rsidRPr="00960345">
        <w:rPr>
          <w:rStyle w:val="FootnoteReference"/>
        </w:rPr>
        <w:footnoteReference w:id="420"/>
      </w:r>
      <w:r w:rsidRPr="00960345">
        <w:rPr>
          <w:vertAlign w:val="superscript"/>
        </w:rPr>
        <w:t>,</w:t>
      </w:r>
      <w:r w:rsidR="00071C29" w:rsidRPr="00960345">
        <w:rPr>
          <w:rStyle w:val="FootnoteReference"/>
        </w:rPr>
        <w:footnoteReference w:id="421"/>
      </w:r>
      <w:r w:rsidRPr="00960345">
        <w:t>.</w:t>
      </w:r>
    </w:p>
    <w:p w14:paraId="423B8C44" w14:textId="4EFAD415" w:rsidR="004D35B2" w:rsidRDefault="004D35B2">
      <w:pPr>
        <w:spacing w:after="200" w:line="276" w:lineRule="auto"/>
        <w:jc w:val="left"/>
        <w:rPr>
          <w:rFonts w:asciiTheme="minorHAnsi" w:hAnsiTheme="minorHAnsi" w:cstheme="minorBidi"/>
          <w:sz w:val="22"/>
          <w:szCs w:val="22"/>
        </w:rPr>
      </w:pPr>
      <w:r>
        <w:rPr>
          <w:rFonts w:asciiTheme="minorHAnsi" w:hAnsiTheme="minorHAnsi" w:cstheme="minorBidi"/>
          <w:sz w:val="22"/>
          <w:szCs w:val="22"/>
        </w:rPr>
        <w:br w:type="page"/>
      </w:r>
    </w:p>
    <w:p w14:paraId="20FA762F" w14:textId="1E8211DA" w:rsidR="00BD68E8" w:rsidRPr="00E21D9D" w:rsidRDefault="00BD68E8" w:rsidP="00B35BA0">
      <w:pPr>
        <w:pStyle w:val="AnnexTitle"/>
      </w:pPr>
      <w:bookmarkStart w:id="396" w:name="_Toc195101111"/>
      <w:bookmarkStart w:id="397" w:name="_Toc225979172"/>
      <w:r w:rsidRPr="00684029">
        <w:t xml:space="preserve">Annex </w:t>
      </w:r>
      <w:r w:rsidR="00684029" w:rsidRPr="00E21D9D">
        <w:t>8</w:t>
      </w:r>
      <w:r w:rsidRPr="00E21D9D">
        <w:t>: Competitiveness check</w:t>
      </w:r>
      <w:bookmarkEnd w:id="396"/>
      <w:bookmarkEnd w:id="397"/>
    </w:p>
    <w:p w14:paraId="4394B101" w14:textId="77777777" w:rsidR="00BD68E8" w:rsidRPr="00960345" w:rsidRDefault="00BD68E8" w:rsidP="00960345">
      <w:pPr>
        <w:pStyle w:val="Heading1"/>
        <w:numPr>
          <w:ilvl w:val="0"/>
          <w:numId w:val="496"/>
        </w:numPr>
        <w:tabs>
          <w:tab w:val="num" w:pos="480"/>
        </w:tabs>
        <w:rPr>
          <w:b w:val="0"/>
          <w:smallCaps w:val="0"/>
        </w:rPr>
      </w:pPr>
      <w:bookmarkStart w:id="398" w:name="_Toc195101112"/>
      <w:bookmarkStart w:id="399" w:name="_Toc225969841"/>
      <w:bookmarkStart w:id="400" w:name="_Toc225979173"/>
      <w:r w:rsidRPr="00DC72A4">
        <w:t>Overview of impacts on competitiveness</w:t>
      </w:r>
      <w:bookmarkEnd w:id="398"/>
      <w:bookmarkEnd w:id="399"/>
      <w:bookmarkEnd w:id="400"/>
      <w:r w:rsidRPr="00DC72A4">
        <w:t xml:space="preserve"> </w:t>
      </w:r>
    </w:p>
    <w:tbl>
      <w:tblPr>
        <w:tblStyle w:val="TableGrid"/>
        <w:tblW w:w="8847" w:type="dxa"/>
        <w:tblLook w:val="04A0" w:firstRow="1" w:lastRow="0" w:firstColumn="1" w:lastColumn="0" w:noHBand="0" w:noVBand="1"/>
      </w:tblPr>
      <w:tblGrid>
        <w:gridCol w:w="2835"/>
        <w:gridCol w:w="2822"/>
        <w:gridCol w:w="3190"/>
      </w:tblGrid>
      <w:tr w:rsidR="00BD68E8" w:rsidRPr="00325998" w14:paraId="7ACBC8FF" w14:textId="77777777" w:rsidTr="00E5568D">
        <w:trPr>
          <w:trHeight w:val="784"/>
        </w:trPr>
        <w:tc>
          <w:tcPr>
            <w:tcW w:w="2835" w:type="dxa"/>
            <w:vAlign w:val="center"/>
          </w:tcPr>
          <w:p w14:paraId="3A575B97" w14:textId="77777777" w:rsidR="00BD68E8" w:rsidRPr="00A55ACB" w:rsidRDefault="00BD68E8">
            <w:pPr>
              <w:spacing w:before="60" w:after="60"/>
              <w:jc w:val="center"/>
              <w:rPr>
                <w:b/>
                <w:lang w:val="en-IE"/>
              </w:rPr>
            </w:pPr>
            <w:r w:rsidRPr="00A55ACB">
              <w:rPr>
                <w:b/>
                <w:lang w:val="en-IE"/>
              </w:rPr>
              <w:t>Dimensions of Competitiveness</w:t>
            </w:r>
          </w:p>
        </w:tc>
        <w:tc>
          <w:tcPr>
            <w:tcW w:w="2822" w:type="dxa"/>
            <w:vAlign w:val="center"/>
          </w:tcPr>
          <w:p w14:paraId="44617CBB" w14:textId="77777777" w:rsidR="00BD68E8" w:rsidRPr="00A55ACB" w:rsidRDefault="00BD68E8">
            <w:pPr>
              <w:spacing w:before="60" w:after="60"/>
              <w:jc w:val="center"/>
              <w:rPr>
                <w:b/>
                <w:lang w:val="en-IE"/>
              </w:rPr>
            </w:pPr>
            <w:r w:rsidRPr="00A55ACB">
              <w:rPr>
                <w:b/>
                <w:lang w:val="en-IE"/>
              </w:rPr>
              <w:t>Impact of the initiative</w:t>
            </w:r>
          </w:p>
          <w:p w14:paraId="6AFAF9B5" w14:textId="77777777" w:rsidR="00BD68E8" w:rsidRPr="00A55ACB" w:rsidRDefault="00BD68E8">
            <w:pPr>
              <w:spacing w:before="60" w:after="60"/>
              <w:jc w:val="center"/>
              <w:rPr>
                <w:b/>
                <w:lang w:val="en-IE"/>
              </w:rPr>
            </w:pPr>
            <w:r w:rsidRPr="001A1F30">
              <w:rPr>
                <w:b/>
                <w:lang w:val="en-IE"/>
              </w:rPr>
              <w:t>(++ / + / 0 / - / -- / n.a.)</w:t>
            </w:r>
          </w:p>
        </w:tc>
        <w:tc>
          <w:tcPr>
            <w:tcW w:w="3190" w:type="dxa"/>
            <w:vAlign w:val="center"/>
          </w:tcPr>
          <w:p w14:paraId="394A848C" w14:textId="77777777" w:rsidR="00BD68E8" w:rsidRPr="00A55ACB" w:rsidRDefault="00BD68E8">
            <w:pPr>
              <w:spacing w:before="60" w:after="60"/>
              <w:jc w:val="center"/>
              <w:rPr>
                <w:b/>
                <w:lang w:val="en-IE"/>
              </w:rPr>
            </w:pPr>
            <w:r w:rsidRPr="00A55ACB">
              <w:rPr>
                <w:b/>
                <w:lang w:val="en-IE"/>
              </w:rPr>
              <w:t>References to sub-section</w:t>
            </w:r>
            <w:r>
              <w:rPr>
                <w:b/>
                <w:lang w:val="en-IE"/>
              </w:rPr>
              <w:t>s</w:t>
            </w:r>
            <w:r w:rsidRPr="00A55ACB">
              <w:rPr>
                <w:b/>
                <w:lang w:val="en-IE"/>
              </w:rPr>
              <w:t xml:space="preserve"> of the </w:t>
            </w:r>
            <w:r>
              <w:rPr>
                <w:b/>
                <w:lang w:val="en-IE"/>
              </w:rPr>
              <w:t xml:space="preserve">main </w:t>
            </w:r>
            <w:r w:rsidRPr="00A55ACB">
              <w:rPr>
                <w:b/>
                <w:lang w:val="en-IE"/>
              </w:rPr>
              <w:t>report</w:t>
            </w:r>
            <w:r>
              <w:rPr>
                <w:b/>
                <w:lang w:val="en-IE"/>
              </w:rPr>
              <w:t xml:space="preserve"> or annexes</w:t>
            </w:r>
          </w:p>
        </w:tc>
      </w:tr>
      <w:tr w:rsidR="00BD68E8" w:rsidRPr="001A1423" w14:paraId="0D663EF7" w14:textId="77777777" w:rsidTr="00E5568D">
        <w:trPr>
          <w:trHeight w:val="417"/>
        </w:trPr>
        <w:tc>
          <w:tcPr>
            <w:tcW w:w="2835" w:type="dxa"/>
            <w:vAlign w:val="center"/>
          </w:tcPr>
          <w:p w14:paraId="76EACC2E" w14:textId="77777777" w:rsidR="00BD68E8" w:rsidRPr="00B65D4D" w:rsidRDefault="00BD68E8">
            <w:pPr>
              <w:spacing w:before="60" w:after="60"/>
              <w:rPr>
                <w:lang w:val="en-IE"/>
              </w:rPr>
            </w:pPr>
            <w:r>
              <w:rPr>
                <w:lang w:val="en-IE"/>
              </w:rPr>
              <w:t>Cost and price competitiveness</w:t>
            </w:r>
          </w:p>
        </w:tc>
        <w:tc>
          <w:tcPr>
            <w:tcW w:w="2822" w:type="dxa"/>
            <w:vAlign w:val="center"/>
          </w:tcPr>
          <w:p w14:paraId="28A7F022" w14:textId="77777777" w:rsidR="00BD68E8" w:rsidRPr="00B65D4D" w:rsidRDefault="00BD68E8">
            <w:pPr>
              <w:spacing w:before="60" w:after="60"/>
              <w:rPr>
                <w:lang w:val="en-IE"/>
              </w:rPr>
            </w:pPr>
            <w:r>
              <w:rPr>
                <w:lang w:val="en-IE"/>
              </w:rPr>
              <w:t>+</w:t>
            </w:r>
          </w:p>
        </w:tc>
        <w:tc>
          <w:tcPr>
            <w:tcW w:w="3190" w:type="dxa"/>
            <w:vAlign w:val="center"/>
          </w:tcPr>
          <w:p w14:paraId="4DB3FFB9" w14:textId="397E8031" w:rsidR="00BD68E8" w:rsidRPr="00B65D4D" w:rsidRDefault="00E21D9D">
            <w:pPr>
              <w:spacing w:before="60" w:after="60"/>
              <w:rPr>
                <w:lang w:val="en-IE"/>
              </w:rPr>
            </w:pPr>
            <w:r>
              <w:rPr>
                <w:lang w:val="en-IE"/>
              </w:rPr>
              <w:t>Section 6 and Annex 7</w:t>
            </w:r>
          </w:p>
        </w:tc>
      </w:tr>
      <w:tr w:rsidR="00BD68E8" w:rsidRPr="00F76223" w14:paraId="2CC95F68" w14:textId="77777777" w:rsidTr="00E5568D">
        <w:trPr>
          <w:trHeight w:val="443"/>
        </w:trPr>
        <w:tc>
          <w:tcPr>
            <w:tcW w:w="2835" w:type="dxa"/>
            <w:vAlign w:val="center"/>
          </w:tcPr>
          <w:p w14:paraId="268A4CA5" w14:textId="77777777" w:rsidR="00BD68E8" w:rsidRPr="00B65D4D" w:rsidRDefault="00BD68E8">
            <w:pPr>
              <w:spacing w:before="60" w:after="60"/>
              <w:rPr>
                <w:lang w:val="en-IE"/>
              </w:rPr>
            </w:pPr>
            <w:r>
              <w:rPr>
                <w:lang w:val="en-IE"/>
              </w:rPr>
              <w:t xml:space="preserve">International competitiveness </w:t>
            </w:r>
          </w:p>
        </w:tc>
        <w:tc>
          <w:tcPr>
            <w:tcW w:w="2822" w:type="dxa"/>
            <w:vAlign w:val="center"/>
          </w:tcPr>
          <w:p w14:paraId="22AB1149" w14:textId="77777777" w:rsidR="00BD68E8" w:rsidRPr="00B65D4D" w:rsidRDefault="00BD68E8">
            <w:pPr>
              <w:spacing w:before="60" w:after="60"/>
              <w:rPr>
                <w:lang w:val="en-IE"/>
              </w:rPr>
            </w:pPr>
            <w:r>
              <w:rPr>
                <w:lang w:val="en-IE"/>
              </w:rPr>
              <w:t>++</w:t>
            </w:r>
          </w:p>
        </w:tc>
        <w:tc>
          <w:tcPr>
            <w:tcW w:w="3190" w:type="dxa"/>
            <w:vAlign w:val="center"/>
          </w:tcPr>
          <w:p w14:paraId="17C2F1F7" w14:textId="3429584F" w:rsidR="00BD68E8" w:rsidRPr="00B65D4D" w:rsidRDefault="00E21D9D">
            <w:pPr>
              <w:spacing w:before="60" w:after="60"/>
              <w:rPr>
                <w:lang w:val="en-IE"/>
              </w:rPr>
            </w:pPr>
            <w:r>
              <w:rPr>
                <w:lang w:val="en-IE"/>
              </w:rPr>
              <w:t>Section 6 and Annex 7</w:t>
            </w:r>
          </w:p>
        </w:tc>
      </w:tr>
      <w:tr w:rsidR="00BD68E8" w:rsidRPr="002A40AC" w14:paraId="2A47B3EA" w14:textId="77777777" w:rsidTr="00E5568D">
        <w:trPr>
          <w:trHeight w:val="417"/>
        </w:trPr>
        <w:tc>
          <w:tcPr>
            <w:tcW w:w="2835" w:type="dxa"/>
            <w:vAlign w:val="center"/>
          </w:tcPr>
          <w:p w14:paraId="445DE7FB" w14:textId="77777777" w:rsidR="00BD68E8" w:rsidRPr="00B65D4D" w:rsidRDefault="00BD68E8">
            <w:pPr>
              <w:spacing w:before="60" w:after="60"/>
              <w:rPr>
                <w:lang w:val="en-IE"/>
              </w:rPr>
            </w:pPr>
            <w:r>
              <w:rPr>
                <w:lang w:val="en-IE"/>
              </w:rPr>
              <w:t>Capacity to innovate</w:t>
            </w:r>
          </w:p>
        </w:tc>
        <w:tc>
          <w:tcPr>
            <w:tcW w:w="2822" w:type="dxa"/>
            <w:vAlign w:val="center"/>
          </w:tcPr>
          <w:p w14:paraId="619961CC" w14:textId="77777777" w:rsidR="00BD68E8" w:rsidRPr="00B65D4D" w:rsidRDefault="00BD68E8">
            <w:pPr>
              <w:spacing w:before="60" w:after="60"/>
              <w:rPr>
                <w:lang w:val="en-IE"/>
              </w:rPr>
            </w:pPr>
            <w:r>
              <w:rPr>
                <w:lang w:val="en-IE"/>
              </w:rPr>
              <w:t>++</w:t>
            </w:r>
          </w:p>
        </w:tc>
        <w:tc>
          <w:tcPr>
            <w:tcW w:w="3190" w:type="dxa"/>
            <w:vAlign w:val="center"/>
          </w:tcPr>
          <w:p w14:paraId="5449B23D" w14:textId="0EB262C7" w:rsidR="00BD68E8" w:rsidRPr="00B65D4D" w:rsidRDefault="00E21D9D">
            <w:pPr>
              <w:spacing w:before="60" w:after="60"/>
              <w:rPr>
                <w:lang w:val="en-IE"/>
              </w:rPr>
            </w:pPr>
            <w:r>
              <w:rPr>
                <w:lang w:val="en-IE"/>
              </w:rPr>
              <w:t>Section 6 and Annex 7</w:t>
            </w:r>
          </w:p>
        </w:tc>
      </w:tr>
      <w:tr w:rsidR="00BD68E8" w:rsidRPr="00682D9D" w14:paraId="17523A5F" w14:textId="77777777" w:rsidTr="00E5568D">
        <w:trPr>
          <w:trHeight w:val="443"/>
        </w:trPr>
        <w:tc>
          <w:tcPr>
            <w:tcW w:w="2835" w:type="dxa"/>
            <w:vAlign w:val="center"/>
          </w:tcPr>
          <w:p w14:paraId="1BCDE51D" w14:textId="77777777" w:rsidR="00BD68E8" w:rsidRPr="00B65D4D" w:rsidRDefault="00BD68E8">
            <w:pPr>
              <w:spacing w:before="60" w:after="60"/>
              <w:rPr>
                <w:lang w:val="en-IE"/>
              </w:rPr>
            </w:pPr>
            <w:r>
              <w:rPr>
                <w:lang w:val="en-IE"/>
              </w:rPr>
              <w:t>SME competitiveness</w:t>
            </w:r>
          </w:p>
        </w:tc>
        <w:tc>
          <w:tcPr>
            <w:tcW w:w="2822" w:type="dxa"/>
            <w:vAlign w:val="center"/>
          </w:tcPr>
          <w:p w14:paraId="44DB397D" w14:textId="77777777" w:rsidR="00BD68E8" w:rsidRPr="00B65D4D" w:rsidRDefault="00BD68E8">
            <w:pPr>
              <w:spacing w:before="60" w:after="60"/>
              <w:rPr>
                <w:lang w:val="en-IE"/>
              </w:rPr>
            </w:pPr>
            <w:r>
              <w:rPr>
                <w:lang w:val="en-IE"/>
              </w:rPr>
              <w:t>++</w:t>
            </w:r>
          </w:p>
        </w:tc>
        <w:tc>
          <w:tcPr>
            <w:tcW w:w="3190" w:type="dxa"/>
            <w:vAlign w:val="center"/>
          </w:tcPr>
          <w:p w14:paraId="293953D7" w14:textId="2EBD9D8E" w:rsidR="00BD68E8" w:rsidRPr="00B65D4D" w:rsidRDefault="00E21D9D">
            <w:pPr>
              <w:spacing w:before="60" w:after="60"/>
              <w:rPr>
                <w:lang w:val="en-IE"/>
              </w:rPr>
            </w:pPr>
            <w:r>
              <w:rPr>
                <w:lang w:val="en-IE"/>
              </w:rPr>
              <w:t>Section 6 and Annex 7</w:t>
            </w:r>
          </w:p>
        </w:tc>
      </w:tr>
    </w:tbl>
    <w:p w14:paraId="48960B21" w14:textId="77777777" w:rsidR="00BD68E8" w:rsidRDefault="00BD68E8" w:rsidP="00BD68E8">
      <w:pPr>
        <w:rPr>
          <w:b/>
          <w:bCs/>
          <w:u w:val="single"/>
          <w:lang w:val="en-IE"/>
        </w:rPr>
      </w:pPr>
    </w:p>
    <w:p w14:paraId="3F35C8CE" w14:textId="77777777" w:rsidR="00BD68E8" w:rsidRPr="00DC72A4" w:rsidRDefault="00BD68E8" w:rsidP="00BD68E8">
      <w:pPr>
        <w:pStyle w:val="Heading1"/>
        <w:tabs>
          <w:tab w:val="num" w:pos="480"/>
        </w:tabs>
        <w:ind w:left="480" w:hanging="480"/>
        <w:rPr>
          <w:b w:val="0"/>
          <w:smallCaps w:val="0"/>
        </w:rPr>
      </w:pPr>
      <w:bookmarkStart w:id="401" w:name="_Toc195101113"/>
      <w:bookmarkStart w:id="402" w:name="_Toc225969842"/>
      <w:bookmarkStart w:id="403" w:name="_Toc225979174"/>
      <w:r w:rsidRPr="00DC72A4">
        <w:t>Synthetic assessment</w:t>
      </w:r>
      <w:bookmarkEnd w:id="401"/>
      <w:bookmarkEnd w:id="402"/>
      <w:bookmarkEnd w:id="403"/>
      <w:r w:rsidRPr="00DC72A4">
        <w:t xml:space="preserve"> </w:t>
      </w:r>
    </w:p>
    <w:p w14:paraId="0D655C2F" w14:textId="1B121655" w:rsidR="00BD68E8" w:rsidRDefault="00BD68E8" w:rsidP="00BD68E8">
      <w:bookmarkStart w:id="404" w:name="_Toc195101114"/>
      <w:r w:rsidRPr="00731D30">
        <w:rPr>
          <w:b/>
          <w:bCs/>
        </w:rPr>
        <w:t>Cost and price competitiveness</w:t>
      </w:r>
      <w:r w:rsidRPr="00731D30">
        <w:t xml:space="preserve"> </w:t>
      </w:r>
      <w:r w:rsidRPr="00A95148">
        <w:t>improves moderately across the biotech ecosystem, driven primarily by the reduction of regulatory compliance costs for innovators and the acceleration of competitive price dynamics in the biologicals market. The</w:t>
      </w:r>
      <w:r w:rsidR="006201C2">
        <w:t xml:space="preserve"> amendments to the EU rules on</w:t>
      </w:r>
      <w:r w:rsidRPr="00A95148">
        <w:t xml:space="preserve"> clinical trial</w:t>
      </w:r>
      <w:r w:rsidR="006201C2">
        <w:t>s</w:t>
      </w:r>
      <w:r w:rsidRPr="00A95148">
        <w:t xml:space="preserve">, ATMPs, GMMs, and </w:t>
      </w:r>
      <w:r w:rsidR="006201C2">
        <w:t>to the</w:t>
      </w:r>
      <w:r w:rsidRPr="00A95148">
        <w:t xml:space="preserve"> General Food Law collectively reduce duplicative procedural requirements, shorten authorisation timelines, and lower administrative expenditure per product</w:t>
      </w:r>
      <w:r w:rsidR="00E804B8">
        <w:t>. Q</w:t>
      </w:r>
      <w:r w:rsidRPr="00A95148">
        <w:t>uantified savings rang</w:t>
      </w:r>
      <w:r w:rsidR="00E804B8">
        <w:t>e</w:t>
      </w:r>
      <w:r w:rsidRPr="00A95148">
        <w:t xml:space="preserve"> from tens of thousands of euros per ATMP clinical trial application to EUR 112 to 225 million over 15 years from clinical trial digitalisation alone.</w:t>
      </w:r>
      <w:r w:rsidR="000860D2" w:rsidRPr="000860D2">
        <w:t xml:space="preserve"> The biosimilar measure reinforces competitive pricing by lowering development cost barriers for new market entrants. This builds on a baseline of </w:t>
      </w:r>
      <w:r w:rsidR="000860D2" w:rsidRPr="00C61A16">
        <w:t>EUR 6 billion</w:t>
      </w:r>
      <w:r w:rsidR="000860D2" w:rsidRPr="000860D2">
        <w:t xml:space="preserve"> in annual European healthcare savings achieved in 2024. By enabling faster entry and greater competition, the measure ensures this savings trajectory continues to </w:t>
      </w:r>
      <w:r w:rsidR="000860D2" w:rsidRPr="00C61A16">
        <w:t>deepen</w:t>
      </w:r>
      <w:r w:rsidRPr="00A95148">
        <w:t>. These gains are partially offset by the SPC extension</w:t>
      </w:r>
      <w:r w:rsidR="006447B2">
        <w:t xml:space="preserve"> and biosecurity screening obligations</w:t>
      </w:r>
      <w:r w:rsidR="00E804B8">
        <w:t xml:space="preserve">. The </w:t>
      </w:r>
      <w:r w:rsidR="0001398A">
        <w:t>SPC</w:t>
      </w:r>
      <w:r w:rsidR="00E804B8">
        <w:t xml:space="preserve"> extension</w:t>
      </w:r>
      <w:r w:rsidRPr="00A95148">
        <w:t xml:space="preserve"> maintains higher originator prices for an additional year for eligible </w:t>
      </w:r>
      <w:r w:rsidR="00FE3D76">
        <w:t>biotechnological medicines</w:t>
      </w:r>
      <w:r w:rsidRPr="00A95148">
        <w:t xml:space="preserve"> at an estimated EUR 21</w:t>
      </w:r>
      <w:r w:rsidR="00FE3D76">
        <w:t>0</w:t>
      </w:r>
      <w:r w:rsidRPr="00A95148">
        <w:t xml:space="preserve"> million annual cost to public payers</w:t>
      </w:r>
      <w:r w:rsidR="00E804B8">
        <w:t xml:space="preserve">. </w:t>
      </w:r>
      <w:r w:rsidR="0001398A">
        <w:t>B</w:t>
      </w:r>
      <w:r w:rsidRPr="00A95148">
        <w:t xml:space="preserve">iosecurity screening obligations introduce compliance costs for synthetic nucleic acid providers and their customers. </w:t>
      </w:r>
      <w:r w:rsidR="00722E48">
        <w:t>Some</w:t>
      </w:r>
      <w:r w:rsidRPr="00A95148">
        <w:t xml:space="preserve"> cost disadvantages, including the still-fragmented EU clinical trial landscape and persistently high manufacturing costs for advanced biologicals, limit the overall scale of improvement.</w:t>
      </w:r>
    </w:p>
    <w:p w14:paraId="048E2648" w14:textId="1BA32C01" w:rsidR="00BD68E8" w:rsidRDefault="00BD68E8" w:rsidP="00BD68E8">
      <w:r>
        <w:rPr>
          <w:rStyle w:val="Strong"/>
        </w:rPr>
        <w:t>International competitiveness</w:t>
      </w:r>
      <w:r w:rsidRPr="004570F2" w:rsidDel="00FB7221">
        <w:t xml:space="preserve"> </w:t>
      </w:r>
      <w:r>
        <w:t xml:space="preserve">strengthens substantially across several key dimensions of the EU biotech sector. The </w:t>
      </w:r>
      <w:r w:rsidR="005C54F1">
        <w:t xml:space="preserve">proposed revision of the EU rules on </w:t>
      </w:r>
      <w:r>
        <w:t>clinical trial</w:t>
      </w:r>
      <w:r w:rsidR="005C54F1">
        <w:t xml:space="preserve">s </w:t>
      </w:r>
      <w:r>
        <w:t xml:space="preserve">reverses the EU's declining attractiveness as a location for globally mobile trial investment, addressing </w:t>
      </w:r>
      <w:r w:rsidR="00D96A1E">
        <w:t>the</w:t>
      </w:r>
      <w:r>
        <w:t xml:space="preserve"> fall in the EU's share of global commercial clinical trials from 22% in 2013 to 12% in 2023, while China's share rose from 8% to 29% over the same period. The biosimilars measure prevents the EU from becoming the last major jurisdiction without CES flexibility, at a time when the US, Canada, and South Korea are already moving toward waiver or elimination of this requirement, thereby defending the EU's position as the world's largest biosimilar market at approximately 43</w:t>
      </w:r>
      <w:r w:rsidR="006856C2">
        <w:t>%</w:t>
      </w:r>
      <w:r>
        <w:t xml:space="preserve"> of a </w:t>
      </w:r>
      <w:r w:rsidR="00B82789">
        <w:t>EUR 25.9</w:t>
      </w:r>
      <w:r>
        <w:t xml:space="preserve"> billion global market. The GMMs intervention enables the EU to compete in high-growth global markets such as biofertilisation, biocontrol and bioremediation, from which it has been effectively absent under the existing framework. </w:t>
      </w:r>
      <w:r w:rsidR="00A768D2">
        <w:t>Remaining barriers to</w:t>
      </w:r>
      <w:r>
        <w:t xml:space="preserve"> venture capital availability, late-stage financing depth, and manufacturing cost levels relative to Asian competitors are not </w:t>
      </w:r>
      <w:r w:rsidR="00A768D2">
        <w:t xml:space="preserve">addressed </w:t>
      </w:r>
      <w:r>
        <w:t xml:space="preserve">by the </w:t>
      </w:r>
      <w:r w:rsidR="00EB60CC">
        <w:t xml:space="preserve">European </w:t>
      </w:r>
      <w:r>
        <w:t>Biotech Act</w:t>
      </w:r>
      <w:r w:rsidR="00EB60CC">
        <w:t xml:space="preserve"> proposal</w:t>
      </w:r>
      <w:r>
        <w:t>, limiting the ceiling of achievable improvement.</w:t>
      </w:r>
    </w:p>
    <w:p w14:paraId="5C5F5C44" w14:textId="2C6AAB5F" w:rsidR="00BD68E8" w:rsidRDefault="00BD68E8" w:rsidP="00BD68E8">
      <w:r>
        <w:rPr>
          <w:rStyle w:val="Strong"/>
        </w:rPr>
        <w:t>Capacity to innovate</w:t>
      </w:r>
      <w:r w:rsidDel="00FB7221">
        <w:t xml:space="preserve"> </w:t>
      </w:r>
      <w:r>
        <w:t>is significantly enhanced through measures that collectively address the EU's persistent structural failure to translate its strong scientific base into commercial biotech innovation. The novel health products instruments (regulatory status repository, regulatory sandbox, foresight panel) directly reduce the regulatory uncertainty that currently suppresses high-risk, frontier research in the EU, with sandbox evidence from comparable frameworks indicating 20 to 40</w:t>
      </w:r>
      <w:r w:rsidR="006856C2">
        <w:t>%</w:t>
      </w:r>
      <w:r>
        <w:t xml:space="preserve"> faster time-to-market, a 15 to 50</w:t>
      </w:r>
      <w:r w:rsidR="006856C2">
        <w:t>%</w:t>
      </w:r>
      <w:r>
        <w:t xml:space="preserve"> increase in funding probability, and 20 to 30</w:t>
      </w:r>
      <w:r w:rsidR="006856C2">
        <w:t>%</w:t>
      </w:r>
      <w:r>
        <w:t xml:space="preserve"> gains in firm survival and patenting, with the potential to accelerate 10 to 20 novel products per cohort. The </w:t>
      </w:r>
      <w:r w:rsidR="00A768D2">
        <w:t>revision of the EU rules on</w:t>
      </w:r>
      <w:r>
        <w:t xml:space="preserve"> GMMs unlocks an entirely blocked innovation pathway, enabling the EU to begin developing commercial products in bioremediation markets projected to grow at a CAGR of approximately 10 to 13% and bioleaching markets at approximately 9</w:t>
      </w:r>
      <w:r w:rsidR="006856C2">
        <w:t>%</w:t>
      </w:r>
      <w:r>
        <w:t>, with biofertilisation and biocontrol representing further high-growth opportunities, sectors where the EU currently holds zero authorised products despite significant global market momentum. The ATMPs and clinical trial</w:t>
      </w:r>
      <w:r w:rsidDel="00A768D2">
        <w:t xml:space="preserve"> </w:t>
      </w:r>
      <w:r w:rsidR="00A768D2">
        <w:t>revisions</w:t>
      </w:r>
      <w:r>
        <w:t xml:space="preserve"> remove procedural barriers to innovative trial designs, including adaptive, decentralised, and combined studies, enabling the EU to support cutting-edge development modalities that its current framework structurally hinders. The strategic projects and high-impact projects measures strengthen the EU's translation infrastructure by supporting pilot, testing and demonstration facilities and biomanufacturing innovation assets that convert research outputs into industrial deployment, complemented by the access to funding pilots, which target the EU's EUR 40 billion annual investment gap by improving late-stage capital continuity and reducing financing-round attrition. The Data and AI related policy measures further broaden innovation capacity by establishing trusted AI testing environments and data quality accelerators as high-impact strategic projects, and tasking EMA with guidance on AI integration across the medicinal product lifecycle. </w:t>
      </w:r>
    </w:p>
    <w:p w14:paraId="51637AD0" w14:textId="298BA50A" w:rsidR="00BD68E8" w:rsidRDefault="00BD68E8" w:rsidP="00BD68E8">
      <w:r>
        <w:rPr>
          <w:rStyle w:val="Strong"/>
        </w:rPr>
        <w:t xml:space="preserve">SME competitiveness </w:t>
      </w:r>
      <w:r>
        <w:t xml:space="preserve"> is expected to improve strongly across the biotech ecosystem, as SMEs and start-ups are the primary beneficiaries of the package's regulatory simplification, infrastructure access, and support provisions. SMEs are disproportionately burdened under the current system, lacking in-house regulatory affairs capacity, relying heavily on costly external consultants, and facing compliance costs that consume a structurally larger share of their resources than for large firms. </w:t>
      </w:r>
      <w:r w:rsidRPr="000435E8">
        <w:t>Multiple interventions directly address these conditions. The clinical trial</w:t>
      </w:r>
      <w:r w:rsidRPr="000435E8" w:rsidDel="00DA51E7">
        <w:t xml:space="preserve"> </w:t>
      </w:r>
      <w:r w:rsidR="00DA51E7">
        <w:t>revision</w:t>
      </w:r>
      <w:r w:rsidRPr="000435E8">
        <w:t xml:space="preserve"> reduces per-trial administrative costs by EUR 2,714 to EUR 4,496 and introduces more predictable timelines that benefit resource-constrained sponsors. The GMMs low-risk pathway lowers market entry barriers for start-ups that would otherwise be unable to absorb the costs and timelines of the current process. The ATMP ERA simplification removes a compliance burden that industry identifies as particularly severe for smaller developers, who constitute the majority of the ATMP pipeline. The General Food Law amendments provide expanded scientific pre-submission advice that is of greatest value precisely for SMEs and first-time applicants most likely to submit incomplete dossiers.</w:t>
      </w:r>
      <w:r>
        <w:t xml:space="preserve"> The strategic projects and high-impact projects measures create new market opportunities by opening shared pilot, testing, and small-batch GMP infrastructure with systematic cross-border accessibility, with 82</w:t>
      </w:r>
      <w:r w:rsidR="006856C2">
        <w:t>%</w:t>
      </w:r>
      <w:r>
        <w:t xml:space="preserve"> of SMEs currently unable to self-finance comparable validation infrastructure. The biotech ecosystem support network and access to funding pilots target the structural financing gap that constrains SME scaling, with the Investment Pilot explicitly designed to support the full company lifecycle including start-ups and scale-ups, addressing a broader annual investment gap estimated at EUR 40 billion. </w:t>
      </w:r>
    </w:p>
    <w:p w14:paraId="706B5CCB" w14:textId="77777777" w:rsidR="00BD68E8" w:rsidRPr="00DC72A4" w:rsidRDefault="00BD68E8" w:rsidP="00BD68E8">
      <w:pPr>
        <w:pStyle w:val="Heading1"/>
        <w:tabs>
          <w:tab w:val="num" w:pos="480"/>
        </w:tabs>
        <w:ind w:left="480" w:hanging="480"/>
        <w:rPr>
          <w:b w:val="0"/>
          <w:smallCaps w:val="0"/>
        </w:rPr>
      </w:pPr>
      <w:bookmarkStart w:id="405" w:name="_Toc225969843"/>
      <w:bookmarkStart w:id="406" w:name="_Toc225979175"/>
      <w:r w:rsidRPr="00DC72A4">
        <w:t>Competitive position of the most affected sectors</w:t>
      </w:r>
      <w:bookmarkEnd w:id="404"/>
      <w:bookmarkEnd w:id="405"/>
      <w:bookmarkEnd w:id="406"/>
    </w:p>
    <w:p w14:paraId="61D3D2C7" w14:textId="77777777" w:rsidR="00BD68E8" w:rsidRDefault="00BD68E8" w:rsidP="00BD68E8">
      <w:pPr>
        <w:pStyle w:val="font-claude-response-body"/>
        <w:jc w:val="both"/>
      </w:pPr>
      <w:r>
        <w:t>Health biopharmaceutical, biologics and ATMP developers benefit most directly. Regulatory simplification across clinical trials, ATMPs and GMMs reduces time-to-market, lowers development costs, and improves the EU's attractiveness as a location for late-stage clinical research and advanced therapy development. Strategic project recognition and access to funding measures strengthen the translation infrastructure connecting research to commercial deployment, partially closing the financing and scale-up gap with the US and China.</w:t>
      </w:r>
    </w:p>
    <w:p w14:paraId="164A0007" w14:textId="77777777" w:rsidR="00BD68E8" w:rsidRDefault="00BD68E8" w:rsidP="00BD68E8">
      <w:pPr>
        <w:pStyle w:val="font-claude-response-body"/>
        <w:jc w:val="both"/>
      </w:pPr>
      <w:r>
        <w:t>Biosimilar developers gain from both regulatory modernisation and supply-side support. Alignment of the EU's evidentiary requirements with the emerging international standard preserves the EU's position as the world's leading biosimilar market and removes the risk of regulatory disadvantage relative to the US, South Korea and Canada. Strategic project support for EU-based biosimilar manufacturing reinforces the domestic developer base against growing competition from South Korean and Indian producers.</w:t>
      </w:r>
    </w:p>
    <w:p w14:paraId="2FEFB6F4" w14:textId="77777777" w:rsidR="00BD68E8" w:rsidRDefault="00BD68E8" w:rsidP="00BD68E8">
      <w:pPr>
        <w:pStyle w:val="font-claude-response-body"/>
        <w:jc w:val="both"/>
      </w:pPr>
      <w:r>
        <w:t>Industrial biotechnology firms, particularly those active in biofertilisation, biocontrol, bioremediation and bioleaching, gain access to a viable EU market authorisation pathway for GMMs where none currently exists. This represents a qualitative shift in competitive position rather than an incremental improvement, enabling EU-based firms to begin competing in fast-growing global markets from which the current regulatory framework has effectively excluded them.</w:t>
      </w:r>
    </w:p>
    <w:p w14:paraId="1A4A8124" w14:textId="77777777" w:rsidR="00BD68E8" w:rsidRDefault="00BD68E8" w:rsidP="00BD68E8">
      <w:pPr>
        <w:pStyle w:val="font-claude-response-body"/>
        <w:jc w:val="both"/>
      </w:pPr>
      <w:r>
        <w:t>Veterinary medicine companies benefit from a single regulatory pathway for GMO-containing VMPs, reduced administrative burden on lifecycle management, and a new sandbox instrument for next-generation animal health technologies. These measures improve the EU's competitiveness in a sector where it holds the second-largest global market share and where the pipeline is increasingly reliant on GMO-based vaccine platforms.</w:t>
      </w:r>
    </w:p>
    <w:p w14:paraId="3748F508" w14:textId="70A127AC" w:rsidR="00BD68E8" w:rsidRDefault="00BD68E8" w:rsidP="00BD68E8">
      <w:pPr>
        <w:pStyle w:val="font-claude-response-body"/>
        <w:jc w:val="both"/>
      </w:pPr>
      <w:r>
        <w:t xml:space="preserve">Food and feed chain operators, including SMEs and first-time applicants, benefit from a more </w:t>
      </w:r>
      <w:r w:rsidR="00674315">
        <w:t xml:space="preserve">supportive </w:t>
      </w:r>
      <w:r>
        <w:t>and timely EFSA authorisation process. Reduced stop-the-clock incidents and earlier access to scientific guidance strengthen the EU's ability to bring innovative food and feed products to market without sacrificing the quality standards that underpin its international reputational advantage.</w:t>
      </w:r>
    </w:p>
    <w:p w14:paraId="380B060C" w14:textId="717BDFB4" w:rsidR="00BD68E8" w:rsidRPr="002F62BB" w:rsidRDefault="00BD68E8" w:rsidP="002F62BB">
      <w:pPr>
        <w:pStyle w:val="font-claude-response-body"/>
        <w:jc w:val="both"/>
      </w:pPr>
      <w:r>
        <w:t>Synthetic nucleic acid synthesis providers operating responsibly gain from the levelling of competitive conditions across the sector. Mandatory screening removes the cost advantage currently enjoyed by non-compliant providers and positions EU suppliers more credibly in international markets where biosecurity standards are increasingly expected by customers and regulators alike</w:t>
      </w:r>
      <w:bookmarkStart w:id="407" w:name="_Toc195101115"/>
      <w:r>
        <w:br w:type="page"/>
      </w:r>
    </w:p>
    <w:p w14:paraId="19F3BD20" w14:textId="18B17815" w:rsidR="00BD68E8" w:rsidRDefault="00BD68E8" w:rsidP="00B35BA0">
      <w:pPr>
        <w:pStyle w:val="AnnexTitle"/>
      </w:pPr>
      <w:bookmarkStart w:id="408" w:name="_Toc225979176"/>
      <w:r w:rsidRPr="00F92EAE">
        <w:t xml:space="preserve">Annex </w:t>
      </w:r>
      <w:r w:rsidR="00E21D9D">
        <w:t>9</w:t>
      </w:r>
      <w:r w:rsidRPr="00F92EAE">
        <w:t xml:space="preserve">: </w:t>
      </w:r>
      <w:r>
        <w:t>SME check</w:t>
      </w:r>
      <w:bookmarkEnd w:id="408"/>
      <w:r>
        <w:t xml:space="preserve"> </w:t>
      </w:r>
      <w:bookmarkEnd w:id="407"/>
    </w:p>
    <w:p w14:paraId="36AB2208" w14:textId="77777777" w:rsidR="00BD68E8" w:rsidRDefault="00BD68E8" w:rsidP="00BD68E8">
      <w:pPr>
        <w:rPr>
          <w:b/>
          <w:bCs/>
          <w:smallCaps/>
          <w:color w:val="000000" w:themeColor="text1"/>
        </w:rPr>
      </w:pPr>
      <w:r w:rsidRPr="4E03C77D">
        <w:rPr>
          <w:b/>
          <w:bCs/>
          <w:smallCaps/>
          <w:color w:val="000000" w:themeColor="text1"/>
        </w:rPr>
        <w:t>Overview of impacts on SMEs</w:t>
      </w:r>
    </w:p>
    <w:tbl>
      <w:tblPr>
        <w:tblStyle w:val="TableGrid"/>
        <w:tblW w:w="9243" w:type="dxa"/>
        <w:tblInd w:w="-34" w:type="dxa"/>
        <w:tblLook w:val="04A0" w:firstRow="1" w:lastRow="0" w:firstColumn="1" w:lastColumn="0" w:noHBand="0" w:noVBand="1"/>
      </w:tblPr>
      <w:tblGrid>
        <w:gridCol w:w="9243"/>
      </w:tblGrid>
      <w:tr w:rsidR="00BD68E8" w:rsidRPr="00A2645A" w14:paraId="27F0BA25" w14:textId="77777777" w:rsidTr="004570F2">
        <w:tc>
          <w:tcPr>
            <w:tcW w:w="9243" w:type="dxa"/>
          </w:tcPr>
          <w:p w14:paraId="5E456997" w14:textId="77777777" w:rsidR="00BD68E8" w:rsidRPr="00A2645A" w:rsidRDefault="00BD68E8">
            <w:pPr>
              <w:pStyle w:val="ListParagraph"/>
              <w:ind w:left="0"/>
              <w:rPr>
                <w:b/>
                <w:bCs/>
                <w:color w:val="000000" w:themeColor="text1"/>
              </w:rPr>
            </w:pPr>
            <w:r w:rsidRPr="00A2645A">
              <w:rPr>
                <w:b/>
                <w:bCs/>
                <w:color w:val="000000" w:themeColor="text1"/>
              </w:rPr>
              <w:t xml:space="preserve">Relevance for SMEs </w:t>
            </w:r>
          </w:p>
        </w:tc>
      </w:tr>
      <w:tr w:rsidR="00BD68E8" w:rsidRPr="00A2645A" w14:paraId="068E5D0A" w14:textId="77777777" w:rsidTr="004570F2">
        <w:tc>
          <w:tcPr>
            <w:tcW w:w="9243" w:type="dxa"/>
          </w:tcPr>
          <w:p w14:paraId="5921F3AF" w14:textId="1032A9DA" w:rsidR="00BD68E8" w:rsidRPr="004570F2" w:rsidRDefault="07304504">
            <w:pPr>
              <w:pStyle w:val="ListParagraph"/>
              <w:ind w:left="0"/>
              <w:rPr>
                <w:color w:val="000000" w:themeColor="text1"/>
              </w:rPr>
            </w:pPr>
            <w:r w:rsidRPr="00C61A16">
              <w:rPr>
                <w:color w:val="000000" w:themeColor="text1"/>
              </w:rPr>
              <w:t>Yes</w:t>
            </w:r>
            <w:r w:rsidR="3EA462C3" w:rsidRPr="00C61A16">
              <w:rPr>
                <w:color w:val="000000" w:themeColor="text1"/>
              </w:rPr>
              <w:t xml:space="preserve"> </w:t>
            </w:r>
          </w:p>
        </w:tc>
      </w:tr>
    </w:tbl>
    <w:p w14:paraId="1E9401A8" w14:textId="77777777" w:rsidR="00BD68E8" w:rsidRPr="00A2645A" w:rsidRDefault="00BD68E8" w:rsidP="00BD68E8">
      <w:pPr>
        <w:rPr>
          <w:b/>
          <w:bCs/>
          <w:smallCaps/>
          <w:color w:val="000000" w:themeColor="text1"/>
          <w:sz w:val="20"/>
          <w:szCs w:val="20"/>
        </w:rPr>
      </w:pPr>
    </w:p>
    <w:tbl>
      <w:tblPr>
        <w:tblStyle w:val="TableGrid"/>
        <w:tblW w:w="9243" w:type="dxa"/>
        <w:tblInd w:w="-34" w:type="dxa"/>
        <w:tblLook w:val="04A0" w:firstRow="1" w:lastRow="0" w:firstColumn="1" w:lastColumn="0" w:noHBand="0" w:noVBand="1"/>
      </w:tblPr>
      <w:tblGrid>
        <w:gridCol w:w="9243"/>
      </w:tblGrid>
      <w:tr w:rsidR="00BD68E8" w:rsidRPr="00A2645A" w14:paraId="1E64C6C5" w14:textId="77777777" w:rsidTr="004570F2">
        <w:tc>
          <w:tcPr>
            <w:tcW w:w="9243" w:type="dxa"/>
          </w:tcPr>
          <w:p w14:paraId="2F104646" w14:textId="0EC65735" w:rsidR="00BD68E8" w:rsidRPr="00A2645A" w:rsidRDefault="3EA462C3">
            <w:pPr>
              <w:pStyle w:val="ListParagraph"/>
              <w:ind w:left="0"/>
              <w:rPr>
                <w:b/>
                <w:bCs/>
                <w:color w:val="000000" w:themeColor="text1"/>
              </w:rPr>
            </w:pPr>
            <w:r w:rsidRPr="00A2645A">
              <w:rPr>
                <w:b/>
                <w:bCs/>
                <w:color w:val="000000" w:themeColor="text1"/>
              </w:rPr>
              <w:t>(1)</w:t>
            </w:r>
            <w:r w:rsidR="00BD68E8" w:rsidRPr="00A2645A">
              <w:tab/>
            </w:r>
            <w:r w:rsidRPr="00A2645A">
              <w:rPr>
                <w:b/>
                <w:bCs/>
                <w:smallCaps/>
                <w:color w:val="000000" w:themeColor="text1"/>
              </w:rPr>
              <w:t>Identification of affected businesses and assessment of relevance</w:t>
            </w:r>
            <w:r w:rsidR="00F33584">
              <w:rPr>
                <w:rStyle w:val="FootnoteReference"/>
                <w:b/>
                <w:bCs/>
                <w:smallCaps/>
                <w:color w:val="000000" w:themeColor="text1"/>
              </w:rPr>
              <w:footnoteReference w:id="422"/>
            </w:r>
          </w:p>
        </w:tc>
      </w:tr>
      <w:tr w:rsidR="00BD68E8" w:rsidRPr="00A2645A" w14:paraId="3D92A6DD" w14:textId="77777777" w:rsidTr="004570F2">
        <w:tc>
          <w:tcPr>
            <w:tcW w:w="9243" w:type="dxa"/>
          </w:tcPr>
          <w:p w14:paraId="1B2A3728" w14:textId="5C292EA3" w:rsidR="00BD68E8" w:rsidRPr="00A2645A" w:rsidRDefault="00BD68E8">
            <w:pPr>
              <w:pStyle w:val="ListParagraph"/>
              <w:ind w:left="0"/>
              <w:rPr>
                <w:b/>
                <w:bCs/>
                <w:color w:val="000000" w:themeColor="text1"/>
              </w:rPr>
            </w:pPr>
            <w:r w:rsidRPr="00A2645A">
              <w:rPr>
                <w:b/>
                <w:bCs/>
                <w:color w:val="000000" w:themeColor="text1"/>
              </w:rPr>
              <w:t>Are SMEs directly affected?</w:t>
            </w:r>
            <w:r w:rsidRPr="00A2645A">
              <w:rPr>
                <w:color w:val="000000" w:themeColor="text1"/>
              </w:rPr>
              <w:t xml:space="preserve"> </w:t>
            </w:r>
            <w:r w:rsidRPr="00A2645A">
              <w:rPr>
                <w:i/>
                <w:iCs/>
                <w:color w:val="000000" w:themeColor="text1"/>
              </w:rPr>
              <w:t>(Ye</w:t>
            </w:r>
            <w:r w:rsidR="00E21D9D">
              <w:rPr>
                <w:i/>
                <w:iCs/>
                <w:color w:val="000000" w:themeColor="text1"/>
              </w:rPr>
              <w:t>s)</w:t>
            </w:r>
            <w:r w:rsidRPr="00A2645A">
              <w:rPr>
                <w:color w:val="000000" w:themeColor="text1"/>
              </w:rPr>
              <w:t xml:space="preserve"> </w:t>
            </w:r>
            <w:r w:rsidRPr="00A2645A">
              <w:rPr>
                <w:b/>
                <w:bCs/>
                <w:color w:val="000000" w:themeColor="text1"/>
              </w:rPr>
              <w:t>In which sectors?</w:t>
            </w:r>
          </w:p>
        </w:tc>
      </w:tr>
      <w:tr w:rsidR="00BD68E8" w:rsidRPr="00A2645A" w14:paraId="69EAE9B5" w14:textId="77777777" w:rsidTr="004570F2">
        <w:tc>
          <w:tcPr>
            <w:tcW w:w="9243" w:type="dxa"/>
          </w:tcPr>
          <w:p w14:paraId="3E184201" w14:textId="6D0764CF" w:rsidR="00BD68E8" w:rsidRPr="00A2645A" w:rsidRDefault="00CD2AC0">
            <w:r>
              <w:t>The h</w:t>
            </w:r>
            <w:r w:rsidR="00BD68E8" w:rsidRPr="00A2645A">
              <w:t xml:space="preserve">ealth biotechnology and pharmaceutical </w:t>
            </w:r>
            <w:r w:rsidR="004A34D6">
              <w:t>sector</w:t>
            </w:r>
            <w:r w:rsidR="00BD68E8" w:rsidRPr="00A2645A">
              <w:t xml:space="preserve"> is the most heavily affected sector, given that over 60</w:t>
            </w:r>
            <w:r w:rsidR="006856C2">
              <w:t>%</w:t>
            </w:r>
            <w:r w:rsidR="00BD68E8" w:rsidRPr="00A2645A">
              <w:t xml:space="preserve"> of ATMP developers in Europe are SMEs, and that EU biotech firms are structurally smaller on average and less likely to scale than their US counterparts.</w:t>
            </w:r>
            <w:r w:rsidR="004A34D6">
              <w:t xml:space="preserve"> This sector includes</w:t>
            </w:r>
            <w:r w:rsidR="004A34D6" w:rsidRPr="00A2645A">
              <w:t xml:space="preserve"> developers of advanced therapy medicinal products (ATMPs: gene therapies, cell therapies, tissue-engineered products), biological medicinal products, and biosimilars.</w:t>
            </w:r>
          </w:p>
          <w:p w14:paraId="43A8F269" w14:textId="77777777" w:rsidR="00BD68E8" w:rsidRPr="00A2645A" w:rsidRDefault="00BD68E8">
            <w:r w:rsidRPr="00A2645A">
              <w:t>Biomanufacturing and scale-up services, including firms providing GMP-compliant pilot and testing infrastructure, for whom reduced permitting timelines and access to shared late-stage infrastructure are directly relevant to their conduct of business and commercial viability.</w:t>
            </w:r>
          </w:p>
          <w:p w14:paraId="43687C03" w14:textId="77777777" w:rsidR="00BD68E8" w:rsidRPr="00A2645A" w:rsidRDefault="00BD68E8">
            <w:r w:rsidRPr="00A2645A">
              <w:t>Clinical research, including small sponsors (both commercial SMEs and academic innovators and non-commercial trial sponsors) conducting clinical trials for novel biotechnology products, who face disproportionate administrative and regulatory burdens relative to larger firms with dedicated regulatory affairs capacity.</w:t>
            </w:r>
          </w:p>
          <w:p w14:paraId="1A6A5F13" w14:textId="77777777" w:rsidR="00BD68E8" w:rsidRPr="00A2645A" w:rsidRDefault="00BD68E8">
            <w:r w:rsidRPr="00A2645A">
              <w:t>Industrial and environmental biotechnology, including start-ups and SMEs developing genetically modified micro-organism (GMM)-based products in areas such as biofertilizers, biocontrol agents, bioremediation, and bioleaching, for whom the absence of a workable and proportionate regulatory pathway has effectively blocked market entry under the current framework.</w:t>
            </w:r>
          </w:p>
          <w:p w14:paraId="7DCE2986" w14:textId="77777777" w:rsidR="00BD68E8" w:rsidRPr="00A2645A" w:rsidRDefault="00BD68E8">
            <w:r w:rsidRPr="00A2645A">
              <w:t>Veterinary biotechnology and animal health, including SMEs and emerging developers of next-generation veterinary vaccines and biotechnology-derived animal health products, who are directly affected by the GMO exemption and regulatory sandbox provisions under the amended Veterinary Medicinal Products Regulation.</w:t>
            </w:r>
          </w:p>
          <w:p w14:paraId="691C00C6" w14:textId="77777777" w:rsidR="00BD68E8" w:rsidRPr="00A2645A" w:rsidRDefault="00BD68E8">
            <w:r w:rsidRPr="00A2645A">
              <w:t>Food and feed biotechnology, including first-time and one-time applicants to EFSA pre-market authorisation processes, disproportionately SMEs, who bear the highest relative cost of incomplete or non-compliant dossiers and who stand to benefit most from extended pre-submission advice covering both regulatory and scientific aspects, as well as from regulatory sandboxes for food, feed and GMO-related products.</w:t>
            </w:r>
          </w:p>
          <w:p w14:paraId="725698F3" w14:textId="77777777" w:rsidR="00BD68E8" w:rsidRPr="00A2645A" w:rsidRDefault="00BD68E8">
            <w:r w:rsidRPr="00A2645A">
              <w:t>AI-enabled health biotechnology and digital health, including SMEs developing AI-based tools for drug discovery, genomic analysis, and clinical development, who currently cannot self-finance validation infrastructure (with 82% of SMEs unable to do so) and who face delays of up to 18 to 24 months in accessing pilot-GMP capacity under current conditions.</w:t>
            </w:r>
          </w:p>
          <w:p w14:paraId="7F368721" w14:textId="77777777" w:rsidR="00BD68E8" w:rsidRPr="00A2645A" w:rsidRDefault="00BD68E8">
            <w:pPr>
              <w:rPr>
                <w:highlight w:val="lightGray"/>
                <w:lang w:val="en-US"/>
              </w:rPr>
            </w:pPr>
            <w:r w:rsidRPr="00A2645A">
              <w:t>Regenerative medicine and cell processing, including smaller SoHO entities and biotech firms operating at the interface of SoHO, ATMP and medical device frameworks, for whom regulatory sandboxes reduce the multi-framework compliance burden that currently falls disproportionately on entities without large in-house regulatory affairs capacity.</w:t>
            </w:r>
          </w:p>
        </w:tc>
      </w:tr>
      <w:tr w:rsidR="00BD68E8" w:rsidRPr="00A2645A" w14:paraId="5950D9A5" w14:textId="77777777" w:rsidTr="004570F2">
        <w:tc>
          <w:tcPr>
            <w:tcW w:w="9243" w:type="dxa"/>
          </w:tcPr>
          <w:p w14:paraId="7414B42B" w14:textId="77777777" w:rsidR="00BD68E8" w:rsidRPr="00A2645A" w:rsidRDefault="00BD68E8">
            <w:pPr>
              <w:pStyle w:val="ListParagraph"/>
              <w:ind w:left="0"/>
              <w:contextualSpacing w:val="0"/>
              <w:rPr>
                <w:rFonts w:cstheme="minorHAnsi"/>
                <w:b/>
                <w:color w:val="000000" w:themeColor="text1"/>
              </w:rPr>
            </w:pPr>
            <w:r w:rsidRPr="00A2645A">
              <w:rPr>
                <w:rFonts w:cstheme="minorHAnsi"/>
                <w:b/>
                <w:color w:val="000000" w:themeColor="text1"/>
              </w:rPr>
              <w:t>Estimated number of directly affected SMEs</w:t>
            </w:r>
          </w:p>
        </w:tc>
      </w:tr>
      <w:tr w:rsidR="00BD68E8" w:rsidRPr="00A2645A" w14:paraId="43A30EB5" w14:textId="77777777" w:rsidTr="004570F2">
        <w:tc>
          <w:tcPr>
            <w:tcW w:w="9243" w:type="dxa"/>
          </w:tcPr>
          <w:p w14:paraId="0DBA6AE2" w14:textId="77777777" w:rsidR="00BD68E8" w:rsidRPr="00A2645A" w:rsidRDefault="00BD68E8">
            <w:pPr>
              <w:pStyle w:val="ListParagraph"/>
              <w:ind w:left="0"/>
              <w:rPr>
                <w:rFonts w:eastAsiaTheme="minorEastAsia"/>
                <w:color w:val="000000" w:themeColor="text1"/>
              </w:rPr>
            </w:pPr>
            <w:r w:rsidRPr="00BC3329">
              <w:t xml:space="preserve">The estimated number of directly affected SMEs falls in a range of </w:t>
            </w:r>
            <w:r w:rsidRPr="00BC3329">
              <w:rPr>
                <w:b/>
                <w:bCs/>
              </w:rPr>
              <w:t>approximately 3,000 to 4,500,</w:t>
            </w:r>
            <w:r w:rsidRPr="00BC3329">
              <w:t xml:space="preserve"> based on the available firm-level data for the EU biotechnology sector across the health biotechnology, industrial biotechnology, food and feed biotechnology, veterinary biotechnology, and AI-enabled health technology sectors. This figure is likely a conservative estimate, as it does not fully capture SMEs in food, feed and veterinary biotechnology that are subject to the relevant legislative amendments</w:t>
            </w:r>
            <w:r w:rsidRPr="00A2645A">
              <w:t xml:space="preserve"> but are not classified as biotechnology companies in standard firm-level databases.</w:t>
            </w:r>
          </w:p>
        </w:tc>
      </w:tr>
      <w:tr w:rsidR="00BD68E8" w:rsidRPr="00A2645A" w14:paraId="55DE4D2F" w14:textId="77777777" w:rsidTr="004570F2">
        <w:tc>
          <w:tcPr>
            <w:tcW w:w="9243" w:type="dxa"/>
          </w:tcPr>
          <w:p w14:paraId="61780ED8" w14:textId="77777777" w:rsidR="00BD68E8" w:rsidRPr="00A2645A" w:rsidRDefault="00BD68E8">
            <w:pPr>
              <w:pStyle w:val="ListParagraph"/>
              <w:ind w:left="0"/>
              <w:contextualSpacing w:val="0"/>
              <w:rPr>
                <w:rFonts w:cstheme="minorHAnsi"/>
                <w:b/>
                <w:color w:val="000000" w:themeColor="text1"/>
              </w:rPr>
            </w:pPr>
            <w:r w:rsidRPr="00A2645A">
              <w:rPr>
                <w:rFonts w:cstheme="minorHAnsi"/>
                <w:b/>
                <w:color w:val="000000" w:themeColor="text1"/>
              </w:rPr>
              <w:t>Estimated number of employees in directly affected SMEs</w:t>
            </w:r>
          </w:p>
        </w:tc>
      </w:tr>
      <w:tr w:rsidR="00BD68E8" w:rsidRPr="00A2645A" w14:paraId="6301278A" w14:textId="77777777" w:rsidTr="004570F2">
        <w:tc>
          <w:tcPr>
            <w:tcW w:w="9243" w:type="dxa"/>
          </w:tcPr>
          <w:p w14:paraId="4C43E04F" w14:textId="00CFD79F" w:rsidR="00BD68E8" w:rsidRPr="00A2645A" w:rsidRDefault="3EA462C3">
            <w:pPr>
              <w:pStyle w:val="ListParagraph"/>
              <w:ind w:left="0"/>
              <w:rPr>
                <w:rFonts w:eastAsiaTheme="minorEastAsia"/>
                <w:i/>
                <w:iCs/>
                <w:color w:val="000000" w:themeColor="text1"/>
              </w:rPr>
            </w:pPr>
            <w:r w:rsidRPr="00A2645A">
              <w:t>Direct employment in the EU biotechnology sector stands at approximately 137,000 (Technopolis Group, Prodcom-based, 2024) to 238,000 (WifOR Institute, 202</w:t>
            </w:r>
            <w:r>
              <w:t>5</w:t>
            </w:r>
            <w:r w:rsidRPr="00A2645A">
              <w:t>). Since manufacturing activities, which are the most labour-intensive, are structurally concentrated in large firms while SMEs predominantly specialise in R&amp;D and early-stage development, their share of direct employment is estimated at approximately 40 to 50</w:t>
            </w:r>
            <w:r w:rsidR="006856C2">
              <w:t>%</w:t>
            </w:r>
            <w:r w:rsidRPr="00A2645A">
              <w:t xml:space="preserve"> of the sector total, pointing to an indicative figure of approximately </w:t>
            </w:r>
            <w:r w:rsidRPr="00A2645A">
              <w:rPr>
                <w:b/>
                <w:bCs/>
              </w:rPr>
              <w:t>55,000 to 120,000 employees</w:t>
            </w:r>
            <w:r w:rsidR="006220FA">
              <w:rPr>
                <w:rStyle w:val="FootnoteReference"/>
                <w:b/>
                <w:bCs/>
              </w:rPr>
              <w:footnoteReference w:id="423"/>
            </w:r>
            <w:r w:rsidRPr="00A2645A">
              <w:t xml:space="preserve"> in directly affected SMEs.</w:t>
            </w:r>
          </w:p>
        </w:tc>
      </w:tr>
      <w:tr w:rsidR="00BD68E8" w:rsidRPr="00A2645A" w14:paraId="224767A9" w14:textId="77777777" w:rsidTr="004570F2">
        <w:tc>
          <w:tcPr>
            <w:tcW w:w="9243" w:type="dxa"/>
          </w:tcPr>
          <w:p w14:paraId="3E56C81A" w14:textId="7F1B6F23" w:rsidR="00BD68E8" w:rsidRPr="00A2645A" w:rsidRDefault="00BD68E8">
            <w:pPr>
              <w:pStyle w:val="ListParagraph"/>
              <w:ind w:left="0"/>
              <w:rPr>
                <w:b/>
                <w:bCs/>
                <w:color w:val="000000" w:themeColor="text1"/>
              </w:rPr>
            </w:pPr>
            <w:r w:rsidRPr="00A2645A">
              <w:rPr>
                <w:b/>
                <w:bCs/>
                <w:color w:val="000000" w:themeColor="text1"/>
              </w:rPr>
              <w:t xml:space="preserve">Are SMEs indirectly affected? </w:t>
            </w:r>
            <w:r w:rsidRPr="00A2645A">
              <w:rPr>
                <w:i/>
                <w:iCs/>
                <w:color w:val="000000" w:themeColor="text1"/>
              </w:rPr>
              <w:t>(Yes)</w:t>
            </w:r>
            <w:r w:rsidRPr="00A2645A">
              <w:rPr>
                <w:b/>
                <w:bCs/>
                <w:color w:val="000000" w:themeColor="text1"/>
              </w:rPr>
              <w:t xml:space="preserve"> In which sectors? What is the estimated number of indirectly affected SMEs and employees?</w:t>
            </w:r>
          </w:p>
        </w:tc>
      </w:tr>
      <w:tr w:rsidR="00BD68E8" w:rsidRPr="00A2645A" w14:paraId="5DF23524" w14:textId="77777777" w:rsidTr="004570F2">
        <w:trPr>
          <w:trHeight w:val="300"/>
        </w:trPr>
        <w:tc>
          <w:tcPr>
            <w:tcW w:w="9243" w:type="dxa"/>
          </w:tcPr>
          <w:p w14:paraId="20CD47FE" w14:textId="77777777" w:rsidR="003B22E9" w:rsidRDefault="00BD68E8">
            <w:pPr>
              <w:pStyle w:val="ListParagraph"/>
              <w:ind w:left="0"/>
            </w:pPr>
            <w:r w:rsidRPr="00A2645A">
              <w:t xml:space="preserve">SMEs are indirectly affected across a broad range of upstream and downstream sectors that are economically linked to biotechnology activity. </w:t>
            </w:r>
          </w:p>
          <w:p w14:paraId="63B189F4" w14:textId="4FB3422D" w:rsidR="003B22E9" w:rsidRDefault="00BD68E8">
            <w:pPr>
              <w:pStyle w:val="ListParagraph"/>
              <w:ind w:left="0"/>
            </w:pPr>
            <w:r w:rsidRPr="00A2645A">
              <w:t>Upstream</w:t>
            </w:r>
            <w:r w:rsidR="003B22E9">
              <w:t>:</w:t>
            </w:r>
            <w:r w:rsidRPr="00A2645A">
              <w:t xml:space="preserve"> this includes providers of laboratory equipment, analytical instruments and reagents; specialised contract research organisations (CROs); regulatory, legal and IP advisory service firms; bioinformatics and digital health technology providers; and raw materials and biological input suppliers. </w:t>
            </w:r>
          </w:p>
          <w:p w14:paraId="1AFC9BA5" w14:textId="2AFE952F" w:rsidR="00BD68E8" w:rsidRPr="00A2645A" w:rsidRDefault="00BD68E8">
            <w:pPr>
              <w:pStyle w:val="ListParagraph"/>
              <w:ind w:left="0"/>
            </w:pPr>
            <w:r w:rsidRPr="00A2645A">
              <w:t>Downstream</w:t>
            </w:r>
            <w:r w:rsidR="003B22E9">
              <w:t>:</w:t>
            </w:r>
            <w:r w:rsidRPr="00A2645A" w:rsidDel="003B22E9">
              <w:t xml:space="preserve"> </w:t>
            </w:r>
            <w:r w:rsidRPr="00A2645A">
              <w:t>it encompasses medical devices and diagnostics firms supplying complementary products, logistics and cold chain operators handling biological products, food processing and manufacturing businesses affected by the food law amendments, agricultural input suppliers linked to the GMM and VMP value chains, and healthcare service providers benefiting from improved availability of advanced therapies and biosimilars.</w:t>
            </w:r>
          </w:p>
          <w:p w14:paraId="67EBD90A" w14:textId="77777777" w:rsidR="00BD68E8" w:rsidRPr="00A2645A" w:rsidRDefault="00BD68E8">
            <w:pPr>
              <w:pStyle w:val="ListParagraph"/>
              <w:spacing w:before="240"/>
              <w:ind w:left="0"/>
              <w:rPr>
                <w:color w:val="000000" w:themeColor="text1"/>
              </w:rPr>
            </w:pPr>
            <w:r w:rsidRPr="00A2645A">
              <w:t>The total employment effects linked to the EU biotechnology industry, including upstream and downstream value chain linkages, amount to approximately 913,000 jobs (WifOR Institute, 2025), implying a spillover multiplier of 2.8 on approximately 238,000 direct biotech jobs. A disaggregated figure for employees in indirectly affected SMEs specifically is not available</w:t>
            </w:r>
          </w:p>
        </w:tc>
      </w:tr>
    </w:tbl>
    <w:p w14:paraId="2FED7E1F" w14:textId="77777777" w:rsidR="00BD68E8" w:rsidRPr="00A2645A" w:rsidRDefault="00BD68E8" w:rsidP="00BD68E8">
      <w:pPr>
        <w:pStyle w:val="ListParagraph"/>
        <w:spacing w:after="0"/>
        <w:ind w:left="357"/>
        <w:contextualSpacing w:val="0"/>
        <w:rPr>
          <w:rFonts w:cstheme="minorHAnsi"/>
          <w:b/>
          <w:color w:val="000000" w:themeColor="text1"/>
          <w:sz w:val="20"/>
          <w:szCs w:val="20"/>
        </w:rPr>
      </w:pPr>
    </w:p>
    <w:p w14:paraId="450C2F26" w14:textId="77777777" w:rsidR="00BD68E8" w:rsidRPr="00A2645A" w:rsidRDefault="00BD68E8" w:rsidP="00BD68E8">
      <w:pPr>
        <w:pStyle w:val="ListParagraph"/>
        <w:spacing w:after="0"/>
        <w:ind w:left="357"/>
        <w:contextualSpacing w:val="0"/>
        <w:rPr>
          <w:rFonts w:cstheme="minorHAnsi"/>
          <w:b/>
          <w:smallCaps/>
          <w:color w:val="000000" w:themeColor="text1"/>
          <w:sz w:val="20"/>
          <w:szCs w:val="20"/>
        </w:rPr>
      </w:pPr>
    </w:p>
    <w:tbl>
      <w:tblPr>
        <w:tblStyle w:val="TableGrid"/>
        <w:tblW w:w="9322" w:type="dxa"/>
        <w:tblInd w:w="-34" w:type="dxa"/>
        <w:tblLook w:val="04A0" w:firstRow="1" w:lastRow="0" w:firstColumn="1" w:lastColumn="0" w:noHBand="0" w:noVBand="1"/>
      </w:tblPr>
      <w:tblGrid>
        <w:gridCol w:w="9322"/>
      </w:tblGrid>
      <w:tr w:rsidR="00BD68E8" w:rsidRPr="00A2645A" w14:paraId="7549CE52" w14:textId="77777777">
        <w:tc>
          <w:tcPr>
            <w:tcW w:w="9322" w:type="dxa"/>
          </w:tcPr>
          <w:p w14:paraId="7F798E02" w14:textId="77777777" w:rsidR="00BD68E8" w:rsidRPr="00A2645A" w:rsidRDefault="00BD68E8" w:rsidP="00BD68E8">
            <w:pPr>
              <w:pStyle w:val="ListParagraph"/>
              <w:numPr>
                <w:ilvl w:val="0"/>
                <w:numId w:val="47"/>
              </w:numPr>
              <w:spacing w:after="0"/>
              <w:rPr>
                <w:smallCaps/>
                <w:color w:val="000000" w:themeColor="text1"/>
              </w:rPr>
            </w:pPr>
            <w:r w:rsidRPr="00A2645A">
              <w:rPr>
                <w:b/>
                <w:bCs/>
                <w:smallCaps/>
                <w:color w:val="000000" w:themeColor="text1"/>
              </w:rPr>
              <w:t>Consultation of SME stakeholders</w:t>
            </w:r>
          </w:p>
        </w:tc>
      </w:tr>
      <w:tr w:rsidR="00BD68E8" w:rsidRPr="00A2645A" w14:paraId="794FAFE1" w14:textId="77777777">
        <w:tc>
          <w:tcPr>
            <w:tcW w:w="9322" w:type="dxa"/>
          </w:tcPr>
          <w:p w14:paraId="2B7D19B3" w14:textId="77777777" w:rsidR="00BD68E8" w:rsidRPr="00A2645A" w:rsidRDefault="00BD68E8">
            <w:pPr>
              <w:pStyle w:val="ListParagraph"/>
              <w:ind w:left="0"/>
              <w:contextualSpacing w:val="0"/>
              <w:rPr>
                <w:rFonts w:cstheme="minorHAnsi"/>
                <w:b/>
                <w:color w:val="000000" w:themeColor="text1"/>
                <w:highlight w:val="lightGray"/>
              </w:rPr>
            </w:pPr>
            <w:r w:rsidRPr="00A2645A">
              <w:rPr>
                <w:rFonts w:cstheme="minorHAnsi"/>
                <w:b/>
                <w:color w:val="000000" w:themeColor="text1"/>
              </w:rPr>
              <w:t>How has the input from the SME community been taken into consideration?</w:t>
            </w:r>
          </w:p>
        </w:tc>
      </w:tr>
      <w:tr w:rsidR="00BD68E8" w:rsidRPr="00A2645A" w14:paraId="10336493" w14:textId="77777777">
        <w:tc>
          <w:tcPr>
            <w:tcW w:w="9322" w:type="dxa"/>
          </w:tcPr>
          <w:p w14:paraId="011B525D" w14:textId="7AFEFFB2" w:rsidR="00BD68E8" w:rsidRPr="00A2645A" w:rsidRDefault="00BD68E8">
            <w:pPr>
              <w:pStyle w:val="ListParagraph"/>
              <w:ind w:left="0"/>
              <w:rPr>
                <w:color w:val="000000" w:themeColor="text1"/>
              </w:rPr>
            </w:pPr>
            <w:r>
              <w:t xml:space="preserve">SME input was gathered through multiple consultation channels. </w:t>
            </w:r>
            <w:r w:rsidRPr="00A910A1">
              <w:t xml:space="preserve">The call for evidence (May to June 2025, 222 contributions) gathered additional input from companies and business associations representing SME interests. </w:t>
            </w:r>
            <w:r w:rsidR="00C07987">
              <w:t>The public consultation (</w:t>
            </w:r>
            <w:r w:rsidR="00C07987" w:rsidRPr="00FA62A5">
              <w:t xml:space="preserve">August to November 2025, </w:t>
            </w:r>
            <w:r w:rsidR="00C07987">
              <w:t>464</w:t>
            </w:r>
            <w:r w:rsidR="00C07987" w:rsidRPr="00FA62A5">
              <w:t xml:space="preserve"> </w:t>
            </w:r>
            <w:r w:rsidR="00C07987" w:rsidRPr="005A24E7">
              <w:t xml:space="preserve">contributions) </w:t>
            </w:r>
            <w:r w:rsidR="00C07987" w:rsidRPr="008B0AFD">
              <w:t xml:space="preserve">received submissions from </w:t>
            </w:r>
            <w:r w:rsidR="00C07987" w:rsidRPr="00A910A1">
              <w:t>63</w:t>
            </w:r>
            <w:r w:rsidR="00C07987" w:rsidRPr="005A24E7">
              <w:t xml:space="preserve"> SMEs (comprising 2</w:t>
            </w:r>
            <w:r w:rsidR="00C07987" w:rsidRPr="00960345">
              <w:t>8</w:t>
            </w:r>
            <w:r w:rsidR="00C07987" w:rsidRPr="005A24E7">
              <w:t xml:space="preserve"> micro-enterprises, 1</w:t>
            </w:r>
            <w:r w:rsidR="00C07987" w:rsidRPr="00960345">
              <w:t xml:space="preserve">9 </w:t>
            </w:r>
            <w:r w:rsidR="00C07987" w:rsidRPr="005A24E7">
              <w:t>small enterprises and 1</w:t>
            </w:r>
            <w:r w:rsidR="00C07987" w:rsidRPr="00960345">
              <w:t>6</w:t>
            </w:r>
            <w:r w:rsidR="00C07987" w:rsidRPr="005A24E7">
              <w:t xml:space="preserve"> medium-sized enterprises</w:t>
            </w:r>
            <w:r w:rsidR="00C07987" w:rsidRPr="008B0AFD">
              <w:t>)</w:t>
            </w:r>
            <w:r w:rsidR="00C07987" w:rsidRPr="00A910A1">
              <w:t xml:space="preserve">. </w:t>
            </w:r>
            <w:r w:rsidRPr="00A910A1">
              <w:t xml:space="preserve">Targeted stakeholder interviews were conducted </w:t>
            </w:r>
            <w:r w:rsidR="00DB2FD0">
              <w:t xml:space="preserve">(see annex 2 for more details) </w:t>
            </w:r>
            <w:r w:rsidR="00591DC1">
              <w:t xml:space="preserve">including </w:t>
            </w:r>
            <w:r w:rsidRPr="00A910A1">
              <w:t xml:space="preserve">with representatives of SMEs, start-ups and scale-ups across health, industrial, food and veterinary biotechnology. The </w:t>
            </w:r>
            <w:r w:rsidR="00591DC1">
              <w:t>assessment of impacts</w:t>
            </w:r>
            <w:r>
              <w:t xml:space="preserve"> incorporated SME-specific views directly into the analytical frameworks: SME disproportionate burden is established as a core baseline assumption in the Biotech Ecosystem, Novel Health Products, ATMPs, Clinical Trials, GMMs and SPC Extension IAs. The </w:t>
            </w:r>
            <w:r w:rsidR="00EB60CC">
              <w:t xml:space="preserve">European </w:t>
            </w:r>
            <w:r>
              <w:t>Biotech Act proposal itself explicitly lists support to SMEs, start-ups and scale-ups among its objectives in Article 2(2)(c).</w:t>
            </w:r>
          </w:p>
        </w:tc>
      </w:tr>
      <w:tr w:rsidR="00BD68E8" w:rsidRPr="00A2645A" w14:paraId="61F4DDAA" w14:textId="77777777">
        <w:tc>
          <w:tcPr>
            <w:tcW w:w="9322" w:type="dxa"/>
          </w:tcPr>
          <w:p w14:paraId="1EA60404" w14:textId="74CDBBEE" w:rsidR="00BD68E8" w:rsidRPr="00A2645A" w:rsidRDefault="00BD68E8">
            <w:pPr>
              <w:pStyle w:val="ListParagraph"/>
              <w:ind w:left="0"/>
              <w:rPr>
                <w:color w:val="000000" w:themeColor="text1"/>
              </w:rPr>
            </w:pPr>
            <w:r w:rsidRPr="00A2645A">
              <w:rPr>
                <w:b/>
                <w:bCs/>
                <w:color w:val="000000" w:themeColor="text1"/>
              </w:rPr>
              <w:t xml:space="preserve">Are SMEs’ views different from those of large businesses? </w:t>
            </w:r>
            <w:r w:rsidRPr="00A2645A">
              <w:rPr>
                <w:i/>
                <w:iCs/>
                <w:color w:val="000000" w:themeColor="text1"/>
              </w:rPr>
              <w:t>(Yes)</w:t>
            </w:r>
          </w:p>
        </w:tc>
      </w:tr>
      <w:tr w:rsidR="00BD68E8" w:rsidRPr="00A2645A" w14:paraId="53A9A613" w14:textId="77777777">
        <w:tc>
          <w:tcPr>
            <w:tcW w:w="9322" w:type="dxa"/>
          </w:tcPr>
          <w:p w14:paraId="09E89A8A" w14:textId="77777777" w:rsidR="00BD68E8" w:rsidRPr="00A2645A" w:rsidRDefault="00BD68E8">
            <w:pPr>
              <w:pStyle w:val="font-claude-response-body"/>
              <w:jc w:val="both"/>
            </w:pPr>
            <w:r w:rsidRPr="00A2645A">
              <w:t>The consultation evidence documents several substantive differences between SMEs and large enterprises. On regulatory burden, both groups cited fragmentation as a problem, but small companies specifically highlighted high regulatory costs while large companies focused on the unpredictability of authorisation procedures. On access to funding, large companies pointed to public R&amp;D under-investment as their primary concern, while also acknowledging the lack of financial and administrative capacity of SMEs to access EU-level funding or protect their intellectual property. On AI and data, large companies cited fragmented data ecosystems and lack of data access, whereas SMEs raised a more foundational concern: a lack of information and knowledge within companies about AI implementation and compliance. On biosecurity, SMEs and NGOs specifically raised dual-use risks, a concern not prominently voiced by large companies.</w:t>
            </w:r>
          </w:p>
          <w:p w14:paraId="3B7D5EC6" w14:textId="23A4551D" w:rsidR="00BD68E8" w:rsidRPr="00A2645A" w:rsidRDefault="00BD68E8">
            <w:pPr>
              <w:pStyle w:val="font-claude-response-body"/>
              <w:jc w:val="both"/>
            </w:pPr>
            <w:r w:rsidRPr="00A2645A">
              <w:t xml:space="preserve">At intervention level, </w:t>
            </w:r>
            <w:r w:rsidR="0002183D">
              <w:t>the assessment of impacts</w:t>
            </w:r>
            <w:r w:rsidRPr="00A2645A">
              <w:t xml:space="preserve"> further document that SMEs face higher per-unit compliance costs across clinical trials, IP management and biosecurity screening relative to their size, reflecting their limited in-house regulatory and legal capacity compared to large firms.</w:t>
            </w:r>
          </w:p>
        </w:tc>
      </w:tr>
    </w:tbl>
    <w:p w14:paraId="2E550012" w14:textId="77777777" w:rsidR="00BD68E8" w:rsidRPr="00A2645A" w:rsidRDefault="00BD68E8" w:rsidP="00BD68E8">
      <w:pPr>
        <w:spacing w:after="0"/>
        <w:rPr>
          <w:rFonts w:cstheme="minorHAnsi"/>
          <w:b/>
          <w:color w:val="000000" w:themeColor="text1"/>
          <w:sz w:val="20"/>
          <w:szCs w:val="20"/>
        </w:rPr>
      </w:pPr>
    </w:p>
    <w:p w14:paraId="07DDB7B5" w14:textId="77777777" w:rsidR="00BB39E6" w:rsidRDefault="00BB39E6" w:rsidP="00BD68E8">
      <w:pPr>
        <w:spacing w:after="0"/>
        <w:rPr>
          <w:rFonts w:cstheme="minorHAnsi"/>
          <w:b/>
          <w:color w:val="000000" w:themeColor="text1"/>
          <w:sz w:val="20"/>
          <w:szCs w:val="20"/>
        </w:rPr>
      </w:pPr>
    </w:p>
    <w:p w14:paraId="485C9B9D" w14:textId="77777777" w:rsidR="00BB39E6" w:rsidRPr="00A2645A" w:rsidRDefault="00BB39E6" w:rsidP="00BD68E8">
      <w:pPr>
        <w:spacing w:after="0"/>
        <w:rPr>
          <w:rFonts w:cstheme="minorHAnsi"/>
          <w:b/>
          <w:color w:val="000000" w:themeColor="text1"/>
          <w:sz w:val="20"/>
          <w:szCs w:val="20"/>
        </w:rPr>
      </w:pPr>
    </w:p>
    <w:tbl>
      <w:tblPr>
        <w:tblStyle w:val="TableGridLight"/>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BD68E8" w:rsidRPr="006278AF" w14:paraId="5B66AF09" w14:textId="77777777" w:rsidTr="004570F2">
        <w:trPr>
          <w:trHeight w:val="300"/>
        </w:trPr>
        <w:tc>
          <w:tcPr>
            <w:tcW w:w="9209" w:type="dxa"/>
          </w:tcPr>
          <w:p w14:paraId="0DF06BDD" w14:textId="77777777" w:rsidR="00BD68E8" w:rsidRPr="004570F2" w:rsidRDefault="3EA462C3" w:rsidP="00BD68E8">
            <w:pPr>
              <w:pStyle w:val="ListParagraph"/>
              <w:numPr>
                <w:ilvl w:val="0"/>
                <w:numId w:val="47"/>
              </w:numPr>
              <w:spacing w:after="0"/>
              <w:jc w:val="left"/>
              <w:rPr>
                <w:b/>
                <w:smallCaps/>
                <w:color w:val="000000" w:themeColor="text1"/>
              </w:rPr>
            </w:pPr>
            <w:r w:rsidRPr="004570F2">
              <w:rPr>
                <w:b/>
                <w:smallCaps/>
                <w:color w:val="000000" w:themeColor="text1"/>
              </w:rPr>
              <w:t>Assessment of impacts on SMEs</w:t>
            </w:r>
            <w:r w:rsidR="00BD68E8" w:rsidRPr="004570F2">
              <w:rPr>
                <w:rStyle w:val="FootnoteReference"/>
                <w:b/>
                <w:smallCaps/>
                <w:color w:val="000000" w:themeColor="text1"/>
              </w:rPr>
              <w:footnoteReference w:id="424"/>
            </w:r>
          </w:p>
        </w:tc>
      </w:tr>
      <w:tr w:rsidR="00BD68E8" w:rsidRPr="006278AF" w14:paraId="321EC97F" w14:textId="77777777" w:rsidTr="004570F2">
        <w:trPr>
          <w:trHeight w:val="300"/>
        </w:trPr>
        <w:tc>
          <w:tcPr>
            <w:tcW w:w="9209" w:type="dxa"/>
          </w:tcPr>
          <w:p w14:paraId="0D55DD7D" w14:textId="7D9E9AF5" w:rsidR="00BD68E8" w:rsidRPr="004570F2" w:rsidRDefault="3EA462C3">
            <w:pPr>
              <w:rPr>
                <w:color w:val="000000" w:themeColor="text1"/>
              </w:rPr>
            </w:pPr>
            <w:r w:rsidRPr="004570F2">
              <w:rPr>
                <w:b/>
                <w:color w:val="000000" w:themeColor="text1"/>
              </w:rPr>
              <w:t xml:space="preserve">What are the estimated direct costs for SMEs of the </w:t>
            </w:r>
            <w:r w:rsidR="6A241D6F" w:rsidRPr="004570F2">
              <w:rPr>
                <w:b/>
                <w:color w:val="000000" w:themeColor="text1"/>
              </w:rPr>
              <w:t>interventions</w:t>
            </w:r>
            <w:r w:rsidRPr="004570F2">
              <w:rPr>
                <w:b/>
                <w:i/>
                <w:color w:val="000000" w:themeColor="text1"/>
              </w:rPr>
              <w:t>?</w:t>
            </w:r>
            <w:r w:rsidR="00C73B77" w:rsidRPr="00BA0A46">
              <w:rPr>
                <w:rStyle w:val="FootnoteReference"/>
                <w:b/>
                <w:bCs/>
                <w:color w:val="000000" w:themeColor="text1"/>
              </w:rPr>
              <w:footnoteReference w:id="425"/>
            </w:r>
            <w:r w:rsidRPr="004570F2">
              <w:rPr>
                <w:color w:val="000000" w:themeColor="text1"/>
              </w:rPr>
              <w:t xml:space="preserve"> </w:t>
            </w:r>
          </w:p>
        </w:tc>
      </w:tr>
      <w:tr w:rsidR="00BD68E8" w:rsidRPr="006278AF" w14:paraId="39B5B969" w14:textId="77777777" w:rsidTr="004570F2">
        <w:trPr>
          <w:trHeight w:val="300"/>
        </w:trPr>
        <w:tc>
          <w:tcPr>
            <w:tcW w:w="9209" w:type="dxa"/>
          </w:tcPr>
          <w:p w14:paraId="6224D2BE" w14:textId="77777777" w:rsidR="00BD68E8" w:rsidRPr="004570F2" w:rsidRDefault="00BD68E8">
            <w:pPr>
              <w:rPr>
                <w:i/>
                <w:color w:val="000000" w:themeColor="text1"/>
              </w:rPr>
            </w:pPr>
            <w:bookmarkStart w:id="409" w:name="_Hlk189835363"/>
            <w:r w:rsidRPr="004570F2">
              <w:rPr>
                <w:b/>
                <w:i/>
                <w:color w:val="000000" w:themeColor="text1"/>
              </w:rPr>
              <w:t>Qualitative assessment</w:t>
            </w:r>
          </w:p>
        </w:tc>
      </w:tr>
      <w:tr w:rsidR="00BD68E8" w:rsidRPr="006278AF" w14:paraId="32EA77BD" w14:textId="77777777" w:rsidTr="004570F2">
        <w:trPr>
          <w:trHeight w:val="300"/>
        </w:trPr>
        <w:tc>
          <w:tcPr>
            <w:tcW w:w="9209" w:type="dxa"/>
          </w:tcPr>
          <w:p w14:paraId="0B96CAB0" w14:textId="34B3FC66" w:rsidR="00BD68E8" w:rsidRPr="004570F2" w:rsidRDefault="00FA37A7">
            <w:pPr>
              <w:rPr>
                <w:i/>
                <w:color w:val="000000" w:themeColor="text1"/>
              </w:rPr>
            </w:pPr>
            <w:r>
              <w:t>T</w:t>
            </w:r>
            <w:r w:rsidR="00BD68E8" w:rsidRPr="00D85D3C">
              <w:t xml:space="preserve">he </w:t>
            </w:r>
            <w:r w:rsidR="00EB60CC">
              <w:t>European</w:t>
            </w:r>
            <w:r w:rsidR="00EB60CC" w:rsidRPr="004570F2">
              <w:t xml:space="preserve"> </w:t>
            </w:r>
            <w:r w:rsidR="00BD68E8" w:rsidRPr="004570F2">
              <w:t xml:space="preserve">Biotech Act </w:t>
            </w:r>
            <w:r w:rsidR="00EB60CC">
              <w:t xml:space="preserve">proposal </w:t>
            </w:r>
            <w:r w:rsidR="00BD68E8" w:rsidRPr="004570F2">
              <w:t>does not impose</w:t>
            </w:r>
            <w:r w:rsidR="00BD68E8" w:rsidRPr="004570F2" w:rsidDel="00EB60CC">
              <w:t xml:space="preserve"> </w:t>
            </w:r>
            <w:r w:rsidR="00BD68E8" w:rsidRPr="004570F2">
              <w:t xml:space="preserve">new mandatory costs on the general biotechnology SME population. The one exception which is biosecurity screening is targeted at a specific, narrow sub-sector of SME operators (nucleic acid synthesis providers) where the obligation is proportionate to the public security objective, and where many providers already screen voluntarily. For all other SMEs, the Act generates either net cost reductions through regulatory simplification or access to new voluntary support instruments. </w:t>
            </w:r>
          </w:p>
        </w:tc>
      </w:tr>
      <w:tr w:rsidR="00BD68E8" w:rsidRPr="006278AF" w14:paraId="6F36D1B5" w14:textId="77777777" w:rsidTr="004570F2">
        <w:trPr>
          <w:trHeight w:val="300"/>
        </w:trPr>
        <w:tc>
          <w:tcPr>
            <w:tcW w:w="9209" w:type="dxa"/>
          </w:tcPr>
          <w:p w14:paraId="6800512B" w14:textId="77777777" w:rsidR="00BD68E8" w:rsidRPr="004570F2" w:rsidRDefault="00BD68E8">
            <w:pPr>
              <w:rPr>
                <w:b/>
                <w:color w:val="000000" w:themeColor="text1"/>
              </w:rPr>
            </w:pPr>
            <w:r w:rsidRPr="004570F2">
              <w:rPr>
                <w:b/>
                <w:color w:val="000000" w:themeColor="text1"/>
              </w:rPr>
              <w:t>Quantitative assessment</w:t>
            </w:r>
          </w:p>
        </w:tc>
      </w:tr>
      <w:bookmarkEnd w:id="409"/>
      <w:tr w:rsidR="00BD68E8" w:rsidRPr="006278AF" w14:paraId="26B5E4C1" w14:textId="77777777" w:rsidTr="004570F2">
        <w:trPr>
          <w:trHeight w:val="300"/>
        </w:trPr>
        <w:tc>
          <w:tcPr>
            <w:tcW w:w="9209" w:type="dxa"/>
          </w:tcPr>
          <w:p w14:paraId="25180CF5" w14:textId="45CC884A" w:rsidR="00BD68E8" w:rsidRPr="004570F2" w:rsidRDefault="00BD68E8">
            <w:r w:rsidRPr="004570F2">
              <w:t xml:space="preserve">The only new mandatory direct cost falling on SMEs is biosecurity screening for nucleic acid synthesis providers: EUR 7.3 to 22.2 million per year across the approximately 77 EU custom synthesis providers not currently screening (approximately EUR 95,400 per provider per year). Customer-side compliance costs for SME research organisations ordering synthesis services add a further EUR 16.4 million per year across the user base. All other cost items under the </w:t>
            </w:r>
            <w:r w:rsidR="009D0B6B" w:rsidRPr="004570F2">
              <w:t>interventions</w:t>
            </w:r>
            <w:r w:rsidRPr="004570F2">
              <w:t xml:space="preserve"> are either voluntary or generate net reductions relative to the baseline.</w:t>
            </w:r>
          </w:p>
        </w:tc>
      </w:tr>
      <w:tr w:rsidR="00BD68E8" w:rsidRPr="006278AF" w14:paraId="71FA4E46" w14:textId="77777777" w:rsidTr="004570F2">
        <w:trPr>
          <w:trHeight w:val="300"/>
        </w:trPr>
        <w:tc>
          <w:tcPr>
            <w:tcW w:w="9209" w:type="dxa"/>
          </w:tcPr>
          <w:p w14:paraId="2B157A1C" w14:textId="13780CE2" w:rsidR="00BD68E8" w:rsidRPr="004570F2" w:rsidRDefault="3EA462C3">
            <w:pPr>
              <w:rPr>
                <w:b/>
                <w:color w:val="000000" w:themeColor="text1"/>
              </w:rPr>
            </w:pPr>
            <w:r w:rsidRPr="004570F2">
              <w:rPr>
                <w:b/>
                <w:color w:val="000000" w:themeColor="text1"/>
              </w:rPr>
              <w:t xml:space="preserve">What are the estimated direct benefits/cost savings for SMEs of the </w:t>
            </w:r>
            <w:r w:rsidR="1DB1BB99" w:rsidRPr="004570F2">
              <w:rPr>
                <w:b/>
                <w:color w:val="000000" w:themeColor="text1"/>
              </w:rPr>
              <w:t>interventions</w:t>
            </w:r>
            <w:r w:rsidR="00BD68E8" w:rsidRPr="004570F2">
              <w:rPr>
                <w:rStyle w:val="FootnoteReference"/>
                <w:b/>
                <w:color w:val="000000" w:themeColor="text1"/>
              </w:rPr>
              <w:footnoteReference w:id="426"/>
            </w:r>
            <w:r w:rsidRPr="004570F2">
              <w:rPr>
                <w:b/>
                <w:color w:val="000000" w:themeColor="text1"/>
              </w:rPr>
              <w:t>?</w:t>
            </w:r>
          </w:p>
        </w:tc>
      </w:tr>
      <w:tr w:rsidR="00BD68E8" w:rsidRPr="006278AF" w14:paraId="684AB730" w14:textId="77777777" w:rsidTr="004570F2">
        <w:trPr>
          <w:trHeight w:val="300"/>
        </w:trPr>
        <w:tc>
          <w:tcPr>
            <w:tcW w:w="9209" w:type="dxa"/>
          </w:tcPr>
          <w:p w14:paraId="2A99C5EC" w14:textId="77777777" w:rsidR="00BD68E8" w:rsidRPr="004570F2" w:rsidRDefault="00BD68E8">
            <w:pPr>
              <w:rPr>
                <w:color w:val="000000" w:themeColor="text1"/>
              </w:rPr>
            </w:pPr>
            <w:r w:rsidRPr="004570F2">
              <w:rPr>
                <w:b/>
                <w:color w:val="000000" w:themeColor="text1"/>
              </w:rPr>
              <w:t>Qualitative assessment</w:t>
            </w:r>
          </w:p>
        </w:tc>
      </w:tr>
      <w:tr w:rsidR="00BD68E8" w:rsidRPr="006278AF" w14:paraId="037D98A9" w14:textId="77777777" w:rsidTr="004570F2">
        <w:trPr>
          <w:trHeight w:val="300"/>
        </w:trPr>
        <w:tc>
          <w:tcPr>
            <w:tcW w:w="9209" w:type="dxa"/>
          </w:tcPr>
          <w:p w14:paraId="15629F15" w14:textId="7F8CACCE" w:rsidR="00BD68E8" w:rsidRPr="004570F2" w:rsidRDefault="00BD68E8">
            <w:pPr>
              <w:rPr>
                <w:color w:val="000000" w:themeColor="text1"/>
                <w:lang w:val="en-US"/>
              </w:rPr>
            </w:pPr>
            <w:r w:rsidRPr="004570F2">
              <w:rPr>
                <w:color w:val="000000" w:themeColor="text1"/>
                <w:lang w:val="en-US"/>
              </w:rPr>
              <w:t xml:space="preserve">The </w:t>
            </w:r>
            <w:r w:rsidR="00EB60CC">
              <w:rPr>
                <w:color w:val="000000" w:themeColor="text1"/>
                <w:lang w:val="en-US"/>
              </w:rPr>
              <w:t xml:space="preserve">European </w:t>
            </w:r>
            <w:r w:rsidRPr="004570F2">
              <w:rPr>
                <w:color w:val="000000" w:themeColor="text1"/>
                <w:lang w:val="en-US"/>
              </w:rPr>
              <w:t>Biotech Act</w:t>
            </w:r>
            <w:r w:rsidR="00EB60CC">
              <w:rPr>
                <w:color w:val="000000" w:themeColor="text1"/>
                <w:lang w:val="en-US"/>
              </w:rPr>
              <w:t xml:space="preserve"> proposal</w:t>
            </w:r>
            <w:r w:rsidRPr="004570F2">
              <w:rPr>
                <w:color w:val="000000" w:themeColor="text1"/>
                <w:lang w:val="en-US"/>
              </w:rPr>
              <w:t xml:space="preserve"> delivers benefits to SMEs across four channels. First, regulatory simplification reduces per-unit compliance costs that fall disproportionately on smaller firms lacking in-house regulatory affairs capacity: ATMP framework reforms, biosimilar CES removal, VMP GMO pathway consolidation, and clinical trial harmonisation all reduce the absolute cost and time burden of regulatory engagement for SME sponsors and developers. Second, shared infrastructure under Articles 32 and 33 converts prohibitive firm-level capital expenditure (currently unaffordable for 82</w:t>
            </w:r>
            <w:r w:rsidR="006856C2" w:rsidRPr="004570F2">
              <w:rPr>
                <w:color w:val="000000" w:themeColor="text1"/>
                <w:lang w:val="en-US"/>
              </w:rPr>
              <w:t>%</w:t>
            </w:r>
            <w:r w:rsidRPr="004570F2">
              <w:rPr>
                <w:color w:val="000000" w:themeColor="text1"/>
                <w:lang w:val="en-US"/>
              </w:rPr>
              <w:t xml:space="preserve"> of SMEs) into pooled access to GMP-compliant pilot and testing environments, addressing delays of up to 18 to 24 months in accessing pilot-scale capacity. Third, Article 31 AI guidance </w:t>
            </w:r>
            <w:r w:rsidR="00ED5A03">
              <w:rPr>
                <w:color w:val="000000" w:themeColor="text1"/>
                <w:lang w:val="en-US"/>
              </w:rPr>
              <w:t>has the potential to reduce</w:t>
            </w:r>
            <w:r w:rsidR="00705F37">
              <w:rPr>
                <w:color w:val="000000" w:themeColor="text1"/>
                <w:lang w:val="en-US"/>
              </w:rPr>
              <w:t xml:space="preserve"> costly</w:t>
            </w:r>
            <w:r w:rsidR="00705F37" w:rsidRPr="004570F2">
              <w:rPr>
                <w:color w:val="000000" w:themeColor="text1"/>
                <w:lang w:val="en-US"/>
              </w:rPr>
              <w:t xml:space="preserve"> </w:t>
            </w:r>
            <w:r w:rsidRPr="004570F2">
              <w:rPr>
                <w:color w:val="000000" w:themeColor="text1"/>
                <w:lang w:val="en-US"/>
              </w:rPr>
              <w:t xml:space="preserve">bilateral EMA qualification interactions </w:t>
            </w:r>
            <w:r w:rsidR="00705F37">
              <w:rPr>
                <w:color w:val="000000" w:themeColor="text1"/>
                <w:lang w:val="en-US"/>
              </w:rPr>
              <w:t>by providing</w:t>
            </w:r>
            <w:r w:rsidRPr="004570F2">
              <w:rPr>
                <w:color w:val="000000" w:themeColor="text1"/>
                <w:lang w:val="en-US"/>
              </w:rPr>
              <w:t xml:space="preserve"> freely accessible public guidance, a measure whose value is asymmetrically concentrated in smaller actors that cannot absorb bilateral engagement costs. Fourth, the EU Health Biotechnology Support Network reduces search and navigation costs for SMEs across regulatory pathways, funding instruments and investor connections, with comparable network support associated with a </w:t>
            </w:r>
            <w:r w:rsidRPr="004570F2" w:rsidDel="00690F2C">
              <w:rPr>
                <w:color w:val="000000" w:themeColor="text1"/>
                <w:lang w:val="en-US"/>
              </w:rPr>
              <w:t>14</w:t>
            </w:r>
            <w:r w:rsidR="00690F2C" w:rsidRPr="00D85D3C">
              <w:rPr>
                <w:color w:val="000000" w:themeColor="text1"/>
                <w:lang w:val="en-US"/>
              </w:rPr>
              <w:t>-</w:t>
            </w:r>
            <w:r w:rsidR="00690F2C" w:rsidRPr="004570F2">
              <w:rPr>
                <w:color w:val="000000" w:themeColor="text1"/>
                <w:lang w:val="en-US"/>
              </w:rPr>
              <w:t>percentage</w:t>
            </w:r>
            <w:r w:rsidRPr="004570F2">
              <w:rPr>
                <w:color w:val="000000" w:themeColor="text1"/>
                <w:lang w:val="en-US"/>
              </w:rPr>
              <w:t xml:space="preserve"> point advantage in knowledge sharing and collaboration capability over unsupported firms.</w:t>
            </w:r>
          </w:p>
        </w:tc>
      </w:tr>
      <w:tr w:rsidR="00BD68E8" w:rsidRPr="006278AF" w14:paraId="7E320619" w14:textId="77777777" w:rsidTr="004570F2">
        <w:trPr>
          <w:trHeight w:val="300"/>
        </w:trPr>
        <w:tc>
          <w:tcPr>
            <w:tcW w:w="9209" w:type="dxa"/>
          </w:tcPr>
          <w:p w14:paraId="04564F6F" w14:textId="77777777" w:rsidR="00BD68E8" w:rsidRPr="004570F2" w:rsidRDefault="00BD68E8">
            <w:pPr>
              <w:rPr>
                <w:color w:val="000000" w:themeColor="text1"/>
              </w:rPr>
            </w:pPr>
            <w:r w:rsidRPr="004570F2">
              <w:rPr>
                <w:b/>
                <w:color w:val="000000" w:themeColor="text1"/>
              </w:rPr>
              <w:t>Quantitative assessment</w:t>
            </w:r>
          </w:p>
        </w:tc>
      </w:tr>
      <w:tr w:rsidR="00BD68E8" w:rsidRPr="006278AF" w14:paraId="581BF775" w14:textId="77777777" w:rsidTr="004570F2">
        <w:trPr>
          <w:trHeight w:val="300"/>
        </w:trPr>
        <w:tc>
          <w:tcPr>
            <w:tcW w:w="9209" w:type="dxa"/>
          </w:tcPr>
          <w:p w14:paraId="6020F6CC" w14:textId="4F3CFAC3" w:rsidR="00BD68E8" w:rsidRPr="004570F2" w:rsidRDefault="00BD68E8">
            <w:pPr>
              <w:pStyle w:val="font-claude-response-body"/>
              <w:jc w:val="both"/>
            </w:pPr>
            <w:r w:rsidRPr="004570F2">
              <w:t>Clinical trial administrative savings: EUR 2,700 to 4,500 per multinational trial (15 to 25</w:t>
            </w:r>
            <w:r w:rsidR="006856C2" w:rsidRPr="004570F2">
              <w:t>%</w:t>
            </w:r>
            <w:r w:rsidRPr="004570F2">
              <w:t xml:space="preserve"> </w:t>
            </w:r>
            <w:r w:rsidR="609A6A3C" w:rsidRPr="5D12D5A2">
              <w:rPr>
                <w:color w:val="000000" w:themeColor="text1"/>
              </w:rPr>
              <w:t xml:space="preserve">through alone a </w:t>
            </w:r>
            <w:r w:rsidR="609A6A3C" w:rsidRPr="004570F2">
              <w:rPr>
                <w:color w:val="000000" w:themeColor="text1"/>
              </w:rPr>
              <w:t xml:space="preserve">reduction in </w:t>
            </w:r>
            <w:r w:rsidR="609A6A3C" w:rsidRPr="5D12D5A2">
              <w:rPr>
                <w:color w:val="000000" w:themeColor="text1"/>
              </w:rPr>
              <w:t>the</w:t>
            </w:r>
            <w:r w:rsidR="609A6A3C" w:rsidRPr="004570F2">
              <w:rPr>
                <w:color w:val="000000" w:themeColor="text1"/>
              </w:rPr>
              <w:t xml:space="preserve"> staff time</w:t>
            </w:r>
            <w:r w:rsidR="609A6A3C" w:rsidRPr="5D12D5A2">
              <w:rPr>
                <w:color w:val="000000" w:themeColor="text1"/>
              </w:rPr>
              <w:t xml:space="preserve"> for regulatory interactions</w:t>
            </w:r>
            <w:r w:rsidR="1AD5C386">
              <w:t>.</w:t>
            </w:r>
            <w:r w:rsidR="3626EC2E">
              <w:t xml:space="preserve"> On an </w:t>
            </w:r>
            <w:r w:rsidRPr="00D85D3C">
              <w:t>aggregat</w:t>
            </w:r>
            <w:r w:rsidR="108F0BA3">
              <w:t>ed level,</w:t>
            </w:r>
            <w:r w:rsidRPr="00D85D3C">
              <w:t xml:space="preserve">  </w:t>
            </w:r>
            <w:r w:rsidR="5519623E">
              <w:t>cost savings of</w:t>
            </w:r>
            <w:r w:rsidR="5519623E" w:rsidRPr="004570F2">
              <w:t xml:space="preserve"> </w:t>
            </w:r>
            <w:r w:rsidRPr="004570F2">
              <w:t>EUR 1.5 to 3.1 billion per year across EU sponsor expenditure</w:t>
            </w:r>
            <w:r w:rsidR="34340455">
              <w:t xml:space="preserve"> are expected</w:t>
            </w:r>
            <w:r w:rsidRPr="004570F2">
              <w:t>, with administrative costs currently representing 11 to 29</w:t>
            </w:r>
            <w:r w:rsidR="006856C2" w:rsidRPr="004570F2">
              <w:t>%</w:t>
            </w:r>
            <w:r w:rsidRPr="004570F2">
              <w:t xml:space="preserve"> of total trial costs, a burden falling proportionally harder on SMEs.</w:t>
            </w:r>
          </w:p>
          <w:p w14:paraId="6BA8EAEA" w14:textId="3941ADC6" w:rsidR="00BD68E8" w:rsidRPr="004570F2" w:rsidRDefault="00BD68E8">
            <w:pPr>
              <w:pStyle w:val="font-claude-response-body"/>
              <w:jc w:val="both"/>
            </w:pPr>
            <w:r w:rsidRPr="004570F2">
              <w:t>ATMP framework reforms: elimination of the additional 50-day assessment period and reduction of substantial modification timelines from 96 to 47 days; ERA exemptions remove 0.15 to 0.3 FTE-years per clinical trial application across a developer base of which over 60</w:t>
            </w:r>
            <w:r w:rsidR="006856C2" w:rsidRPr="004570F2">
              <w:t>%</w:t>
            </w:r>
            <w:r w:rsidRPr="004570F2">
              <w:t xml:space="preserve"> are SMEs.</w:t>
            </w:r>
          </w:p>
          <w:p w14:paraId="4A49080C" w14:textId="77777777" w:rsidR="00BD68E8" w:rsidRPr="004570F2" w:rsidRDefault="00BD68E8">
            <w:pPr>
              <w:pStyle w:val="font-claude-response-body"/>
              <w:jc w:val="both"/>
            </w:pPr>
            <w:r w:rsidRPr="004570F2">
              <w:t>Biosimilar CES removal: EUR 19 to 26 million in direct trial cost savings per product, shortening development timelines by 12 to 24 months; aggregate annual savings of EUR 222 to 467 million across 12 to 18 marketing authorisation applications per year.</w:t>
            </w:r>
          </w:p>
          <w:p w14:paraId="6EC683B5" w14:textId="77777777" w:rsidR="00BD68E8" w:rsidRPr="004570F2" w:rsidRDefault="00BD68E8">
            <w:pPr>
              <w:pStyle w:val="font-claude-response-body"/>
              <w:jc w:val="both"/>
            </w:pPr>
            <w:r w:rsidRPr="004570F2">
              <w:t>VMP VNRA batching: staff time saving of 14,930 to 29,859 hours per year sector-wide, equivalent to EUR 0.97 to 1.94 million per year; VMP GMO exemption saves approximately EUR 7,000 per marketing authorisation dossier.</w:t>
            </w:r>
          </w:p>
          <w:p w14:paraId="50B79E4E" w14:textId="52CE58DD" w:rsidR="00BD68E8" w:rsidRPr="004570F2" w:rsidRDefault="00BD68E8">
            <w:pPr>
              <w:pStyle w:val="font-claude-response-body"/>
              <w:jc w:val="both"/>
            </w:pPr>
            <w:r w:rsidRPr="004570F2">
              <w:t>Article 31 AI guidance:</w:t>
            </w:r>
            <w:r w:rsidR="004C0BEE" w:rsidRPr="004570F2">
              <w:t xml:space="preserve"> </w:t>
            </w:r>
            <w:r w:rsidR="004C0BEE">
              <w:t>where individual</w:t>
            </w:r>
            <w:r w:rsidR="004C0BEE" w:rsidRPr="004570F2">
              <w:t xml:space="preserve"> </w:t>
            </w:r>
            <w:r w:rsidRPr="004570F2">
              <w:t xml:space="preserve">EMA qualification </w:t>
            </w:r>
            <w:r w:rsidR="009C2F2C">
              <w:t>interactions are</w:t>
            </w:r>
            <w:r w:rsidR="009C2F2C" w:rsidRPr="004570F2">
              <w:t xml:space="preserve"> </w:t>
            </w:r>
            <w:r w:rsidRPr="004570F2">
              <w:t>replaced by</w:t>
            </w:r>
            <w:r w:rsidR="009C2F2C" w:rsidRPr="004570F2">
              <w:t xml:space="preserve"> </w:t>
            </w:r>
            <w:r w:rsidR="009C2F2C">
              <w:t>relying on the</w:t>
            </w:r>
            <w:r w:rsidRPr="00D65967">
              <w:t xml:space="preserve"> </w:t>
            </w:r>
            <w:r w:rsidRPr="004570F2">
              <w:t>free public guidance</w:t>
            </w:r>
            <w:r w:rsidR="009C2F2C">
              <w:t>,</w:t>
            </w:r>
            <w:r w:rsidRPr="004570F2">
              <w:t xml:space="preserve"> 160 to 250 days</w:t>
            </w:r>
            <w:r w:rsidRPr="00D65967">
              <w:t xml:space="preserve"> </w:t>
            </w:r>
            <w:r w:rsidR="009C2F2C">
              <w:t>could be</w:t>
            </w:r>
            <w:r w:rsidR="009C2F2C" w:rsidRPr="004570F2">
              <w:t xml:space="preserve"> </w:t>
            </w:r>
            <w:r w:rsidRPr="004570F2">
              <w:t>saved per interaction, with benefit asymmetrically concentrated in SMEs.</w:t>
            </w:r>
          </w:p>
          <w:p w14:paraId="2F40F160" w14:textId="0E1F692A" w:rsidR="00BD68E8" w:rsidRPr="004570F2" w:rsidRDefault="00BD68E8">
            <w:pPr>
              <w:pStyle w:val="font-claude-response-body"/>
              <w:jc w:val="both"/>
            </w:pPr>
            <w:r w:rsidRPr="004570F2">
              <w:t xml:space="preserve">Shared testing environments and data accelerators (Articles 32 and 33): 1,100 to 3,400 data users </w:t>
            </w:r>
            <w:r w:rsidR="007130B2">
              <w:t xml:space="preserve">and </w:t>
            </w:r>
            <w:r w:rsidR="007130B2" w:rsidRPr="0049098A">
              <w:t xml:space="preserve">100 to 200 companies </w:t>
            </w:r>
            <w:r w:rsidR="00861E77">
              <w:t xml:space="preserve">could be </w:t>
            </w:r>
            <w:r w:rsidRPr="004570F2">
              <w:t xml:space="preserve">served per year </w:t>
            </w:r>
            <w:r w:rsidR="00861E77">
              <w:t>in a</w:t>
            </w:r>
            <w:r w:rsidR="00861E77" w:rsidRPr="004570F2">
              <w:t xml:space="preserve"> </w:t>
            </w:r>
            <w:r w:rsidRPr="004570F2">
              <w:t>medium uptake</w:t>
            </w:r>
            <w:r w:rsidR="00861E77" w:rsidRPr="00384774">
              <w:t xml:space="preserve"> scenario</w:t>
            </w:r>
            <w:r w:rsidR="007130B2" w:rsidRPr="00384774">
              <w:t xml:space="preserve"> (</w:t>
            </w:r>
            <w:r w:rsidR="007130B2" w:rsidRPr="00D65967">
              <w:t>5–8 recognised testing environments and 5–8 data quality accelerators)</w:t>
            </w:r>
            <w:r w:rsidRPr="00D65967">
              <w:t>;</w:t>
            </w:r>
            <w:r w:rsidRPr="004570F2">
              <w:t xml:space="preserve"> of the 100 to 200 companies served through shared testing environments, approximately 60</w:t>
            </w:r>
            <w:r w:rsidR="006856C2" w:rsidRPr="004570F2">
              <w:t>%</w:t>
            </w:r>
            <w:r w:rsidRPr="004570F2">
              <w:t xml:space="preserve"> are SMEs; delays of up to 18 to 24 months in accessing pilot-GMP capacity eliminated for qualifying firms.</w:t>
            </w:r>
          </w:p>
          <w:p w14:paraId="6978BDF3" w14:textId="77777777" w:rsidR="00BD68E8" w:rsidRPr="004570F2" w:rsidRDefault="00BD68E8">
            <w:pPr>
              <w:pStyle w:val="font-claude-response-body"/>
              <w:jc w:val="both"/>
            </w:pPr>
            <w:r w:rsidRPr="004570F2">
              <w:t>Removed administrative burdens: EUR 1.50 to 3.32 million per year across the SME population from ATMP, VMP and biosimilar simplification measures combined.</w:t>
            </w:r>
          </w:p>
        </w:tc>
      </w:tr>
      <w:tr w:rsidR="00BD68E8" w:rsidRPr="006278AF" w14:paraId="1327F458" w14:textId="77777777" w:rsidTr="004570F2">
        <w:trPr>
          <w:trHeight w:val="300"/>
        </w:trPr>
        <w:tc>
          <w:tcPr>
            <w:tcW w:w="9209" w:type="dxa"/>
          </w:tcPr>
          <w:p w14:paraId="43F117B9" w14:textId="268AF62E" w:rsidR="00BD68E8" w:rsidRPr="004570F2" w:rsidRDefault="3EA462C3">
            <w:pPr>
              <w:rPr>
                <w:b/>
                <w:color w:val="000000" w:themeColor="text1"/>
              </w:rPr>
            </w:pPr>
            <w:r w:rsidRPr="004570F2">
              <w:rPr>
                <w:b/>
                <w:color w:val="000000" w:themeColor="text1"/>
              </w:rPr>
              <w:t>What are the indirect impacts of this initiative on SMEs?</w:t>
            </w:r>
            <w:r w:rsidR="0067064B">
              <w:rPr>
                <w:rStyle w:val="FootnoteReference"/>
                <w:b/>
                <w:bCs/>
                <w:color w:val="000000" w:themeColor="text1"/>
              </w:rPr>
              <w:footnoteReference w:id="427"/>
            </w:r>
            <w:r w:rsidRPr="004570F2">
              <w:rPr>
                <w:b/>
                <w:color w:val="000000" w:themeColor="text1"/>
              </w:rPr>
              <w:t xml:space="preserve"> </w:t>
            </w:r>
          </w:p>
        </w:tc>
      </w:tr>
      <w:tr w:rsidR="00BD68E8" w:rsidRPr="006278AF" w14:paraId="1E7A6499" w14:textId="77777777" w:rsidTr="004570F2">
        <w:trPr>
          <w:trHeight w:val="300"/>
        </w:trPr>
        <w:tc>
          <w:tcPr>
            <w:tcW w:w="9209" w:type="dxa"/>
          </w:tcPr>
          <w:p w14:paraId="7ED5892A" w14:textId="2F08C5CE" w:rsidR="00BD68E8" w:rsidRPr="004570F2" w:rsidRDefault="00BD68E8">
            <w:pPr>
              <w:pStyle w:val="font-claude-response-body"/>
              <w:jc w:val="both"/>
            </w:pPr>
            <w:r w:rsidRPr="004570F2">
              <w:rPr>
                <w:rStyle w:val="Strong"/>
                <w:rFonts w:eastAsiaTheme="majorEastAsia"/>
              </w:rPr>
              <w:t>Positive: ecosystem investment and market expansion.</w:t>
            </w:r>
            <w:r w:rsidRPr="004570F2">
              <w:t xml:space="preserve"> The strategic project recognition framework and associated investment instruments are expected to mobilise EUR 15 to 28 billion in total investment at medium uptake, generating a broader market expansion from which SMEs benefit as ecosystem participants, through increased demand for specialist services, testing, regulatory consulting, logistics and supply chain inputs. </w:t>
            </w:r>
          </w:p>
          <w:p w14:paraId="132315D6" w14:textId="77777777" w:rsidR="00BD68E8" w:rsidRPr="004570F2" w:rsidRDefault="00BD68E8">
            <w:pPr>
              <w:pStyle w:val="font-claude-response-body"/>
              <w:jc w:val="both"/>
            </w:pPr>
            <w:r w:rsidRPr="004570F2">
              <w:rPr>
                <w:rStyle w:val="Strong"/>
                <w:rFonts w:eastAsiaTheme="majorEastAsia"/>
              </w:rPr>
              <w:t>Positive: improved competitive conditions and time to market.</w:t>
            </w:r>
            <w:r w:rsidRPr="004570F2">
              <w:t xml:space="preserve"> The cumulative effect of clinical trial harmonisation, ATMP simplification, biosimilar CES removal and VMP reforms is to compress development timelines and reduce the cost of translation from research to market across the sector. For SMEs not directly subject to these regulatory obligations but participating in the value chain as contract service providers, testing laboratories, bioinformatics firms, or suppliers of inputs to larger development programmes, faster and cheaper development activity among their clients translates into increased demand and more stable revenue flows.</w:t>
            </w:r>
          </w:p>
          <w:p w14:paraId="40DC92F1" w14:textId="6219C7A5" w:rsidR="00BD68E8" w:rsidRPr="004570F2" w:rsidRDefault="00BD68E8">
            <w:pPr>
              <w:pStyle w:val="font-claude-response-body"/>
              <w:jc w:val="both"/>
            </w:pPr>
            <w:r w:rsidRPr="004570F2">
              <w:rPr>
                <w:rStyle w:val="Strong"/>
                <w:rFonts w:eastAsiaTheme="majorEastAsia"/>
              </w:rPr>
              <w:t>Positive: biosimilar market expansion.</w:t>
            </w:r>
            <w:r w:rsidRPr="004570F2">
              <w:t xml:space="preserve"> The EU biosimilar market is projected to grow at a CAGR of 17.3</w:t>
            </w:r>
            <w:r w:rsidR="006856C2" w:rsidRPr="004570F2">
              <w:t>%</w:t>
            </w:r>
            <w:r w:rsidRPr="004570F2">
              <w:t xml:space="preserve"> from 2025 to 2034, reaching approximately </w:t>
            </w:r>
            <w:r w:rsidR="00D41185" w:rsidRPr="004A2EE8">
              <w:t>EUR 55.4</w:t>
            </w:r>
            <w:r w:rsidRPr="004570F2">
              <w:t xml:space="preserve"> billion by 2034, driven by ongoing patent </w:t>
            </w:r>
            <w:r w:rsidR="007D48E7" w:rsidRPr="004A2EE8">
              <w:t>expires</w:t>
            </w:r>
            <w:r w:rsidRPr="004570F2">
              <w:t xml:space="preserve"> on major biological medicines and increasing uptake of biosimilar prescribing across Member States. The biosimilar CES removal accelerates EU competitive positioning within this expanding market by reducing barriers to entry and shortening timelines. SME biosimilar developers, which form part of the EU-headquartered developer base currently holding 49</w:t>
            </w:r>
            <w:r w:rsidR="006856C2" w:rsidRPr="004570F2">
              <w:t>%</w:t>
            </w:r>
            <w:r w:rsidRPr="004570F2">
              <w:t xml:space="preserve"> of EU biosimilar authorisations, stand to benefit from improved commercial conditions within a growing market.</w:t>
            </w:r>
          </w:p>
          <w:p w14:paraId="74208425" w14:textId="61BAC630" w:rsidR="00BD68E8" w:rsidRPr="004570F2" w:rsidRDefault="00BD68E8" w:rsidP="00EF3901">
            <w:pPr>
              <w:pStyle w:val="font-claude-response-body"/>
              <w:jc w:val="both"/>
            </w:pPr>
            <w:r w:rsidRPr="004570F2">
              <w:rPr>
                <w:rStyle w:val="Strong"/>
                <w:rFonts w:eastAsiaTheme="majorEastAsia"/>
              </w:rPr>
              <w:t>Adverse: SPC extension delay for biosimilar developer SMEs.</w:t>
            </w:r>
            <w:r w:rsidRPr="004570F2">
              <w:t xml:space="preserve"> The 12-month SPC extension creates a directly adverse indirect impact for SME biosimilar developers. For marginal development programmes targeting smaller markets or carrying higher development costs, this reduction in expected return on investment may affect commercial viability at the margin. The measure benefits originator SMEs while imposing a revenue delay on biosimilar developer SMEs. Development programmes that have already advanced substantially are unlikely to be discontinued solely due to a one-year delay, but the effect on investment </w:t>
            </w:r>
            <w:r w:rsidRPr="004570F2" w:rsidDel="00EF3901">
              <w:t>d</w:t>
            </w:r>
            <w:r w:rsidRPr="004570F2">
              <w:t xml:space="preserve">ecisions at the margin is </w:t>
            </w:r>
            <w:r w:rsidR="00263D99" w:rsidRPr="004570F2">
              <w:t>nonetheless to be taken into account</w:t>
            </w:r>
            <w:r w:rsidRPr="004570F2">
              <w:t>.</w:t>
            </w:r>
          </w:p>
        </w:tc>
      </w:tr>
    </w:tbl>
    <w:p w14:paraId="5871FD73" w14:textId="77777777" w:rsidR="00BD68E8" w:rsidRPr="004570F2" w:rsidRDefault="00BD68E8" w:rsidP="00BD68E8">
      <w:pPr>
        <w:spacing w:after="0"/>
        <w:rPr>
          <w:b/>
          <w:color w:val="000000" w:themeColor="text1"/>
        </w:rPr>
      </w:pPr>
    </w:p>
    <w:tbl>
      <w:tblPr>
        <w:tblStyle w:val="TableGrid"/>
        <w:tblW w:w="9209" w:type="dxa"/>
        <w:tblLook w:val="04A0" w:firstRow="1" w:lastRow="0" w:firstColumn="1" w:lastColumn="0" w:noHBand="0" w:noVBand="1"/>
      </w:tblPr>
      <w:tblGrid>
        <w:gridCol w:w="9209"/>
      </w:tblGrid>
      <w:tr w:rsidR="00BD68E8" w:rsidRPr="006278AF" w14:paraId="49395C68" w14:textId="77777777" w:rsidTr="004570F2">
        <w:tc>
          <w:tcPr>
            <w:tcW w:w="9209" w:type="dxa"/>
          </w:tcPr>
          <w:p w14:paraId="281503A3" w14:textId="77777777" w:rsidR="00BD68E8" w:rsidRPr="006278AF" w:rsidRDefault="00BD68E8" w:rsidP="00BD68E8">
            <w:pPr>
              <w:pStyle w:val="ListParagraph"/>
              <w:numPr>
                <w:ilvl w:val="0"/>
                <w:numId w:val="47"/>
              </w:numPr>
              <w:spacing w:after="0"/>
              <w:jc w:val="left"/>
              <w:rPr>
                <w:b/>
                <w:bCs/>
                <w:smallCaps/>
                <w:color w:val="000000" w:themeColor="text1"/>
              </w:rPr>
            </w:pPr>
            <w:r w:rsidRPr="006278AF">
              <w:rPr>
                <w:b/>
                <w:bCs/>
                <w:smallCaps/>
                <w:color w:val="000000" w:themeColor="text1"/>
              </w:rPr>
              <w:t>Minimising negative impacts on SMEs</w:t>
            </w:r>
          </w:p>
        </w:tc>
      </w:tr>
      <w:tr w:rsidR="00BD68E8" w:rsidRPr="006278AF" w14:paraId="7AC21D69" w14:textId="77777777" w:rsidTr="004570F2">
        <w:tc>
          <w:tcPr>
            <w:tcW w:w="9209" w:type="dxa"/>
          </w:tcPr>
          <w:p w14:paraId="389AD39B" w14:textId="5552056A" w:rsidR="00BD68E8" w:rsidRPr="006278AF" w:rsidRDefault="00BD68E8">
            <w:pPr>
              <w:rPr>
                <w:color w:val="000000" w:themeColor="text1"/>
              </w:rPr>
            </w:pPr>
            <w:r w:rsidRPr="006278AF">
              <w:rPr>
                <w:b/>
                <w:bCs/>
                <w:color w:val="000000" w:themeColor="text1"/>
              </w:rPr>
              <w:t xml:space="preserve">Are SMEs disproportionately affected compared to large companies? </w:t>
            </w:r>
            <w:r w:rsidRPr="006278AF">
              <w:rPr>
                <w:color w:val="000000" w:themeColor="text1"/>
              </w:rPr>
              <w:t>(</w:t>
            </w:r>
            <w:r w:rsidR="003E4B07">
              <w:rPr>
                <w:color w:val="000000" w:themeColor="text1"/>
              </w:rPr>
              <w:t>Yes</w:t>
            </w:r>
            <w:r w:rsidRPr="006278AF">
              <w:rPr>
                <w:i/>
                <w:iCs/>
                <w:color w:val="000000" w:themeColor="text1"/>
              </w:rPr>
              <w:t>)</w:t>
            </w:r>
          </w:p>
          <w:p w14:paraId="26B4A246" w14:textId="77777777" w:rsidR="00BD68E8" w:rsidRPr="006278AF" w:rsidRDefault="00BD68E8">
            <w:pPr>
              <w:rPr>
                <w:b/>
                <w:bCs/>
                <w:color w:val="000000" w:themeColor="text1"/>
              </w:rPr>
            </w:pPr>
            <w:r w:rsidRPr="006278AF">
              <w:rPr>
                <w:b/>
                <w:bCs/>
                <w:color w:val="000000" w:themeColor="text1"/>
              </w:rPr>
              <w:t>If yes, are there any specific subgroups</w:t>
            </w:r>
            <w:r w:rsidRPr="006278AF">
              <w:t xml:space="preserve"> </w:t>
            </w:r>
            <w:r w:rsidRPr="006278AF">
              <w:rPr>
                <w:b/>
                <w:bCs/>
                <w:color w:val="000000" w:themeColor="text1"/>
              </w:rPr>
              <w:t>of SMEs more exposed than others?</w:t>
            </w:r>
          </w:p>
        </w:tc>
      </w:tr>
      <w:tr w:rsidR="00BD68E8" w:rsidRPr="006278AF" w14:paraId="0B44901A" w14:textId="77777777" w:rsidTr="004570F2">
        <w:tc>
          <w:tcPr>
            <w:tcW w:w="9209" w:type="dxa"/>
          </w:tcPr>
          <w:p w14:paraId="03EF3803" w14:textId="7FC2B2E7" w:rsidR="00BD68E8" w:rsidRPr="006278AF" w:rsidRDefault="003E4B07">
            <w:pPr>
              <w:rPr>
                <w:color w:val="000000" w:themeColor="text1"/>
              </w:rPr>
            </w:pPr>
            <w:r>
              <w:t>S</w:t>
            </w:r>
            <w:r w:rsidR="00BD68E8" w:rsidRPr="006278AF">
              <w:t xml:space="preserve">maller firms may feel the impacts </w:t>
            </w:r>
            <w:r>
              <w:t xml:space="preserve">(in particularly linked to </w:t>
            </w:r>
            <w:r w:rsidRPr="006278AF">
              <w:t>biosecurity screening requirement</w:t>
            </w:r>
            <w:r>
              <w:t>)</w:t>
            </w:r>
            <w:r w:rsidRPr="006278AF">
              <w:t xml:space="preserve"> </w:t>
            </w:r>
            <w:r w:rsidR="00BD68E8" w:rsidRPr="006278AF">
              <w:t>more acutely due to fixed costs representing a higher share of turnover</w:t>
            </w:r>
            <w:r w:rsidR="00A87AB4">
              <w:t>. T</w:t>
            </w:r>
            <w:r w:rsidR="00BD68E8" w:rsidRPr="006278AF">
              <w:t>his reflects structural characteristics of smaller firms rather than a differential obligation created by the Act</w:t>
            </w:r>
            <w:r w:rsidR="00A87AB4">
              <w:t xml:space="preserve">, as </w:t>
            </w:r>
            <w:r w:rsidR="007D48E7" w:rsidRPr="006278AF">
              <w:t>the</w:t>
            </w:r>
            <w:r w:rsidRPr="006278AF">
              <w:t xml:space="preserve"> obligations introduced by the interventions are size-neutral by design. The biosecurity screening requirement applies uniformly to all custom nucleic acid synthesis providers, and the adverse indirect effect of the SPC extension on biosimilar developers applies equally regardless of firm size. </w:t>
            </w:r>
            <w:r w:rsidR="00BD68E8" w:rsidRPr="006278AF">
              <w:t>For the broader SME population, the Act reduces rather than increases existing compliance burdens, and no provision of the preferred option imposes obligations specifically or more heavily on SMEs than on large companies.</w:t>
            </w:r>
            <w:r w:rsidR="00FB7CD3" w:rsidRPr="00FB7CD3">
              <w:t xml:space="preserve"> </w:t>
            </w:r>
            <w:r w:rsidR="00FB7CD3" w:rsidRPr="00CA1BFE">
              <w:t>SMEs benefit proportionately more from the policy measures overall</w:t>
            </w:r>
            <w:r w:rsidR="00FB7CD3">
              <w:t>.</w:t>
            </w:r>
          </w:p>
        </w:tc>
      </w:tr>
      <w:tr w:rsidR="00BD68E8" w:rsidRPr="006278AF" w14:paraId="4F98C423" w14:textId="77777777" w:rsidTr="004570F2">
        <w:tc>
          <w:tcPr>
            <w:tcW w:w="9209" w:type="dxa"/>
          </w:tcPr>
          <w:p w14:paraId="6058F415" w14:textId="08B4255B" w:rsidR="00BD68E8" w:rsidRPr="006278AF" w:rsidRDefault="00BD68E8">
            <w:pPr>
              <w:rPr>
                <w:b/>
                <w:bCs/>
                <w:color w:val="000000" w:themeColor="text1"/>
              </w:rPr>
            </w:pPr>
            <w:r w:rsidRPr="006278AF">
              <w:rPr>
                <w:b/>
                <w:bCs/>
                <w:color w:val="000000" w:themeColor="text1"/>
              </w:rPr>
              <w:t xml:space="preserve">Have mitigating measures been included in the proposal? </w:t>
            </w:r>
            <w:r w:rsidRPr="006278AF">
              <w:rPr>
                <w:color w:val="000000" w:themeColor="text1"/>
              </w:rPr>
              <w:t xml:space="preserve"> </w:t>
            </w:r>
          </w:p>
        </w:tc>
      </w:tr>
      <w:tr w:rsidR="00BD68E8" w:rsidRPr="006278AF" w14:paraId="23D0D66C" w14:textId="77777777" w:rsidTr="004570F2">
        <w:tc>
          <w:tcPr>
            <w:tcW w:w="9209" w:type="dxa"/>
          </w:tcPr>
          <w:p w14:paraId="32A94BE1" w14:textId="77777777" w:rsidR="00BD68E8" w:rsidRPr="006278AF" w:rsidRDefault="00BD68E8">
            <w:pPr>
              <w:rPr>
                <w:color w:val="000000" w:themeColor="text1"/>
              </w:rPr>
            </w:pPr>
            <w:r w:rsidRPr="006278AF">
              <w:t>EU Health Biotechnology Support Network, single points of contact with dedicated SME channels, shared infrastructure access provisions, voluntary participation design, and the proportionate scope of the biosecurity obligation.</w:t>
            </w:r>
          </w:p>
        </w:tc>
      </w:tr>
    </w:tbl>
    <w:p w14:paraId="1DBEC55A" w14:textId="77777777" w:rsidR="00BD68E8" w:rsidRPr="004570F2" w:rsidRDefault="00BD68E8" w:rsidP="00BD68E8">
      <w:pPr>
        <w:spacing w:after="0"/>
        <w:rPr>
          <w:b/>
          <w:smallCaps/>
          <w:color w:val="000000" w:themeColor="text1"/>
        </w:rPr>
      </w:pPr>
    </w:p>
    <w:p w14:paraId="6406A8EC" w14:textId="77777777" w:rsidR="00BB39E6" w:rsidRDefault="00BB39E6" w:rsidP="00BD68E8">
      <w:pPr>
        <w:spacing w:after="0"/>
        <w:rPr>
          <w:b/>
          <w:smallCaps/>
          <w:color w:val="000000" w:themeColor="text1"/>
        </w:rPr>
      </w:pPr>
    </w:p>
    <w:p w14:paraId="72F54F53" w14:textId="77777777" w:rsidR="00BB39E6" w:rsidRPr="00CA1BFE" w:rsidRDefault="00BB39E6" w:rsidP="00BD68E8">
      <w:pPr>
        <w:spacing w:after="0"/>
        <w:rPr>
          <w:b/>
          <w:smallCaps/>
          <w:color w:val="000000" w:themeColor="text1"/>
        </w:rPr>
      </w:pPr>
    </w:p>
    <w:tbl>
      <w:tblPr>
        <w:tblStyle w:val="TableGrid"/>
        <w:tblW w:w="0" w:type="auto"/>
        <w:tblLayout w:type="fixed"/>
        <w:tblLook w:val="06A0" w:firstRow="1" w:lastRow="0" w:firstColumn="1" w:lastColumn="0" w:noHBand="1" w:noVBand="1"/>
      </w:tblPr>
      <w:tblGrid>
        <w:gridCol w:w="9180"/>
      </w:tblGrid>
      <w:tr w:rsidR="00BD68E8" w:rsidRPr="006278AF" w14:paraId="07715E4F" w14:textId="77777777">
        <w:trPr>
          <w:trHeight w:val="300"/>
        </w:trPr>
        <w:tc>
          <w:tcPr>
            <w:tcW w:w="9180" w:type="dxa"/>
          </w:tcPr>
          <w:p w14:paraId="3AA5D88D" w14:textId="2CF1AC6D" w:rsidR="00BD68E8" w:rsidRPr="006278AF" w:rsidRDefault="00BD68E8">
            <w:pPr>
              <w:rPr>
                <w:b/>
                <w:bCs/>
                <w:smallCaps/>
                <w:color w:val="000000" w:themeColor="text1"/>
              </w:rPr>
            </w:pPr>
            <w:r w:rsidRPr="006278AF">
              <w:rPr>
                <w:b/>
                <w:bCs/>
                <w:smallCaps/>
                <w:color w:val="000000" w:themeColor="text1"/>
              </w:rPr>
              <w:t>Contribution to the 35</w:t>
            </w:r>
            <w:r w:rsidR="006856C2">
              <w:rPr>
                <w:b/>
                <w:bCs/>
                <w:smallCaps/>
                <w:color w:val="000000" w:themeColor="text1"/>
              </w:rPr>
              <w:t>%</w:t>
            </w:r>
            <w:r w:rsidRPr="006278AF">
              <w:rPr>
                <w:b/>
                <w:bCs/>
                <w:smallCaps/>
                <w:color w:val="000000" w:themeColor="text1"/>
              </w:rPr>
              <w:t xml:space="preserve"> burden reduction target for SMEs</w:t>
            </w:r>
          </w:p>
        </w:tc>
      </w:tr>
      <w:tr w:rsidR="00BD68E8" w:rsidRPr="006278AF" w14:paraId="469A20B9" w14:textId="77777777">
        <w:trPr>
          <w:trHeight w:val="300"/>
        </w:trPr>
        <w:tc>
          <w:tcPr>
            <w:tcW w:w="9180" w:type="dxa"/>
          </w:tcPr>
          <w:p w14:paraId="233BC24F" w14:textId="4EAAF031" w:rsidR="00BD68E8" w:rsidRPr="006278AF" w:rsidRDefault="00BD68E8">
            <w:pPr>
              <w:rPr>
                <w:b/>
                <w:bCs/>
                <w:color w:val="000000" w:themeColor="text1"/>
              </w:rPr>
            </w:pPr>
            <w:r w:rsidRPr="006278AF">
              <w:rPr>
                <w:b/>
                <w:bCs/>
                <w:color w:val="000000" w:themeColor="text1"/>
              </w:rPr>
              <w:t>Are there any administrative cost savings relevant for the 35</w:t>
            </w:r>
            <w:r w:rsidR="006856C2">
              <w:rPr>
                <w:b/>
                <w:bCs/>
                <w:color w:val="000000" w:themeColor="text1"/>
              </w:rPr>
              <w:t>%</w:t>
            </w:r>
            <w:r w:rsidRPr="006278AF">
              <w:rPr>
                <w:b/>
                <w:bCs/>
                <w:color w:val="000000" w:themeColor="text1"/>
              </w:rPr>
              <w:t xml:space="preserve"> burden reduction target for SMEs?</w:t>
            </w:r>
          </w:p>
        </w:tc>
      </w:tr>
      <w:tr w:rsidR="00BD68E8" w:rsidRPr="006278AF" w14:paraId="1735A58D" w14:textId="77777777">
        <w:trPr>
          <w:trHeight w:val="300"/>
        </w:trPr>
        <w:tc>
          <w:tcPr>
            <w:tcW w:w="9180" w:type="dxa"/>
          </w:tcPr>
          <w:p w14:paraId="21E632C0" w14:textId="6552B828" w:rsidR="00BD68E8" w:rsidRPr="006278AF" w:rsidRDefault="00BD68E8">
            <w:pPr>
              <w:rPr>
                <w:color w:val="000000" w:themeColor="text1"/>
              </w:rPr>
            </w:pPr>
            <w:r w:rsidRPr="006278AF">
              <w:t>The preferred option introduces several simplification measures that generate administrative cost savings for SMEs and contribute to the EU's 35</w:t>
            </w:r>
            <w:r w:rsidR="006856C2">
              <w:t>%</w:t>
            </w:r>
            <w:r w:rsidRPr="006278AF">
              <w:t xml:space="preserve"> burden reduction target. Clinical trial harmonisation reduces sponsor administrative costs by EUR 2,700 to 4,500 per multinational trial (a 15 to 25</w:t>
            </w:r>
            <w:r w:rsidR="006856C2">
              <w:t>%</w:t>
            </w:r>
            <w:r w:rsidRPr="006278AF">
              <w:t xml:space="preserve"> reduction in staff time under the Standard Cost Model), aggregating to EUR 1.5 to 3.1 billion per year across EU sponsor expenditure, with SMEs benefiting disproportionately given that administrative expenses represent 11 to 29</w:t>
            </w:r>
            <w:r w:rsidR="006856C2">
              <w:t>%</w:t>
            </w:r>
            <w:r w:rsidRPr="006278AF">
              <w:t xml:space="preserve"> of their total trial costs. The elimination of the ERA requirement for qualifying GMO-ATMPs removes 0.15 to 0.3 FTE-years of administrative workload per clinical trial application across a developer base of which over 60</w:t>
            </w:r>
            <w:r w:rsidR="006856C2">
              <w:t>%</w:t>
            </w:r>
            <w:r w:rsidRPr="006278AF">
              <w:t xml:space="preserve"> are SMEs. The VMP VNRA batching reform saves 14,930 to 29,859 staff hours per year sector-wide (EUR 0.97 to 1.94 million per year), and the biosimilar MAA dossier simplification reduces per-application preparation costs by EUR 30,000 to 45,000 for each product transitioning to a tailored clinical package. Electronic submission and digitalisation measures contribute a further EUR 112 to 225 million cumulatively over 15 years. The establishment of single points of contact with dedicated SME channels and the EU Health Biotechnology Support Network further reduce navigational and compliance costs for smaller firms that lack in-house regulatory capacity, supporting compliance efficiency across the sector.</w:t>
            </w:r>
          </w:p>
        </w:tc>
      </w:tr>
    </w:tbl>
    <w:p w14:paraId="07A71322" w14:textId="3B037250" w:rsidR="00625BEE" w:rsidRPr="00960345" w:rsidRDefault="00625BEE" w:rsidP="00E21D9D">
      <w:pPr>
        <w:spacing w:after="200" w:line="276" w:lineRule="auto"/>
        <w:jc w:val="left"/>
      </w:pPr>
    </w:p>
    <w:sectPr w:rsidR="00625BEE" w:rsidRPr="00960345" w:rsidSect="00E5568D">
      <w:headerReference w:type="even" r:id="rId68"/>
      <w:headerReference w:type="default" r:id="rId69"/>
      <w:footerReference w:type="even" r:id="rId70"/>
      <w:footerReference w:type="default" r:id="rId71"/>
      <w:headerReference w:type="first" r:id="rId72"/>
      <w:footerReference w:type="first" r:id="rId73"/>
      <w:pgSz w:w="11906" w:h="16838"/>
      <w:pgMar w:top="1021" w:right="1701" w:bottom="1021" w:left="1588"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BAFA0" w14:textId="77777777" w:rsidR="004D25E1" w:rsidRDefault="004D25E1" w:rsidP="000E3086">
      <w:r>
        <w:separator/>
      </w:r>
    </w:p>
  </w:endnote>
  <w:endnote w:type="continuationSeparator" w:id="0">
    <w:p w14:paraId="30859F02" w14:textId="77777777" w:rsidR="004D25E1" w:rsidRDefault="004D25E1" w:rsidP="000E3086">
      <w:r>
        <w:continuationSeparator/>
      </w:r>
    </w:p>
  </w:endnote>
  <w:endnote w:type="continuationNotice" w:id="1">
    <w:p w14:paraId="3F08DD52" w14:textId="77777777" w:rsidR="004D25E1" w:rsidRDefault="004D25E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New Roman Bold">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icrosoft YaHei UI">
    <w:panose1 w:val="020B0503020204020204"/>
    <w:charset w:val="86"/>
    <w:family w:val="swiss"/>
    <w:pitch w:val="variable"/>
    <w:sig w:usb0="80000287" w:usb1="2ACF3C50" w:usb2="00000016" w:usb3="00000000" w:csb0="0004001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charset w:val="4D"/>
    <w:family w:val="auto"/>
    <w:pitch w:val="variable"/>
    <w:sig w:usb0="A00002FF" w:usb1="7800205A" w:usb2="14600000" w:usb3="00000000" w:csb0="00000193" w:csb1="00000000"/>
  </w:font>
  <w:font w:name="Courier">
    <w:panose1 w:val="02070409020205020404"/>
    <w:charset w:val="00"/>
    <w:family w:val="modern"/>
    <w:pitch w:val="fixed"/>
    <w:sig w:usb0="00000003" w:usb1="00000000" w:usb2="00000000" w:usb3="00000000" w:csb0="00000001" w:csb1="00000000"/>
  </w:font>
  <w:font w:name="Times-Roman">
    <w:altName w:val="Times New Roman"/>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3792" w14:textId="7BE47196" w:rsidR="00931D81" w:rsidRPr="0027580C" w:rsidRDefault="0027580C" w:rsidP="0027580C">
    <w:pPr>
      <w:pStyle w:val="FooterCoverPage"/>
      <w:rPr>
        <w:rFonts w:ascii="Arial" w:hAnsi="Arial" w:cs="Arial"/>
        <w:b/>
        <w:sz w:val="48"/>
      </w:rPr>
    </w:pPr>
    <w:r w:rsidRPr="0027580C">
      <w:rPr>
        <w:rFonts w:ascii="Arial" w:hAnsi="Arial" w:cs="Arial"/>
        <w:b/>
        <w:sz w:val="48"/>
      </w:rPr>
      <w:t>EN</w:t>
    </w:r>
    <w:r w:rsidRPr="0027580C">
      <w:rPr>
        <w:rFonts w:ascii="Arial" w:hAnsi="Arial" w:cs="Arial"/>
        <w:b/>
        <w:sz w:val="48"/>
      </w:rPr>
      <w:tab/>
    </w:r>
    <w:r w:rsidRPr="0027580C">
      <w:rPr>
        <w:rFonts w:ascii="Arial" w:hAnsi="Arial" w:cs="Arial"/>
        <w:b/>
        <w:sz w:val="48"/>
      </w:rPr>
      <w:tab/>
    </w:r>
    <w:r w:rsidRPr="0027580C">
      <w:tab/>
    </w:r>
    <w:r w:rsidRPr="0027580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3CF6" w14:textId="660C0F37" w:rsidR="00931D81" w:rsidRPr="0027580C" w:rsidRDefault="0027580C" w:rsidP="0027580C">
    <w:pPr>
      <w:pStyle w:val="FooterCoverPage"/>
      <w:rPr>
        <w:rFonts w:ascii="Arial" w:hAnsi="Arial" w:cs="Arial"/>
        <w:b/>
        <w:sz w:val="48"/>
      </w:rPr>
    </w:pPr>
    <w:r w:rsidRPr="0027580C">
      <w:rPr>
        <w:rFonts w:ascii="Arial" w:hAnsi="Arial" w:cs="Arial"/>
        <w:b/>
        <w:sz w:val="48"/>
      </w:rPr>
      <w:t>EN</w:t>
    </w:r>
    <w:r w:rsidRPr="0027580C">
      <w:rPr>
        <w:rFonts w:ascii="Arial" w:hAnsi="Arial" w:cs="Arial"/>
        <w:b/>
        <w:sz w:val="48"/>
      </w:rPr>
      <w:tab/>
    </w:r>
    <w:r w:rsidRPr="0027580C">
      <w:rPr>
        <w:rFonts w:ascii="Arial" w:hAnsi="Arial" w:cs="Arial"/>
        <w:b/>
        <w:sz w:val="48"/>
      </w:rPr>
      <w:tab/>
    </w:r>
    <w:r w:rsidRPr="0027580C">
      <w:tab/>
    </w:r>
    <w:r w:rsidRPr="0027580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BD29" w14:textId="77777777" w:rsidR="00931D81" w:rsidRPr="0027580C" w:rsidRDefault="00931D81" w:rsidP="0027580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7B77" w14:textId="77777777" w:rsidR="00C77248" w:rsidRDefault="00C772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5180655"/>
      <w:docPartObj>
        <w:docPartGallery w:val="Page Numbers (Bottom of Page)"/>
        <w:docPartUnique/>
      </w:docPartObj>
    </w:sdtPr>
    <w:sdtEndPr>
      <w:rPr>
        <w:noProof/>
      </w:rPr>
    </w:sdtEndPr>
    <w:sdtContent>
      <w:p w14:paraId="49F2C4A2" w14:textId="77777777" w:rsidR="00C77248" w:rsidRDefault="00C772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6E5C56" w14:textId="77777777" w:rsidR="00C77248" w:rsidRDefault="00C772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1C5E5" w14:textId="77777777" w:rsidR="00C77248" w:rsidRDefault="00C7724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16309"/>
      <w:docPartObj>
        <w:docPartGallery w:val="Page Numbers (Bottom of Page)"/>
        <w:docPartUnique/>
      </w:docPartObj>
    </w:sdtPr>
    <w:sdtEndPr>
      <w:rPr>
        <w:noProof/>
      </w:rPr>
    </w:sdtEndPr>
    <w:sdtContent>
      <w:p w14:paraId="23419F5B" w14:textId="77777777" w:rsidR="00C77248" w:rsidRDefault="00C772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8B3E07" w14:textId="77777777" w:rsidR="00C77248" w:rsidRDefault="00C7724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B8C14" w14:textId="77777777" w:rsidR="00C77248" w:rsidRDefault="00C7724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8740061"/>
      <w:docPartObj>
        <w:docPartGallery w:val="Page Numbers (Bottom of Page)"/>
        <w:docPartUnique/>
      </w:docPartObj>
    </w:sdtPr>
    <w:sdtEndPr>
      <w:rPr>
        <w:noProof/>
      </w:rPr>
    </w:sdtEndPr>
    <w:sdtContent>
      <w:p w14:paraId="6EA2DB50" w14:textId="77777777" w:rsidR="00C77248" w:rsidRDefault="00C772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C4860B" w14:textId="77777777" w:rsidR="00C77248" w:rsidRDefault="00C7724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82019" w14:textId="77777777" w:rsidR="00C77248" w:rsidRDefault="00C7724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677575"/>
      <w:docPartObj>
        <w:docPartGallery w:val="Page Numbers (Bottom of Page)"/>
        <w:docPartUnique/>
      </w:docPartObj>
    </w:sdtPr>
    <w:sdtEndPr>
      <w:rPr>
        <w:noProof/>
      </w:rPr>
    </w:sdtEndPr>
    <w:sdtContent>
      <w:p w14:paraId="5E521ED8" w14:textId="77777777" w:rsidR="00C77248" w:rsidRDefault="00C772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4F086" w14:textId="77777777" w:rsidR="00C77248" w:rsidRDefault="00C7724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6007634"/>
      <w:docPartObj>
        <w:docPartGallery w:val="Page Numbers (Bottom of Page)"/>
        <w:docPartUnique/>
      </w:docPartObj>
    </w:sdtPr>
    <w:sdtEndPr>
      <w:rPr>
        <w:noProof/>
      </w:rPr>
    </w:sdtEndPr>
    <w:sdtContent>
      <w:p w14:paraId="611BFE52" w14:textId="77777777" w:rsidR="00C77248" w:rsidRDefault="00C772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F877DE" w14:textId="77777777" w:rsidR="00C77248" w:rsidRDefault="00C7724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DC37" w14:textId="77777777" w:rsidR="00C77248" w:rsidRDefault="00C7724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539149"/>
      <w:docPartObj>
        <w:docPartGallery w:val="Page Numbers (Bottom of Page)"/>
        <w:docPartUnique/>
      </w:docPartObj>
    </w:sdtPr>
    <w:sdtEndPr>
      <w:rPr>
        <w:noProof/>
      </w:rPr>
    </w:sdtEndPr>
    <w:sdtContent>
      <w:p w14:paraId="7A4DB3CA" w14:textId="77777777" w:rsidR="00F826B9" w:rsidRDefault="00F826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F756DA" w14:textId="77777777" w:rsidR="00F826B9" w:rsidRDefault="00F826B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4E68B" w14:textId="77777777" w:rsidR="00F826B9" w:rsidRDefault="00F826B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310812"/>
      <w:docPartObj>
        <w:docPartGallery w:val="Page Numbers (Bottom of Page)"/>
        <w:docPartUnique/>
      </w:docPartObj>
    </w:sdtPr>
    <w:sdtEndPr>
      <w:rPr>
        <w:noProof/>
      </w:rPr>
    </w:sdtEndPr>
    <w:sdtContent>
      <w:p w14:paraId="1AC2557C" w14:textId="77777777" w:rsidR="00C77248" w:rsidRDefault="00C772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5630F1" w14:textId="77777777" w:rsidR="00C77248" w:rsidRDefault="00C7724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4B803" w14:textId="77777777" w:rsidR="00C77248" w:rsidRDefault="00C7724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284932"/>
      <w:docPartObj>
        <w:docPartGallery w:val="Page Numbers (Bottom of Page)"/>
        <w:docPartUnique/>
      </w:docPartObj>
    </w:sdtPr>
    <w:sdtEndPr>
      <w:rPr>
        <w:noProof/>
      </w:rPr>
    </w:sdtEndPr>
    <w:sdtContent>
      <w:p w14:paraId="7E2253B4" w14:textId="77777777" w:rsidR="00C77248" w:rsidRDefault="00C772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F212A9" w14:textId="77777777" w:rsidR="00C77248" w:rsidRDefault="00C7724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FE3A1" w14:textId="77777777" w:rsidR="00C77248" w:rsidRDefault="00C7724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4CD6" w14:textId="77777777" w:rsidR="00CB14B2" w:rsidRDefault="00CB14B2" w:rsidP="000E308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90344"/>
      <w:docPartObj>
        <w:docPartGallery w:val="Page Numbers (Bottom of Page)"/>
        <w:docPartUnique/>
      </w:docPartObj>
    </w:sdtPr>
    <w:sdtEndPr>
      <w:rPr>
        <w:noProof/>
      </w:rPr>
    </w:sdtEndPr>
    <w:sdtContent>
      <w:p w14:paraId="24897D4D" w14:textId="018C6C10" w:rsidR="008F2068" w:rsidRDefault="008F20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515927" w14:textId="77777777" w:rsidR="00CB14B2" w:rsidRPr="00CD516A" w:rsidRDefault="00CB14B2" w:rsidP="000E308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35B24" w14:textId="77777777" w:rsidR="00CB14B2" w:rsidRDefault="00CB14B2" w:rsidP="000E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D2F3C" w14:textId="77777777" w:rsidR="004D25E1" w:rsidRDefault="004D25E1" w:rsidP="000E3086">
      <w:r>
        <w:separator/>
      </w:r>
    </w:p>
  </w:footnote>
  <w:footnote w:type="continuationSeparator" w:id="0">
    <w:p w14:paraId="353EF869" w14:textId="77777777" w:rsidR="004D25E1" w:rsidRDefault="004D25E1" w:rsidP="000E3086">
      <w:r>
        <w:continuationSeparator/>
      </w:r>
    </w:p>
  </w:footnote>
  <w:footnote w:type="continuationNotice" w:id="1">
    <w:p w14:paraId="02953841" w14:textId="77777777" w:rsidR="004D25E1" w:rsidRDefault="004D25E1">
      <w:pPr>
        <w:spacing w:after="0"/>
      </w:pPr>
    </w:p>
  </w:footnote>
  <w:footnote w:id="2">
    <w:p w14:paraId="2D8FF847" w14:textId="67A9E6BB" w:rsidR="009D6E68" w:rsidRPr="00432986" w:rsidRDefault="009D6E68" w:rsidP="00885795">
      <w:pPr>
        <w:pStyle w:val="FootnoteText"/>
        <w:rPr>
          <w:sz w:val="18"/>
          <w:szCs w:val="18"/>
        </w:rPr>
      </w:pPr>
      <w:r w:rsidRPr="00432986">
        <w:rPr>
          <w:rStyle w:val="FootnoteReference"/>
          <w:rFonts w:eastAsia="Arial Narrow"/>
          <w:sz w:val="18"/>
          <w:szCs w:val="18"/>
        </w:rPr>
        <w:footnoteRef/>
      </w:r>
      <w:r w:rsidR="278EFFF2" w:rsidRPr="00432986">
        <w:rPr>
          <w:sz w:val="18"/>
          <w:szCs w:val="18"/>
        </w:rPr>
        <w:t xml:space="preserve"> </w:t>
      </w:r>
      <w:hyperlink r:id="rId1">
        <w:r w:rsidR="278EFFF2" w:rsidRPr="00432986">
          <w:rPr>
            <w:rStyle w:val="Hyperlink"/>
            <w:sz w:val="18"/>
            <w:szCs w:val="18"/>
          </w:rPr>
          <w:t>COM(2024) 137 final/2</w:t>
        </w:r>
      </w:hyperlink>
      <w:r w:rsidR="00CC4204" w:rsidRPr="00432986">
        <w:rPr>
          <w:sz w:val="18"/>
          <w:szCs w:val="18"/>
        </w:rPr>
        <w:t>.</w:t>
      </w:r>
    </w:p>
  </w:footnote>
  <w:footnote w:id="3">
    <w:p w14:paraId="2890A87A" w14:textId="54E99228" w:rsidR="00582782" w:rsidRPr="00432986" w:rsidRDefault="00582782" w:rsidP="00885795">
      <w:pPr>
        <w:pStyle w:val="FootnoteText"/>
        <w:rPr>
          <w:sz w:val="18"/>
          <w:szCs w:val="18"/>
          <w:lang w:val="en-IE"/>
        </w:rPr>
      </w:pPr>
      <w:r w:rsidRPr="00432986">
        <w:rPr>
          <w:rStyle w:val="FootnoteReference"/>
          <w:sz w:val="18"/>
          <w:szCs w:val="18"/>
        </w:rPr>
        <w:footnoteRef/>
      </w:r>
      <w:r w:rsidRPr="00432986">
        <w:rPr>
          <w:sz w:val="18"/>
          <w:szCs w:val="18"/>
        </w:rPr>
        <w:t xml:space="preserve"> </w:t>
      </w:r>
      <w:r w:rsidR="00C74569" w:rsidRPr="00432986">
        <w:rPr>
          <w:sz w:val="18"/>
          <w:szCs w:val="18"/>
        </w:rPr>
        <w:t xml:space="preserve">Draghi, Mario. </w:t>
      </w:r>
      <w:hyperlink r:id="rId2">
        <w:r w:rsidR="00C74569" w:rsidRPr="00432986">
          <w:rPr>
            <w:rStyle w:val="Hyperlink"/>
            <w:sz w:val="18"/>
            <w:szCs w:val="18"/>
          </w:rPr>
          <w:t>The future of European competitiveness: A competitiveness strategy for Europe</w:t>
        </w:r>
      </w:hyperlink>
      <w:r w:rsidR="00C74569" w:rsidRPr="00432986">
        <w:rPr>
          <w:sz w:val="18"/>
          <w:szCs w:val="18"/>
        </w:rPr>
        <w:t xml:space="preserve">, European Commission, 9 September 2024.; Enrico Letta, </w:t>
      </w:r>
      <w:hyperlink r:id="rId3">
        <w:r w:rsidR="00C74569" w:rsidRPr="00432986">
          <w:rPr>
            <w:rStyle w:val="Hyperlink"/>
            <w:sz w:val="18"/>
            <w:szCs w:val="18"/>
          </w:rPr>
          <w:t>Much more than a Market</w:t>
        </w:r>
      </w:hyperlink>
      <w:r w:rsidR="00C74569" w:rsidRPr="00432986">
        <w:rPr>
          <w:sz w:val="18"/>
          <w:szCs w:val="18"/>
        </w:rPr>
        <w:t>. April 2024</w:t>
      </w:r>
      <w:r w:rsidR="00CC4204" w:rsidRPr="00432986">
        <w:rPr>
          <w:sz w:val="18"/>
          <w:szCs w:val="18"/>
        </w:rPr>
        <w:t>.</w:t>
      </w:r>
    </w:p>
  </w:footnote>
  <w:footnote w:id="4">
    <w:p w14:paraId="6DCEB497" w14:textId="29F4EC7F" w:rsidR="00784084" w:rsidRPr="00432986" w:rsidRDefault="00784084">
      <w:pPr>
        <w:pStyle w:val="FootnoteText"/>
        <w:rPr>
          <w:sz w:val="18"/>
          <w:szCs w:val="18"/>
        </w:rPr>
      </w:pPr>
      <w:r w:rsidRPr="00432986">
        <w:rPr>
          <w:rStyle w:val="FootnoteReference"/>
          <w:sz w:val="18"/>
          <w:szCs w:val="18"/>
        </w:rPr>
        <w:footnoteRef/>
      </w:r>
      <w:r w:rsidRPr="00432986">
        <w:rPr>
          <w:sz w:val="18"/>
          <w:szCs w:val="18"/>
        </w:rPr>
        <w:t xml:space="preserve"> "Analysis of the Regulatory Framework for Biotechnology and Biomanufacturing in the EU" Deloitte, empirica et al., (forthcoming).</w:t>
      </w:r>
    </w:p>
  </w:footnote>
  <w:footnote w:id="5">
    <w:p w14:paraId="4F8DC33B" w14:textId="5D43E993" w:rsidR="00FA3FF9" w:rsidRPr="00432986" w:rsidRDefault="00FA3FF9">
      <w:pPr>
        <w:pStyle w:val="FootnoteText"/>
        <w:rPr>
          <w:sz w:val="18"/>
          <w:szCs w:val="18"/>
        </w:rPr>
      </w:pPr>
      <w:r w:rsidRPr="00432986">
        <w:rPr>
          <w:rStyle w:val="FootnoteReference"/>
          <w:sz w:val="18"/>
          <w:szCs w:val="18"/>
        </w:rPr>
        <w:footnoteRef/>
      </w:r>
      <w:r w:rsidRPr="00432986">
        <w:rPr>
          <w:sz w:val="18"/>
          <w:szCs w:val="18"/>
        </w:rPr>
        <w:t xml:space="preserve"> </w:t>
      </w:r>
      <w:r w:rsidR="00EE3EB5" w:rsidRPr="00432986">
        <w:rPr>
          <w:sz w:val="18"/>
          <w:szCs w:val="18"/>
        </w:rPr>
        <w:t xml:space="preserve">Technopolis et al, </w:t>
      </w:r>
      <w:r w:rsidR="00EE3EB5" w:rsidRPr="00432986">
        <w:rPr>
          <w:rFonts w:eastAsia="Times New Roman"/>
          <w:bCs/>
          <w:i/>
          <w:iCs/>
          <w:noProof/>
          <w:color w:val="000000" w:themeColor="text1"/>
          <w:sz w:val="18"/>
          <w:szCs w:val="18"/>
          <w:bdr w:val="nil"/>
          <w:lang w:val="en-US" w:eastAsia="en-GB"/>
        </w:rPr>
        <w:t xml:space="preserve">Landscape analysis study of the biotechnology sector in the Union with a view to foster its competitiveness and innovation, </w:t>
      </w:r>
      <w:r w:rsidR="00EE3EB5" w:rsidRPr="00432986">
        <w:rPr>
          <w:sz w:val="18"/>
          <w:szCs w:val="18"/>
        </w:rPr>
        <w:t>(forthcoming).</w:t>
      </w:r>
    </w:p>
  </w:footnote>
  <w:footnote w:id="6">
    <w:p w14:paraId="1DFD81DC" w14:textId="0F586F59" w:rsidR="000730C0" w:rsidRPr="00432986" w:rsidRDefault="000730C0">
      <w:pPr>
        <w:pStyle w:val="FootnoteText"/>
        <w:rPr>
          <w:sz w:val="18"/>
          <w:szCs w:val="18"/>
        </w:rPr>
      </w:pPr>
      <w:r w:rsidRPr="00432986">
        <w:rPr>
          <w:rStyle w:val="FootnoteReference"/>
          <w:sz w:val="18"/>
          <w:szCs w:val="18"/>
        </w:rPr>
        <w:footnoteRef/>
      </w:r>
      <w:r w:rsidRPr="00432986">
        <w:rPr>
          <w:sz w:val="18"/>
          <w:szCs w:val="18"/>
        </w:rPr>
        <w:t xml:space="preserve"> PPMI (part of the Verian Group), Fraunhofer ISI, </w:t>
      </w:r>
      <w:r w:rsidRPr="00432986">
        <w:rPr>
          <w:i/>
          <w:iCs/>
          <w:sz w:val="18"/>
          <w:szCs w:val="18"/>
          <w:lang w:val="en-US"/>
        </w:rPr>
        <w:t>Study to support the rapid assessment of policy scenarios to strengthen innovation and competitiveness in the field of biotechnology in the EU</w:t>
      </w:r>
      <w:r w:rsidRPr="00432986">
        <w:rPr>
          <w:sz w:val="18"/>
          <w:szCs w:val="18"/>
        </w:rPr>
        <w:t>, (forthcoming).</w:t>
      </w:r>
    </w:p>
  </w:footnote>
  <w:footnote w:id="7">
    <w:p w14:paraId="14C89EB5" w14:textId="1F98F64E" w:rsidR="00B40DCE" w:rsidRPr="00432986" w:rsidRDefault="00B40DCE" w:rsidP="00885795">
      <w:pPr>
        <w:pStyle w:val="FootnoteText"/>
        <w:rPr>
          <w:sz w:val="18"/>
          <w:szCs w:val="18"/>
        </w:rPr>
      </w:pPr>
      <w:r w:rsidRPr="00432986">
        <w:rPr>
          <w:rStyle w:val="FootnoteReference"/>
          <w:sz w:val="18"/>
          <w:szCs w:val="18"/>
        </w:rPr>
        <w:footnoteRef/>
      </w:r>
      <w:r w:rsidRPr="00432986">
        <w:rPr>
          <w:sz w:val="18"/>
          <w:szCs w:val="18"/>
        </w:rPr>
        <w:t xml:space="preserve"> Intellera, Ipsos, Tetra Tech, </w:t>
      </w:r>
      <w:r w:rsidRPr="00432986">
        <w:rPr>
          <w:i/>
          <w:iCs/>
          <w:sz w:val="18"/>
          <w:szCs w:val="18"/>
        </w:rPr>
        <w:t>Study supporting the Evaluation of the European Food Safety Authority 2017-2024</w:t>
      </w:r>
      <w:r w:rsidRPr="00432986">
        <w:rPr>
          <w:sz w:val="18"/>
          <w:szCs w:val="18"/>
        </w:rPr>
        <w:t>, Final Report, December 2025 (forthcoming)</w:t>
      </w:r>
      <w:r w:rsidR="00CC4204" w:rsidRPr="00432986">
        <w:rPr>
          <w:sz w:val="18"/>
          <w:szCs w:val="18"/>
        </w:rPr>
        <w:t>.</w:t>
      </w:r>
    </w:p>
  </w:footnote>
  <w:footnote w:id="8">
    <w:p w14:paraId="54EC4A47" w14:textId="0E5CEFD6" w:rsidR="00DC5DC7" w:rsidRPr="00432986" w:rsidRDefault="00DC5DC7">
      <w:pPr>
        <w:pStyle w:val="FootnoteText"/>
        <w:rPr>
          <w:sz w:val="18"/>
          <w:szCs w:val="18"/>
          <w:lang w:val="en-IE"/>
        </w:rPr>
      </w:pPr>
      <w:r w:rsidRPr="00432986">
        <w:rPr>
          <w:rStyle w:val="FootnoteReference"/>
          <w:sz w:val="18"/>
          <w:szCs w:val="18"/>
        </w:rPr>
        <w:footnoteRef/>
      </w:r>
      <w:r w:rsidRPr="00432986">
        <w:rPr>
          <w:sz w:val="18"/>
          <w:szCs w:val="18"/>
          <w:lang w:val="es-ES"/>
        </w:rPr>
        <w:t xml:space="preserve"> Burren, S., Palacios, J., Areal, F.J., Rodriguez-Cerezo, E., Barreiro-Hurle, J. (2026). </w:t>
      </w:r>
      <w:r w:rsidRPr="00432986">
        <w:rPr>
          <w:sz w:val="18"/>
          <w:szCs w:val="18"/>
          <w:lang w:val="en-US"/>
        </w:rPr>
        <w:t>The potential of genetically modified microorganisms to reduce nitrogen loads in the EU agricultural sector. JRC Technical Report, Publications Office of the European Union, Luxembourg</w:t>
      </w:r>
      <w:r w:rsidR="00936233" w:rsidRPr="00432986">
        <w:rPr>
          <w:sz w:val="18"/>
          <w:szCs w:val="18"/>
          <w:lang w:val="en-US"/>
        </w:rPr>
        <w:t xml:space="preserve"> </w:t>
      </w:r>
      <w:r w:rsidR="00936233" w:rsidRPr="00432986">
        <w:rPr>
          <w:sz w:val="18"/>
          <w:szCs w:val="18"/>
          <w:lang w:val="en-IE"/>
        </w:rPr>
        <w:t>(publication forthcoming)</w:t>
      </w:r>
      <w:r w:rsidRPr="00432986">
        <w:rPr>
          <w:sz w:val="18"/>
          <w:szCs w:val="18"/>
          <w:lang w:val="en-US"/>
        </w:rPr>
        <w:t>.</w:t>
      </w:r>
    </w:p>
  </w:footnote>
  <w:footnote w:id="9">
    <w:p w14:paraId="25E00A6A" w14:textId="7D89200D" w:rsidR="00936233" w:rsidRPr="00432986" w:rsidRDefault="00936233">
      <w:pPr>
        <w:pStyle w:val="FootnoteText"/>
        <w:rPr>
          <w:sz w:val="18"/>
          <w:szCs w:val="18"/>
          <w:lang w:val="en-IE"/>
        </w:rPr>
      </w:pPr>
      <w:r w:rsidRPr="00432986">
        <w:rPr>
          <w:rStyle w:val="FootnoteReference"/>
          <w:sz w:val="18"/>
          <w:szCs w:val="18"/>
        </w:rPr>
        <w:footnoteRef/>
      </w:r>
      <w:r w:rsidR="001F0663" w:rsidRPr="00432986">
        <w:rPr>
          <w:sz w:val="18"/>
          <w:szCs w:val="18"/>
          <w:lang w:val="es-ES"/>
        </w:rPr>
        <w:t xml:space="preserve"> Lowe, C.R., Ponferrada, V., Ruiz Aquino C., Compaño, R., Nanda, A.K. (2026). </w:t>
      </w:r>
      <w:r w:rsidR="001F0663" w:rsidRPr="00432986">
        <w:rPr>
          <w:sz w:val="18"/>
          <w:szCs w:val="18"/>
        </w:rPr>
        <w:t xml:space="preserve">Current and future market applications of genetically modified microorganisms (GMMs) </w:t>
      </w:r>
      <w:r w:rsidR="00AD25C8" w:rsidRPr="00432986">
        <w:rPr>
          <w:sz w:val="18"/>
          <w:szCs w:val="18"/>
        </w:rPr>
        <w:t xml:space="preserve">to be placed on the market or </w:t>
      </w:r>
      <w:r w:rsidR="001F0663" w:rsidRPr="00432986">
        <w:rPr>
          <w:sz w:val="18"/>
          <w:szCs w:val="18"/>
        </w:rPr>
        <w:t>for environmental release. JRC Technical Report, Publications Office of the European Union, Luxembourg (publication forthcoming)</w:t>
      </w:r>
      <w:r w:rsidR="007C6261" w:rsidRPr="00432986">
        <w:rPr>
          <w:sz w:val="18"/>
          <w:szCs w:val="18"/>
        </w:rPr>
        <w:t>.</w:t>
      </w:r>
      <w:r w:rsidRPr="00432986">
        <w:rPr>
          <w:sz w:val="18"/>
          <w:szCs w:val="18"/>
        </w:rPr>
        <w:t xml:space="preserve"> </w:t>
      </w:r>
    </w:p>
  </w:footnote>
  <w:footnote w:id="10">
    <w:p w14:paraId="44BA4053" w14:textId="54B3B720" w:rsidR="3B118748" w:rsidRPr="00432986" w:rsidRDefault="3B118748" w:rsidP="3B118748">
      <w:pPr>
        <w:rPr>
          <w:sz w:val="18"/>
          <w:szCs w:val="18"/>
        </w:rPr>
      </w:pPr>
      <w:r w:rsidRPr="00432986">
        <w:rPr>
          <w:sz w:val="18"/>
          <w:szCs w:val="18"/>
          <w:vertAlign w:val="superscript"/>
        </w:rPr>
        <w:footnoteRef/>
      </w:r>
      <w:r w:rsidRPr="00432986">
        <w:rPr>
          <w:sz w:val="18"/>
          <w:szCs w:val="18"/>
        </w:rPr>
        <w:t xml:space="preserve"> </w:t>
      </w:r>
      <w:r w:rsidRPr="00432986">
        <w:rPr>
          <w:rFonts w:eastAsia="Times New Roman"/>
          <w:sz w:val="18"/>
          <w:szCs w:val="18"/>
        </w:rPr>
        <w:t xml:space="preserve">This study has been </w:t>
      </w:r>
      <w:r w:rsidR="50E9EF17" w:rsidRPr="00432986">
        <w:rPr>
          <w:rFonts w:eastAsia="Times New Roman"/>
          <w:sz w:val="18"/>
          <w:szCs w:val="18"/>
        </w:rPr>
        <w:t>conducted</w:t>
      </w:r>
      <w:r w:rsidRPr="00432986">
        <w:rPr>
          <w:rFonts w:eastAsia="Times New Roman"/>
          <w:sz w:val="18"/>
          <w:szCs w:val="18"/>
        </w:rPr>
        <w:t xml:space="preserve"> by Technopolis Consulting Group</w:t>
      </w:r>
      <w:r w:rsidR="3C087B5F" w:rsidRPr="00432986">
        <w:rPr>
          <w:rFonts w:eastAsia="Times New Roman"/>
          <w:sz w:val="18"/>
          <w:szCs w:val="18"/>
        </w:rPr>
        <w:t>.</w:t>
      </w:r>
      <w:r w:rsidRPr="00432986">
        <w:rPr>
          <w:rFonts w:eastAsia="Times New Roman"/>
          <w:sz w:val="18"/>
          <w:szCs w:val="18"/>
        </w:rPr>
        <w:t xml:space="preserve">  </w:t>
      </w:r>
    </w:p>
  </w:footnote>
  <w:footnote w:id="11">
    <w:p w14:paraId="78B35844" w14:textId="17B180DC" w:rsidR="337FA1CF" w:rsidRPr="00432986" w:rsidRDefault="337FA1CF" w:rsidP="00885795">
      <w:pPr>
        <w:spacing w:after="0"/>
        <w:rPr>
          <w:rFonts w:eastAsia="Times New Roman"/>
          <w:sz w:val="18"/>
          <w:szCs w:val="18"/>
        </w:rPr>
      </w:pPr>
      <w:r w:rsidRPr="00432986">
        <w:rPr>
          <w:sz w:val="18"/>
          <w:szCs w:val="18"/>
          <w:vertAlign w:val="superscript"/>
        </w:rPr>
        <w:footnoteRef/>
      </w:r>
      <w:r w:rsidRPr="00432986">
        <w:rPr>
          <w:sz w:val="18"/>
          <w:szCs w:val="18"/>
        </w:rPr>
        <w:t xml:space="preserve"> </w:t>
      </w:r>
      <w:hyperlink r:id="rId4">
        <w:r w:rsidRPr="00432986">
          <w:rPr>
            <w:rStyle w:val="Hyperlink"/>
            <w:rFonts w:eastAsia="Times New Roman"/>
            <w:sz w:val="18"/>
            <w:szCs w:val="18"/>
          </w:rPr>
          <w:t>https://ec.europa.eu/info/law/better-regulation/have-your-say/initiatives/14627-Biotech-Act_en</w:t>
        </w:r>
      </w:hyperlink>
    </w:p>
  </w:footnote>
  <w:footnote w:id="12">
    <w:p w14:paraId="5828654C" w14:textId="627800D4" w:rsidR="00BA5D64" w:rsidRPr="00432986" w:rsidRDefault="00BA5D64" w:rsidP="00885795">
      <w:pPr>
        <w:pStyle w:val="FootnoteText"/>
        <w:rPr>
          <w:sz w:val="18"/>
          <w:szCs w:val="18"/>
        </w:rPr>
      </w:pPr>
      <w:r w:rsidRPr="00432986">
        <w:rPr>
          <w:rStyle w:val="FootnoteReference"/>
          <w:sz w:val="18"/>
          <w:szCs w:val="18"/>
        </w:rPr>
        <w:footnoteRef/>
      </w:r>
      <w:r w:rsidRPr="00432986">
        <w:rPr>
          <w:sz w:val="18"/>
          <w:szCs w:val="18"/>
        </w:rPr>
        <w:t xml:space="preserve"> </w:t>
      </w:r>
      <w:r w:rsidR="004415FA" w:rsidRPr="00432986">
        <w:rPr>
          <w:sz w:val="18"/>
          <w:szCs w:val="18"/>
        </w:rPr>
        <w:t>3</w:t>
      </w:r>
      <w:r w:rsidRPr="00432986">
        <w:rPr>
          <w:sz w:val="18"/>
          <w:szCs w:val="18"/>
        </w:rPr>
        <w:t xml:space="preserve"> submissions were received from a single respondent and have been counted as </w:t>
      </w:r>
      <w:r w:rsidR="004415FA" w:rsidRPr="00432986">
        <w:rPr>
          <w:sz w:val="18"/>
          <w:szCs w:val="18"/>
        </w:rPr>
        <w:t>1</w:t>
      </w:r>
      <w:r w:rsidRPr="00432986">
        <w:rPr>
          <w:sz w:val="18"/>
          <w:szCs w:val="18"/>
        </w:rPr>
        <w:t xml:space="preserve"> response. </w:t>
      </w:r>
      <w:r w:rsidR="004415FA" w:rsidRPr="00432986">
        <w:rPr>
          <w:sz w:val="18"/>
          <w:szCs w:val="18"/>
        </w:rPr>
        <w:t>2</w:t>
      </w:r>
      <w:r w:rsidRPr="00432986">
        <w:rPr>
          <w:sz w:val="18"/>
          <w:szCs w:val="18"/>
        </w:rPr>
        <w:t xml:space="preserve"> further submissions were received from another respondent and have been counted as </w:t>
      </w:r>
      <w:r w:rsidR="004415FA" w:rsidRPr="00432986">
        <w:rPr>
          <w:sz w:val="18"/>
          <w:szCs w:val="18"/>
        </w:rPr>
        <w:t>1</w:t>
      </w:r>
      <w:r w:rsidRPr="00432986">
        <w:rPr>
          <w:sz w:val="18"/>
          <w:szCs w:val="18"/>
        </w:rPr>
        <w:t xml:space="preserve"> response. </w:t>
      </w:r>
      <w:r w:rsidR="004415FA" w:rsidRPr="00432986">
        <w:rPr>
          <w:sz w:val="18"/>
          <w:szCs w:val="18"/>
        </w:rPr>
        <w:t>Thus,</w:t>
      </w:r>
      <w:r w:rsidRPr="00432986">
        <w:rPr>
          <w:sz w:val="18"/>
          <w:szCs w:val="18"/>
        </w:rPr>
        <w:t xml:space="preserve"> the total number of responses considered in this analysis is 222 instead of 225.</w:t>
      </w:r>
    </w:p>
  </w:footnote>
  <w:footnote w:id="13">
    <w:p w14:paraId="3F49C7C6" w14:textId="2BF1950A" w:rsidR="00A720AE" w:rsidRPr="00432986" w:rsidRDefault="00A720AE" w:rsidP="00885795">
      <w:pPr>
        <w:pStyle w:val="FootnoteText"/>
        <w:rPr>
          <w:sz w:val="18"/>
          <w:szCs w:val="18"/>
        </w:rPr>
      </w:pPr>
      <w:r w:rsidRPr="00432986">
        <w:rPr>
          <w:rStyle w:val="FootnoteReference"/>
          <w:sz w:val="18"/>
          <w:szCs w:val="18"/>
        </w:rPr>
        <w:footnoteRef/>
      </w:r>
      <w:r w:rsidRPr="00432986">
        <w:rPr>
          <w:sz w:val="18"/>
          <w:szCs w:val="18"/>
        </w:rPr>
        <w:t xml:space="preserve"> Among the stakeholders who reported themselves as ‘other’ are notably network organisations, multi-stakeholder platforms, and non-profit organisations. Given their non-commercial nature and similarities with NGOs, these respondents were grouped together with NGOs for the purposes of the analysis.</w:t>
      </w:r>
    </w:p>
  </w:footnote>
  <w:footnote w:id="14">
    <w:p w14:paraId="260E735F" w14:textId="2569324A" w:rsidR="004415FA" w:rsidRPr="00432986" w:rsidRDefault="004415FA" w:rsidP="00885795">
      <w:pPr>
        <w:pStyle w:val="FootnoteText"/>
        <w:rPr>
          <w:sz w:val="18"/>
          <w:szCs w:val="18"/>
          <w:lang w:val="en-IE"/>
        </w:rPr>
      </w:pPr>
      <w:r w:rsidRPr="00432986">
        <w:rPr>
          <w:rStyle w:val="FootnoteReference"/>
          <w:sz w:val="18"/>
          <w:szCs w:val="18"/>
        </w:rPr>
        <w:footnoteRef/>
      </w:r>
      <w:r w:rsidRPr="00432986">
        <w:rPr>
          <w:sz w:val="18"/>
          <w:szCs w:val="18"/>
        </w:rPr>
        <w:t xml:space="preserve"> 3 respondents identified as trade unions</w:t>
      </w:r>
      <w:r w:rsidR="00F15E27" w:rsidRPr="00432986">
        <w:rPr>
          <w:sz w:val="18"/>
          <w:szCs w:val="18"/>
        </w:rPr>
        <w:t xml:space="preserve"> but</w:t>
      </w:r>
      <w:r w:rsidRPr="00432986">
        <w:rPr>
          <w:sz w:val="18"/>
          <w:szCs w:val="18"/>
        </w:rPr>
        <w:t xml:space="preserve"> are </w:t>
      </w:r>
      <w:r w:rsidR="00F15E27" w:rsidRPr="00432986">
        <w:rPr>
          <w:sz w:val="18"/>
          <w:szCs w:val="18"/>
        </w:rPr>
        <w:t>analysed as</w:t>
      </w:r>
      <w:r w:rsidRPr="00432986">
        <w:rPr>
          <w:sz w:val="18"/>
          <w:szCs w:val="18"/>
        </w:rPr>
        <w:t xml:space="preserve"> business associations </w:t>
      </w:r>
      <w:r w:rsidR="00F15E27" w:rsidRPr="00432986">
        <w:rPr>
          <w:sz w:val="18"/>
          <w:szCs w:val="18"/>
        </w:rPr>
        <w:t>as they represent industries</w:t>
      </w:r>
      <w:r w:rsidR="00CC4204" w:rsidRPr="00432986">
        <w:rPr>
          <w:sz w:val="18"/>
          <w:szCs w:val="18"/>
        </w:rPr>
        <w:t>.</w:t>
      </w:r>
    </w:p>
  </w:footnote>
  <w:footnote w:id="15">
    <w:p w14:paraId="0C2FD630" w14:textId="722F0030" w:rsidR="337FA1CF" w:rsidRPr="00432986" w:rsidRDefault="337FA1CF" w:rsidP="00885795">
      <w:pPr>
        <w:spacing w:after="0"/>
        <w:rPr>
          <w:rFonts w:eastAsia="Times New Roman"/>
          <w:sz w:val="18"/>
          <w:szCs w:val="18"/>
        </w:rPr>
      </w:pPr>
      <w:r w:rsidRPr="00432986">
        <w:rPr>
          <w:sz w:val="18"/>
          <w:szCs w:val="18"/>
          <w:vertAlign w:val="superscript"/>
        </w:rPr>
        <w:footnoteRef/>
      </w:r>
      <w:r w:rsidRPr="00432986">
        <w:rPr>
          <w:sz w:val="18"/>
          <w:szCs w:val="18"/>
        </w:rPr>
        <w:t xml:space="preserve"> </w:t>
      </w:r>
      <w:hyperlink r:id="rId5">
        <w:r w:rsidRPr="00432986">
          <w:rPr>
            <w:rStyle w:val="Hyperlink"/>
            <w:rFonts w:eastAsia="Times New Roman"/>
            <w:sz w:val="18"/>
            <w:szCs w:val="18"/>
          </w:rPr>
          <w:t>https://ec.europa.eu/info/law/better-regulation/have-your-say/initiatives/14627-Biotech-Act/public-consultation_en</w:t>
        </w:r>
      </w:hyperlink>
    </w:p>
  </w:footnote>
  <w:footnote w:id="16">
    <w:p w14:paraId="4564FA4D" w14:textId="0E45488C" w:rsidR="006127D4" w:rsidRPr="00432986" w:rsidRDefault="006127D4" w:rsidP="00885795">
      <w:pPr>
        <w:pStyle w:val="FootnoteText"/>
        <w:rPr>
          <w:sz w:val="18"/>
          <w:szCs w:val="18"/>
        </w:rPr>
      </w:pPr>
      <w:r w:rsidRPr="00432986">
        <w:rPr>
          <w:rStyle w:val="FootnoteReference"/>
          <w:sz w:val="18"/>
          <w:szCs w:val="18"/>
        </w:rPr>
        <w:footnoteRef/>
      </w:r>
      <w:r w:rsidRPr="00432986">
        <w:rPr>
          <w:sz w:val="18"/>
          <w:szCs w:val="18"/>
        </w:rPr>
        <w:t xml:space="preserve"> 5 self-reported trade unions were analysed under business </w:t>
      </w:r>
      <w:r w:rsidR="00E17D69" w:rsidRPr="00432986">
        <w:rPr>
          <w:sz w:val="18"/>
          <w:szCs w:val="18"/>
        </w:rPr>
        <w:t>associations,</w:t>
      </w:r>
      <w:r w:rsidR="00F15E27" w:rsidRPr="00432986">
        <w:rPr>
          <w:sz w:val="18"/>
          <w:szCs w:val="18"/>
        </w:rPr>
        <w:t xml:space="preserve"> and</w:t>
      </w:r>
      <w:r w:rsidR="008A3C97" w:rsidRPr="00432986">
        <w:rPr>
          <w:sz w:val="18"/>
          <w:szCs w:val="18"/>
        </w:rPr>
        <w:t xml:space="preserve"> </w:t>
      </w:r>
      <w:r w:rsidRPr="00432986">
        <w:rPr>
          <w:sz w:val="18"/>
          <w:szCs w:val="18"/>
        </w:rPr>
        <w:t xml:space="preserve">1 contribution </w:t>
      </w:r>
      <w:r w:rsidR="00F15E27" w:rsidRPr="00432986">
        <w:rPr>
          <w:sz w:val="18"/>
          <w:szCs w:val="18"/>
        </w:rPr>
        <w:t xml:space="preserve">self-reported public authority </w:t>
      </w:r>
      <w:r w:rsidR="00276B8B" w:rsidRPr="00432986">
        <w:rPr>
          <w:sz w:val="18"/>
          <w:szCs w:val="18"/>
        </w:rPr>
        <w:t xml:space="preserve">was analysed </w:t>
      </w:r>
      <w:r w:rsidRPr="00432986">
        <w:rPr>
          <w:sz w:val="18"/>
          <w:szCs w:val="18"/>
        </w:rPr>
        <w:t>coming from an EU citizen.</w:t>
      </w:r>
    </w:p>
  </w:footnote>
  <w:footnote w:id="17">
    <w:p w14:paraId="2D26511B" w14:textId="57944A4D" w:rsidR="007E0CB5" w:rsidRPr="00432986" w:rsidRDefault="007E0CB5" w:rsidP="00885795">
      <w:pPr>
        <w:pStyle w:val="FootnoteText"/>
        <w:rPr>
          <w:sz w:val="18"/>
          <w:szCs w:val="18"/>
        </w:rPr>
      </w:pPr>
      <w:r w:rsidRPr="00432986">
        <w:rPr>
          <w:rStyle w:val="FootnoteReference"/>
          <w:sz w:val="18"/>
          <w:szCs w:val="18"/>
        </w:rPr>
        <w:footnoteRef/>
      </w:r>
      <w:r w:rsidRPr="00432986">
        <w:rPr>
          <w:sz w:val="18"/>
          <w:szCs w:val="18"/>
        </w:rPr>
        <w:t xml:space="preserve"> </w:t>
      </w:r>
      <w:r w:rsidR="00DE1F56" w:rsidRPr="00432986">
        <w:rPr>
          <w:sz w:val="18"/>
          <w:szCs w:val="18"/>
        </w:rPr>
        <w:t>Comprising: 16 medium</w:t>
      </w:r>
      <w:r w:rsidR="00AD64E0" w:rsidRPr="00432986">
        <w:rPr>
          <w:sz w:val="18"/>
          <w:szCs w:val="18"/>
        </w:rPr>
        <w:t xml:space="preserve">, 19 small-, and 28 micro-sized enterprises. </w:t>
      </w:r>
    </w:p>
  </w:footnote>
  <w:footnote w:id="18">
    <w:p w14:paraId="3FCDAC26" w14:textId="1CD6FE45" w:rsidR="00B03AE8" w:rsidRPr="00432986" w:rsidRDefault="00B03AE8">
      <w:pPr>
        <w:pStyle w:val="FootnoteText"/>
        <w:rPr>
          <w:sz w:val="18"/>
          <w:szCs w:val="18"/>
        </w:rPr>
      </w:pPr>
      <w:r w:rsidRPr="00432986">
        <w:rPr>
          <w:rStyle w:val="FootnoteReference"/>
          <w:sz w:val="18"/>
          <w:szCs w:val="18"/>
        </w:rPr>
        <w:footnoteRef/>
      </w:r>
      <w:r w:rsidRPr="00432986">
        <w:rPr>
          <w:sz w:val="18"/>
          <w:szCs w:val="18"/>
        </w:rPr>
        <w:t xml:space="preserve"> https://ec.europa.eu/info/law/better-regulation/have-your-say/initiatives/14627-Biotech-Act/public-consultation_en</w:t>
      </w:r>
    </w:p>
  </w:footnote>
  <w:footnote w:id="19">
    <w:p w14:paraId="37349746" w14:textId="4A2DC5C8" w:rsidR="00914C0C" w:rsidRPr="00432986" w:rsidRDefault="00914C0C" w:rsidP="00885795">
      <w:pPr>
        <w:pStyle w:val="FootnoteText"/>
        <w:rPr>
          <w:sz w:val="18"/>
          <w:szCs w:val="18"/>
          <w:lang w:val="en-IE"/>
        </w:rPr>
      </w:pPr>
      <w:r w:rsidRPr="00432986">
        <w:rPr>
          <w:rStyle w:val="FootnoteReference"/>
          <w:sz w:val="18"/>
          <w:szCs w:val="18"/>
        </w:rPr>
        <w:footnoteRef/>
      </w:r>
      <w:r w:rsidRPr="00432986">
        <w:rPr>
          <w:sz w:val="18"/>
          <w:szCs w:val="18"/>
        </w:rPr>
        <w:t xml:space="preserve"> The AI and Data and Cluster workshops were organised jointly with the contractor on the Rapid Assessment Scenario study</w:t>
      </w:r>
      <w:r w:rsidR="00B5196B" w:rsidRPr="00432986">
        <w:rPr>
          <w:sz w:val="18"/>
          <w:szCs w:val="18"/>
        </w:rPr>
        <w:t xml:space="preserve">, </w:t>
      </w:r>
      <w:r w:rsidR="008862F0" w:rsidRPr="00432986">
        <w:rPr>
          <w:sz w:val="18"/>
          <w:szCs w:val="18"/>
        </w:rPr>
        <w:t xml:space="preserve">with </w:t>
      </w:r>
      <w:r w:rsidR="00D256BB" w:rsidRPr="00432986">
        <w:rPr>
          <w:sz w:val="18"/>
          <w:szCs w:val="18"/>
        </w:rPr>
        <w:t xml:space="preserve">dedicated sessions </w:t>
      </w:r>
      <w:r w:rsidR="00273F1C" w:rsidRPr="00432986">
        <w:rPr>
          <w:sz w:val="18"/>
          <w:szCs w:val="18"/>
        </w:rPr>
        <w:t xml:space="preserve">focusing </w:t>
      </w:r>
      <w:r w:rsidR="00704002" w:rsidRPr="00432986">
        <w:rPr>
          <w:sz w:val="18"/>
          <w:szCs w:val="18"/>
        </w:rPr>
        <w:t xml:space="preserve">separately on the </w:t>
      </w:r>
      <w:r w:rsidR="00D70685" w:rsidRPr="00432986">
        <w:rPr>
          <w:sz w:val="18"/>
          <w:szCs w:val="18"/>
        </w:rPr>
        <w:t>topics of each study</w:t>
      </w:r>
      <w:r w:rsidRPr="00432986">
        <w:rPr>
          <w:sz w:val="18"/>
          <w:szCs w:val="18"/>
        </w:rPr>
        <w:t>.</w:t>
      </w:r>
    </w:p>
  </w:footnote>
  <w:footnote w:id="20">
    <w:p w14:paraId="428DB404" w14:textId="52C17925" w:rsidR="00261FFE" w:rsidRPr="00432986" w:rsidRDefault="00261FFE" w:rsidP="00885795">
      <w:pPr>
        <w:pStyle w:val="FootnoteText"/>
        <w:rPr>
          <w:sz w:val="18"/>
          <w:szCs w:val="18"/>
        </w:rPr>
      </w:pPr>
      <w:r w:rsidRPr="00432986">
        <w:rPr>
          <w:rStyle w:val="FootnoteReference"/>
          <w:sz w:val="18"/>
          <w:szCs w:val="18"/>
        </w:rPr>
        <w:footnoteRef/>
      </w:r>
      <w:r w:rsidRPr="00432986">
        <w:rPr>
          <w:sz w:val="18"/>
          <w:szCs w:val="18"/>
        </w:rPr>
        <w:t xml:space="preserve"> CTAG: Clinical Trials Advisory Group; MedEthics-EU, the Clinical Trials Coordination Group of the Heads of Medicines Agencies (HMA) was also invited to the workshop. The EMA is an observer to the CTAG</w:t>
      </w:r>
      <w:r w:rsidR="00CC4204" w:rsidRPr="00432986">
        <w:rPr>
          <w:sz w:val="18"/>
          <w:szCs w:val="18"/>
        </w:rPr>
        <w:t>.</w:t>
      </w:r>
    </w:p>
  </w:footnote>
  <w:footnote w:id="21">
    <w:p w14:paraId="12EDF394" w14:textId="28B6AA2F" w:rsidR="5DA36055" w:rsidRPr="00432986" w:rsidRDefault="5DA36055" w:rsidP="043522AD">
      <w:pPr>
        <w:spacing w:after="0"/>
        <w:rPr>
          <w:rFonts w:eastAsia="Times New Roman"/>
          <w:sz w:val="18"/>
          <w:szCs w:val="18"/>
          <w:lang w:val="en-US"/>
        </w:rPr>
      </w:pPr>
      <w:r w:rsidRPr="00E5568D">
        <w:rPr>
          <w:sz w:val="18"/>
          <w:szCs w:val="18"/>
          <w:vertAlign w:val="superscript"/>
        </w:rPr>
        <w:footnoteRef/>
      </w:r>
      <w:r w:rsidR="043522AD" w:rsidRPr="00E5568D">
        <w:rPr>
          <w:sz w:val="18"/>
          <w:szCs w:val="18"/>
          <w:vertAlign w:val="superscript"/>
        </w:rPr>
        <w:t xml:space="preserve"> </w:t>
      </w:r>
      <w:r w:rsidR="043522AD" w:rsidRPr="00432986">
        <w:rPr>
          <w:rFonts w:eastAsia="Times New Roman"/>
          <w:sz w:val="18"/>
          <w:szCs w:val="18"/>
          <w:lang w:val="en-US"/>
        </w:rPr>
        <w:t xml:space="preserve">Rapid Assessment Scenario Study </w:t>
      </w:r>
      <w:r w:rsidR="043522AD" w:rsidRPr="00432986">
        <w:rPr>
          <w:rFonts w:eastAsia="Times New Roman"/>
          <w:sz w:val="18"/>
          <w:szCs w:val="18"/>
        </w:rPr>
        <w:t xml:space="preserve">(forthcoming). </w:t>
      </w:r>
      <w:r w:rsidR="043522AD" w:rsidRPr="00432986">
        <w:rPr>
          <w:rFonts w:eastAsia="Times New Roman"/>
          <w:sz w:val="18"/>
          <w:szCs w:val="18"/>
          <w:lang w:val="en-US"/>
        </w:rPr>
        <w:t xml:space="preserve">The study, based on limited empirical evidence, </w:t>
      </w:r>
      <w:r w:rsidR="043522AD" w:rsidRPr="00432986">
        <w:rPr>
          <w:rFonts w:eastAsia="Times New Roman"/>
          <w:sz w:val="18"/>
          <w:szCs w:val="18"/>
        </w:rPr>
        <w:t>distinguishes between two hypothetical scenarios regarding the potential impact of the Bio</w:t>
      </w:r>
      <w:r w:rsidR="00174B0A">
        <w:rPr>
          <w:rFonts w:eastAsia="Times New Roman"/>
          <w:sz w:val="18"/>
          <w:szCs w:val="18"/>
        </w:rPr>
        <w:t>t</w:t>
      </w:r>
      <w:r w:rsidR="043522AD" w:rsidRPr="00432986">
        <w:rPr>
          <w:rFonts w:eastAsia="Times New Roman"/>
          <w:sz w:val="18"/>
          <w:szCs w:val="18"/>
        </w:rPr>
        <w:t>ech Act on the projected number of clinical trials in the EU. In the first scenario, a moderate increase in the number of clinical trials by 4</w:t>
      </w:r>
      <w:r w:rsidR="006856C2" w:rsidRPr="00432986">
        <w:rPr>
          <w:rFonts w:eastAsia="Times New Roman"/>
          <w:sz w:val="18"/>
          <w:szCs w:val="18"/>
        </w:rPr>
        <w:t>%</w:t>
      </w:r>
      <w:r w:rsidR="043522AD" w:rsidRPr="00432986">
        <w:rPr>
          <w:rFonts w:eastAsia="Times New Roman"/>
          <w:sz w:val="18"/>
          <w:szCs w:val="18"/>
        </w:rPr>
        <w:t xml:space="preserve"> to 8% is anticipated. </w:t>
      </w:r>
      <w:r w:rsidR="043522AD" w:rsidRPr="00432986">
        <w:rPr>
          <w:rFonts w:eastAsia="Times New Roman"/>
          <w:sz w:val="18"/>
          <w:szCs w:val="18"/>
          <w:lang w:val="en-US"/>
        </w:rPr>
        <w:t>This is attributed to improved efficacy and attractiveness of performing clinical trials in the EU, driven primarily by increased domestic uptake among sponsors already operating within the region.. The second scenario assumes that, in addition to increased domestic uptake, sponsors relocate clinical trial activities from other regions to the EU/EEA as a result of the reforms in the Biotech Act, leading to an estimated increase of 8% to 16%. As the Biotech Act is expected to simplify authorisation processes and the conduct of trials for sponsors, it is considered plausible that some sponsors may relocate their clinical trials to the EU following the amendments of the Regulation. Therefore, the average of the both scenarios is used as a benchmark for the lower bound</w:t>
      </w:r>
    </w:p>
    <w:p w14:paraId="75988237" w14:textId="7837E1CA" w:rsidR="5DA36055" w:rsidRPr="00432986" w:rsidRDefault="5DA36055" w:rsidP="5DA36055">
      <w:pPr>
        <w:rPr>
          <w:sz w:val="18"/>
          <w:szCs w:val="18"/>
        </w:rPr>
      </w:pPr>
    </w:p>
  </w:footnote>
  <w:footnote w:id="22">
    <w:p w14:paraId="7F5E60AE" w14:textId="77777777" w:rsidR="00402AB8" w:rsidRPr="00432986" w:rsidRDefault="00402AB8" w:rsidP="00402AB8">
      <w:pPr>
        <w:pStyle w:val="FootnoteText"/>
        <w:rPr>
          <w:sz w:val="18"/>
          <w:szCs w:val="18"/>
          <w:lang w:val="lt-LT"/>
        </w:rPr>
      </w:pPr>
      <w:r w:rsidRPr="00432986">
        <w:rPr>
          <w:rStyle w:val="FootnoteReference"/>
          <w:sz w:val="18"/>
          <w:szCs w:val="18"/>
        </w:rPr>
        <w:footnoteRef/>
      </w:r>
      <w:r w:rsidRPr="00432986">
        <w:rPr>
          <w:sz w:val="18"/>
          <w:szCs w:val="18"/>
        </w:rPr>
        <w:t xml:space="preserve"> The annualised figure should be interpreted as a simple average over the implementation period; actual annual benefits are back-loaded, materialising primarily as projects reach permit-granting maturity in the 2030–2038 window.</w:t>
      </w:r>
    </w:p>
  </w:footnote>
  <w:footnote w:id="23">
    <w:p w14:paraId="31215F8E" w14:textId="6B208AA0" w:rsidR="00337E2B" w:rsidRPr="00432986" w:rsidRDefault="00337E2B" w:rsidP="00337E2B">
      <w:pPr>
        <w:pStyle w:val="FootnoteText"/>
        <w:rPr>
          <w:sz w:val="18"/>
          <w:szCs w:val="18"/>
          <w:lang w:val="lt-LT"/>
        </w:rPr>
      </w:pPr>
      <w:r w:rsidRPr="00432986">
        <w:rPr>
          <w:rStyle w:val="FootnoteReference"/>
          <w:sz w:val="18"/>
          <w:szCs w:val="18"/>
        </w:rPr>
        <w:footnoteRef/>
      </w:r>
      <w:r w:rsidRPr="00432986">
        <w:rPr>
          <w:sz w:val="18"/>
          <w:szCs w:val="18"/>
        </w:rPr>
        <w:t xml:space="preserve"> Cumulative EUR 19–40 b</w:t>
      </w:r>
      <w:r w:rsidR="0087734E" w:rsidRPr="00432986">
        <w:rPr>
          <w:sz w:val="18"/>
          <w:szCs w:val="18"/>
        </w:rPr>
        <w:t>illio</w:t>
      </w:r>
      <w:r w:rsidRPr="00432986">
        <w:rPr>
          <w:sz w:val="18"/>
          <w:szCs w:val="18"/>
        </w:rPr>
        <w:t>n ÷ 12 years; not uniform, because investment mobilisation is ramp-up dependent with bulk of activity concentrated in 2030–2038 as project pipeline matures.</w:t>
      </w:r>
    </w:p>
  </w:footnote>
  <w:footnote w:id="24">
    <w:p w14:paraId="237707C1" w14:textId="77777777" w:rsidR="00BE084E" w:rsidRPr="00432986" w:rsidRDefault="00BE084E" w:rsidP="00BE084E">
      <w:pPr>
        <w:pStyle w:val="FootnoteText"/>
        <w:rPr>
          <w:sz w:val="18"/>
          <w:szCs w:val="18"/>
          <w:lang w:val="lt-LT"/>
        </w:rPr>
      </w:pPr>
      <w:r w:rsidRPr="00432986">
        <w:rPr>
          <w:rStyle w:val="FootnoteReference"/>
          <w:sz w:val="18"/>
          <w:szCs w:val="18"/>
        </w:rPr>
        <w:footnoteRef/>
      </w:r>
      <w:r w:rsidRPr="00432986">
        <w:rPr>
          <w:sz w:val="18"/>
          <w:szCs w:val="18"/>
        </w:rPr>
        <w:t xml:space="preserve"> Annualised CAPEX assumes 5-year build-out under low uptake, 10-year under medium, and 15-year under high.</w:t>
      </w:r>
    </w:p>
  </w:footnote>
  <w:footnote w:id="25">
    <w:p w14:paraId="7789CDEE" w14:textId="59097361" w:rsidR="00611DA5" w:rsidRPr="00432986" w:rsidRDefault="00611DA5" w:rsidP="00885795">
      <w:pPr>
        <w:pStyle w:val="FootnoteText"/>
        <w:rPr>
          <w:sz w:val="18"/>
          <w:szCs w:val="18"/>
          <w:lang w:val="en-US"/>
        </w:rPr>
      </w:pPr>
      <w:r w:rsidRPr="00432986">
        <w:rPr>
          <w:rStyle w:val="FootnoteReference"/>
          <w:sz w:val="18"/>
          <w:szCs w:val="18"/>
        </w:rPr>
        <w:footnoteRef/>
      </w:r>
      <w:r w:rsidRPr="00432986">
        <w:rPr>
          <w:sz w:val="18"/>
          <w:szCs w:val="18"/>
        </w:rPr>
        <w:t xml:space="preserve"> Initial overhead for the limited number of available sandboxes may increase upfront planning and reporting effort, but net administrative burden over the product lifecycle is expected to fall—primarily through implementation of tested innovative approaches by SMEs, avoiding failed submissions and protocol overhauls while mitigating high consultancy and learning costs. Initial overhead for sandbox participation may increase upfront planning and reporting effort, but net administrative burden over the product lifecycle is expected to fall where sandboxes avoid failed or heavily delayed applications‑submissions and protocol overhauls for SMEs, which currently face high consultancy and learning costs. Initial overhead for sandbox participation may increase up‑front planning and reporting effort, but net administrative burden over the product lifecycle is expected to fall where sandboxes avoid failed or heavily delayed applications.</w:t>
      </w:r>
    </w:p>
  </w:footnote>
  <w:footnote w:id="26">
    <w:p w14:paraId="2C57292D" w14:textId="3A175AD9" w:rsidR="009B2AD6" w:rsidRPr="00432986" w:rsidRDefault="009B2AD6">
      <w:pPr>
        <w:pStyle w:val="FootnoteText"/>
        <w:rPr>
          <w:sz w:val="18"/>
          <w:szCs w:val="18"/>
        </w:rPr>
      </w:pPr>
      <w:r w:rsidRPr="00432986">
        <w:rPr>
          <w:rStyle w:val="FootnoteReference"/>
          <w:sz w:val="18"/>
          <w:szCs w:val="18"/>
        </w:rPr>
        <w:footnoteRef/>
      </w:r>
      <w:r w:rsidRPr="00432986">
        <w:rPr>
          <w:sz w:val="18"/>
          <w:szCs w:val="18"/>
        </w:rPr>
        <w:t xml:space="preserve"> One off costs were left not annualised, because they occur once, so by design they do not repeat throughout the years.</w:t>
      </w:r>
    </w:p>
  </w:footnote>
  <w:footnote w:id="27">
    <w:p w14:paraId="05914486" w14:textId="35C712EC" w:rsidR="00CC6813" w:rsidRPr="00432986" w:rsidRDefault="00CC6813">
      <w:pPr>
        <w:pStyle w:val="FootnoteText"/>
        <w:rPr>
          <w:sz w:val="18"/>
          <w:szCs w:val="18"/>
        </w:rPr>
      </w:pPr>
      <w:r w:rsidRPr="00432986">
        <w:rPr>
          <w:rStyle w:val="FootnoteReference"/>
          <w:sz w:val="18"/>
          <w:szCs w:val="18"/>
        </w:rPr>
        <w:footnoteRef/>
      </w:r>
      <w:r w:rsidRPr="00432986">
        <w:rPr>
          <w:sz w:val="18"/>
          <w:szCs w:val="18"/>
        </w:rPr>
        <w:t xml:space="preserve"> </w:t>
      </w:r>
      <w:r w:rsidR="0017255E" w:rsidRPr="00432986">
        <w:rPr>
          <w:sz w:val="18"/>
          <w:szCs w:val="18"/>
        </w:rPr>
        <w:t>Rapid Assessment Scenarios study (forthcoming)</w:t>
      </w:r>
      <w:r w:rsidRPr="00432986">
        <w:rPr>
          <w:sz w:val="18"/>
          <w:szCs w:val="18"/>
        </w:rPr>
        <w:t>.</w:t>
      </w:r>
    </w:p>
  </w:footnote>
  <w:footnote w:id="28">
    <w:p w14:paraId="4ED605A2" w14:textId="77777777" w:rsidR="003B4C30" w:rsidRPr="00432986" w:rsidRDefault="003B4C30" w:rsidP="003B4C30">
      <w:pPr>
        <w:pStyle w:val="FootnoteText"/>
        <w:rPr>
          <w:sz w:val="18"/>
          <w:szCs w:val="18"/>
        </w:rPr>
      </w:pPr>
      <w:r w:rsidRPr="00432986">
        <w:rPr>
          <w:rStyle w:val="FootnoteReference"/>
          <w:sz w:val="18"/>
          <w:szCs w:val="18"/>
        </w:rPr>
        <w:footnoteRef/>
      </w:r>
      <w:r w:rsidRPr="00432986">
        <w:rPr>
          <w:sz w:val="18"/>
          <w:szCs w:val="18"/>
        </w:rPr>
        <w:t xml:space="preserve"> One of the products with particularly outlier characteristic was removed from the sample for the purpose of the cost calculation, however factored into the sensitivity analysis set out in Annex 7 to give a range of possible impacts.</w:t>
      </w:r>
    </w:p>
  </w:footnote>
  <w:footnote w:id="29">
    <w:p w14:paraId="61D6FA65" w14:textId="4238434F" w:rsidR="0033744C" w:rsidRPr="00432986" w:rsidRDefault="0033744C">
      <w:pPr>
        <w:pStyle w:val="FootnoteText"/>
        <w:rPr>
          <w:sz w:val="18"/>
          <w:szCs w:val="18"/>
        </w:rPr>
      </w:pPr>
      <w:r w:rsidRPr="00432986">
        <w:rPr>
          <w:rStyle w:val="FootnoteReference"/>
          <w:sz w:val="18"/>
          <w:szCs w:val="18"/>
        </w:rPr>
        <w:footnoteRef/>
      </w:r>
      <w:r w:rsidRPr="00432986">
        <w:rPr>
          <w:sz w:val="18"/>
          <w:szCs w:val="18"/>
        </w:rPr>
        <w:t xml:space="preserve"> Internal analysis by the authors using IQVIA MIDAS® </w:t>
      </w:r>
      <w:r w:rsidR="0039586E" w:rsidRPr="00432986">
        <w:rPr>
          <w:sz w:val="18"/>
          <w:szCs w:val="18"/>
        </w:rPr>
        <w:t>quarterly</w:t>
      </w:r>
      <w:r w:rsidRPr="00432986">
        <w:rPr>
          <w:sz w:val="18"/>
          <w:szCs w:val="18"/>
        </w:rPr>
        <w:t xml:space="preserve"> sales data 2008-2024. Geographical coverage: EU27 without Cyprus, Malta and Denmark. which were obtained under license from IQVIA and reflect estimates of </w:t>
      </w:r>
      <w:r w:rsidR="00A10E0B" w:rsidRPr="00432986">
        <w:rPr>
          <w:sz w:val="18"/>
          <w:szCs w:val="18"/>
        </w:rPr>
        <w:t>real-world</w:t>
      </w:r>
      <w:r w:rsidRPr="00432986">
        <w:rPr>
          <w:sz w:val="18"/>
          <w:szCs w:val="18"/>
        </w:rPr>
        <w:t xml:space="preserve"> activity. Copyright IQVIA. All rights reserved</w:t>
      </w:r>
      <w:r w:rsidR="00500707" w:rsidRPr="00432986">
        <w:rPr>
          <w:sz w:val="18"/>
          <w:szCs w:val="18"/>
        </w:rPr>
        <w:t>. The statements, findings, conclusions, views, and opinions contained and expressed herein are not necessarily those of IQVIA</w:t>
      </w:r>
      <w:r w:rsidR="00A10E0B" w:rsidRPr="00432986">
        <w:rPr>
          <w:sz w:val="18"/>
          <w:szCs w:val="18"/>
        </w:rPr>
        <w:t>.</w:t>
      </w:r>
    </w:p>
  </w:footnote>
  <w:footnote w:id="30">
    <w:p w14:paraId="6A893194" w14:textId="5A9C3564" w:rsidR="00C2147A" w:rsidRPr="00432986" w:rsidRDefault="00C2147A" w:rsidP="00885795">
      <w:pPr>
        <w:pStyle w:val="FootnoteText"/>
        <w:rPr>
          <w:sz w:val="18"/>
          <w:szCs w:val="18"/>
        </w:rPr>
      </w:pPr>
      <w:r w:rsidRPr="00432986">
        <w:rPr>
          <w:rStyle w:val="FootnoteReference"/>
          <w:sz w:val="18"/>
          <w:szCs w:val="18"/>
        </w:rPr>
        <w:footnoteRef/>
      </w:r>
      <w:r w:rsidRPr="00432986">
        <w:rPr>
          <w:sz w:val="18"/>
          <w:szCs w:val="18"/>
        </w:rPr>
        <w:t xml:space="preserve"> These </w:t>
      </w:r>
      <w:r w:rsidR="002A3337" w:rsidRPr="00432986">
        <w:rPr>
          <w:sz w:val="18"/>
          <w:szCs w:val="18"/>
        </w:rPr>
        <w:t>include</w:t>
      </w:r>
      <w:r w:rsidRPr="00432986">
        <w:rPr>
          <w:sz w:val="18"/>
          <w:szCs w:val="18"/>
        </w:rPr>
        <w:t xml:space="preserve"> European Commission, </w:t>
      </w:r>
      <w:r w:rsidRPr="00432986">
        <w:rPr>
          <w:i/>
          <w:iCs/>
          <w:sz w:val="18"/>
          <w:szCs w:val="18"/>
        </w:rPr>
        <w:t>Inception Impact Assessment on Supplementary Protection Certificates</w:t>
      </w:r>
      <w:r w:rsidRPr="00432986">
        <w:rPr>
          <w:sz w:val="18"/>
          <w:szCs w:val="18"/>
        </w:rPr>
        <w:t xml:space="preserve">, 2017 (roadmap for SPC reform and evaluation); </w:t>
      </w:r>
      <w:r w:rsidRPr="00432986">
        <w:rPr>
          <w:i/>
          <w:iCs/>
          <w:sz w:val="18"/>
          <w:szCs w:val="18"/>
        </w:rPr>
        <w:t>Impact Assessment accompanying the revision of the EU pharmaceutical legislation (pharma package)</w:t>
      </w:r>
      <w:r w:rsidRPr="00432986">
        <w:rPr>
          <w:sz w:val="18"/>
          <w:szCs w:val="18"/>
        </w:rPr>
        <w:t xml:space="preserve">, 2023 (including analysis of SPC-related incentives and their effectiveness); </w:t>
      </w:r>
      <w:r w:rsidRPr="00432986">
        <w:rPr>
          <w:i/>
          <w:iCs/>
          <w:sz w:val="18"/>
          <w:szCs w:val="18"/>
        </w:rPr>
        <w:t>Legislative proposals on the Unitary Supplementary Protection Certificate and centralised SPC procedure</w:t>
      </w:r>
      <w:r w:rsidRPr="00432986">
        <w:rPr>
          <w:sz w:val="18"/>
          <w:szCs w:val="18"/>
        </w:rPr>
        <w:t>, 2023.</w:t>
      </w:r>
    </w:p>
  </w:footnote>
  <w:footnote w:id="31">
    <w:p w14:paraId="2C3FE0AB" w14:textId="77777777" w:rsidR="00C2147A" w:rsidRPr="00432986" w:rsidRDefault="00C2147A" w:rsidP="00885795">
      <w:pPr>
        <w:pStyle w:val="FootnoteText"/>
        <w:rPr>
          <w:sz w:val="18"/>
          <w:szCs w:val="18"/>
        </w:rPr>
      </w:pPr>
      <w:r w:rsidRPr="00432986">
        <w:rPr>
          <w:rStyle w:val="FootnoteReference"/>
          <w:sz w:val="18"/>
          <w:szCs w:val="18"/>
        </w:rPr>
        <w:footnoteRef/>
      </w:r>
      <w:r w:rsidRPr="00432986">
        <w:rPr>
          <w:sz w:val="18"/>
          <w:szCs w:val="18"/>
        </w:rPr>
        <w:t xml:space="preserve"> These includes: </w:t>
      </w:r>
      <w:r w:rsidRPr="00432986">
        <w:rPr>
          <w:sz w:val="18"/>
          <w:szCs w:val="18"/>
          <w:lang w:val="en-IE"/>
        </w:rPr>
        <w:t xml:space="preserve">Technopolis Group (2018) Effects of supplementary protection mechanisms for pharmaceutical products. Final report, May 2018. Amsterdam/Vienna: Technopolis Group, European Parliament. (2023). The potential impact of the unitary Supplementary Protection Certificate on access to health technologies (PE 753.104). Policy Department for Citizens’ Rights and Constitutional Affairs, Directorate-General for Internal Policies of the Union, </w:t>
      </w:r>
      <w:r w:rsidRPr="00432986">
        <w:rPr>
          <w:sz w:val="18"/>
          <w:szCs w:val="18"/>
        </w:rPr>
        <w:t xml:space="preserve">European Commission (2018) “Study on the economic impact of supplementary protection certificates (SPCs), pharmaceutical incentives and rewards in Europe” (Copenhagen Economics) and </w:t>
      </w:r>
      <w:r w:rsidRPr="00432986">
        <w:rPr>
          <w:i/>
          <w:iCs/>
          <w:sz w:val="18"/>
          <w:szCs w:val="18"/>
        </w:rPr>
        <w:t>Study on the legal aspects of supplementary protection certificates in the EU</w:t>
      </w:r>
      <w:r w:rsidRPr="00432986">
        <w:rPr>
          <w:sz w:val="18"/>
          <w:szCs w:val="18"/>
        </w:rPr>
        <w:t>, European Commission (Max Planck Institute for Innovation and Competition), 2018.</w:t>
      </w:r>
    </w:p>
  </w:footnote>
  <w:footnote w:id="32">
    <w:p w14:paraId="3B0E06C3" w14:textId="1C4CA2FD" w:rsidR="00131E89" w:rsidRPr="00432986" w:rsidRDefault="00131E89" w:rsidP="00885795">
      <w:pPr>
        <w:pStyle w:val="FootnoteText"/>
        <w:rPr>
          <w:sz w:val="18"/>
          <w:szCs w:val="18"/>
          <w:lang w:val="en-IE"/>
        </w:rPr>
      </w:pPr>
      <w:r w:rsidRPr="00432986">
        <w:rPr>
          <w:rStyle w:val="FootnoteReference"/>
          <w:sz w:val="18"/>
          <w:szCs w:val="18"/>
        </w:rPr>
        <w:footnoteRef/>
      </w:r>
      <w:r w:rsidRPr="00432986">
        <w:rPr>
          <w:sz w:val="18"/>
          <w:szCs w:val="18"/>
          <w:lang w:val="en-IE"/>
        </w:rPr>
        <w:t xml:space="preserve"> Four-year moving average</w:t>
      </w:r>
      <w:r w:rsidR="002A3337" w:rsidRPr="00432986">
        <w:rPr>
          <w:sz w:val="18"/>
          <w:szCs w:val="18"/>
          <w:lang w:val="en-IE"/>
        </w:rPr>
        <w:t>.</w:t>
      </w:r>
    </w:p>
  </w:footnote>
  <w:footnote w:id="33">
    <w:p w14:paraId="455A4AC2" w14:textId="43158253" w:rsidR="00783C42" w:rsidRPr="00432986" w:rsidRDefault="00783C42" w:rsidP="00885795">
      <w:pPr>
        <w:pStyle w:val="FootnoteText"/>
        <w:rPr>
          <w:sz w:val="18"/>
          <w:szCs w:val="18"/>
          <w:lang w:val="en-IE"/>
        </w:rPr>
      </w:pPr>
      <w:r w:rsidRPr="00432986">
        <w:rPr>
          <w:rStyle w:val="FootnoteReference"/>
          <w:sz w:val="18"/>
          <w:szCs w:val="18"/>
        </w:rPr>
        <w:footnoteRef/>
      </w:r>
      <w:r w:rsidRPr="00432986">
        <w:rPr>
          <w:sz w:val="18"/>
          <w:szCs w:val="18"/>
          <w:lang w:val="en-IE"/>
        </w:rPr>
        <w:t xml:space="preserve"> Four-year moving average</w:t>
      </w:r>
      <w:r w:rsidR="002A3337" w:rsidRPr="00432986">
        <w:rPr>
          <w:sz w:val="18"/>
          <w:szCs w:val="18"/>
          <w:lang w:val="en-IE"/>
        </w:rPr>
        <w:t>.</w:t>
      </w:r>
    </w:p>
  </w:footnote>
  <w:footnote w:id="34">
    <w:p w14:paraId="3D1548F3" w14:textId="35B91F69" w:rsidR="00CF6248" w:rsidRPr="00432986" w:rsidRDefault="00CF6248" w:rsidP="00885795">
      <w:pPr>
        <w:pStyle w:val="FootnoteText"/>
        <w:rPr>
          <w:sz w:val="18"/>
          <w:szCs w:val="18"/>
          <w:lang w:val="it-IT"/>
        </w:rPr>
      </w:pPr>
      <w:r w:rsidRPr="00432986">
        <w:rPr>
          <w:rStyle w:val="FootnoteReference"/>
          <w:sz w:val="18"/>
          <w:szCs w:val="18"/>
        </w:rPr>
        <w:footnoteRef/>
      </w:r>
      <w:r w:rsidRPr="00432986">
        <w:rPr>
          <w:sz w:val="18"/>
          <w:szCs w:val="18"/>
          <w:lang w:val="en-IE"/>
        </w:rPr>
        <w:t xml:space="preserve"> Zakaria, S. et al. (2026). </w:t>
      </w:r>
      <w:r w:rsidRPr="00432986">
        <w:rPr>
          <w:sz w:val="18"/>
          <w:szCs w:val="18"/>
        </w:rPr>
        <w:t xml:space="preserve">Cost–benefit analysis for synthetic nucleic acid screening in the European Union. </w:t>
      </w:r>
      <w:r w:rsidRPr="00432986">
        <w:rPr>
          <w:sz w:val="18"/>
          <w:szCs w:val="18"/>
          <w:lang w:val="it-IT"/>
        </w:rPr>
        <w:t xml:space="preserve">Santa Monica, CA: RAND Corporation, 2026. </w:t>
      </w:r>
      <w:hyperlink r:id="rId6" w:history="1">
        <w:r w:rsidRPr="00432986">
          <w:rPr>
            <w:rStyle w:val="Hyperlink"/>
            <w:sz w:val="18"/>
            <w:szCs w:val="18"/>
            <w:lang w:val="it-IT"/>
          </w:rPr>
          <w:t>https://www.rand.org/pubs/research_reports/RRA4805-1.html</w:t>
        </w:r>
      </w:hyperlink>
      <w:r w:rsidR="002A3337" w:rsidRPr="00432986">
        <w:rPr>
          <w:sz w:val="18"/>
          <w:szCs w:val="18"/>
          <w:lang w:val="it-IT"/>
        </w:rPr>
        <w:t>.</w:t>
      </w:r>
    </w:p>
  </w:footnote>
  <w:footnote w:id="35">
    <w:p w14:paraId="749C78C7" w14:textId="2C98FC9C" w:rsidR="00CF6248" w:rsidRPr="00432986" w:rsidRDefault="00CF6248" w:rsidP="00885795">
      <w:pPr>
        <w:pStyle w:val="FootnoteText"/>
        <w:rPr>
          <w:sz w:val="18"/>
          <w:szCs w:val="18"/>
        </w:rPr>
      </w:pPr>
      <w:r w:rsidRPr="00432986">
        <w:rPr>
          <w:rStyle w:val="FootnoteReference"/>
          <w:sz w:val="18"/>
          <w:szCs w:val="18"/>
        </w:rPr>
        <w:footnoteRef/>
      </w:r>
      <w:r w:rsidRPr="00432986">
        <w:rPr>
          <w:sz w:val="18"/>
          <w:szCs w:val="18"/>
        </w:rPr>
        <w:t xml:space="preserve"> Estimation based on the average between minimum (15</w:t>
      </w:r>
      <w:r w:rsidR="006856C2" w:rsidRPr="00432986">
        <w:rPr>
          <w:sz w:val="18"/>
          <w:szCs w:val="18"/>
        </w:rPr>
        <w:t>%</w:t>
      </w:r>
      <w:r w:rsidRPr="00432986">
        <w:rPr>
          <w:sz w:val="18"/>
          <w:szCs w:val="18"/>
        </w:rPr>
        <w:t>) and maximum (45</w:t>
      </w:r>
      <w:r w:rsidR="006856C2" w:rsidRPr="00432986">
        <w:rPr>
          <w:sz w:val="18"/>
          <w:szCs w:val="18"/>
        </w:rPr>
        <w:t>%</w:t>
      </w:r>
      <w:r w:rsidRPr="00432986">
        <w:rPr>
          <w:sz w:val="18"/>
          <w:szCs w:val="18"/>
        </w:rPr>
        <w:t xml:space="preserve">) </w:t>
      </w:r>
      <w:r w:rsidR="0A00296A" w:rsidRPr="00432986">
        <w:rPr>
          <w:sz w:val="18"/>
          <w:szCs w:val="18"/>
        </w:rPr>
        <w:t xml:space="preserve">estimates in the RAND analysis (2026) </w:t>
      </w:r>
      <w:r w:rsidRPr="00432986">
        <w:rPr>
          <w:sz w:val="18"/>
          <w:szCs w:val="18"/>
        </w:rPr>
        <w:t xml:space="preserve">of the proportion of EU gene companies that voluntarily screen </w:t>
      </w:r>
      <w:r w:rsidR="0A00296A" w:rsidRPr="00432986">
        <w:rPr>
          <w:sz w:val="18"/>
          <w:szCs w:val="18"/>
        </w:rPr>
        <w:t>currently</w:t>
      </w:r>
      <w:r w:rsidRPr="00432986">
        <w:rPr>
          <w:sz w:val="18"/>
          <w:szCs w:val="18"/>
        </w:rPr>
        <w:t xml:space="preserve">. </w:t>
      </w:r>
    </w:p>
  </w:footnote>
  <w:footnote w:id="36">
    <w:p w14:paraId="31D256B7" w14:textId="4630B777" w:rsidR="00CF6248" w:rsidRPr="00432986" w:rsidRDefault="00CF6248" w:rsidP="00885795">
      <w:pPr>
        <w:pStyle w:val="FootnoteText"/>
        <w:rPr>
          <w:sz w:val="18"/>
          <w:szCs w:val="18"/>
        </w:rPr>
      </w:pPr>
      <w:r w:rsidRPr="00432986">
        <w:rPr>
          <w:rStyle w:val="FootnoteReference"/>
          <w:sz w:val="18"/>
          <w:szCs w:val="18"/>
        </w:rPr>
        <w:footnoteRef/>
      </w:r>
      <w:r w:rsidRPr="00432986">
        <w:rPr>
          <w:sz w:val="18"/>
          <w:szCs w:val="18"/>
        </w:rPr>
        <w:t xml:space="preserve"> Source: Eurostat Structure of earnings survey, Labour Force Survey data for Non-Wage Labour Costs</w:t>
      </w:r>
      <w:r w:rsidR="002A3337" w:rsidRPr="00432986">
        <w:rPr>
          <w:sz w:val="18"/>
          <w:szCs w:val="18"/>
        </w:rPr>
        <w:t>.</w:t>
      </w:r>
    </w:p>
  </w:footnote>
  <w:footnote w:id="37">
    <w:p w14:paraId="6D557E06" w14:textId="041FBDC0" w:rsidR="00CF6248" w:rsidRPr="00432986" w:rsidRDefault="00CF6248" w:rsidP="00885795">
      <w:pPr>
        <w:pStyle w:val="FootnoteText"/>
        <w:rPr>
          <w:sz w:val="18"/>
          <w:szCs w:val="18"/>
          <w:lang w:val="it-IT"/>
        </w:rPr>
      </w:pPr>
      <w:r w:rsidRPr="00432986">
        <w:rPr>
          <w:rStyle w:val="FootnoteReference"/>
          <w:sz w:val="18"/>
          <w:szCs w:val="18"/>
        </w:rPr>
        <w:footnoteRef/>
      </w:r>
      <w:r w:rsidRPr="00432986">
        <w:rPr>
          <w:sz w:val="18"/>
          <w:szCs w:val="18"/>
        </w:rPr>
        <w:t xml:space="preserve"> Zakaria, S. et al. (2026). Cost–benefit analysis for synthetic nucleic acid screening in the European Union. </w:t>
      </w:r>
      <w:r w:rsidRPr="00432986">
        <w:rPr>
          <w:sz w:val="18"/>
          <w:szCs w:val="18"/>
          <w:lang w:val="it-IT"/>
        </w:rPr>
        <w:t xml:space="preserve">Santa Monica, CA: RAND Corporation, 2026. </w:t>
      </w:r>
      <w:hyperlink r:id="rId7" w:history="1">
        <w:r w:rsidRPr="00432986">
          <w:rPr>
            <w:rStyle w:val="Hyperlink"/>
            <w:sz w:val="18"/>
            <w:szCs w:val="18"/>
            <w:lang w:val="it-IT"/>
          </w:rPr>
          <w:t>https://www.rand.org/pubs/research_reports/RRA4805-1.html</w:t>
        </w:r>
      </w:hyperlink>
      <w:r w:rsidR="002A3337" w:rsidRPr="00432986">
        <w:rPr>
          <w:sz w:val="18"/>
          <w:szCs w:val="18"/>
          <w:lang w:val="it-IT"/>
        </w:rPr>
        <w:t>.</w:t>
      </w:r>
    </w:p>
  </w:footnote>
  <w:footnote w:id="38">
    <w:p w14:paraId="03D09A54" w14:textId="77777777" w:rsidR="00CF6248" w:rsidRPr="00432986" w:rsidRDefault="00CF6248" w:rsidP="00885795">
      <w:pPr>
        <w:pStyle w:val="FootnoteText"/>
        <w:rPr>
          <w:sz w:val="18"/>
          <w:szCs w:val="18"/>
        </w:rPr>
      </w:pPr>
      <w:r w:rsidRPr="00432986">
        <w:rPr>
          <w:rStyle w:val="FootnoteReference"/>
          <w:sz w:val="18"/>
          <w:szCs w:val="18"/>
        </w:rPr>
        <w:footnoteRef/>
      </w:r>
      <w:r w:rsidRPr="00432986">
        <w:rPr>
          <w:sz w:val="18"/>
          <w:szCs w:val="18"/>
        </w:rPr>
        <w:t xml:space="preserve"> i.e. “Molecules of polymeric nucleic acids that have been synthesized </w:t>
      </w:r>
      <w:r w:rsidRPr="00432986">
        <w:rPr>
          <w:i/>
          <w:sz w:val="18"/>
          <w:szCs w:val="18"/>
        </w:rPr>
        <w:t xml:space="preserve">de novo </w:t>
      </w:r>
      <w:r w:rsidRPr="00432986">
        <w:rPr>
          <w:sz w:val="18"/>
          <w:szCs w:val="18"/>
        </w:rPr>
        <w:t>(without template), Annex 1 of the Biotech Act.</w:t>
      </w:r>
    </w:p>
  </w:footnote>
  <w:footnote w:id="39">
    <w:p w14:paraId="74BD3C97" w14:textId="77777777" w:rsidR="00CF6248" w:rsidRPr="00432986" w:rsidRDefault="00CF6248" w:rsidP="00885795">
      <w:pPr>
        <w:pStyle w:val="FootnoteText"/>
        <w:rPr>
          <w:sz w:val="18"/>
          <w:szCs w:val="18"/>
        </w:rPr>
      </w:pPr>
      <w:r w:rsidRPr="00432986">
        <w:rPr>
          <w:rStyle w:val="FootnoteReference"/>
          <w:sz w:val="18"/>
          <w:szCs w:val="18"/>
        </w:rPr>
        <w:footnoteRef/>
      </w:r>
      <w:r w:rsidRPr="00432986">
        <w:rPr>
          <w:sz w:val="18"/>
          <w:szCs w:val="18"/>
        </w:rPr>
        <w:t xml:space="preserve"> IBBIS (2026), Global DNA Synthesis Map. </w:t>
      </w:r>
      <w:hyperlink r:id="rId8" w:history="1">
        <w:r w:rsidRPr="00432986">
          <w:rPr>
            <w:sz w:val="18"/>
            <w:szCs w:val="18"/>
          </w:rPr>
          <w:t>https://globalsynthesismap.bio/</w:t>
        </w:r>
      </w:hyperlink>
    </w:p>
  </w:footnote>
  <w:footnote w:id="40">
    <w:p w14:paraId="1ACA4FEA" w14:textId="77777777" w:rsidR="00CF6248" w:rsidRPr="00432986" w:rsidRDefault="00CF6248" w:rsidP="00885795">
      <w:pPr>
        <w:pStyle w:val="FootnoteText"/>
        <w:rPr>
          <w:sz w:val="18"/>
          <w:szCs w:val="18"/>
        </w:rPr>
      </w:pPr>
      <w:r w:rsidRPr="00432986">
        <w:rPr>
          <w:rStyle w:val="FootnoteReference"/>
          <w:sz w:val="18"/>
          <w:szCs w:val="18"/>
        </w:rPr>
        <w:footnoteRef/>
      </w:r>
      <w:r w:rsidRPr="00432986">
        <w:rPr>
          <w:sz w:val="18"/>
          <w:szCs w:val="18"/>
        </w:rPr>
        <w:t xml:space="preserve"> Source: Eurostat Structure of earnings survey, Labour Force Survey data for Non-Wage Labour Costs.</w:t>
      </w:r>
    </w:p>
  </w:footnote>
  <w:footnote w:id="41">
    <w:p w14:paraId="5E687C94" w14:textId="77777777" w:rsidR="00CF6248" w:rsidRPr="00432986" w:rsidRDefault="00CF6248" w:rsidP="00885795">
      <w:pPr>
        <w:pStyle w:val="FootnoteText"/>
        <w:rPr>
          <w:sz w:val="18"/>
          <w:szCs w:val="18"/>
        </w:rPr>
      </w:pPr>
      <w:r w:rsidRPr="00432986">
        <w:rPr>
          <w:rStyle w:val="FootnoteReference"/>
          <w:sz w:val="18"/>
          <w:szCs w:val="18"/>
        </w:rPr>
        <w:footnoteRef/>
      </w:r>
      <w:r w:rsidRPr="00432986">
        <w:rPr>
          <w:sz w:val="18"/>
          <w:szCs w:val="18"/>
        </w:rPr>
        <w:t xml:space="preserve"> Fady, P. et al. (2025). Cost-Benefit Analysis of Synthetic Nucleic Acid Screening for the UK. The Centre for Long-Term Resilience. doi.org/10.71172/kyey-h0ya. Calculations based on the Customer TAB </w:t>
      </w:r>
      <w:hyperlink r:id="rId9" w:anchor="gid=428955976" w:history="1">
        <w:r w:rsidRPr="00432986">
          <w:rPr>
            <w:rStyle w:val="Hyperlink"/>
            <w:sz w:val="18"/>
            <w:szCs w:val="18"/>
          </w:rPr>
          <w:t>https://docs.google.com/spreadsheets/d/1oBzXTGxIRHLTF9CSiLRV6kk7EyetcX-xF1Y4ekWn5Z0/edit?gid=428955976#gid=428955976</w:t>
        </w:r>
      </w:hyperlink>
      <w:r w:rsidRPr="00432986">
        <w:rPr>
          <w:sz w:val="18"/>
          <w:szCs w:val="18"/>
        </w:rPr>
        <w:t xml:space="preserve"> </w:t>
      </w:r>
    </w:p>
  </w:footnote>
  <w:footnote w:id="42">
    <w:p w14:paraId="698018EC" w14:textId="77777777" w:rsidR="00CF6248" w:rsidRPr="00432986" w:rsidRDefault="00CF6248" w:rsidP="00885795">
      <w:pPr>
        <w:pStyle w:val="FootnoteText"/>
        <w:rPr>
          <w:sz w:val="18"/>
          <w:szCs w:val="18"/>
        </w:rPr>
      </w:pPr>
      <w:r w:rsidRPr="00432986">
        <w:rPr>
          <w:rStyle w:val="FootnoteReference"/>
          <w:sz w:val="18"/>
          <w:szCs w:val="18"/>
        </w:rPr>
        <w:footnoteRef/>
      </w:r>
      <w:r w:rsidRPr="00432986">
        <w:rPr>
          <w:sz w:val="18"/>
          <w:szCs w:val="18"/>
        </w:rPr>
        <w:t xml:space="preserve"> Source: Eurostat Structure of earnings survey, Labour Force Survey data for Non-Wage Labour Costs.</w:t>
      </w:r>
    </w:p>
  </w:footnote>
  <w:footnote w:id="43">
    <w:p w14:paraId="7945EE6D" w14:textId="77777777" w:rsidR="00D81DF6" w:rsidRPr="00432986" w:rsidRDefault="00D81DF6" w:rsidP="00885795">
      <w:pPr>
        <w:pStyle w:val="FootnoteText"/>
        <w:rPr>
          <w:sz w:val="18"/>
          <w:szCs w:val="18"/>
        </w:rPr>
      </w:pPr>
      <w:r w:rsidRPr="00432986">
        <w:rPr>
          <w:rStyle w:val="FootnoteReference"/>
          <w:sz w:val="18"/>
          <w:szCs w:val="18"/>
        </w:rPr>
        <w:footnoteRef/>
      </w:r>
      <w:r w:rsidRPr="00432986">
        <w:rPr>
          <w:sz w:val="18"/>
          <w:szCs w:val="18"/>
        </w:rPr>
        <w:t xml:space="preserve"> SecureBio Detection (2025), Scaling US Pathogen Detection.</w:t>
      </w:r>
    </w:p>
  </w:footnote>
  <w:footnote w:id="44">
    <w:p w14:paraId="2EE22EF4" w14:textId="77777777" w:rsidR="00D33434" w:rsidRPr="00432986" w:rsidRDefault="00D33434" w:rsidP="00885795">
      <w:pPr>
        <w:pStyle w:val="FootnoteText"/>
        <w:rPr>
          <w:sz w:val="18"/>
          <w:szCs w:val="18"/>
        </w:rPr>
      </w:pPr>
      <w:r w:rsidRPr="00432986">
        <w:rPr>
          <w:rStyle w:val="FootnoteReference"/>
          <w:sz w:val="18"/>
          <w:szCs w:val="18"/>
        </w:rPr>
        <w:footnoteRef/>
      </w:r>
      <w:r w:rsidRPr="00432986">
        <w:rPr>
          <w:sz w:val="18"/>
          <w:szCs w:val="18"/>
        </w:rPr>
        <w:t xml:space="preserve"> Sponsors are the individual, company, institution or organisation which takes responsibility for the initiation, for the management and for setting up the financing of the clinical trial.</w:t>
      </w:r>
    </w:p>
  </w:footnote>
  <w:footnote w:id="45">
    <w:p w14:paraId="36300F06" w14:textId="1159FB5E" w:rsidR="00D33434" w:rsidRPr="00432986" w:rsidRDefault="00D33434" w:rsidP="00885795">
      <w:pPr>
        <w:pStyle w:val="FootnoteText"/>
        <w:rPr>
          <w:sz w:val="18"/>
          <w:szCs w:val="18"/>
        </w:rPr>
      </w:pPr>
      <w:r w:rsidRPr="00432986">
        <w:rPr>
          <w:rStyle w:val="FootnoteReference"/>
          <w:sz w:val="18"/>
          <w:szCs w:val="18"/>
        </w:rPr>
        <w:footnoteRef/>
      </w:r>
      <w:r w:rsidRPr="00432986">
        <w:rPr>
          <w:sz w:val="18"/>
          <w:szCs w:val="18"/>
        </w:rPr>
        <w:t xml:space="preserve"> Calculations done by the European Commission based on data from CTIS</w:t>
      </w:r>
      <w:r w:rsidR="000156CC" w:rsidRPr="00432986">
        <w:rPr>
          <w:sz w:val="18"/>
          <w:szCs w:val="18"/>
        </w:rPr>
        <w:t>.</w:t>
      </w:r>
    </w:p>
  </w:footnote>
  <w:footnote w:id="46">
    <w:p w14:paraId="6CBD1E7C" w14:textId="63B2AB90" w:rsidR="00D33434" w:rsidRPr="00432986" w:rsidRDefault="00D33434" w:rsidP="00885795">
      <w:pPr>
        <w:pStyle w:val="FootnoteText"/>
        <w:rPr>
          <w:sz w:val="18"/>
          <w:szCs w:val="18"/>
        </w:rPr>
      </w:pPr>
      <w:r w:rsidRPr="00432986">
        <w:rPr>
          <w:rStyle w:val="FootnoteReference"/>
          <w:sz w:val="18"/>
          <w:szCs w:val="18"/>
        </w:rPr>
        <w:footnoteRef/>
      </w:r>
      <w:r w:rsidR="00932879" w:rsidRPr="00432986">
        <w:rPr>
          <w:sz w:val="18"/>
          <w:szCs w:val="18"/>
        </w:rPr>
        <w:t xml:space="preserve"> EFPIA (2024)</w:t>
      </w:r>
      <w:r w:rsidRPr="00432986">
        <w:rPr>
          <w:sz w:val="18"/>
          <w:szCs w:val="18"/>
        </w:rPr>
        <w:t xml:space="preserve"> </w:t>
      </w:r>
      <w:hyperlink r:id="rId10" w:history="1">
        <w:r w:rsidRPr="00432986">
          <w:rPr>
            <w:rStyle w:val="Hyperlink"/>
            <w:sz w:val="18"/>
            <w:szCs w:val="18"/>
          </w:rPr>
          <w:t>assessing-the-clinical-trial-ecosystem-in-europe.pdf</w:t>
        </w:r>
      </w:hyperlink>
      <w:r w:rsidRPr="00432986">
        <w:rPr>
          <w:sz w:val="18"/>
          <w:szCs w:val="18"/>
        </w:rPr>
        <w:t xml:space="preserve">; </w:t>
      </w:r>
      <w:hyperlink r:id="rId11" w:history="1">
        <w:r w:rsidRPr="00432986">
          <w:rPr>
            <w:rStyle w:val="Hyperlink"/>
            <w:sz w:val="18"/>
            <w:szCs w:val="18"/>
          </w:rPr>
          <w:t>Start-Up Timelines Across Global Regions in Clinical Trials – Clinical Research Made Simple</w:t>
        </w:r>
      </w:hyperlink>
    </w:p>
  </w:footnote>
  <w:footnote w:id="47">
    <w:p w14:paraId="2E477BED" w14:textId="1DDC5C61" w:rsidR="00D33434" w:rsidRPr="00432986" w:rsidRDefault="00D33434" w:rsidP="00885795">
      <w:pPr>
        <w:pStyle w:val="FootnoteText"/>
        <w:rPr>
          <w:sz w:val="18"/>
          <w:szCs w:val="18"/>
        </w:rPr>
      </w:pPr>
      <w:r w:rsidRPr="00432986">
        <w:rPr>
          <w:rStyle w:val="FootnoteReference"/>
          <w:sz w:val="18"/>
          <w:szCs w:val="18"/>
        </w:rPr>
        <w:footnoteRef/>
      </w:r>
      <w:r w:rsidRPr="00432986">
        <w:rPr>
          <w:sz w:val="18"/>
          <w:szCs w:val="18"/>
        </w:rPr>
        <w:t xml:space="preserve"> </w:t>
      </w:r>
      <w:r w:rsidR="00F51F44" w:rsidRPr="00432986">
        <w:rPr>
          <w:sz w:val="18"/>
          <w:szCs w:val="18"/>
        </w:rPr>
        <w:t xml:space="preserve">Tan et al (2025) </w:t>
      </w:r>
      <w:hyperlink r:id="rId12" w:history="1">
        <w:r w:rsidR="00B176DC" w:rsidRPr="00432986">
          <w:rPr>
            <w:rStyle w:val="Hyperlink"/>
            <w:sz w:val="18"/>
            <w:szCs w:val="18"/>
          </w:rPr>
          <w:t>Current landscape of innovative drug development and regulatory support in China | Signal Transduction and Targeted Therapy</w:t>
        </w:r>
      </w:hyperlink>
    </w:p>
  </w:footnote>
  <w:footnote w:id="48">
    <w:p w14:paraId="0769F6C3" w14:textId="53149953" w:rsidR="00D33434" w:rsidRPr="00432986" w:rsidRDefault="00D33434" w:rsidP="00885795">
      <w:pPr>
        <w:pStyle w:val="FootnoteText"/>
        <w:rPr>
          <w:sz w:val="18"/>
          <w:szCs w:val="18"/>
        </w:rPr>
      </w:pPr>
      <w:r w:rsidRPr="00432986">
        <w:rPr>
          <w:rStyle w:val="FootnoteReference"/>
          <w:sz w:val="18"/>
          <w:szCs w:val="18"/>
        </w:rPr>
        <w:footnoteRef/>
      </w:r>
      <w:r w:rsidR="00C65D85">
        <w:rPr>
          <w:sz w:val="18"/>
          <w:szCs w:val="18"/>
        </w:rPr>
        <w:t xml:space="preserve"> </w:t>
      </w:r>
      <w:r w:rsidR="00F51F44" w:rsidRPr="00432986">
        <w:rPr>
          <w:sz w:val="18"/>
          <w:szCs w:val="18"/>
        </w:rPr>
        <w:t>Tan et al. (2025)</w:t>
      </w:r>
      <w:r w:rsidRPr="00432986">
        <w:rPr>
          <w:sz w:val="18"/>
          <w:szCs w:val="18"/>
        </w:rPr>
        <w:t xml:space="preserve"> </w:t>
      </w:r>
      <w:hyperlink r:id="rId13" w:history="1">
        <w:r w:rsidRPr="00432986">
          <w:rPr>
            <w:rStyle w:val="Hyperlink"/>
            <w:sz w:val="18"/>
            <w:szCs w:val="18"/>
          </w:rPr>
          <w:t>Current landscape of innovative drug development and regulatory support in China | Signal Transduction and Targeted Therapy</w:t>
        </w:r>
      </w:hyperlink>
    </w:p>
  </w:footnote>
  <w:footnote w:id="49">
    <w:p w14:paraId="072C4B25" w14:textId="29D0C8B6" w:rsidR="00D33434" w:rsidRPr="00432986" w:rsidRDefault="00D33434" w:rsidP="00885795">
      <w:pPr>
        <w:pStyle w:val="FootnoteText"/>
        <w:rPr>
          <w:sz w:val="18"/>
          <w:szCs w:val="18"/>
        </w:rPr>
      </w:pPr>
      <w:r w:rsidRPr="00432986">
        <w:rPr>
          <w:rStyle w:val="FootnoteReference"/>
          <w:sz w:val="18"/>
          <w:szCs w:val="18"/>
        </w:rPr>
        <w:footnoteRef/>
      </w:r>
      <w:r w:rsidRPr="00432986">
        <w:rPr>
          <w:sz w:val="18"/>
          <w:szCs w:val="18"/>
        </w:rPr>
        <w:t xml:space="preserve"> It is to note that there is </w:t>
      </w:r>
      <w:r w:rsidR="0068211C" w:rsidRPr="00432986">
        <w:rPr>
          <w:sz w:val="18"/>
          <w:szCs w:val="18"/>
        </w:rPr>
        <w:t>only limited</w:t>
      </w:r>
      <w:r w:rsidRPr="00432986">
        <w:rPr>
          <w:sz w:val="18"/>
          <w:szCs w:val="18"/>
        </w:rPr>
        <w:t xml:space="preserve"> data available on the cost structures across comparative regions. However, feedback from sponsors indicates that diverging costs are driving the sponsor’s choice of the location for conducting clinical trials. </w:t>
      </w:r>
    </w:p>
  </w:footnote>
  <w:footnote w:id="50">
    <w:p w14:paraId="4B969172" w14:textId="49B0AEEE" w:rsidR="04C751B1" w:rsidRPr="00432986" w:rsidRDefault="04C751B1" w:rsidP="00885795">
      <w:pPr>
        <w:spacing w:after="0"/>
        <w:rPr>
          <w:rFonts w:eastAsia="Times New Roman"/>
          <w:sz w:val="18"/>
          <w:szCs w:val="18"/>
        </w:rPr>
      </w:pPr>
      <w:r w:rsidRPr="00C65D85">
        <w:rPr>
          <w:sz w:val="18"/>
          <w:szCs w:val="18"/>
          <w:vertAlign w:val="superscript"/>
        </w:rPr>
        <w:footnoteRef/>
      </w:r>
      <w:r w:rsidR="74A870E8" w:rsidRPr="00432986">
        <w:rPr>
          <w:sz w:val="18"/>
          <w:szCs w:val="18"/>
        </w:rPr>
        <w:t xml:space="preserve"> </w:t>
      </w:r>
      <w:r w:rsidR="74A870E8" w:rsidRPr="00432986">
        <w:rPr>
          <w:rFonts w:eastAsia="Times-Roman"/>
          <w:color w:val="242424"/>
          <w:sz w:val="18"/>
          <w:szCs w:val="18"/>
        </w:rPr>
        <w:t xml:space="preserve"> </w:t>
      </w:r>
      <w:r w:rsidR="266D88FA" w:rsidRPr="00432986">
        <w:rPr>
          <w:rFonts w:eastAsia="Times-Roman"/>
          <w:color w:val="242424"/>
          <w:sz w:val="18"/>
          <w:szCs w:val="18"/>
        </w:rPr>
        <w:t>Fast-track landscape</w:t>
      </w:r>
      <w:r w:rsidR="74A870E8" w:rsidRPr="00432986">
        <w:rPr>
          <w:rFonts w:eastAsia="Times-Roman"/>
          <w:color w:val="242424"/>
          <w:sz w:val="18"/>
          <w:szCs w:val="18"/>
        </w:rPr>
        <w:t xml:space="preserve"> analyses to assess the regulatory clinical trial eco-system in the EU/EEA and in other relevant regions</w:t>
      </w:r>
      <w:r w:rsidR="4A74FAEF" w:rsidRPr="00432986">
        <w:rPr>
          <w:rFonts w:eastAsia="Times-Roman"/>
          <w:color w:val="242424"/>
          <w:sz w:val="18"/>
          <w:szCs w:val="18"/>
        </w:rPr>
        <w:t xml:space="preserve"> </w:t>
      </w:r>
      <w:r w:rsidR="346C1F4B" w:rsidRPr="00432986">
        <w:rPr>
          <w:rFonts w:eastAsia="Times-Roman"/>
          <w:color w:val="242424"/>
          <w:sz w:val="18"/>
          <w:szCs w:val="18"/>
        </w:rPr>
        <w:t>(forthcoming)</w:t>
      </w:r>
    </w:p>
  </w:footnote>
  <w:footnote w:id="51">
    <w:p w14:paraId="494B75AD" w14:textId="2B38A77D" w:rsidR="00D33434" w:rsidRPr="00432986" w:rsidRDefault="00D33434" w:rsidP="00885795">
      <w:pPr>
        <w:pStyle w:val="FootnoteText"/>
        <w:rPr>
          <w:sz w:val="18"/>
          <w:szCs w:val="18"/>
          <w:lang w:val="en-IE"/>
        </w:rPr>
      </w:pPr>
      <w:r w:rsidRPr="00432986">
        <w:rPr>
          <w:rStyle w:val="FootnoteReference"/>
          <w:sz w:val="18"/>
          <w:szCs w:val="18"/>
        </w:rPr>
        <w:footnoteRef/>
      </w:r>
      <w:r w:rsidRPr="00432986">
        <w:rPr>
          <w:sz w:val="18"/>
          <w:szCs w:val="18"/>
        </w:rPr>
        <w:t xml:space="preserve"> Calculations done by the European Commission based on data from CTIS</w:t>
      </w:r>
      <w:r w:rsidR="002063D8" w:rsidRPr="00432986">
        <w:rPr>
          <w:sz w:val="18"/>
          <w:szCs w:val="18"/>
        </w:rPr>
        <w:t>.</w:t>
      </w:r>
    </w:p>
  </w:footnote>
  <w:footnote w:id="52">
    <w:p w14:paraId="6EEE4044" w14:textId="6036E7A9" w:rsidR="00D33434" w:rsidRPr="00432986" w:rsidRDefault="00D33434" w:rsidP="00885795">
      <w:pPr>
        <w:pStyle w:val="FootnoteText"/>
        <w:rPr>
          <w:sz w:val="18"/>
          <w:szCs w:val="18"/>
        </w:rPr>
      </w:pPr>
      <w:r w:rsidRPr="00432986">
        <w:rPr>
          <w:rStyle w:val="FootnoteReference"/>
          <w:sz w:val="18"/>
          <w:szCs w:val="18"/>
        </w:rPr>
        <w:footnoteRef/>
      </w:r>
      <w:r w:rsidRPr="00432986">
        <w:rPr>
          <w:sz w:val="18"/>
          <w:szCs w:val="18"/>
        </w:rPr>
        <w:t xml:space="preserve"> Directive 2001/18</w:t>
      </w:r>
      <w:r w:rsidR="00133669" w:rsidRPr="00432986">
        <w:rPr>
          <w:rFonts w:eastAsia="Arial Narrow"/>
          <w:sz w:val="18"/>
          <w:szCs w:val="18"/>
          <w:lang w:val="en-IE"/>
        </w:rPr>
        <w:t xml:space="preserve">/EC, OJ L 106, 17.4.2001, pp. 1–39. </w:t>
      </w:r>
      <w:r w:rsidR="00133669" w:rsidRPr="00432986">
        <w:rPr>
          <w:rFonts w:eastAsia="Arial Narrow"/>
          <w:sz w:val="18"/>
          <w:szCs w:val="18"/>
          <w:lang w:val="en-US"/>
        </w:rPr>
        <w:t xml:space="preserve">ELI: </w:t>
      </w:r>
      <w:hyperlink r:id="rId14" w:history="1">
        <w:r w:rsidR="00133669" w:rsidRPr="00432986">
          <w:rPr>
            <w:rStyle w:val="Hyperlink"/>
            <w:sz w:val="18"/>
            <w:szCs w:val="18"/>
            <w:lang w:val="en-US"/>
          </w:rPr>
          <w:t>http://data.europa.eu/eli/dir/2001/18/oj</w:t>
        </w:r>
      </w:hyperlink>
      <w:r w:rsidR="00133669" w:rsidRPr="00432986">
        <w:rPr>
          <w:rFonts w:eastAsia="Arial Narrow"/>
          <w:sz w:val="18"/>
          <w:szCs w:val="18"/>
          <w:lang w:val="en-US"/>
        </w:rPr>
        <w:t xml:space="preserve"> </w:t>
      </w:r>
      <w:r w:rsidRPr="00432986">
        <w:rPr>
          <w:sz w:val="18"/>
          <w:szCs w:val="18"/>
        </w:rPr>
        <w:t xml:space="preserve">and Directive 2009/41/EC, </w:t>
      </w:r>
      <w:hyperlink r:id="rId15" w:history="1">
        <w:r w:rsidRPr="00432986">
          <w:rPr>
            <w:sz w:val="18"/>
            <w:szCs w:val="18"/>
          </w:rPr>
          <w:t>OJ L 125, 21.5.2009, p. 75</w:t>
        </w:r>
      </w:hyperlink>
      <w:r w:rsidR="001B39CD" w:rsidRPr="00432986">
        <w:rPr>
          <w:sz w:val="18"/>
          <w:szCs w:val="18"/>
        </w:rPr>
        <w:t>-97</w:t>
      </w:r>
      <w:r w:rsidRPr="00432986">
        <w:rPr>
          <w:sz w:val="18"/>
          <w:szCs w:val="18"/>
        </w:rPr>
        <w:t>.</w:t>
      </w:r>
      <w:r w:rsidR="00353D85" w:rsidRPr="00432986">
        <w:rPr>
          <w:sz w:val="18"/>
          <w:szCs w:val="18"/>
        </w:rPr>
        <w:t xml:space="preserve"> ELI: </w:t>
      </w:r>
      <w:hyperlink r:id="rId16" w:history="1">
        <w:r w:rsidR="00353D85" w:rsidRPr="00432986">
          <w:rPr>
            <w:rStyle w:val="Hyperlink"/>
            <w:sz w:val="18"/>
            <w:szCs w:val="18"/>
          </w:rPr>
          <w:t>http://data.europa.eu/eli/dir/2009/41/oj</w:t>
        </w:r>
      </w:hyperlink>
      <w:r w:rsidR="00353D85" w:rsidRPr="00432986">
        <w:rPr>
          <w:sz w:val="18"/>
          <w:szCs w:val="18"/>
        </w:rPr>
        <w:t xml:space="preserve"> </w:t>
      </w:r>
    </w:p>
  </w:footnote>
  <w:footnote w:id="53">
    <w:p w14:paraId="4524696A" w14:textId="77777777" w:rsidR="00D33434" w:rsidRPr="00432986" w:rsidRDefault="00D33434" w:rsidP="00885795">
      <w:pPr>
        <w:pStyle w:val="FootnoteText"/>
        <w:rPr>
          <w:sz w:val="18"/>
          <w:szCs w:val="18"/>
        </w:rPr>
      </w:pPr>
      <w:r w:rsidRPr="00432986">
        <w:rPr>
          <w:rStyle w:val="FootnoteReference"/>
          <w:sz w:val="18"/>
          <w:szCs w:val="18"/>
        </w:rPr>
        <w:footnoteRef/>
      </w:r>
      <w:r w:rsidRPr="00432986">
        <w:rPr>
          <w:sz w:val="18"/>
          <w:szCs w:val="18"/>
        </w:rPr>
        <w:t xml:space="preserve"> See for example, the Explanatory Memorandum to Regulation (EU) 2020/1043 [</w:t>
      </w:r>
      <w:hyperlink r:id="rId17" w:history="1">
        <w:r w:rsidRPr="00432986">
          <w:rPr>
            <w:rStyle w:val="Hyperlink"/>
            <w:sz w:val="18"/>
            <w:szCs w:val="18"/>
          </w:rPr>
          <w:t>COM(2020) 261 final</w:t>
        </w:r>
      </w:hyperlink>
      <w:r w:rsidRPr="00432986">
        <w:rPr>
          <w:sz w:val="18"/>
          <w:szCs w:val="18"/>
        </w:rPr>
        <w:t xml:space="preserve">] or the </w:t>
      </w:r>
    </w:p>
    <w:p w14:paraId="20ECD2F6" w14:textId="77777777" w:rsidR="00D33434" w:rsidRPr="00432986" w:rsidRDefault="00D33434" w:rsidP="00885795">
      <w:pPr>
        <w:pStyle w:val="FootnoteText"/>
        <w:rPr>
          <w:sz w:val="18"/>
          <w:szCs w:val="18"/>
        </w:rPr>
      </w:pPr>
      <w:r w:rsidRPr="00432986">
        <w:rPr>
          <w:sz w:val="18"/>
          <w:szCs w:val="18"/>
        </w:rPr>
        <w:t>Pharmaceutical Strategy for Europe [</w:t>
      </w:r>
      <w:hyperlink r:id="rId18" w:history="1">
        <w:r w:rsidRPr="00432986">
          <w:rPr>
            <w:rStyle w:val="Hyperlink"/>
            <w:sz w:val="18"/>
            <w:szCs w:val="18"/>
          </w:rPr>
          <w:t>COM(2020) 761 final</w:t>
        </w:r>
      </w:hyperlink>
      <w:r w:rsidRPr="00432986">
        <w:rPr>
          <w:sz w:val="18"/>
          <w:szCs w:val="18"/>
        </w:rPr>
        <w:t>].</w:t>
      </w:r>
    </w:p>
  </w:footnote>
  <w:footnote w:id="54">
    <w:p w14:paraId="380BC352" w14:textId="1DCEDD8E" w:rsidR="0E1EF736" w:rsidRPr="00432986" w:rsidRDefault="0E1EF736" w:rsidP="00885795">
      <w:pPr>
        <w:pStyle w:val="FootnoteText"/>
        <w:rPr>
          <w:sz w:val="18"/>
          <w:szCs w:val="18"/>
        </w:rPr>
      </w:pPr>
      <w:r w:rsidRPr="00C65D85">
        <w:rPr>
          <w:rFonts w:eastAsiaTheme="minorHAnsi"/>
          <w:vertAlign w:val="superscript"/>
        </w:rPr>
        <w:footnoteRef/>
      </w:r>
      <w:r w:rsidRPr="00432986">
        <w:rPr>
          <w:sz w:val="18"/>
          <w:szCs w:val="18"/>
        </w:rPr>
        <w:t xml:space="preserve"> </w:t>
      </w:r>
      <w:r w:rsidR="00C518C2" w:rsidRPr="00C518C2">
        <w:rPr>
          <w:sz w:val="18"/>
          <w:szCs w:val="18"/>
        </w:rPr>
        <w:t xml:space="preserve">IQVIA, </w:t>
      </w:r>
      <w:r w:rsidR="00C518C2" w:rsidRPr="00F46227">
        <w:rPr>
          <w:sz w:val="18"/>
          <w:szCs w:val="18"/>
        </w:rPr>
        <w:t>The Impact of Biosimilar Competition in Europe</w:t>
      </w:r>
      <w:r w:rsidR="00C518C2" w:rsidRPr="00C518C2">
        <w:rPr>
          <w:sz w:val="18"/>
          <w:szCs w:val="18"/>
        </w:rPr>
        <w:t>, 2026,</w:t>
      </w:r>
      <w:r w:rsidR="00C518C2">
        <w:rPr>
          <w:sz w:val="18"/>
          <w:szCs w:val="18"/>
        </w:rPr>
        <w:t xml:space="preserve"> </w:t>
      </w:r>
      <w:hyperlink r:id="rId19">
        <w:r w:rsidRPr="00432986">
          <w:rPr>
            <w:rStyle w:val="Hyperlink"/>
            <w:sz w:val="18"/>
            <w:szCs w:val="18"/>
          </w:rPr>
          <w:t>iqvia-the-impact-of-biosimilar-competition-in-europe-2026-01-26-forweb.pdf</w:t>
        </w:r>
      </w:hyperlink>
    </w:p>
  </w:footnote>
  <w:footnote w:id="55">
    <w:p w14:paraId="4AB51975" w14:textId="6484AAAF" w:rsidR="0E1EF736" w:rsidRPr="00432986" w:rsidRDefault="0E1EF736" w:rsidP="00885795">
      <w:pPr>
        <w:spacing w:after="0"/>
        <w:rPr>
          <w:rFonts w:eastAsia="Times New Roman"/>
          <w:sz w:val="18"/>
          <w:szCs w:val="18"/>
        </w:rPr>
      </w:pPr>
      <w:r w:rsidRPr="00C65D85">
        <w:rPr>
          <w:sz w:val="18"/>
          <w:szCs w:val="18"/>
          <w:vertAlign w:val="superscript"/>
        </w:rPr>
        <w:footnoteRef/>
      </w:r>
      <w:r w:rsidRPr="00432986">
        <w:rPr>
          <w:sz w:val="18"/>
          <w:szCs w:val="18"/>
        </w:rPr>
        <w:t xml:space="preserve"> </w:t>
      </w:r>
      <w:r w:rsidR="00EA4673" w:rsidRPr="00EA4673">
        <w:rPr>
          <w:sz w:val="18"/>
          <w:szCs w:val="18"/>
        </w:rPr>
        <w:t xml:space="preserve">Medicines for Europe, </w:t>
      </w:r>
      <w:r w:rsidR="00EA4673" w:rsidRPr="00F46227">
        <w:rPr>
          <w:sz w:val="18"/>
          <w:szCs w:val="18"/>
        </w:rPr>
        <w:t>European Biosimilar Medicines Sector: Delivering Impact Beyond Health – Economic, Scientific &amp; Strategic Contribution</w:t>
      </w:r>
      <w:r w:rsidR="00EA4673" w:rsidRPr="00EA4673">
        <w:rPr>
          <w:sz w:val="18"/>
          <w:szCs w:val="18"/>
        </w:rPr>
        <w:t>, Biotech Act Factsheet Series, March 2026,</w:t>
      </w:r>
      <w:r w:rsidR="00EA4673">
        <w:rPr>
          <w:sz w:val="18"/>
          <w:szCs w:val="18"/>
        </w:rPr>
        <w:t xml:space="preserve"> </w:t>
      </w:r>
      <w:hyperlink r:id="rId20">
        <w:r w:rsidRPr="00432986">
          <w:rPr>
            <w:rStyle w:val="Hyperlink"/>
            <w:rFonts w:eastAsia="Times New Roman"/>
            <w:sz w:val="18"/>
            <w:szCs w:val="18"/>
          </w:rPr>
          <w:t>Pillar 1-2-3-4-FOOTPRINT-SPC-Biotech-Act-facsheets-ppt.cdr</w:t>
        </w:r>
      </w:hyperlink>
    </w:p>
  </w:footnote>
  <w:footnote w:id="56">
    <w:p w14:paraId="068E2572" w14:textId="2052305D" w:rsidR="0E1EF736" w:rsidRPr="00432986" w:rsidRDefault="0E1EF736" w:rsidP="00885795">
      <w:pPr>
        <w:spacing w:after="0"/>
        <w:rPr>
          <w:sz w:val="18"/>
          <w:szCs w:val="18"/>
        </w:rPr>
      </w:pPr>
      <w:r w:rsidRPr="00C65D85">
        <w:rPr>
          <w:sz w:val="18"/>
          <w:szCs w:val="18"/>
          <w:vertAlign w:val="superscript"/>
        </w:rPr>
        <w:footnoteRef/>
      </w:r>
      <w:r w:rsidR="57F1879C" w:rsidRPr="00432986">
        <w:rPr>
          <w:sz w:val="18"/>
          <w:szCs w:val="18"/>
        </w:rPr>
        <w:t xml:space="preserve"> European Medicines Agency. (2026). Medicines output report [dataset]. Retrieved 2 March 2026 from https://www.ema.europa.eu/en/medicines/download-medicine-data</w:t>
      </w:r>
    </w:p>
  </w:footnote>
  <w:footnote w:id="57">
    <w:p w14:paraId="75829D15" w14:textId="1BBEB4E5" w:rsidR="0E1EF736" w:rsidRPr="00C65D85" w:rsidRDefault="0E1EF736" w:rsidP="00885795">
      <w:pPr>
        <w:spacing w:after="0"/>
        <w:rPr>
          <w:rStyle w:val="Hyperlink"/>
          <w:rFonts w:eastAsia="Palatino Linotype"/>
          <w:sz w:val="18"/>
          <w:szCs w:val="18"/>
        </w:rPr>
      </w:pPr>
      <w:r w:rsidRPr="00C65D85">
        <w:rPr>
          <w:sz w:val="18"/>
          <w:szCs w:val="18"/>
          <w:vertAlign w:val="superscript"/>
        </w:rPr>
        <w:footnoteRef/>
      </w:r>
      <w:r w:rsidRPr="00432986">
        <w:rPr>
          <w:sz w:val="18"/>
          <w:szCs w:val="18"/>
          <w:lang w:val="de-DE"/>
        </w:rPr>
        <w:t xml:space="preserve"> </w:t>
      </w:r>
      <w:r w:rsidR="00BB711A" w:rsidRPr="00432986">
        <w:rPr>
          <w:sz w:val="18"/>
          <w:szCs w:val="18"/>
          <w:lang w:val="de-DE"/>
        </w:rPr>
        <w:t>K</w:t>
      </w:r>
      <w:r w:rsidRPr="00432986">
        <w:rPr>
          <w:sz w:val="18"/>
          <w:szCs w:val="18"/>
          <w:lang w:val="de-DE"/>
        </w:rPr>
        <w:t xml:space="preserve">irsch-Stefan, N., Guillen, E., Ekman, N., Barry, S., Knippel, V., Killalea, S., Weise, M., &amp; Wolff-Holz, E. (2023). </w:t>
      </w:r>
      <w:r w:rsidRPr="00432986">
        <w:rPr>
          <w:sz w:val="18"/>
          <w:szCs w:val="18"/>
        </w:rPr>
        <w:t xml:space="preserve">Do the outcomes of clinical efficacy trials matter in regulatory decision-making for biosimilars? </w:t>
      </w:r>
      <w:r w:rsidRPr="00C65D85">
        <w:rPr>
          <w:sz w:val="18"/>
          <w:szCs w:val="18"/>
        </w:rPr>
        <w:t xml:space="preserve">BioDrugs, 37(6), 855–871. </w:t>
      </w:r>
      <w:hyperlink r:id="rId21">
        <w:r w:rsidRPr="00C65D85">
          <w:rPr>
            <w:rStyle w:val="Hyperlink"/>
            <w:rFonts w:eastAsia="Palatino Linotype"/>
            <w:sz w:val="18"/>
            <w:szCs w:val="18"/>
          </w:rPr>
          <w:t>https://doi.org/10.1007/s40259-023-00631-4</w:t>
        </w:r>
      </w:hyperlink>
    </w:p>
  </w:footnote>
  <w:footnote w:id="58">
    <w:p w14:paraId="43FE05C8" w14:textId="624D5DFB" w:rsidR="0E1EF736" w:rsidRPr="00432986" w:rsidRDefault="0E1EF736" w:rsidP="00885795">
      <w:pPr>
        <w:spacing w:after="0"/>
        <w:rPr>
          <w:sz w:val="18"/>
          <w:szCs w:val="18"/>
          <w:lang w:val="en-IE"/>
        </w:rPr>
      </w:pPr>
      <w:r w:rsidRPr="00C65D85">
        <w:rPr>
          <w:sz w:val="18"/>
          <w:szCs w:val="18"/>
          <w:vertAlign w:val="superscript"/>
        </w:rPr>
        <w:footnoteRef/>
      </w:r>
      <w:r w:rsidRPr="00C65D85">
        <w:rPr>
          <w:sz w:val="18"/>
          <w:szCs w:val="18"/>
        </w:rPr>
        <w:t xml:space="preserve"> Kirsch-Stefan, N., Guillen, E., Ekman, N., Barry, S., Knippel, V., Killalea, S., Weise, M., &amp; Wolff-Holz, E. (2023). </w:t>
      </w:r>
      <w:r w:rsidRPr="00432986">
        <w:rPr>
          <w:sz w:val="18"/>
          <w:szCs w:val="18"/>
        </w:rPr>
        <w:t>Do the outcomes of clinical efficacy trials matter in regulatory decision-making for biosimilars? BioDrugs, 37(6), 855–871. https://doi.org/10.1007/s40259-023-00631-4</w:t>
      </w:r>
    </w:p>
  </w:footnote>
  <w:footnote w:id="59">
    <w:p w14:paraId="2C73D633" w14:textId="4D04FB3A" w:rsidR="10ECFBC3" w:rsidRPr="00432986" w:rsidRDefault="10ECFBC3" w:rsidP="00885795">
      <w:pPr>
        <w:spacing w:after="0"/>
        <w:rPr>
          <w:rFonts w:eastAsia="Times New Roman"/>
          <w:sz w:val="18"/>
          <w:szCs w:val="18"/>
        </w:rPr>
      </w:pPr>
      <w:r w:rsidRPr="00C65D85">
        <w:rPr>
          <w:sz w:val="18"/>
          <w:szCs w:val="18"/>
          <w:vertAlign w:val="superscript"/>
        </w:rPr>
        <w:footnoteRef/>
      </w:r>
      <w:r w:rsidRPr="00432986">
        <w:rPr>
          <w:sz w:val="18"/>
          <w:szCs w:val="18"/>
        </w:rPr>
        <w:t xml:space="preserve"> </w:t>
      </w:r>
      <w:hyperlink r:id="rId22" w:history="1">
        <w:r w:rsidRPr="00432986">
          <w:rPr>
            <w:rStyle w:val="Hyperlink"/>
            <w:rFonts w:eastAsia="Times New Roman"/>
            <w:sz w:val="18"/>
            <w:szCs w:val="18"/>
          </w:rPr>
          <w:t>Reflection paper on a tailored clinical approach in biosimilar development</w:t>
        </w:r>
      </w:hyperlink>
    </w:p>
  </w:footnote>
  <w:footnote w:id="60">
    <w:p w14:paraId="55FDF221" w14:textId="5C147AB6" w:rsidR="0E1EF736" w:rsidRPr="00432986" w:rsidRDefault="0E1EF736" w:rsidP="00885795">
      <w:pPr>
        <w:pStyle w:val="FootnoteText"/>
        <w:rPr>
          <w:sz w:val="18"/>
          <w:szCs w:val="18"/>
        </w:rPr>
      </w:pPr>
      <w:r w:rsidRPr="00C65D85">
        <w:rPr>
          <w:sz w:val="18"/>
          <w:szCs w:val="18"/>
          <w:vertAlign w:val="superscript"/>
        </w:rPr>
        <w:footnoteRef/>
      </w:r>
      <w:r w:rsidRPr="00432986">
        <w:rPr>
          <w:sz w:val="18"/>
          <w:szCs w:val="18"/>
        </w:rPr>
        <w:t xml:space="preserve"> U.S. Food and Drug Administration. (2024). Considerations in demonstrating interchangeability with a reference product: Update (draft guidance). Silver Spring, MD: FDA.</w:t>
      </w:r>
    </w:p>
  </w:footnote>
  <w:footnote w:id="61">
    <w:p w14:paraId="1B9A9BFD" w14:textId="34350DF6" w:rsidR="0E1EF736" w:rsidRPr="00432986" w:rsidRDefault="0E1EF736" w:rsidP="00885795">
      <w:pPr>
        <w:pStyle w:val="FootnoteText"/>
        <w:rPr>
          <w:sz w:val="18"/>
          <w:szCs w:val="18"/>
          <w:lang w:val="en-IE"/>
        </w:rPr>
      </w:pPr>
      <w:r w:rsidRPr="00C65D85">
        <w:rPr>
          <w:sz w:val="18"/>
          <w:szCs w:val="18"/>
          <w:vertAlign w:val="superscript"/>
        </w:rPr>
        <w:footnoteRef/>
      </w:r>
      <w:r w:rsidRPr="00432986">
        <w:rPr>
          <w:sz w:val="18"/>
          <w:szCs w:val="18"/>
        </w:rPr>
        <w:t xml:space="preserve"> Smart &amp; Biggar. (2025, July 4). Update on biosimilars in Canada – June 2025. https://www.smartbiggar.ca/insights/publication/update-on-biosimilars-in-canada-june-2025</w:t>
      </w:r>
    </w:p>
  </w:footnote>
  <w:footnote w:id="62">
    <w:p w14:paraId="652013C1" w14:textId="4D81DD9E" w:rsidR="0E1EF736" w:rsidRPr="00432986" w:rsidRDefault="0E1EF736" w:rsidP="00885795">
      <w:pPr>
        <w:pStyle w:val="FootnoteText"/>
        <w:rPr>
          <w:sz w:val="18"/>
          <w:szCs w:val="18"/>
        </w:rPr>
      </w:pPr>
      <w:r w:rsidRPr="00C65D85">
        <w:rPr>
          <w:sz w:val="18"/>
          <w:szCs w:val="18"/>
          <w:vertAlign w:val="superscript"/>
        </w:rPr>
        <w:footnoteRef/>
      </w:r>
      <w:r w:rsidRPr="00C65D85">
        <w:rPr>
          <w:sz w:val="18"/>
          <w:szCs w:val="18"/>
          <w:lang w:val="en-IE"/>
        </w:rPr>
        <w:t xml:space="preserve"> Kang, H. N., Thorpe, R., Knezevic, I., et al. </w:t>
      </w:r>
      <w:r w:rsidRPr="00432986">
        <w:rPr>
          <w:sz w:val="18"/>
          <w:szCs w:val="18"/>
        </w:rPr>
        <w:t>(2020). The regulatory landscape of biosimilars: WHO efforts and progress made from 2009 to 2019. Biologicals, 65, 1–9. https://doi.org/10.1016/j.biologicals.2020.02.005</w:t>
      </w:r>
    </w:p>
  </w:footnote>
  <w:footnote w:id="63">
    <w:p w14:paraId="6193E2EA" w14:textId="71888E7F" w:rsidR="57F1879C" w:rsidRPr="004570F2" w:rsidRDefault="57F1879C" w:rsidP="00885795">
      <w:pPr>
        <w:spacing w:after="0"/>
        <w:rPr>
          <w:rStyle w:val="Hyperlink"/>
          <w:sz w:val="18"/>
        </w:rPr>
      </w:pPr>
      <w:r w:rsidRPr="00C65D85">
        <w:rPr>
          <w:rFonts w:eastAsiaTheme="minorEastAsia"/>
          <w:sz w:val="18"/>
          <w:szCs w:val="18"/>
          <w:vertAlign w:val="superscript"/>
        </w:rPr>
        <w:footnoteRef/>
      </w:r>
      <w:r w:rsidRPr="00432986">
        <w:rPr>
          <w:rFonts w:eastAsiaTheme="minorEastAsia"/>
          <w:sz w:val="18"/>
          <w:szCs w:val="18"/>
        </w:rPr>
        <w:t xml:space="preserve"> </w:t>
      </w:r>
      <w:hyperlink r:id="rId23" w:history="1">
        <w:r w:rsidRPr="00432986">
          <w:rPr>
            <w:rStyle w:val="Hyperlink"/>
            <w:rFonts w:eastAsia="Palatino Linotype"/>
            <w:sz w:val="18"/>
            <w:szCs w:val="18"/>
          </w:rPr>
          <w:t>ICH_M18_Final_Concept_Paper_MCEndorsed_2025_1119.pdf</w:t>
        </w:r>
      </w:hyperlink>
    </w:p>
  </w:footnote>
  <w:footnote w:id="64">
    <w:p w14:paraId="778FB0A7" w14:textId="0226FBF0" w:rsidR="57F1879C" w:rsidRPr="00432986" w:rsidRDefault="57F1879C" w:rsidP="00885795">
      <w:pPr>
        <w:spacing w:after="0"/>
        <w:rPr>
          <w:rFonts w:eastAsia="Verdana"/>
          <w:color w:val="467886"/>
          <w:sz w:val="18"/>
          <w:szCs w:val="18"/>
          <w:u w:val="single"/>
        </w:rPr>
      </w:pPr>
      <w:r w:rsidRPr="00C65D85">
        <w:rPr>
          <w:rFonts w:eastAsiaTheme="minorEastAsia"/>
          <w:sz w:val="18"/>
          <w:szCs w:val="18"/>
          <w:vertAlign w:val="superscript"/>
        </w:rPr>
        <w:footnoteRef/>
      </w:r>
      <w:r w:rsidRPr="00432986">
        <w:rPr>
          <w:rFonts w:eastAsiaTheme="minorEastAsia"/>
          <w:sz w:val="18"/>
          <w:szCs w:val="18"/>
        </w:rPr>
        <w:t xml:space="preserve"> </w:t>
      </w:r>
      <w:hyperlink r:id="rId24" w:history="1">
        <w:r w:rsidRPr="00432986">
          <w:rPr>
            <w:rStyle w:val="Hyperlink"/>
            <w:rFonts w:eastAsia="Palatino Linotype"/>
            <w:sz w:val="18"/>
            <w:szCs w:val="18"/>
          </w:rPr>
          <w:t>IPRP_BWG_Final IPRP Scientific Workshop Summary Report_2024_0506.pdf</w:t>
        </w:r>
      </w:hyperlink>
    </w:p>
  </w:footnote>
  <w:footnote w:id="65">
    <w:p w14:paraId="1635D1C9" w14:textId="09652C5E" w:rsidR="0E1EF736" w:rsidRPr="00432986" w:rsidRDefault="0E1EF736" w:rsidP="00885795">
      <w:pPr>
        <w:spacing w:after="0"/>
        <w:rPr>
          <w:rStyle w:val="Hyperlink"/>
          <w:rFonts w:eastAsia="Palatino Linotype"/>
          <w:sz w:val="18"/>
          <w:szCs w:val="18"/>
        </w:rPr>
      </w:pPr>
      <w:r w:rsidRPr="00C65D85">
        <w:rPr>
          <w:sz w:val="18"/>
          <w:szCs w:val="18"/>
          <w:vertAlign w:val="superscript"/>
        </w:rPr>
        <w:footnoteRef/>
      </w:r>
      <w:r w:rsidRPr="00432986">
        <w:rPr>
          <w:sz w:val="18"/>
          <w:szCs w:val="18"/>
        </w:rPr>
        <w:t xml:space="preserve"> Precedence Research. (2025, August 13). Biosimilars market size to hit USD 175.99 billion by 2034. </w:t>
      </w:r>
      <w:hyperlink r:id="rId25">
        <w:r w:rsidRPr="00432986">
          <w:rPr>
            <w:rStyle w:val="Hyperlink"/>
            <w:rFonts w:eastAsia="Palatino Linotype"/>
            <w:sz w:val="18"/>
            <w:szCs w:val="18"/>
          </w:rPr>
          <w:t>https://www.precedenceresearch.com/biosimilars-market</w:t>
        </w:r>
      </w:hyperlink>
    </w:p>
  </w:footnote>
  <w:footnote w:id="66">
    <w:p w14:paraId="10BF04A9" w14:textId="2C9BE49B" w:rsidR="0E1EF736" w:rsidRPr="00432986" w:rsidRDefault="0E1EF736" w:rsidP="00885795">
      <w:pPr>
        <w:spacing w:after="0"/>
        <w:rPr>
          <w:sz w:val="18"/>
          <w:szCs w:val="18"/>
        </w:rPr>
      </w:pPr>
      <w:r w:rsidRPr="00432986">
        <w:rPr>
          <w:sz w:val="18"/>
          <w:szCs w:val="18"/>
          <w:vertAlign w:val="superscript"/>
        </w:rPr>
        <w:footnoteRef/>
      </w:r>
      <w:r w:rsidR="00885795" w:rsidRPr="00432986">
        <w:rPr>
          <w:sz w:val="18"/>
          <w:szCs w:val="18"/>
        </w:rPr>
        <w:t xml:space="preserve"> </w:t>
      </w:r>
      <w:r w:rsidRPr="00432986">
        <w:rPr>
          <w:sz w:val="18"/>
          <w:szCs w:val="18"/>
        </w:rPr>
        <w:t>Precedence Research. (11 Mar 2026). Biosimilars Market Size, Share and Trends 2026 to 2035.  https://www.precedenceresearch.com/biosimilars-market</w:t>
      </w:r>
    </w:p>
  </w:footnote>
  <w:footnote w:id="67">
    <w:p w14:paraId="5B6517D9" w14:textId="77777777" w:rsidR="007D0805" w:rsidRPr="00432986" w:rsidRDefault="007D0805" w:rsidP="00885795">
      <w:pPr>
        <w:pStyle w:val="FootnoteText"/>
        <w:rPr>
          <w:sz w:val="18"/>
          <w:szCs w:val="18"/>
          <w:lang w:val="en-IE"/>
        </w:rPr>
      </w:pPr>
      <w:r w:rsidRPr="00432986">
        <w:rPr>
          <w:rStyle w:val="FootnoteReference"/>
          <w:sz w:val="18"/>
          <w:szCs w:val="18"/>
        </w:rPr>
        <w:footnoteRef/>
      </w:r>
      <w:r w:rsidRPr="00432986">
        <w:rPr>
          <w:sz w:val="18"/>
          <w:szCs w:val="18"/>
        </w:rPr>
        <w:t xml:space="preserve"> Max Planck Institute for Innovation and Competition (2018), Study on the Legal Aspects of Supplementary Protection Certificates in the EU.</w:t>
      </w:r>
    </w:p>
  </w:footnote>
  <w:footnote w:id="68">
    <w:p w14:paraId="03B1C92A" w14:textId="77777777" w:rsidR="00CD782D" w:rsidRPr="00432986" w:rsidRDefault="00CD782D" w:rsidP="00885795">
      <w:pPr>
        <w:pStyle w:val="FootnoteText"/>
        <w:rPr>
          <w:sz w:val="18"/>
          <w:szCs w:val="18"/>
        </w:rPr>
      </w:pPr>
      <w:r w:rsidRPr="00432986">
        <w:rPr>
          <w:rStyle w:val="FootnoteReference"/>
          <w:sz w:val="18"/>
          <w:szCs w:val="18"/>
        </w:rPr>
        <w:footnoteRef/>
      </w:r>
      <w:r w:rsidRPr="00432986">
        <w:rPr>
          <w:sz w:val="18"/>
          <w:szCs w:val="18"/>
        </w:rPr>
        <w:t xml:space="preserve"> IQVIA. (2024). Assessing the clinical trial ecosystem in Europe: Final report. European Federation of Pharmaceutical Industries and Associations (EFPIA) &amp; Vaccines Europe. https://www.efpia.eu/media/3edpooqp/assessing-the-clinical-trial-ecosystem-in-europe.pdf</w:t>
      </w:r>
    </w:p>
  </w:footnote>
  <w:footnote w:id="69">
    <w:p w14:paraId="62828C2C" w14:textId="77777777" w:rsidR="00CD782D" w:rsidRPr="00432986" w:rsidRDefault="00CD782D" w:rsidP="00885795">
      <w:pPr>
        <w:pStyle w:val="FootnoteText"/>
        <w:rPr>
          <w:sz w:val="18"/>
          <w:szCs w:val="18"/>
          <w:lang w:val="en-US"/>
        </w:rPr>
      </w:pPr>
      <w:r w:rsidRPr="00432986">
        <w:rPr>
          <w:rStyle w:val="FootnoteReference"/>
          <w:sz w:val="18"/>
          <w:szCs w:val="18"/>
        </w:rPr>
        <w:footnoteRef/>
      </w:r>
      <w:r w:rsidRPr="00432986">
        <w:rPr>
          <w:sz w:val="18"/>
          <w:szCs w:val="18"/>
          <w:lang w:val="en-US"/>
        </w:rPr>
        <w:t xml:space="preserve"> </w:t>
      </w:r>
      <w:r w:rsidRPr="00432986">
        <w:rPr>
          <w:sz w:val="18"/>
          <w:szCs w:val="18"/>
          <w:lang w:val="en-IE"/>
        </w:rPr>
        <w:t>Manufacturing investment proxied by regulatory data: Manufacturing and import authorisations (MIAs, i.e. regulatory authorisations issued by national competent authorities allowing the manufacture or import of medicinal products or active substances in the EU) and biological manufacturing sites, as recorded in the EudraGMDP database for biological medicinal products, are used as proxies for manufacturing footprint in the EU. These indicators capture the presence and location of investment but not production volumes or economic value, within globally integrated value chains.</w:t>
      </w:r>
    </w:p>
  </w:footnote>
  <w:footnote w:id="70">
    <w:p w14:paraId="4548680C" w14:textId="3A8E8589" w:rsidR="00CD782D" w:rsidRPr="00432986" w:rsidRDefault="00CD782D" w:rsidP="00885795">
      <w:pPr>
        <w:pStyle w:val="FootnoteText"/>
        <w:rPr>
          <w:sz w:val="18"/>
          <w:szCs w:val="18"/>
          <w:lang w:val="en-US"/>
        </w:rPr>
      </w:pPr>
      <w:r w:rsidRPr="00432986">
        <w:rPr>
          <w:rStyle w:val="FootnoteReference"/>
          <w:sz w:val="18"/>
          <w:szCs w:val="18"/>
        </w:rPr>
        <w:footnoteRef/>
      </w:r>
      <w:r w:rsidRPr="00432986">
        <w:rPr>
          <w:sz w:val="18"/>
          <w:szCs w:val="18"/>
          <w:lang w:val="en-US"/>
        </w:rPr>
        <w:t>https://www.mckinsey.com/industries/life-sciences/our-insights/the-emerging-epicenter-asias-role-in-biopharmas-future?utm_source=chatgpt.com</w:t>
      </w:r>
    </w:p>
  </w:footnote>
  <w:footnote w:id="71">
    <w:p w14:paraId="44F1C270" w14:textId="08A5A174" w:rsidR="00D33434" w:rsidRPr="00432986" w:rsidRDefault="00D33434" w:rsidP="00885795">
      <w:pPr>
        <w:spacing w:after="0"/>
        <w:rPr>
          <w:color w:val="000000"/>
          <w:sz w:val="18"/>
          <w:szCs w:val="18"/>
        </w:rPr>
      </w:pPr>
      <w:r w:rsidRPr="00432986">
        <w:rPr>
          <w:rStyle w:val="FootnoteReference"/>
          <w:sz w:val="18"/>
          <w:szCs w:val="18"/>
        </w:rPr>
        <w:footnoteRef/>
      </w:r>
      <w:r w:rsidRPr="00432986">
        <w:rPr>
          <w:color w:val="000000"/>
          <w:sz w:val="18"/>
          <w:szCs w:val="18"/>
        </w:rPr>
        <w:t xml:space="preserve"> E.g. substances used in food and feed (such as additives, enzymes,</w:t>
      </w:r>
      <w:r w:rsidRPr="00432986">
        <w:rPr>
          <w:sz w:val="18"/>
          <w:szCs w:val="18"/>
        </w:rPr>
        <w:t xml:space="preserve"> </w:t>
      </w:r>
      <w:r w:rsidRPr="00432986">
        <w:rPr>
          <w:color w:val="000000"/>
          <w:sz w:val="18"/>
          <w:szCs w:val="18"/>
        </w:rPr>
        <w:t>flavourings, and nutrient sources), novel foods, food contact materials, genetically modified organisms, plant protection products etc.</w:t>
      </w:r>
    </w:p>
  </w:footnote>
  <w:footnote w:id="72">
    <w:p w14:paraId="436CF818" w14:textId="0FF74BD1" w:rsidR="006B47FD" w:rsidRPr="00E5568D" w:rsidRDefault="006B47FD">
      <w:pPr>
        <w:pStyle w:val="FootnoteText"/>
        <w:rPr>
          <w:sz w:val="18"/>
          <w:szCs w:val="18"/>
          <w:lang w:val="en-IE"/>
        </w:rPr>
      </w:pPr>
      <w:r w:rsidRPr="00432986">
        <w:rPr>
          <w:rStyle w:val="FootnoteReference"/>
          <w:sz w:val="18"/>
          <w:szCs w:val="18"/>
        </w:rPr>
        <w:footnoteRef/>
      </w:r>
      <w:r w:rsidRPr="00432986">
        <w:rPr>
          <w:sz w:val="18"/>
          <w:szCs w:val="18"/>
        </w:rPr>
        <w:t xml:space="preserve"> </w:t>
      </w:r>
      <w:r w:rsidRPr="00E5568D">
        <w:rPr>
          <w:sz w:val="18"/>
          <w:szCs w:val="18"/>
          <w:lang w:val="en-IE"/>
        </w:rPr>
        <w:t>Regulation (EC) No 178/2002, OJ L 31, 1.2.2002, pp. 1–24. </w:t>
      </w:r>
      <w:r w:rsidRPr="00432986">
        <w:rPr>
          <w:sz w:val="18"/>
          <w:szCs w:val="18"/>
          <w:lang w:val="pl-PL"/>
        </w:rPr>
        <w:t>ELI: </w:t>
      </w:r>
      <w:hyperlink r:id="rId26" w:tgtFrame="_blank" w:history="1">
        <w:r w:rsidRPr="00432986">
          <w:rPr>
            <w:rStyle w:val="Hyperlink"/>
            <w:sz w:val="18"/>
            <w:szCs w:val="18"/>
            <w:lang w:val="pl-PL"/>
          </w:rPr>
          <w:t>http://data.europa.eu/eli/reg/2002/178/oj</w:t>
        </w:r>
      </w:hyperlink>
      <w:r w:rsidRPr="00432986">
        <w:rPr>
          <w:sz w:val="18"/>
          <w:szCs w:val="18"/>
          <w:lang w:val="pl-PL"/>
        </w:rPr>
        <w:t>.</w:t>
      </w:r>
      <w:r w:rsidRPr="00E5568D">
        <w:rPr>
          <w:sz w:val="18"/>
          <w:szCs w:val="18"/>
          <w:lang w:val="en-IE"/>
        </w:rPr>
        <w:t> </w:t>
      </w:r>
    </w:p>
  </w:footnote>
  <w:footnote w:id="73">
    <w:p w14:paraId="09BD1C28" w14:textId="77777777" w:rsidR="00D33434" w:rsidRPr="00432986" w:rsidRDefault="00D33434" w:rsidP="00885795">
      <w:pPr>
        <w:pStyle w:val="FootnoteText"/>
        <w:rPr>
          <w:sz w:val="18"/>
          <w:szCs w:val="18"/>
        </w:rPr>
      </w:pPr>
      <w:r w:rsidRPr="00432986">
        <w:rPr>
          <w:rStyle w:val="FootnoteReference"/>
          <w:sz w:val="18"/>
          <w:szCs w:val="18"/>
        </w:rPr>
        <w:footnoteRef/>
      </w:r>
      <w:r w:rsidRPr="00432986">
        <w:rPr>
          <w:sz w:val="18"/>
          <w:szCs w:val="18"/>
        </w:rPr>
        <w:t xml:space="preserve"> </w:t>
      </w:r>
      <w:r w:rsidRPr="004570F2">
        <w:rPr>
          <w:sz w:val="18"/>
        </w:rPr>
        <w:t>GPSA</w:t>
      </w:r>
      <w:r w:rsidRPr="00432986">
        <w:rPr>
          <w:rFonts w:eastAsia="Calibri"/>
          <w:sz w:val="18"/>
          <w:szCs w:val="18"/>
        </w:rPr>
        <w:t xml:space="preserve"> is provided by EFSA, upon request to all applicants (both for new authorisations/approvals and for renewals) at pre-submission phase; this advice is limited by law on the applicable legal framework and the content for an application. </w:t>
      </w:r>
      <w:r w:rsidRPr="004570F2">
        <w:rPr>
          <w:sz w:val="18"/>
        </w:rPr>
        <w:t>RPSA</w:t>
      </w:r>
      <w:r w:rsidRPr="00432986">
        <w:rPr>
          <w:rFonts w:eastAsia="Calibri"/>
          <w:sz w:val="18"/>
          <w:szCs w:val="18"/>
        </w:rPr>
        <w:t xml:space="preserve"> </w:t>
      </w:r>
      <w:r w:rsidRPr="00432986">
        <w:rPr>
          <w:sz w:val="18"/>
          <w:szCs w:val="18"/>
        </w:rPr>
        <w:t xml:space="preserve">is only available to applicants for renewals of </w:t>
      </w:r>
      <w:r w:rsidRPr="00432986">
        <w:rPr>
          <w:rFonts w:eastAsiaTheme="minorHAnsi"/>
          <w:color w:val="000000"/>
          <w:sz w:val="18"/>
          <w:szCs w:val="18"/>
        </w:rPr>
        <w:t>existing authorisations/approvals subject to a notification of intended studies to EFSA, including information on how such studies will be carried out to ensure compliance with regulatory requirements, and following a public consultation carried out by EFSA on the intended studies. This advice can also cover scientific aspects (e.g. studies design)</w:t>
      </w:r>
      <w:r w:rsidRPr="00432986">
        <w:rPr>
          <w:sz w:val="18"/>
          <w:szCs w:val="18"/>
        </w:rPr>
        <w:t>.</w:t>
      </w:r>
    </w:p>
  </w:footnote>
  <w:footnote w:id="74">
    <w:p w14:paraId="07F2AB84" w14:textId="60E58767" w:rsidR="00BA1435" w:rsidRPr="00432986" w:rsidRDefault="00BA1435" w:rsidP="00BA1435">
      <w:pPr>
        <w:pStyle w:val="FootnoteText"/>
        <w:rPr>
          <w:sz w:val="18"/>
          <w:szCs w:val="18"/>
        </w:rPr>
      </w:pPr>
      <w:r w:rsidRPr="00432986">
        <w:rPr>
          <w:rStyle w:val="FootnoteReference"/>
          <w:sz w:val="18"/>
          <w:szCs w:val="18"/>
        </w:rPr>
        <w:footnoteRef/>
      </w:r>
      <w:r w:rsidRPr="00432986">
        <w:rPr>
          <w:sz w:val="18"/>
          <w:szCs w:val="18"/>
        </w:rPr>
        <w:t xml:space="preserve"> Intellera, Ipsos, Tetra Tech, </w:t>
      </w:r>
      <w:r w:rsidRPr="00432986">
        <w:rPr>
          <w:i/>
          <w:sz w:val="18"/>
          <w:szCs w:val="18"/>
        </w:rPr>
        <w:t>Study supporting the Evaluation of the European Food Safety Authority 2017-2024</w:t>
      </w:r>
      <w:r w:rsidRPr="00432986">
        <w:rPr>
          <w:sz w:val="18"/>
          <w:szCs w:val="18"/>
        </w:rPr>
        <w:t xml:space="preserve">, pp. </w:t>
      </w:r>
      <w:r w:rsidR="00E50383" w:rsidRPr="00432986">
        <w:rPr>
          <w:sz w:val="18"/>
          <w:szCs w:val="18"/>
        </w:rPr>
        <w:t>51-52</w:t>
      </w:r>
      <w:r w:rsidR="00C15DED" w:rsidRPr="00432986">
        <w:rPr>
          <w:sz w:val="18"/>
          <w:szCs w:val="18"/>
        </w:rPr>
        <w:t>92, 154-155</w:t>
      </w:r>
      <w:r w:rsidR="00F6541B" w:rsidRPr="00432986">
        <w:rPr>
          <w:sz w:val="18"/>
          <w:szCs w:val="18"/>
        </w:rPr>
        <w:t xml:space="preserve"> </w:t>
      </w:r>
      <w:r w:rsidRPr="00432986">
        <w:rPr>
          <w:sz w:val="18"/>
          <w:szCs w:val="18"/>
        </w:rPr>
        <w:t>(forthcoming).</w:t>
      </w:r>
    </w:p>
  </w:footnote>
  <w:footnote w:id="75">
    <w:p w14:paraId="36EDD95D" w14:textId="3C319330" w:rsidR="00D33434" w:rsidRPr="00432986" w:rsidRDefault="00D33434" w:rsidP="00885795">
      <w:pPr>
        <w:pStyle w:val="FootnoteText"/>
        <w:rPr>
          <w:sz w:val="18"/>
          <w:szCs w:val="18"/>
        </w:rPr>
      </w:pPr>
      <w:r w:rsidRPr="00432986">
        <w:rPr>
          <w:rStyle w:val="FootnoteReference"/>
          <w:sz w:val="18"/>
          <w:szCs w:val="18"/>
        </w:rPr>
        <w:footnoteRef/>
      </w:r>
      <w:r w:rsidRPr="00432986">
        <w:rPr>
          <w:sz w:val="18"/>
          <w:szCs w:val="18"/>
        </w:rPr>
        <w:t xml:space="preserve"> </w:t>
      </w:r>
      <w:r w:rsidR="00F6541B" w:rsidRPr="00432986">
        <w:rPr>
          <w:sz w:val="18"/>
          <w:szCs w:val="18"/>
        </w:rPr>
        <w:t xml:space="preserve"> </w:t>
      </w:r>
      <w:r w:rsidR="00F6541B" w:rsidRPr="00432986">
        <w:rPr>
          <w:i/>
          <w:iCs/>
          <w:sz w:val="18"/>
          <w:szCs w:val="18"/>
        </w:rPr>
        <w:t>Id.</w:t>
      </w:r>
    </w:p>
  </w:footnote>
  <w:footnote w:id="76">
    <w:p w14:paraId="5DB88C6A" w14:textId="77777777" w:rsidR="00D33434" w:rsidRPr="00432986" w:rsidRDefault="00D33434" w:rsidP="00885795">
      <w:pPr>
        <w:pStyle w:val="FootnoteText"/>
        <w:rPr>
          <w:sz w:val="18"/>
          <w:szCs w:val="18"/>
          <w:lang w:val="en-IE"/>
        </w:rPr>
      </w:pPr>
      <w:r w:rsidRPr="00432986">
        <w:rPr>
          <w:rStyle w:val="FootnoteReference"/>
          <w:sz w:val="18"/>
          <w:szCs w:val="18"/>
        </w:rPr>
        <w:footnoteRef/>
      </w:r>
      <w:r w:rsidRPr="00432986">
        <w:rPr>
          <w:sz w:val="18"/>
          <w:szCs w:val="18"/>
        </w:rPr>
        <w:t xml:space="preserve"> </w:t>
      </w:r>
      <w:r w:rsidRPr="00432986">
        <w:rPr>
          <w:rFonts w:eastAsiaTheme="minorHAnsi"/>
          <w:color w:val="000000"/>
          <w:sz w:val="18"/>
          <w:szCs w:val="18"/>
        </w:rPr>
        <w:t>Article 32b of GFL requires applicants of regulated products to notify EFSA during the pre-submission phase of any studies once they are commissioned, without delay, with a view to support a future application dossier. The purpose of this requirement is to ensure that EFSA is aware of all studies performed including those that may result in unfavourable outcomes. In case an unjustified non-compliance with the notification requirement is detected when an application is submitted, the application is considered non-valid; applicants can resubmit, but the validation process may only be initiated six months after the non-compliance is addressed.</w:t>
      </w:r>
    </w:p>
  </w:footnote>
  <w:footnote w:id="77">
    <w:p w14:paraId="1B89BFC3" w14:textId="77777777" w:rsidR="00704495" w:rsidRPr="00432986" w:rsidRDefault="00704495" w:rsidP="00704495">
      <w:pPr>
        <w:pStyle w:val="FootnoteText"/>
        <w:rPr>
          <w:sz w:val="18"/>
          <w:szCs w:val="18"/>
        </w:rPr>
      </w:pPr>
      <w:r w:rsidRPr="00432986">
        <w:rPr>
          <w:rStyle w:val="FootnoteReference"/>
          <w:sz w:val="18"/>
          <w:szCs w:val="18"/>
        </w:rPr>
        <w:footnoteRef/>
      </w:r>
      <w:r w:rsidRPr="00432986">
        <w:rPr>
          <w:sz w:val="18"/>
          <w:szCs w:val="18"/>
        </w:rPr>
        <w:t xml:space="preserve"> Intellera, Ipsos, Tetra Tech, </w:t>
      </w:r>
      <w:r w:rsidRPr="00432986">
        <w:rPr>
          <w:i/>
          <w:sz w:val="18"/>
          <w:szCs w:val="18"/>
        </w:rPr>
        <w:t>Study supporting the Evaluation of the European Food Safety Authority 2017-2024</w:t>
      </w:r>
      <w:r w:rsidRPr="00432986">
        <w:rPr>
          <w:sz w:val="18"/>
          <w:szCs w:val="18"/>
        </w:rPr>
        <w:t xml:space="preserve"> (forthcoming)</w:t>
      </w:r>
    </w:p>
  </w:footnote>
  <w:footnote w:id="78">
    <w:p w14:paraId="056EB512" w14:textId="77777777" w:rsidR="00D33434" w:rsidRPr="00432986" w:rsidRDefault="00D33434" w:rsidP="00885795">
      <w:pPr>
        <w:pStyle w:val="FootnoteText"/>
        <w:rPr>
          <w:sz w:val="18"/>
          <w:szCs w:val="18"/>
        </w:rPr>
      </w:pPr>
      <w:r w:rsidRPr="00432986">
        <w:rPr>
          <w:rStyle w:val="FootnoteReference"/>
          <w:sz w:val="18"/>
          <w:szCs w:val="18"/>
        </w:rPr>
        <w:footnoteRef/>
      </w:r>
      <w:r w:rsidRPr="00432986">
        <w:rPr>
          <w:sz w:val="18"/>
          <w:szCs w:val="18"/>
        </w:rPr>
        <w:t xml:space="preserve"> </w:t>
      </w:r>
      <w:r w:rsidRPr="00432986">
        <w:rPr>
          <w:color w:val="000000"/>
          <w:sz w:val="18"/>
          <w:szCs w:val="18"/>
        </w:rPr>
        <w:t>The members of the Panels/Scientific Committee are appointed for a fixed term and act in their personal capacity (experts). They are supported by EFSA staff, specialised Working Groups, and external contractors. The Scientific Committee, as the highest-ranking group compared with the Panels, promotes consistency and harmonisation in assessment methods across the Panels.</w:t>
      </w:r>
    </w:p>
  </w:footnote>
  <w:footnote w:id="79">
    <w:p w14:paraId="03253375" w14:textId="7C613DE6" w:rsidR="00D33434" w:rsidRPr="00432986" w:rsidRDefault="00D33434" w:rsidP="00885795">
      <w:pPr>
        <w:pStyle w:val="FootnoteText"/>
        <w:rPr>
          <w:sz w:val="18"/>
          <w:szCs w:val="18"/>
          <w:lang w:val="en-IE"/>
        </w:rPr>
      </w:pPr>
      <w:r w:rsidRPr="00432986">
        <w:rPr>
          <w:rStyle w:val="FootnoteReference"/>
          <w:sz w:val="18"/>
          <w:szCs w:val="18"/>
        </w:rPr>
        <w:footnoteRef/>
      </w:r>
      <w:r w:rsidR="0082014D" w:rsidRPr="00432986">
        <w:rPr>
          <w:sz w:val="18"/>
          <w:szCs w:val="18"/>
        </w:rPr>
        <w:t xml:space="preserve"> </w:t>
      </w:r>
      <w:r w:rsidRPr="00432986">
        <w:rPr>
          <w:sz w:val="18"/>
          <w:szCs w:val="18"/>
        </w:rPr>
        <w:t xml:space="preserve">Intellera, Ipsos, Tetra Tech, </w:t>
      </w:r>
      <w:r w:rsidRPr="00432986">
        <w:rPr>
          <w:i/>
          <w:sz w:val="18"/>
          <w:szCs w:val="18"/>
        </w:rPr>
        <w:t>Study supporting the Evaluation of the European Food Safety Authority 2017-2024</w:t>
      </w:r>
      <w:r w:rsidRPr="00432986">
        <w:rPr>
          <w:sz w:val="18"/>
          <w:szCs w:val="18"/>
        </w:rPr>
        <w:t xml:space="preserve"> (forthcoming)</w:t>
      </w:r>
    </w:p>
  </w:footnote>
  <w:footnote w:id="80">
    <w:p w14:paraId="668B0DC8" w14:textId="77B83E20" w:rsidR="003D267A" w:rsidRPr="00432986" w:rsidRDefault="003D267A">
      <w:pPr>
        <w:pStyle w:val="FootnoteText"/>
        <w:rPr>
          <w:sz w:val="18"/>
          <w:szCs w:val="18"/>
        </w:rPr>
      </w:pPr>
      <w:r w:rsidRPr="00432986">
        <w:rPr>
          <w:rStyle w:val="FootnoteReference"/>
          <w:sz w:val="18"/>
          <w:szCs w:val="18"/>
        </w:rPr>
        <w:footnoteRef/>
      </w:r>
      <w:r w:rsidRPr="00432986">
        <w:rPr>
          <w:sz w:val="18"/>
          <w:szCs w:val="18"/>
        </w:rPr>
        <w:t xml:space="preserve"> https://ec.europa.eu/info/law/better-regulation/have-your-say/initiatives/14593-European-Innovation-Act/public-consultation_en</w:t>
      </w:r>
    </w:p>
  </w:footnote>
  <w:footnote w:id="81">
    <w:p w14:paraId="59A88B31" w14:textId="4699B6CA" w:rsidR="00645C30" w:rsidRPr="00432986" w:rsidRDefault="00645C30" w:rsidP="00885795">
      <w:pPr>
        <w:pStyle w:val="FootnoteText"/>
        <w:rPr>
          <w:sz w:val="18"/>
          <w:szCs w:val="18"/>
          <w:lang w:val="en-US"/>
        </w:rPr>
      </w:pPr>
      <w:r w:rsidRPr="00432986">
        <w:rPr>
          <w:rStyle w:val="FootnoteReference"/>
          <w:sz w:val="18"/>
          <w:szCs w:val="18"/>
        </w:rPr>
        <w:footnoteRef/>
      </w:r>
      <w:r w:rsidRPr="00432986">
        <w:rPr>
          <w:sz w:val="18"/>
          <w:szCs w:val="18"/>
          <w:lang w:val="en-US"/>
        </w:rPr>
        <w:t xml:space="preserve"> </w:t>
      </w:r>
      <w:r w:rsidR="00DA486B" w:rsidRPr="00432986">
        <w:rPr>
          <w:sz w:val="18"/>
          <w:szCs w:val="18"/>
          <w:lang w:val="en-US"/>
        </w:rPr>
        <w:t>Analysis</w:t>
      </w:r>
      <w:r w:rsidR="00495F31" w:rsidRPr="00432986">
        <w:rPr>
          <w:sz w:val="18"/>
          <w:szCs w:val="18"/>
          <w:lang w:val="en-US"/>
        </w:rPr>
        <w:t xml:space="preserve"> largely</w:t>
      </w:r>
      <w:r w:rsidR="00DA486B" w:rsidRPr="00432986">
        <w:rPr>
          <w:sz w:val="18"/>
          <w:szCs w:val="18"/>
          <w:lang w:val="en-US"/>
        </w:rPr>
        <w:t xml:space="preserve"> based on</w:t>
      </w:r>
      <w:r w:rsidRPr="00432986">
        <w:rPr>
          <w:sz w:val="18"/>
          <w:szCs w:val="18"/>
          <w:lang w:val="en-US"/>
        </w:rPr>
        <w:t xml:space="preserve"> </w:t>
      </w:r>
      <w:r w:rsidR="001B1EC9" w:rsidRPr="00432986">
        <w:rPr>
          <w:sz w:val="18"/>
          <w:szCs w:val="18"/>
          <w:lang w:val="en-US"/>
        </w:rPr>
        <w:t>Rapid Assessment Scenario Study</w:t>
      </w:r>
      <w:r w:rsidR="00CB6F24" w:rsidRPr="00432986">
        <w:rPr>
          <w:sz w:val="18"/>
          <w:szCs w:val="18"/>
          <w:lang w:val="en-US"/>
        </w:rPr>
        <w:t xml:space="preserve"> - forthcoming</w:t>
      </w:r>
    </w:p>
  </w:footnote>
  <w:footnote w:id="82">
    <w:p w14:paraId="3F4A949D" w14:textId="77777777" w:rsidR="00DA52B5" w:rsidRPr="00432986" w:rsidRDefault="00DA52B5" w:rsidP="00885795">
      <w:pPr>
        <w:pStyle w:val="FootnoteText"/>
        <w:rPr>
          <w:rFonts w:eastAsia="Arial"/>
          <w:sz w:val="18"/>
          <w:szCs w:val="18"/>
        </w:rPr>
      </w:pPr>
      <w:r w:rsidRPr="00432986">
        <w:rPr>
          <w:rStyle w:val="FootnoteReference"/>
          <w:sz w:val="18"/>
          <w:szCs w:val="18"/>
        </w:rPr>
        <w:footnoteRef/>
      </w:r>
      <w:r w:rsidRPr="00432986">
        <w:rPr>
          <w:rFonts w:eastAsia="Arial"/>
          <w:sz w:val="18"/>
          <w:szCs w:val="18"/>
          <w:lang w:val="it-IT"/>
        </w:rPr>
        <w:t xml:space="preserve"> SANTE-SoHO/D2 - European Commission. </w:t>
      </w:r>
      <w:r w:rsidRPr="00432986">
        <w:rPr>
          <w:rFonts w:eastAsia="Arial"/>
          <w:sz w:val="18"/>
          <w:szCs w:val="18"/>
        </w:rPr>
        <w:t>(2026).</w:t>
      </w:r>
      <w:r w:rsidRPr="00432986">
        <w:rPr>
          <w:sz w:val="18"/>
          <w:szCs w:val="18"/>
        </w:rPr>
        <w:t xml:space="preserve"> </w:t>
      </w:r>
      <w:r w:rsidRPr="00432986">
        <w:rPr>
          <w:rFonts w:eastAsia="Arial"/>
          <w:i/>
          <w:sz w:val="18"/>
          <w:szCs w:val="18"/>
        </w:rPr>
        <w:t>Introducing “organ processing” into directive 2010/53/EU</w:t>
      </w:r>
      <w:r w:rsidRPr="00432986">
        <w:rPr>
          <w:rFonts w:eastAsia="Arial"/>
          <w:sz w:val="18"/>
          <w:szCs w:val="18"/>
        </w:rPr>
        <w:t xml:space="preserve"> [Unpublished slideshow].</w:t>
      </w:r>
    </w:p>
  </w:footnote>
  <w:footnote w:id="83">
    <w:p w14:paraId="21C7AD8F" w14:textId="16BB8987" w:rsidR="00483B61" w:rsidRPr="00432986" w:rsidRDefault="00483B61">
      <w:pPr>
        <w:pStyle w:val="FootnoteText"/>
        <w:rPr>
          <w:sz w:val="18"/>
          <w:szCs w:val="18"/>
          <w:lang w:val="en-IE"/>
        </w:rPr>
      </w:pPr>
      <w:r w:rsidRPr="00432986">
        <w:rPr>
          <w:rStyle w:val="FootnoteReference"/>
          <w:sz w:val="18"/>
          <w:szCs w:val="18"/>
        </w:rPr>
        <w:footnoteRef/>
      </w:r>
      <w:r w:rsidRPr="00432986">
        <w:rPr>
          <w:sz w:val="18"/>
          <w:szCs w:val="18"/>
        </w:rPr>
        <w:t xml:space="preserve"> under the Council of Europe Convention on Human Rights and Biomedicine (ETS No. 164), with its Additional Protocol Concerning Transplantation of Organs and Tissues of Human Origin (ETS No. 186)</w:t>
      </w:r>
    </w:p>
  </w:footnote>
  <w:footnote w:id="84">
    <w:p w14:paraId="0C885F41" w14:textId="77777777" w:rsidR="00DA52B5" w:rsidRPr="00432986" w:rsidRDefault="00DA52B5" w:rsidP="00885795">
      <w:pPr>
        <w:pStyle w:val="FootnoteText"/>
        <w:rPr>
          <w:sz w:val="18"/>
          <w:szCs w:val="18"/>
        </w:rPr>
      </w:pPr>
      <w:r w:rsidRPr="00432986">
        <w:rPr>
          <w:rStyle w:val="FootnoteReference"/>
          <w:sz w:val="18"/>
          <w:szCs w:val="18"/>
        </w:rPr>
        <w:footnoteRef/>
      </w:r>
      <w:r w:rsidRPr="00432986">
        <w:rPr>
          <w:sz w:val="18"/>
          <w:szCs w:val="18"/>
        </w:rPr>
        <w:t xml:space="preserve"> European Commission. (2012). </w:t>
      </w:r>
      <w:r w:rsidRPr="00432986">
        <w:rPr>
          <w:i/>
          <w:sz w:val="18"/>
          <w:szCs w:val="18"/>
        </w:rPr>
        <w:t xml:space="preserve">Directive 2012/25/EU of 9 October 2012 laying down information procedures for the exchange, between Member States, of human organs intended for transplantation. </w:t>
      </w:r>
      <w:hyperlink r:id="rId27" w:history="1">
        <w:r w:rsidRPr="00432986">
          <w:rPr>
            <w:rStyle w:val="Hyperlink"/>
            <w:sz w:val="18"/>
            <w:szCs w:val="18"/>
          </w:rPr>
          <w:t>https://eur-lex.europa.eu/legal-content/EN/TXT/PDF/?uri=CELEX:32012L0025&amp;from=EN</w:t>
        </w:r>
      </w:hyperlink>
      <w:r w:rsidRPr="00432986">
        <w:rPr>
          <w:sz w:val="18"/>
          <w:szCs w:val="18"/>
        </w:rPr>
        <w:t xml:space="preserve"> </w:t>
      </w:r>
    </w:p>
  </w:footnote>
  <w:footnote w:id="85">
    <w:p w14:paraId="0BEAFECB" w14:textId="77777777" w:rsidR="00F426E5" w:rsidRPr="00432986" w:rsidRDefault="00F426E5" w:rsidP="00F426E5">
      <w:pPr>
        <w:pStyle w:val="FootnoteText"/>
        <w:rPr>
          <w:sz w:val="18"/>
          <w:szCs w:val="18"/>
          <w:lang w:val="en-IE"/>
        </w:rPr>
      </w:pPr>
      <w:r w:rsidRPr="00432986">
        <w:rPr>
          <w:rStyle w:val="FootnoteReference"/>
          <w:sz w:val="18"/>
          <w:szCs w:val="18"/>
        </w:rPr>
        <w:footnoteRef/>
      </w:r>
      <w:r w:rsidRPr="00432986">
        <w:rPr>
          <w:sz w:val="18"/>
          <w:szCs w:val="18"/>
          <w:lang w:val="en-IE"/>
        </w:rPr>
        <w:t xml:space="preserve"> See Rapid Assessment Scenario Study</w:t>
      </w:r>
    </w:p>
  </w:footnote>
  <w:footnote w:id="86">
    <w:p w14:paraId="1B1F1DB8" w14:textId="59C89DBC" w:rsidR="00D105CF" w:rsidRPr="00432986" w:rsidRDefault="00D105CF">
      <w:pPr>
        <w:pStyle w:val="FootnoteText"/>
        <w:rPr>
          <w:sz w:val="18"/>
          <w:szCs w:val="18"/>
        </w:rPr>
      </w:pPr>
      <w:r w:rsidRPr="00432986">
        <w:rPr>
          <w:rStyle w:val="FootnoteReference"/>
          <w:sz w:val="18"/>
          <w:szCs w:val="18"/>
        </w:rPr>
        <w:footnoteRef/>
      </w:r>
      <w:r w:rsidRPr="00432986">
        <w:rPr>
          <w:sz w:val="18"/>
          <w:szCs w:val="18"/>
        </w:rPr>
        <w:t xml:space="preserve"> Consolidated text: Regulation (EU) 2024/1938 of the European Parliament and of the Council of 13 June 2024 on standards of quality and safety for substances of human origin intended for human application and repealing Directives 2002/98/EC and 2004/23/EC</w:t>
      </w:r>
      <w:r w:rsidR="00BE5BB7" w:rsidRPr="00432986">
        <w:rPr>
          <w:sz w:val="18"/>
          <w:szCs w:val="18"/>
        </w:rPr>
        <w:t>. ELI: </w:t>
      </w:r>
      <w:hyperlink r:id="rId28" w:tooltip="Gives access to this document through its ELI URI." w:history="1">
        <w:r w:rsidR="00BE5BB7" w:rsidRPr="00432986">
          <w:rPr>
            <w:rStyle w:val="Hyperlink"/>
            <w:sz w:val="18"/>
            <w:szCs w:val="18"/>
          </w:rPr>
          <w:t>http://data.europa.eu/eli/reg/2024/1938/2024-07-17</w:t>
        </w:r>
      </w:hyperlink>
    </w:p>
  </w:footnote>
  <w:footnote w:id="87">
    <w:p w14:paraId="66BAFCA1" w14:textId="77777777" w:rsidR="00DA52B5" w:rsidRPr="00432986" w:rsidRDefault="00DA52B5" w:rsidP="00885795">
      <w:pPr>
        <w:pStyle w:val="FootnoteText"/>
        <w:rPr>
          <w:sz w:val="18"/>
          <w:szCs w:val="18"/>
        </w:rPr>
      </w:pPr>
      <w:r w:rsidRPr="00432986">
        <w:rPr>
          <w:rStyle w:val="FootnoteReference"/>
          <w:sz w:val="18"/>
          <w:szCs w:val="18"/>
        </w:rPr>
        <w:footnoteRef/>
      </w:r>
      <w:r w:rsidRPr="00432986">
        <w:rPr>
          <w:rFonts w:eastAsia="Arial"/>
          <w:sz w:val="18"/>
          <w:szCs w:val="18"/>
        </w:rPr>
        <w:t xml:space="preserve"> See proposed Article 6a of the amended Directive 2010/53/EU, in COM(2025) 1031 final, Article 2.</w:t>
      </w:r>
    </w:p>
  </w:footnote>
  <w:footnote w:id="88">
    <w:p w14:paraId="4B3B599A" w14:textId="0D19B83B" w:rsidR="008E2C0F" w:rsidRPr="00432986" w:rsidRDefault="008E2C0F" w:rsidP="00885795">
      <w:pPr>
        <w:pStyle w:val="FootnoteText"/>
        <w:rPr>
          <w:sz w:val="18"/>
          <w:szCs w:val="18"/>
        </w:rPr>
      </w:pPr>
      <w:r w:rsidRPr="00432986">
        <w:rPr>
          <w:rStyle w:val="FootnoteReference"/>
          <w:sz w:val="18"/>
          <w:szCs w:val="18"/>
        </w:rPr>
        <w:footnoteRef/>
      </w:r>
      <w:r w:rsidRPr="00432986">
        <w:rPr>
          <w:sz w:val="18"/>
          <w:szCs w:val="18"/>
        </w:rPr>
        <w:t xml:space="preserve"> </w:t>
      </w:r>
      <w:r w:rsidR="00DB5013" w:rsidRPr="00432986">
        <w:rPr>
          <w:sz w:val="18"/>
          <w:szCs w:val="18"/>
          <w:lang w:val="en-US"/>
        </w:rPr>
        <w:t>Rapid Assessment Scenarios study,</w:t>
      </w:r>
      <w:r w:rsidR="00DB5013" w:rsidRPr="004570F2">
        <w:rPr>
          <w:sz w:val="18"/>
          <w:lang w:val="en-US"/>
        </w:rPr>
        <w:t xml:space="preserve"> forthcoming</w:t>
      </w:r>
      <w:r w:rsidR="00C117FA" w:rsidRPr="00432986">
        <w:rPr>
          <w:sz w:val="18"/>
          <w:szCs w:val="18"/>
        </w:rPr>
        <w:t>.</w:t>
      </w:r>
    </w:p>
  </w:footnote>
  <w:footnote w:id="89">
    <w:p w14:paraId="46AE0E5C" w14:textId="77777777" w:rsidR="00CD3A79" w:rsidRPr="00432986" w:rsidRDefault="00CD3A79" w:rsidP="00885795">
      <w:pPr>
        <w:pStyle w:val="FootnoteText"/>
        <w:rPr>
          <w:rFonts w:eastAsia="Times New Roman"/>
          <w:color w:val="353332"/>
          <w:sz w:val="18"/>
          <w:szCs w:val="18"/>
        </w:rPr>
      </w:pPr>
      <w:r w:rsidRPr="00432986">
        <w:rPr>
          <w:rStyle w:val="FootnoteReference"/>
          <w:sz w:val="18"/>
          <w:szCs w:val="18"/>
        </w:rPr>
        <w:footnoteRef/>
      </w:r>
      <w:r w:rsidRPr="00432986">
        <w:rPr>
          <w:sz w:val="18"/>
          <w:szCs w:val="18"/>
        </w:rPr>
        <w:t xml:space="preserve"> </w:t>
      </w:r>
      <w:r w:rsidRPr="00432986">
        <w:rPr>
          <w:sz w:val="18"/>
          <w:szCs w:val="18"/>
          <w:lang w:val="en-IE"/>
        </w:rPr>
        <w:t xml:space="preserve">That principle is based on the premise that human health, animal health, plant health and, where relevant, the environment are better protected where the burden of proof is on the applicant since it has to prove that the subject matter of its application is safe prior to its placing on the market, instead of the public authorities having to prove that the subject matter is unsafe in order to be able to ban it from the market. </w:t>
      </w:r>
      <w:r w:rsidRPr="00432986">
        <w:rPr>
          <w:sz w:val="18"/>
          <w:szCs w:val="18"/>
        </w:rPr>
        <w:t>Moreover, public money should not be used to commission costly studies (several thousand to several million Euros) that will eventually help the industry to place a product on the market. This principle remains valid.</w:t>
      </w:r>
    </w:p>
  </w:footnote>
  <w:footnote w:id="90">
    <w:p w14:paraId="1E69B358" w14:textId="5F89B41C" w:rsidR="00CD3A79" w:rsidRPr="00432986" w:rsidRDefault="00CD3A79" w:rsidP="00885795">
      <w:pPr>
        <w:pStyle w:val="FootnoteText"/>
        <w:rPr>
          <w:sz w:val="18"/>
          <w:szCs w:val="18"/>
          <w:lang w:val="en-IE"/>
        </w:rPr>
      </w:pPr>
      <w:r w:rsidRPr="00432986">
        <w:rPr>
          <w:rStyle w:val="FootnoteReference"/>
          <w:sz w:val="18"/>
          <w:szCs w:val="18"/>
        </w:rPr>
        <w:footnoteRef/>
      </w:r>
      <w:r w:rsidRPr="00432986">
        <w:rPr>
          <w:sz w:val="18"/>
          <w:szCs w:val="18"/>
        </w:rPr>
        <w:t xml:space="preserve"> </w:t>
      </w:r>
      <w:r w:rsidRPr="00432986">
        <w:rPr>
          <w:sz w:val="18"/>
          <w:szCs w:val="18"/>
          <w:lang w:val="en-IE"/>
        </w:rPr>
        <w:t>The Commission’s 2024 evaluation of additives for use in animal nutrition indicates that third-country authorities in Chile, Canada and China reportedly use EU data as a reference in their procedures, and EU authorisation is described as helping to fast</w:t>
      </w:r>
      <w:r w:rsidRPr="00432986">
        <w:rPr>
          <w:sz w:val="18"/>
          <w:szCs w:val="18"/>
          <w:lang w:val="en-IE"/>
        </w:rPr>
        <w:noBreakHyphen/>
        <w:t xml:space="preserve">track registrations in parts of Southeast Asia and Africa. See </w:t>
      </w:r>
      <w:hyperlink r:id="rId29" w:history="1">
        <w:r w:rsidR="00C30E1A" w:rsidRPr="00432986">
          <w:rPr>
            <w:rStyle w:val="Hyperlink"/>
            <w:sz w:val="18"/>
            <w:szCs w:val="18"/>
            <w:lang w:val="en-IE"/>
          </w:rPr>
          <w:t>https://food.ec.europa.eu/document/download/e2029994-aa27-49f0-9ab6-18cfa81e29fe_en?filename=animal-feed_additives_eval-legis_reg-2003-429_swd_2024-46.pdf</w:t>
        </w:r>
      </w:hyperlink>
      <w:r w:rsidR="00C30E1A" w:rsidRPr="00432986">
        <w:rPr>
          <w:sz w:val="18"/>
          <w:szCs w:val="18"/>
          <w:lang w:val="en-IE"/>
        </w:rPr>
        <w:t>.</w:t>
      </w:r>
    </w:p>
  </w:footnote>
  <w:footnote w:id="91">
    <w:p w14:paraId="4015ECC2" w14:textId="4640918E" w:rsidR="006B2B8C" w:rsidRPr="00432986" w:rsidRDefault="006B2B8C" w:rsidP="00C117FA">
      <w:pPr>
        <w:pStyle w:val="FootnoteText"/>
        <w:rPr>
          <w:sz w:val="18"/>
          <w:szCs w:val="18"/>
        </w:rPr>
      </w:pPr>
      <w:r w:rsidRPr="00432986">
        <w:rPr>
          <w:rStyle w:val="FootnoteReference"/>
          <w:sz w:val="18"/>
          <w:szCs w:val="18"/>
        </w:rPr>
        <w:footnoteRef/>
      </w:r>
      <w:r w:rsidRPr="00432986">
        <w:rPr>
          <w:sz w:val="18"/>
          <w:szCs w:val="18"/>
        </w:rPr>
        <w:t xml:space="preserve"> </w:t>
      </w:r>
      <w:r w:rsidRPr="00432986">
        <w:rPr>
          <w:i/>
          <w:sz w:val="18"/>
          <w:szCs w:val="18"/>
        </w:rPr>
        <w:t>E.g.</w:t>
      </w:r>
      <w:r w:rsidRPr="00432986">
        <w:rPr>
          <w:sz w:val="18"/>
          <w:szCs w:val="18"/>
        </w:rPr>
        <w:t xml:space="preserve"> </w:t>
      </w:r>
      <w:r w:rsidRPr="00432986">
        <w:rPr>
          <w:sz w:val="18"/>
          <w:szCs w:val="18"/>
          <w:lang w:val="en-US"/>
        </w:rPr>
        <w:t>EFSA targeted calls for expressions of interest for SMEs seeking pre-submission advice in the area of novel foods in 2024 and 2025 as well as fast tracking of general pre-submission advice for SMs. See also</w:t>
      </w:r>
      <w:r w:rsidR="00F53E14" w:rsidRPr="00432986">
        <w:rPr>
          <w:sz w:val="18"/>
          <w:szCs w:val="18"/>
          <w:lang w:val="en-US"/>
        </w:rPr>
        <w:t xml:space="preserve"> </w:t>
      </w:r>
      <w:hyperlink r:id="rId30" w:history="1">
        <w:r w:rsidR="00F53E14" w:rsidRPr="00432986">
          <w:rPr>
            <w:rStyle w:val="Hyperlink"/>
            <w:sz w:val="18"/>
            <w:szCs w:val="18"/>
          </w:rPr>
          <w:t>https://www.efsa.europa.eu/en/applications/about/services/sme</w:t>
        </w:r>
      </w:hyperlink>
      <w:r w:rsidR="00F53E14" w:rsidRPr="00432986">
        <w:rPr>
          <w:sz w:val="18"/>
          <w:szCs w:val="18"/>
        </w:rPr>
        <w:t>.</w:t>
      </w:r>
    </w:p>
  </w:footnote>
  <w:footnote w:id="92">
    <w:p w14:paraId="6F42E3E3" w14:textId="1E9C8890" w:rsidR="00BC51E6" w:rsidRPr="00432986" w:rsidRDefault="00BC51E6" w:rsidP="00C117FA">
      <w:pPr>
        <w:pStyle w:val="FootnoteText"/>
        <w:rPr>
          <w:sz w:val="18"/>
          <w:szCs w:val="18"/>
        </w:rPr>
      </w:pPr>
      <w:r w:rsidRPr="00432986">
        <w:rPr>
          <w:rStyle w:val="FootnoteReference"/>
          <w:sz w:val="18"/>
          <w:szCs w:val="18"/>
        </w:rPr>
        <w:footnoteRef/>
      </w:r>
      <w:r w:rsidRPr="00432986">
        <w:rPr>
          <w:sz w:val="18"/>
          <w:szCs w:val="18"/>
        </w:rPr>
        <w:t xml:space="preserve"> </w:t>
      </w:r>
      <w:r w:rsidR="00335D2D" w:rsidRPr="00432986">
        <w:rPr>
          <w:i/>
          <w:sz w:val="18"/>
          <w:szCs w:val="18"/>
        </w:rPr>
        <w:t>E.g.</w:t>
      </w:r>
      <w:r w:rsidR="00335D2D" w:rsidRPr="00432986">
        <w:rPr>
          <w:sz w:val="18"/>
          <w:szCs w:val="18"/>
        </w:rPr>
        <w:t xml:space="preserve"> </w:t>
      </w:r>
      <w:r w:rsidR="00335D2D" w:rsidRPr="00432986">
        <w:rPr>
          <w:sz w:val="18"/>
          <w:szCs w:val="18"/>
          <w:lang w:val="en-US"/>
        </w:rPr>
        <w:t>the Small Business Act for Europe (SBA) in 2008 or the Regulatory Fitness and Performance Programme (REFIT).</w:t>
      </w:r>
    </w:p>
  </w:footnote>
  <w:footnote w:id="93">
    <w:p w14:paraId="5811FB3A" w14:textId="77777777" w:rsidR="002E24BA" w:rsidRPr="00432986" w:rsidRDefault="00CD3A79" w:rsidP="00C117FA">
      <w:pPr>
        <w:pStyle w:val="FootnoteText"/>
        <w:rPr>
          <w:sz w:val="18"/>
          <w:szCs w:val="18"/>
        </w:rPr>
      </w:pPr>
      <w:r w:rsidRPr="00432986">
        <w:rPr>
          <w:rStyle w:val="FootnoteReference"/>
          <w:sz w:val="18"/>
          <w:szCs w:val="18"/>
        </w:rPr>
        <w:footnoteRef/>
      </w:r>
    </w:p>
    <w:p w14:paraId="5FB8D6A9" w14:textId="552F99F5" w:rsidR="00CD3A79" w:rsidRPr="00432986" w:rsidRDefault="0099454E" w:rsidP="00C117FA">
      <w:pPr>
        <w:pStyle w:val="FootnoteText"/>
        <w:rPr>
          <w:sz w:val="18"/>
          <w:szCs w:val="18"/>
        </w:rPr>
      </w:pPr>
      <w:r w:rsidRPr="00432986">
        <w:rPr>
          <w:sz w:val="18"/>
          <w:szCs w:val="18"/>
        </w:rPr>
        <w:t xml:space="preserve"> </w:t>
      </w:r>
      <w:r w:rsidR="00F53E14" w:rsidRPr="00432986">
        <w:rPr>
          <w:sz w:val="18"/>
          <w:szCs w:val="18"/>
        </w:rPr>
        <w:t xml:space="preserve">See at: </w:t>
      </w:r>
      <w:hyperlink r:id="rId31" w:history="1">
        <w:r w:rsidRPr="00432986">
          <w:rPr>
            <w:rStyle w:val="Hyperlink"/>
            <w:sz w:val="18"/>
            <w:szCs w:val="18"/>
          </w:rPr>
          <w:t>https://food.ec.europa.eu/document/download/fcfe7958-72ab-47b6-8b38-0c5473bde0da_en?filename=gfl_fitc_comm_staff_work_doc_2018_part1_en.pdf</w:t>
        </w:r>
      </w:hyperlink>
      <w:r w:rsidR="00F53E14" w:rsidRPr="00432986">
        <w:rPr>
          <w:sz w:val="18"/>
          <w:szCs w:val="18"/>
        </w:rPr>
        <w:t xml:space="preserve">. </w:t>
      </w:r>
    </w:p>
  </w:footnote>
  <w:footnote w:id="94">
    <w:p w14:paraId="2C1AA69C" w14:textId="73ABA884" w:rsidR="00853539" w:rsidRPr="00432986" w:rsidRDefault="00CD3A79" w:rsidP="00C117FA">
      <w:pPr>
        <w:pStyle w:val="FootnoteText"/>
        <w:rPr>
          <w:sz w:val="18"/>
          <w:szCs w:val="18"/>
          <w:lang w:val="en-IE"/>
        </w:rPr>
      </w:pPr>
      <w:r w:rsidRPr="00432986">
        <w:rPr>
          <w:rStyle w:val="FootnoteReference"/>
          <w:sz w:val="18"/>
          <w:szCs w:val="18"/>
        </w:rPr>
        <w:footnoteRef/>
      </w:r>
      <w:r w:rsidRPr="00432986">
        <w:rPr>
          <w:sz w:val="18"/>
          <w:szCs w:val="18"/>
        </w:rPr>
        <w:t xml:space="preserve"> In the context of the REFIT Evaluation of General Food Law (2018), it was found that the systematic application of the risk analysis principle – with EFSA performing the EU risk assessment – across EU food law, provided a </w:t>
      </w:r>
      <w:r w:rsidRPr="00432986">
        <w:rPr>
          <w:rFonts w:eastAsia="Palatino Linotype"/>
          <w:color w:val="191919" w:themeColor="text1" w:themeTint="E6"/>
          <w:sz w:val="18"/>
          <w:szCs w:val="18"/>
        </w:rPr>
        <w:t xml:space="preserve">comparative advantage for EU manufacturers. For example, foods accompanied by a health claim approved on scientific grounds (EFSA’s positive assessment) provides a higher marketing value and create long term consumer trust on the food chain vis-à-vis other unsubstantiated claims on foods in other markets that do not require scientific grounds for their authorisation. See at: </w:t>
      </w:r>
      <w:hyperlink r:id="rId32" w:history="1">
        <w:r w:rsidRPr="00432986">
          <w:rPr>
            <w:rStyle w:val="Hyperlink"/>
            <w:sz w:val="18"/>
            <w:szCs w:val="18"/>
          </w:rPr>
          <w:t>https://food.ec.europa.eu/document/download/fcfe7958-72ab-47b6-8b38-0c5473bde0da_en?filename=gfl_fitc_comm_staff_work_doc_2018_part1_en.pdf</w:t>
        </w:r>
      </w:hyperlink>
      <w:r w:rsidRPr="00432986">
        <w:rPr>
          <w:sz w:val="18"/>
          <w:szCs w:val="18"/>
        </w:rPr>
        <w:t>. This was also confirmed in the 2016 Competitiveness Study performed by DG GROW, to be found at:</w:t>
      </w:r>
      <w:hyperlink r:id="rId33" w:history="1">
        <w:r w:rsidR="0099454E" w:rsidRPr="00432986">
          <w:rPr>
            <w:rStyle w:val="Hyperlink"/>
            <w:sz w:val="18"/>
            <w:szCs w:val="18"/>
          </w:rPr>
          <w:t>https://www.gpp.pt/images/Agricultura/Organizacao_da_Producao_e_Cadeia_Alimentar/CompetpositEuropfooddrinkindustFR.pdf</w:t>
        </w:r>
      </w:hyperlink>
      <w:r w:rsidR="008B5A87" w:rsidRPr="00432986">
        <w:rPr>
          <w:sz w:val="18"/>
          <w:szCs w:val="18"/>
        </w:rPr>
        <w:t xml:space="preserve">; </w:t>
      </w:r>
      <w:r w:rsidRPr="00432986">
        <w:rPr>
          <w:sz w:val="18"/>
          <w:szCs w:val="18"/>
        </w:rPr>
        <w:t xml:space="preserve">These findings have also been reconfirmed by </w:t>
      </w:r>
      <w:r w:rsidRPr="00432986">
        <w:rPr>
          <w:sz w:val="18"/>
          <w:szCs w:val="18"/>
          <w:lang w:val="en-IE"/>
        </w:rPr>
        <w:t xml:space="preserve">Intellera et al. (2025): Study supporting the Evaluation of the European Food Safety Authority 2017-2024 </w:t>
      </w:r>
      <w:r w:rsidR="00853539" w:rsidRPr="00432986">
        <w:rPr>
          <w:sz w:val="18"/>
          <w:szCs w:val="18"/>
          <w:lang w:val="en-IE"/>
        </w:rPr>
        <w:t>(</w:t>
      </w:r>
      <w:r w:rsidR="00755BAD" w:rsidRPr="00432986">
        <w:rPr>
          <w:sz w:val="18"/>
          <w:szCs w:val="18"/>
          <w:lang w:val="en-IE"/>
        </w:rPr>
        <w:t>forthcoming</w:t>
      </w:r>
      <w:r w:rsidR="00853539" w:rsidRPr="00432986">
        <w:rPr>
          <w:sz w:val="18"/>
          <w:szCs w:val="18"/>
          <w:lang w:val="en-IE"/>
        </w:rPr>
        <w:t>).</w:t>
      </w:r>
    </w:p>
    <w:p w14:paraId="575A2A19" w14:textId="4E00F4E6" w:rsidR="00B7403B" w:rsidRPr="00432986" w:rsidRDefault="00CD3A79" w:rsidP="00C117FA">
      <w:pPr>
        <w:pStyle w:val="FootnoteText"/>
        <w:rPr>
          <w:sz w:val="18"/>
          <w:szCs w:val="18"/>
        </w:rPr>
      </w:pPr>
      <w:bookmarkStart w:id="237" w:name="_Hlk230628033"/>
      <w:r w:rsidRPr="00432986">
        <w:rPr>
          <w:sz w:val="18"/>
          <w:szCs w:val="18"/>
        </w:rPr>
        <w:t xml:space="preserve">Similarly, sectoral </w:t>
      </w:r>
      <w:bookmarkEnd w:id="237"/>
      <w:r w:rsidRPr="00432986">
        <w:rPr>
          <w:sz w:val="18"/>
          <w:szCs w:val="18"/>
        </w:rPr>
        <w:t xml:space="preserve">evaluations of EU legislation regarding pre-market authorisations have reached the same conclusion, see </w:t>
      </w:r>
      <w:hyperlink r:id="rId34" w:history="1">
        <w:r w:rsidR="00B7403B" w:rsidRPr="00432986">
          <w:rPr>
            <w:rStyle w:val="Hyperlink"/>
            <w:sz w:val="18"/>
            <w:szCs w:val="18"/>
            <w:lang w:val="en-IE"/>
          </w:rPr>
          <w:t>https://food.ec.europa.eu/document/download/e2029994-aa27-49f0-9ab6-18cfa81e29fe_en?filename=animal-feed_additives_eval-legis_reg-2003-429_swd_2024-46.pdf</w:t>
        </w:r>
      </w:hyperlink>
      <w:r w:rsidR="00B7403B" w:rsidRPr="00432986">
        <w:rPr>
          <w:sz w:val="18"/>
          <w:szCs w:val="18"/>
          <w:lang w:val="en-IE"/>
        </w:rPr>
        <w:t>/.</w:t>
      </w:r>
    </w:p>
    <w:p w14:paraId="44DFCC1E" w14:textId="42051096" w:rsidR="00CD3A79" w:rsidRPr="00432986" w:rsidRDefault="00CD3A79" w:rsidP="00885795">
      <w:pPr>
        <w:pStyle w:val="FootnoteText"/>
        <w:rPr>
          <w:sz w:val="18"/>
          <w:szCs w:val="18"/>
        </w:rPr>
      </w:pPr>
      <w:r w:rsidRPr="00432986">
        <w:rPr>
          <w:sz w:val="18"/>
          <w:szCs w:val="18"/>
        </w:rPr>
        <w:t>.</w:t>
      </w:r>
    </w:p>
  </w:footnote>
  <w:footnote w:id="95">
    <w:p w14:paraId="58A671E4" w14:textId="77777777" w:rsidR="00CD3A79" w:rsidRPr="00432986" w:rsidRDefault="00CD3A79" w:rsidP="00885795">
      <w:pPr>
        <w:pStyle w:val="FootnoteText"/>
        <w:rPr>
          <w:sz w:val="18"/>
          <w:szCs w:val="18"/>
          <w:lang w:val="en-IE"/>
        </w:rPr>
      </w:pPr>
      <w:r w:rsidRPr="00432986">
        <w:rPr>
          <w:rStyle w:val="FootnoteReference"/>
          <w:sz w:val="18"/>
          <w:szCs w:val="18"/>
        </w:rPr>
        <w:footnoteRef/>
      </w:r>
      <w:r w:rsidRPr="00432986">
        <w:rPr>
          <w:sz w:val="18"/>
          <w:szCs w:val="18"/>
        </w:rPr>
        <w:t xml:space="preserve"> </w:t>
      </w:r>
      <w:r w:rsidRPr="00432986">
        <w:rPr>
          <w:sz w:val="18"/>
          <w:szCs w:val="18"/>
          <w:lang w:val="en-IE"/>
        </w:rPr>
        <w:t xml:space="preserve">For example, the removal of plant protection products from the EU market which do not meet the safety criteria set out in the EU legislation have provided incentives for the development of more innovative products that better protect public health and have equivalent or better efficacy. See REFIT Evaluation of General Food Law (2018) at: </w:t>
      </w:r>
      <w:hyperlink r:id="rId35" w:history="1">
        <w:r w:rsidRPr="00432986">
          <w:rPr>
            <w:rStyle w:val="Hyperlink"/>
            <w:sz w:val="18"/>
            <w:szCs w:val="18"/>
          </w:rPr>
          <w:t>https://food.ec.europa.eu/document/download/fcfe7958-72ab-47b6-8b38-0c5473bde0da_en?filename=gfl_fitc_comm_staff_work_doc_2018_part1_en.pdf</w:t>
        </w:r>
      </w:hyperlink>
      <w:r w:rsidRPr="00432986">
        <w:rPr>
          <w:sz w:val="18"/>
          <w:szCs w:val="18"/>
        </w:rPr>
        <w:t>.</w:t>
      </w:r>
    </w:p>
  </w:footnote>
  <w:footnote w:id="96">
    <w:p w14:paraId="046C0D40" w14:textId="35A600DE" w:rsidR="00CD3A79" w:rsidRPr="00432986" w:rsidRDefault="00CD3A79" w:rsidP="00885795">
      <w:pPr>
        <w:pStyle w:val="FootnoteText"/>
        <w:rPr>
          <w:color w:val="353332"/>
          <w:sz w:val="18"/>
          <w:szCs w:val="18"/>
          <w:lang w:val="en-US"/>
        </w:rPr>
      </w:pPr>
      <w:r w:rsidRPr="00432986">
        <w:rPr>
          <w:rStyle w:val="FootnoteReference"/>
          <w:sz w:val="18"/>
          <w:szCs w:val="18"/>
        </w:rPr>
        <w:footnoteRef/>
      </w:r>
      <w:r w:rsidRPr="00432986">
        <w:rPr>
          <w:sz w:val="18"/>
          <w:szCs w:val="18"/>
        </w:rPr>
        <w:t xml:space="preserve"> </w:t>
      </w:r>
      <w:r w:rsidRPr="00432986">
        <w:rPr>
          <w:sz w:val="18"/>
          <w:szCs w:val="18"/>
          <w:lang w:val="en-IE"/>
        </w:rPr>
        <w:t xml:space="preserve">Intellera et al. (2025): Study supporting the Evaluation of the European Food Safety Authority 2017-2024 </w:t>
      </w:r>
      <w:r w:rsidR="00C117FA" w:rsidRPr="00432986">
        <w:rPr>
          <w:sz w:val="18"/>
          <w:szCs w:val="18"/>
          <w:lang w:val="en-IE"/>
        </w:rPr>
        <w:t>(</w:t>
      </w:r>
      <w:r w:rsidR="00755BAD" w:rsidRPr="00432986">
        <w:rPr>
          <w:sz w:val="18"/>
          <w:szCs w:val="18"/>
          <w:lang w:val="en-IE"/>
        </w:rPr>
        <w:t>forthcoming</w:t>
      </w:r>
      <w:r w:rsidR="00C117FA" w:rsidRPr="00432986">
        <w:rPr>
          <w:sz w:val="18"/>
          <w:szCs w:val="18"/>
          <w:lang w:val="en-IE"/>
        </w:rPr>
        <w:t>)</w:t>
      </w:r>
      <w:r w:rsidRPr="00432986">
        <w:rPr>
          <w:sz w:val="18"/>
          <w:szCs w:val="18"/>
        </w:rPr>
        <w:t xml:space="preserve"> </w:t>
      </w:r>
    </w:p>
  </w:footnote>
  <w:footnote w:id="97">
    <w:p w14:paraId="4045066C" w14:textId="020C032E" w:rsidR="00CD3A79" w:rsidRPr="00432986" w:rsidRDefault="00CD3A79" w:rsidP="00885795">
      <w:pPr>
        <w:pStyle w:val="FootnoteText"/>
        <w:rPr>
          <w:sz w:val="18"/>
          <w:szCs w:val="18"/>
        </w:rPr>
      </w:pPr>
      <w:r w:rsidRPr="00432986">
        <w:rPr>
          <w:rStyle w:val="FootnoteReference"/>
          <w:sz w:val="18"/>
          <w:szCs w:val="18"/>
        </w:rPr>
        <w:footnoteRef/>
      </w:r>
      <w:r w:rsidRPr="00432986">
        <w:rPr>
          <w:sz w:val="18"/>
          <w:szCs w:val="18"/>
        </w:rPr>
        <w:t xml:space="preserve"> REFIT Evaluation of GFL (2018). This finding was recently reconfirmed by </w:t>
      </w:r>
      <w:r w:rsidRPr="00432986">
        <w:rPr>
          <w:sz w:val="18"/>
          <w:szCs w:val="18"/>
          <w:lang w:val="en-IE"/>
        </w:rPr>
        <w:t xml:space="preserve">Intellera et al. (2025): Study supporting the Evaluation of the European Food Safety Authority 2017-2024 </w:t>
      </w:r>
      <w:r w:rsidR="00C117FA" w:rsidRPr="00432986">
        <w:rPr>
          <w:sz w:val="18"/>
          <w:szCs w:val="18"/>
          <w:lang w:val="en-IE"/>
        </w:rPr>
        <w:t>(</w:t>
      </w:r>
      <w:r w:rsidR="00755BAD" w:rsidRPr="00432986">
        <w:rPr>
          <w:sz w:val="18"/>
          <w:szCs w:val="18"/>
          <w:lang w:val="en-IE"/>
        </w:rPr>
        <w:t>forthcoming</w:t>
      </w:r>
      <w:r w:rsidR="00C117FA" w:rsidRPr="00432986">
        <w:rPr>
          <w:sz w:val="18"/>
          <w:szCs w:val="18"/>
          <w:lang w:val="en-IE"/>
        </w:rPr>
        <w:t>)</w:t>
      </w:r>
      <w:r w:rsidR="00C117FA" w:rsidRPr="00432986">
        <w:rPr>
          <w:sz w:val="18"/>
          <w:szCs w:val="18"/>
        </w:rPr>
        <w:t xml:space="preserve"> </w:t>
      </w:r>
    </w:p>
  </w:footnote>
  <w:footnote w:id="98">
    <w:p w14:paraId="73B22684" w14:textId="1F894E08" w:rsidR="003804CE" w:rsidRPr="00432986" w:rsidRDefault="003804CE" w:rsidP="00885795">
      <w:pPr>
        <w:pStyle w:val="FootnoteText"/>
        <w:rPr>
          <w:sz w:val="18"/>
          <w:szCs w:val="18"/>
        </w:rPr>
      </w:pPr>
      <w:r w:rsidRPr="00432986">
        <w:rPr>
          <w:rStyle w:val="FootnoteReference"/>
          <w:sz w:val="18"/>
          <w:szCs w:val="18"/>
        </w:rPr>
        <w:footnoteRef/>
      </w:r>
      <w:r w:rsidRPr="00432986">
        <w:rPr>
          <w:sz w:val="18"/>
          <w:szCs w:val="18"/>
        </w:rPr>
        <w:t xml:space="preserve"> </w:t>
      </w:r>
      <w:r w:rsidR="0021076C" w:rsidRPr="00432986">
        <w:rPr>
          <w:sz w:val="18"/>
          <w:szCs w:val="18"/>
        </w:rPr>
        <w:t>For the situation prior to 2002, see REFIT Evaluation of GFL (2018):</w:t>
      </w:r>
      <w:hyperlink r:id="rId36" w:history="1">
        <w:r w:rsidR="0021076C" w:rsidRPr="00432986">
          <w:rPr>
            <w:rStyle w:val="Hyperlink"/>
            <w:sz w:val="18"/>
            <w:szCs w:val="18"/>
          </w:rPr>
          <w:t>https://food.ec.europa.eu/horizontal-topics/general-food-law/fitness-check-general-food-law_en</w:t>
        </w:r>
      </w:hyperlink>
      <w:r w:rsidR="0021076C" w:rsidRPr="00432986">
        <w:rPr>
          <w:sz w:val="18"/>
          <w:szCs w:val="18"/>
        </w:rPr>
        <w:t xml:space="preserve">. </w:t>
      </w:r>
    </w:p>
  </w:footnote>
  <w:footnote w:id="99">
    <w:p w14:paraId="1FECD0C3" w14:textId="2070DCEC" w:rsidR="00CD3A79" w:rsidRPr="00432986" w:rsidRDefault="00CD3A79" w:rsidP="00885795">
      <w:pPr>
        <w:pStyle w:val="FootnoteText"/>
        <w:rPr>
          <w:sz w:val="18"/>
          <w:szCs w:val="18"/>
        </w:rPr>
      </w:pPr>
      <w:r w:rsidRPr="00432986">
        <w:rPr>
          <w:rStyle w:val="FootnoteReference"/>
          <w:sz w:val="18"/>
          <w:szCs w:val="18"/>
        </w:rPr>
        <w:footnoteRef/>
      </w:r>
      <w:r w:rsidRPr="00432986">
        <w:rPr>
          <w:sz w:val="18"/>
          <w:szCs w:val="18"/>
        </w:rPr>
        <w:t xml:space="preserve"> For more information see: REFIT Evaluation of GFL (2018): </w:t>
      </w:r>
      <w:hyperlink r:id="rId37" w:history="1">
        <w:r w:rsidRPr="00432986">
          <w:rPr>
            <w:rStyle w:val="Hyperlink"/>
            <w:sz w:val="18"/>
            <w:szCs w:val="18"/>
          </w:rPr>
          <w:t>https://food.ec.europa.eu/horizontal-topics/general-food-law/fitness-check-general-food-law_en</w:t>
        </w:r>
      </w:hyperlink>
      <w:r w:rsidRPr="00432986">
        <w:rPr>
          <w:sz w:val="18"/>
          <w:szCs w:val="18"/>
        </w:rPr>
        <w:t xml:space="preserve">. More specifically see at: </w:t>
      </w:r>
      <w:hyperlink r:id="rId38" w:history="1">
        <w:r w:rsidR="0021076C" w:rsidRPr="00432986">
          <w:rPr>
            <w:rStyle w:val="Hyperlink"/>
            <w:sz w:val="18"/>
            <w:szCs w:val="18"/>
          </w:rPr>
          <w:t>https://food.ec.europa.eu/document/download/fcfe7958-72ab-47b6-8b38-0c5473bde0da_en?filename=gfl_fitc_comm_staff_work_doc_2018_part1_en.pdf</w:t>
        </w:r>
      </w:hyperlink>
      <w:r w:rsidR="0021076C" w:rsidRPr="00432986">
        <w:rPr>
          <w:sz w:val="18"/>
          <w:szCs w:val="18"/>
        </w:rPr>
        <w:t>.</w:t>
      </w:r>
    </w:p>
  </w:footnote>
  <w:footnote w:id="100">
    <w:p w14:paraId="2B71AFFA" w14:textId="21E2A692" w:rsidR="00CD3A79" w:rsidRPr="00432986" w:rsidRDefault="00CD3A79" w:rsidP="00885795">
      <w:pPr>
        <w:pStyle w:val="FootnoteText"/>
        <w:rPr>
          <w:sz w:val="18"/>
          <w:szCs w:val="18"/>
        </w:rPr>
      </w:pPr>
      <w:r w:rsidRPr="00432986">
        <w:rPr>
          <w:rStyle w:val="FootnoteReference"/>
          <w:sz w:val="18"/>
          <w:szCs w:val="18"/>
        </w:rPr>
        <w:footnoteRef/>
      </w:r>
      <w:r w:rsidRPr="00432986">
        <w:rPr>
          <w:sz w:val="18"/>
          <w:szCs w:val="18"/>
        </w:rPr>
        <w:t>https://food.ec.europa.eu/document/download/fcfe7958-72ab-47b6-8b38-0c5473bde0da_en?filename=gfl_fitc_comm_staff_work_doc_2018_part1_en.pdf</w:t>
      </w:r>
    </w:p>
  </w:footnote>
  <w:footnote w:id="101">
    <w:p w14:paraId="4378E588" w14:textId="67550F23" w:rsidR="00CD3A79" w:rsidRPr="00432986" w:rsidRDefault="00CD3A79" w:rsidP="00885795">
      <w:pPr>
        <w:pStyle w:val="FootnoteText"/>
        <w:rPr>
          <w:sz w:val="18"/>
          <w:szCs w:val="18"/>
        </w:rPr>
      </w:pPr>
      <w:r w:rsidRPr="00432986">
        <w:rPr>
          <w:rStyle w:val="FootnoteReference"/>
          <w:sz w:val="18"/>
          <w:szCs w:val="18"/>
        </w:rPr>
        <w:footnoteRef/>
      </w:r>
      <w:r w:rsidRPr="00432986">
        <w:rPr>
          <w:sz w:val="18"/>
          <w:szCs w:val="18"/>
        </w:rPr>
        <w:t xml:space="preserve"> REFIT Evaluation of GFL (2018), see https://food.ec.europa.eu/horizontal-topics/general-food-law/fitness-check-general-food-law_en. This finding was recently reconfirmed by </w:t>
      </w:r>
      <w:r w:rsidRPr="00432986">
        <w:rPr>
          <w:sz w:val="18"/>
          <w:szCs w:val="18"/>
          <w:lang w:val="en-IE"/>
        </w:rPr>
        <w:t xml:space="preserve">Intellera et al. (2025): Study supporting the Evaluation of the European Food Safety Authority 2017-2024 </w:t>
      </w:r>
      <w:r w:rsidR="00853539" w:rsidRPr="00432986">
        <w:rPr>
          <w:sz w:val="18"/>
          <w:szCs w:val="18"/>
          <w:lang w:val="en-IE"/>
        </w:rPr>
        <w:t>(forthcoming).</w:t>
      </w:r>
    </w:p>
  </w:footnote>
  <w:footnote w:id="102">
    <w:p w14:paraId="100A78D6" w14:textId="4111E1E2" w:rsidR="00CD3A79" w:rsidRPr="00432986" w:rsidRDefault="00CD3A79" w:rsidP="00885795">
      <w:pPr>
        <w:pStyle w:val="FootnoteText"/>
        <w:rPr>
          <w:sz w:val="18"/>
          <w:szCs w:val="18"/>
        </w:rPr>
      </w:pPr>
      <w:r w:rsidRPr="00432986">
        <w:rPr>
          <w:rStyle w:val="FootnoteReference"/>
          <w:sz w:val="18"/>
          <w:szCs w:val="18"/>
        </w:rPr>
        <w:footnoteRef/>
      </w:r>
      <w:r w:rsidRPr="00432986">
        <w:rPr>
          <w:sz w:val="18"/>
          <w:szCs w:val="18"/>
        </w:rPr>
        <w:t xml:space="preserve"> REFIT Evaluation of GFL (2018), see https://food.ec.europa.eu/horizontal-topics/general-food-law/fitness-check-general-food-law_en. This finding was recently reconfirmed by </w:t>
      </w:r>
      <w:r w:rsidRPr="00432986">
        <w:rPr>
          <w:sz w:val="18"/>
          <w:szCs w:val="18"/>
          <w:lang w:val="en-IE"/>
        </w:rPr>
        <w:t xml:space="preserve">Intellera et al. (2025): Study supporting the Evaluation of the European Food Safety Authority 2017-2024 </w:t>
      </w:r>
      <w:r w:rsidR="00853539" w:rsidRPr="00432986">
        <w:rPr>
          <w:sz w:val="18"/>
          <w:szCs w:val="18"/>
          <w:lang w:val="en-IE"/>
        </w:rPr>
        <w:t>(forthcoming).</w:t>
      </w:r>
    </w:p>
  </w:footnote>
  <w:footnote w:id="103">
    <w:p w14:paraId="2DC7F9E9" w14:textId="2E68D7C6" w:rsidR="009C3E53" w:rsidRPr="00432986" w:rsidRDefault="003F583B">
      <w:pPr>
        <w:pStyle w:val="FootnoteText"/>
        <w:rPr>
          <w:sz w:val="18"/>
          <w:szCs w:val="18"/>
        </w:rPr>
      </w:pPr>
      <w:r w:rsidRPr="00432986">
        <w:rPr>
          <w:rStyle w:val="FootnoteReference"/>
          <w:sz w:val="18"/>
          <w:szCs w:val="18"/>
        </w:rPr>
        <w:footnoteRef/>
      </w:r>
      <w:r w:rsidRPr="00432986">
        <w:rPr>
          <w:sz w:val="18"/>
          <w:szCs w:val="18"/>
        </w:rPr>
        <w:t xml:space="preserve"> </w:t>
      </w:r>
      <w:r w:rsidRPr="00432986">
        <w:rPr>
          <w:i/>
          <w:iCs/>
          <w:sz w:val="18"/>
          <w:szCs w:val="18"/>
        </w:rPr>
        <w:t>E.g.</w:t>
      </w:r>
      <w:r w:rsidR="00F613D0" w:rsidRPr="00432986">
        <w:rPr>
          <w:i/>
          <w:iCs/>
          <w:sz w:val="18"/>
          <w:szCs w:val="18"/>
        </w:rPr>
        <w:t xml:space="preserve"> </w:t>
      </w:r>
      <w:r w:rsidR="00F613D0" w:rsidRPr="00432986">
        <w:rPr>
          <w:sz w:val="18"/>
          <w:szCs w:val="18"/>
        </w:rPr>
        <w:t>In 2025, Spain launched a</w:t>
      </w:r>
      <w:r w:rsidR="00B960DE" w:rsidRPr="00432986">
        <w:rPr>
          <w:sz w:val="18"/>
          <w:szCs w:val="18"/>
        </w:rPr>
        <w:t xml:space="preserve"> broad</w:t>
      </w:r>
      <w:r w:rsidR="00F613D0" w:rsidRPr="00432986">
        <w:rPr>
          <w:sz w:val="18"/>
          <w:szCs w:val="18"/>
        </w:rPr>
        <w:t xml:space="preserve"> national</w:t>
      </w:r>
      <w:r w:rsidR="00B960DE" w:rsidRPr="00432986">
        <w:rPr>
          <w:sz w:val="18"/>
          <w:szCs w:val="18"/>
        </w:rPr>
        <w:t xml:space="preserve"> </w:t>
      </w:r>
      <w:r w:rsidR="00E965AA" w:rsidRPr="00432986">
        <w:rPr>
          <w:sz w:val="18"/>
          <w:szCs w:val="18"/>
        </w:rPr>
        <w:t>innovation</w:t>
      </w:r>
      <w:r w:rsidR="00F613D0" w:rsidRPr="00432986">
        <w:rPr>
          <w:sz w:val="18"/>
          <w:szCs w:val="18"/>
        </w:rPr>
        <w:t xml:space="preserve"> sandbox</w:t>
      </w:r>
      <w:r w:rsidR="001D5A23" w:rsidRPr="00432986">
        <w:rPr>
          <w:sz w:val="18"/>
          <w:szCs w:val="18"/>
        </w:rPr>
        <w:t xml:space="preserve">, the ‘Agrifoodtech Sandbox’, </w:t>
      </w:r>
      <w:r w:rsidR="00F613D0" w:rsidRPr="00432986">
        <w:rPr>
          <w:sz w:val="18"/>
          <w:szCs w:val="18"/>
        </w:rPr>
        <w:t>managed by CNTA (EATEX Food Innovation Hub)</w:t>
      </w:r>
      <w:r w:rsidR="001E6585" w:rsidRPr="00432986">
        <w:rPr>
          <w:sz w:val="18"/>
          <w:szCs w:val="18"/>
        </w:rPr>
        <w:t xml:space="preserve">, </w:t>
      </w:r>
      <w:r w:rsidR="005A5F9A" w:rsidRPr="00432986">
        <w:rPr>
          <w:sz w:val="18"/>
          <w:szCs w:val="18"/>
        </w:rPr>
        <w:t>cover</w:t>
      </w:r>
      <w:r w:rsidR="00E965AA" w:rsidRPr="00432986">
        <w:rPr>
          <w:sz w:val="18"/>
          <w:szCs w:val="18"/>
        </w:rPr>
        <w:t>ing</w:t>
      </w:r>
      <w:r w:rsidR="005A5F9A" w:rsidRPr="00432986">
        <w:rPr>
          <w:sz w:val="18"/>
          <w:szCs w:val="18"/>
        </w:rPr>
        <w:t xml:space="preserve"> agrifood and biotech</w:t>
      </w:r>
      <w:r w:rsidR="00F613D0" w:rsidRPr="00432986">
        <w:rPr>
          <w:sz w:val="18"/>
          <w:szCs w:val="18"/>
        </w:rPr>
        <w:t>.</w:t>
      </w:r>
    </w:p>
  </w:footnote>
  <w:footnote w:id="104">
    <w:p w14:paraId="7CCA68D4" w14:textId="66138473" w:rsidR="00CD3A79" w:rsidRPr="00432986" w:rsidRDefault="00CD3A79" w:rsidP="00885795">
      <w:pPr>
        <w:pStyle w:val="FootnoteText"/>
        <w:rPr>
          <w:sz w:val="18"/>
          <w:szCs w:val="18"/>
        </w:rPr>
      </w:pPr>
      <w:r w:rsidRPr="00432986">
        <w:rPr>
          <w:rStyle w:val="FootnoteReference"/>
          <w:sz w:val="18"/>
          <w:szCs w:val="18"/>
        </w:rPr>
        <w:footnoteRef/>
      </w:r>
      <w:r w:rsidRPr="00432986">
        <w:rPr>
          <w:sz w:val="18"/>
          <w:szCs w:val="18"/>
        </w:rPr>
        <w:t>https://www.cambridge.org/core/journals/european-journal-of-risk-regulation/article/regulatory-sandboxes-for-novel-foods/D8A2B8E29D2F32DE0334DBCE9AF27188</w:t>
      </w:r>
    </w:p>
  </w:footnote>
  <w:footnote w:id="105">
    <w:p w14:paraId="7C248AF7" w14:textId="77777777" w:rsidR="00CD3A79" w:rsidRPr="00E5568D" w:rsidRDefault="00CD3A79" w:rsidP="00885795">
      <w:pPr>
        <w:pStyle w:val="FootnoteText"/>
        <w:rPr>
          <w:sz w:val="18"/>
          <w:lang w:val="sv-SE"/>
        </w:rPr>
      </w:pPr>
      <w:r w:rsidRPr="00432986">
        <w:rPr>
          <w:rStyle w:val="FootnoteReference"/>
          <w:sz w:val="18"/>
          <w:szCs w:val="18"/>
        </w:rPr>
        <w:footnoteRef/>
      </w:r>
      <w:r w:rsidRPr="00E5568D">
        <w:rPr>
          <w:sz w:val="18"/>
          <w:lang w:val="sv-SE"/>
        </w:rPr>
        <w:t xml:space="preserve"> E.g., https://gfieurope.org/wp-content/uploads/2025/11/EU-Biotech-Act-Public-Consultation.pdf</w:t>
      </w:r>
    </w:p>
  </w:footnote>
  <w:footnote w:id="106">
    <w:p w14:paraId="5CB69E70" w14:textId="77777777" w:rsidR="00CD3A79" w:rsidRPr="00432986" w:rsidRDefault="00CD3A79" w:rsidP="00885795">
      <w:pPr>
        <w:pStyle w:val="FootnoteText"/>
        <w:rPr>
          <w:sz w:val="18"/>
          <w:szCs w:val="18"/>
        </w:rPr>
      </w:pPr>
      <w:r w:rsidRPr="00432986">
        <w:rPr>
          <w:rStyle w:val="FootnoteReference"/>
          <w:sz w:val="18"/>
          <w:szCs w:val="18"/>
        </w:rPr>
        <w:footnoteRef/>
      </w:r>
      <w:r w:rsidRPr="00432986">
        <w:rPr>
          <w:sz w:val="18"/>
          <w:szCs w:val="18"/>
        </w:rPr>
        <w:t xml:space="preserve"> REFIT Evaluation of General Food Law (2018). See https://food.ec.europa.eu/document/download/fcfe7958-72ab-47b6-8b38-0c5473bde0da_en?filename=gfl_fitc_comm_staff_work_doc_2018_part1_en.pdf</w:t>
      </w:r>
    </w:p>
  </w:footnote>
  <w:footnote w:id="107">
    <w:p w14:paraId="72B7B806" w14:textId="77777777" w:rsidR="00E41983" w:rsidRPr="00432986" w:rsidRDefault="00E41983" w:rsidP="00885795">
      <w:pPr>
        <w:pStyle w:val="FootnoteText"/>
        <w:rPr>
          <w:sz w:val="18"/>
          <w:szCs w:val="18"/>
          <w:lang w:val="en-US"/>
        </w:rPr>
      </w:pPr>
      <w:r w:rsidRPr="00432986">
        <w:rPr>
          <w:rStyle w:val="FootnoteReference"/>
          <w:sz w:val="18"/>
          <w:szCs w:val="18"/>
        </w:rPr>
        <w:footnoteRef/>
      </w:r>
      <w:r w:rsidRPr="00432986">
        <w:rPr>
          <w:sz w:val="18"/>
          <w:szCs w:val="18"/>
        </w:rPr>
        <w:t xml:space="preserve"> </w:t>
      </w:r>
      <w:hyperlink r:id="rId39" w:history="1">
        <w:r w:rsidRPr="00432986">
          <w:rPr>
            <w:rStyle w:val="Hyperlink"/>
            <w:sz w:val="18"/>
            <w:szCs w:val="18"/>
          </w:rPr>
          <w:t>https://foodhealthlegal.eu/?p=1380</w:t>
        </w:r>
      </w:hyperlink>
      <w:r w:rsidRPr="00432986">
        <w:rPr>
          <w:sz w:val="18"/>
          <w:szCs w:val="18"/>
        </w:rPr>
        <w:t xml:space="preserve"> </w:t>
      </w:r>
    </w:p>
  </w:footnote>
  <w:footnote w:id="108">
    <w:p w14:paraId="0D1BAE47" w14:textId="77777777" w:rsidR="00E41983" w:rsidRPr="00432986" w:rsidRDefault="00E41983" w:rsidP="00885795">
      <w:pPr>
        <w:pStyle w:val="FootnoteText"/>
        <w:rPr>
          <w:sz w:val="18"/>
          <w:szCs w:val="18"/>
        </w:rPr>
      </w:pPr>
      <w:r w:rsidRPr="00432986">
        <w:rPr>
          <w:rStyle w:val="FootnoteReference"/>
          <w:sz w:val="18"/>
          <w:szCs w:val="18"/>
        </w:rPr>
        <w:footnoteRef/>
      </w:r>
      <w:r w:rsidRPr="00432986">
        <w:rPr>
          <w:sz w:val="18"/>
          <w:szCs w:val="18"/>
        </w:rPr>
        <w:t xml:space="preserve"> https://medfilesgroup.com/european-biotech-act/</w:t>
      </w:r>
    </w:p>
  </w:footnote>
  <w:footnote w:id="109">
    <w:p w14:paraId="74267353" w14:textId="782FEA76" w:rsidR="00E41983" w:rsidRPr="00432986" w:rsidRDefault="00E41983" w:rsidP="00885795">
      <w:pPr>
        <w:pStyle w:val="FootnoteText"/>
        <w:rPr>
          <w:sz w:val="18"/>
          <w:szCs w:val="18"/>
        </w:rPr>
      </w:pPr>
      <w:r w:rsidRPr="00432986">
        <w:rPr>
          <w:rStyle w:val="FootnoteReference"/>
          <w:sz w:val="18"/>
          <w:szCs w:val="18"/>
        </w:rPr>
        <w:footnoteRef/>
      </w:r>
      <w:r w:rsidRPr="00432986">
        <w:rPr>
          <w:sz w:val="18"/>
          <w:szCs w:val="18"/>
        </w:rPr>
        <w:t xml:space="preserve"> REFIT Evaluation of GFL (2018), see https://food.ec.europa.eu/horizontal-topics/general-food-law/fitness-check-general-food-law_en. This finding was recently reconfirmed by </w:t>
      </w:r>
      <w:r w:rsidRPr="00432986">
        <w:rPr>
          <w:sz w:val="18"/>
          <w:szCs w:val="18"/>
          <w:lang w:val="en-IE"/>
        </w:rPr>
        <w:t xml:space="preserve">Intellera et al. (2025): Study supporting the Evaluation of the European Food Safety Authority 2017-2024 </w:t>
      </w:r>
      <w:r w:rsidR="00903C19" w:rsidRPr="00432986">
        <w:rPr>
          <w:sz w:val="18"/>
          <w:szCs w:val="18"/>
          <w:lang w:val="en-IE"/>
        </w:rPr>
        <w:t>(forthcoming)</w:t>
      </w:r>
    </w:p>
  </w:footnote>
  <w:footnote w:id="110">
    <w:p w14:paraId="02232813" w14:textId="77777777" w:rsidR="00E41983" w:rsidRPr="00432986" w:rsidRDefault="00E41983" w:rsidP="00885795">
      <w:pPr>
        <w:pStyle w:val="FootnoteText"/>
        <w:rPr>
          <w:sz w:val="18"/>
          <w:szCs w:val="18"/>
        </w:rPr>
      </w:pPr>
      <w:r w:rsidRPr="00432986">
        <w:rPr>
          <w:rStyle w:val="FootnoteReference"/>
          <w:sz w:val="18"/>
          <w:szCs w:val="18"/>
        </w:rPr>
        <w:footnoteRef/>
      </w:r>
      <w:r w:rsidRPr="00432986">
        <w:rPr>
          <w:sz w:val="18"/>
          <w:szCs w:val="18"/>
        </w:rPr>
        <w:t xml:space="preserve"> https://doi.org/10.1080/23311975.2025.2510555</w:t>
      </w:r>
    </w:p>
  </w:footnote>
  <w:footnote w:id="111">
    <w:p w14:paraId="19C50A31" w14:textId="77777777" w:rsidR="00E41983" w:rsidRPr="00432986" w:rsidRDefault="00E41983" w:rsidP="00885795">
      <w:pPr>
        <w:pStyle w:val="FootnoteText"/>
        <w:rPr>
          <w:sz w:val="18"/>
          <w:szCs w:val="18"/>
        </w:rPr>
      </w:pPr>
      <w:r w:rsidRPr="00432986">
        <w:rPr>
          <w:rStyle w:val="FootnoteReference"/>
          <w:sz w:val="18"/>
          <w:szCs w:val="18"/>
        </w:rPr>
        <w:footnoteRef/>
      </w:r>
      <w:r w:rsidRPr="00432986">
        <w:rPr>
          <w:sz w:val="18"/>
          <w:szCs w:val="18"/>
        </w:rPr>
        <w:t xml:space="preserve"> https://www.foodbev.com/news/eu-biotech-act-s-exclusion-of-novel-foods-from-regulatory-sandbox-is-a-missed-opportunity-for-food</w:t>
      </w:r>
    </w:p>
  </w:footnote>
  <w:footnote w:id="112">
    <w:p w14:paraId="3724B080" w14:textId="38BA192A" w:rsidR="00E41983" w:rsidRPr="00432986" w:rsidRDefault="00E41983" w:rsidP="00885795">
      <w:pPr>
        <w:pStyle w:val="FootnoteText"/>
        <w:rPr>
          <w:color w:val="353332"/>
          <w:sz w:val="18"/>
          <w:szCs w:val="18"/>
          <w:lang w:val="en-US"/>
        </w:rPr>
      </w:pPr>
      <w:r w:rsidRPr="00432986">
        <w:rPr>
          <w:rStyle w:val="FootnoteReference"/>
          <w:sz w:val="18"/>
          <w:szCs w:val="18"/>
        </w:rPr>
        <w:footnoteRef/>
      </w:r>
      <w:r w:rsidR="00C65D85">
        <w:rPr>
          <w:sz w:val="18"/>
          <w:szCs w:val="18"/>
        </w:rPr>
        <w:t> </w:t>
      </w:r>
      <w:r w:rsidRPr="00432986">
        <w:rPr>
          <w:sz w:val="18"/>
          <w:szCs w:val="18"/>
        </w:rPr>
        <w:t>https://www.oecd.org/content/dam/oecd/en/publications/reports/2025/06/regulatory-sandbox-toolkit_cc8d3e50/de36fa62-en.pdf</w:t>
      </w:r>
    </w:p>
  </w:footnote>
  <w:footnote w:id="113">
    <w:p w14:paraId="3FC638D6" w14:textId="01184777" w:rsidR="0099394A" w:rsidRPr="00432986" w:rsidRDefault="0099394A" w:rsidP="00885795">
      <w:pPr>
        <w:pStyle w:val="FootnoteText"/>
        <w:rPr>
          <w:sz w:val="18"/>
          <w:szCs w:val="18"/>
          <w:lang w:val="en-US"/>
        </w:rPr>
      </w:pPr>
      <w:r w:rsidRPr="00432986">
        <w:rPr>
          <w:rStyle w:val="FootnoteReference"/>
          <w:sz w:val="18"/>
          <w:szCs w:val="18"/>
        </w:rPr>
        <w:footnoteRef/>
      </w:r>
      <w:r w:rsidR="1C0F6B23" w:rsidRPr="00432986">
        <w:rPr>
          <w:sz w:val="18"/>
          <w:szCs w:val="18"/>
        </w:rPr>
        <w:t xml:space="preserve"> Whomsley R</w:t>
      </w:r>
      <w:r w:rsidR="000A1E3E" w:rsidRPr="00432986">
        <w:rPr>
          <w:sz w:val="18"/>
          <w:szCs w:val="18"/>
        </w:rPr>
        <w:t>, et al. Environmental risk assessment of advanced therapies containing genetically modified organisms EU. Br J Clin Pharmacol. 2021 87</w:t>
      </w:r>
      <w:r w:rsidR="009F186C" w:rsidRPr="00432986">
        <w:rPr>
          <w:sz w:val="18"/>
          <w:szCs w:val="18"/>
        </w:rPr>
        <w:t xml:space="preserve">, p. </w:t>
      </w:r>
      <w:r w:rsidR="000A1E3E" w:rsidRPr="00432986">
        <w:rPr>
          <w:sz w:val="18"/>
          <w:szCs w:val="18"/>
        </w:rPr>
        <w:t>:2458</w:t>
      </w:r>
      <w:r w:rsidR="1C0F6B23" w:rsidRPr="00432986">
        <w:rPr>
          <w:sz w:val="18"/>
          <w:szCs w:val="18"/>
        </w:rPr>
        <w:t xml:space="preserve"> </w:t>
      </w:r>
    </w:p>
  </w:footnote>
  <w:footnote w:id="114">
    <w:p w14:paraId="5B19307F" w14:textId="77777777" w:rsidR="0099394A" w:rsidRPr="00432986" w:rsidRDefault="0099394A" w:rsidP="00885795">
      <w:pPr>
        <w:pStyle w:val="FootnoteText"/>
        <w:rPr>
          <w:sz w:val="18"/>
          <w:szCs w:val="18"/>
          <w:lang w:val="en-IE"/>
        </w:rPr>
      </w:pPr>
      <w:r w:rsidRPr="00432986">
        <w:rPr>
          <w:rStyle w:val="FootnoteReference"/>
          <w:sz w:val="18"/>
          <w:szCs w:val="18"/>
        </w:rPr>
        <w:footnoteRef/>
      </w:r>
      <w:r w:rsidRPr="00432986">
        <w:rPr>
          <w:sz w:val="18"/>
          <w:szCs w:val="18"/>
        </w:rPr>
        <w:t xml:space="preserve"> European Medicines Agency (2015) </w:t>
      </w:r>
      <w:r w:rsidRPr="00432986">
        <w:rPr>
          <w:i/>
          <w:sz w:val="18"/>
          <w:szCs w:val="18"/>
        </w:rPr>
        <w:t>Reflection paper on classification of advanced therapy medicinal products.</w:t>
      </w:r>
      <w:r w:rsidRPr="00432986">
        <w:rPr>
          <w:sz w:val="18"/>
          <w:szCs w:val="18"/>
        </w:rPr>
        <w:t xml:space="preserve"> EMA/CAT/600280/2010 Rev.1. [Online] London: European Medicines Agency. </w:t>
      </w:r>
      <w:r w:rsidRPr="00432986">
        <w:rPr>
          <w:sz w:val="18"/>
          <w:szCs w:val="18"/>
          <w:lang w:val="en-IE"/>
        </w:rPr>
        <w:t>Available at: </w:t>
      </w:r>
      <w:hyperlink r:id="rId40" w:tgtFrame="_blank" w:history="1">
        <w:r w:rsidRPr="00432986">
          <w:rPr>
            <w:rStyle w:val="Hyperlink"/>
            <w:sz w:val="18"/>
            <w:szCs w:val="18"/>
            <w:lang w:val="en-IE"/>
          </w:rPr>
          <w:t>https://www.ema.europa.eu/en/documents/scientific-guideline/reflection-paper-classification-advanced-therapy-medicinal-products_en.pdf</w:t>
        </w:r>
      </w:hyperlink>
    </w:p>
  </w:footnote>
  <w:footnote w:id="115">
    <w:p w14:paraId="327F3379" w14:textId="77777777" w:rsidR="0099394A" w:rsidRPr="00432986" w:rsidRDefault="0099394A" w:rsidP="00885795">
      <w:pPr>
        <w:pStyle w:val="FootnoteText"/>
        <w:rPr>
          <w:sz w:val="18"/>
          <w:szCs w:val="18"/>
          <w:lang w:val="en-IE"/>
        </w:rPr>
      </w:pPr>
      <w:r w:rsidRPr="00432986">
        <w:rPr>
          <w:rStyle w:val="FootnoteReference"/>
          <w:sz w:val="18"/>
          <w:szCs w:val="18"/>
        </w:rPr>
        <w:footnoteRef/>
      </w:r>
      <w:r w:rsidRPr="00432986">
        <w:rPr>
          <w:sz w:val="18"/>
          <w:szCs w:val="18"/>
        </w:rPr>
        <w:t xml:space="preserve"> European Medicines Agency (2015) </w:t>
      </w:r>
      <w:r w:rsidRPr="00432986">
        <w:rPr>
          <w:i/>
          <w:sz w:val="18"/>
          <w:szCs w:val="18"/>
        </w:rPr>
        <w:t>Reflection paper on classification of advanced therapy medicinal products.</w:t>
      </w:r>
      <w:r w:rsidRPr="00432986">
        <w:rPr>
          <w:sz w:val="18"/>
          <w:szCs w:val="18"/>
        </w:rPr>
        <w:t xml:space="preserve"> EMA/CAT/600280/2010 Rev.1. [Online] London: European Medicines Agency. </w:t>
      </w:r>
      <w:r w:rsidRPr="00432986">
        <w:rPr>
          <w:sz w:val="18"/>
          <w:szCs w:val="18"/>
          <w:lang w:val="en-IE"/>
        </w:rPr>
        <w:t>Available at: </w:t>
      </w:r>
      <w:hyperlink r:id="rId41" w:tgtFrame="_blank" w:history="1">
        <w:r w:rsidRPr="00432986">
          <w:rPr>
            <w:rStyle w:val="Hyperlink"/>
            <w:sz w:val="18"/>
            <w:szCs w:val="18"/>
            <w:lang w:val="en-IE"/>
          </w:rPr>
          <w:t>https://www.ema.europa.eu/en/documents/scientific-guideline/reflection-paper-classification-advanced-therapy-medicinal-products_en.pdf</w:t>
        </w:r>
      </w:hyperlink>
    </w:p>
  </w:footnote>
  <w:footnote w:id="116">
    <w:p w14:paraId="4101AD04" w14:textId="739A7657" w:rsidR="4EC480EB" w:rsidRPr="00432986" w:rsidRDefault="4EC480EB" w:rsidP="00E70BC8">
      <w:pPr>
        <w:spacing w:after="0"/>
        <w:rPr>
          <w:rFonts w:eastAsia="Times-Roman"/>
          <w:sz w:val="18"/>
          <w:szCs w:val="18"/>
        </w:rPr>
      </w:pPr>
      <w:r w:rsidRPr="00432986">
        <w:rPr>
          <w:rFonts w:eastAsia="Times-Roman"/>
          <w:sz w:val="18"/>
          <w:szCs w:val="18"/>
          <w:vertAlign w:val="superscript"/>
        </w:rPr>
        <w:footnoteRef/>
      </w:r>
      <w:r w:rsidRPr="00432986">
        <w:rPr>
          <w:rFonts w:eastAsia="Times-Roman"/>
          <w:sz w:val="18"/>
          <w:szCs w:val="18"/>
        </w:rPr>
        <w:t xml:space="preserve"> </w:t>
      </w:r>
      <w:r w:rsidRPr="00432986">
        <w:rPr>
          <w:rFonts w:eastAsia="Times-Roman"/>
          <w:color w:val="212121"/>
          <w:sz w:val="18"/>
          <w:szCs w:val="18"/>
        </w:rPr>
        <w:t>Joyce K, Buljovcic Z, Rosic G, Kaszkin-Bettag M, Pandit A. Issues with Tissues: Trends in Tissue-Engineered Products in Clinical Trials in the European Union. Tissue Eng Part B Rev. 2023 Feb;29(1):78-88. doi: 10.1089/ten.TEB.2022.0094. Epub 2022 Oct 21. PMID: 36062927; PMCID: PMC9940800.</w:t>
      </w:r>
    </w:p>
  </w:footnote>
  <w:footnote w:id="117">
    <w:p w14:paraId="7EBF957F" w14:textId="182B1956" w:rsidR="4DB474C9" w:rsidRPr="00432986" w:rsidRDefault="4DB474C9" w:rsidP="001D08C2">
      <w:pPr>
        <w:spacing w:after="0"/>
        <w:rPr>
          <w:rFonts w:eastAsia="Times-Roman"/>
          <w:sz w:val="18"/>
          <w:szCs w:val="18"/>
        </w:rPr>
      </w:pPr>
      <w:r w:rsidRPr="00432986">
        <w:rPr>
          <w:rFonts w:eastAsia="Times-Roman"/>
          <w:sz w:val="18"/>
          <w:szCs w:val="18"/>
          <w:vertAlign w:val="superscript"/>
        </w:rPr>
        <w:footnoteRef/>
      </w:r>
      <w:r w:rsidRPr="00432986">
        <w:rPr>
          <w:rFonts w:eastAsia="Times-Roman"/>
          <w:sz w:val="18"/>
          <w:szCs w:val="18"/>
        </w:rPr>
        <w:t xml:space="preserve"> </w:t>
      </w:r>
      <w:r w:rsidRPr="00432986">
        <w:rPr>
          <w:rFonts w:eastAsia="Times-Roman"/>
          <w:color w:val="212121"/>
          <w:sz w:val="18"/>
          <w:szCs w:val="18"/>
        </w:rPr>
        <w:t>Ancira J, Gabrilska R, Tipton C, Miller C, Stickley Z, Omeir K, Wakeman C, Little T, Wolcott J, Philips CD. A structural equation model predicts chronic wound healing time using patient characteristics and wound microbiome composition. Wound Repair Regen. 2025 Jan-Feb;33(1):e70004. doi: 10.1111/wrr.70004. PMID: 39959986; PMCID: PMC11831583.</w:t>
      </w:r>
    </w:p>
  </w:footnote>
  <w:footnote w:id="118">
    <w:p w14:paraId="2B5935F2" w14:textId="77777777" w:rsidR="00B9056D" w:rsidRPr="00432986" w:rsidRDefault="00B9056D" w:rsidP="00885795">
      <w:pPr>
        <w:pStyle w:val="FootnoteText"/>
        <w:rPr>
          <w:sz w:val="18"/>
          <w:szCs w:val="18"/>
        </w:rPr>
      </w:pPr>
      <w:r w:rsidRPr="00432986">
        <w:rPr>
          <w:rStyle w:val="FootnoteReference"/>
          <w:sz w:val="18"/>
          <w:szCs w:val="18"/>
        </w:rPr>
        <w:footnoteRef/>
      </w:r>
      <w:r w:rsidRPr="00432986">
        <w:rPr>
          <w:sz w:val="18"/>
          <w:szCs w:val="18"/>
        </w:rPr>
        <w:t xml:space="preserve"> According to </w:t>
      </w:r>
      <w:hyperlink r:id="rId42" w:history="1">
        <w:r w:rsidRPr="00432986">
          <w:rPr>
            <w:rStyle w:val="Hyperlink"/>
            <w:sz w:val="18"/>
            <w:szCs w:val="18"/>
          </w:rPr>
          <w:t>cordis</w:t>
        </w:r>
      </w:hyperlink>
      <w:r w:rsidRPr="00432986">
        <w:rPr>
          <w:sz w:val="18"/>
          <w:szCs w:val="18"/>
        </w:rPr>
        <w:t>: 20 projects funded on ATMPs in the Horizon Europe framework programme with a Median of ~ 7.500.000€ (ending between 2025 to 2031)</w:t>
      </w:r>
    </w:p>
  </w:footnote>
  <w:footnote w:id="119">
    <w:p w14:paraId="18775A2F" w14:textId="1B7A4F83" w:rsidR="00B9056D" w:rsidRPr="00432986" w:rsidRDefault="00B9056D" w:rsidP="00885795">
      <w:pPr>
        <w:pStyle w:val="FootnoteText"/>
        <w:rPr>
          <w:sz w:val="18"/>
          <w:szCs w:val="18"/>
          <w:lang w:val="en-IE"/>
        </w:rPr>
      </w:pPr>
      <w:r w:rsidRPr="00432986">
        <w:rPr>
          <w:rStyle w:val="FootnoteReference"/>
          <w:sz w:val="18"/>
          <w:szCs w:val="18"/>
        </w:rPr>
        <w:footnoteRef/>
      </w:r>
      <w:r w:rsidR="7535DB9D" w:rsidRPr="00432986">
        <w:rPr>
          <w:sz w:val="18"/>
          <w:szCs w:val="18"/>
        </w:rPr>
        <w:t xml:space="preserve"> Alliance for Regenerative Medicine (2026) ARM Q4 2025 CGT Sector Data. [Online] Washington, DC: Alliance for Regenerative Medicine. </w:t>
      </w:r>
      <w:r w:rsidR="7535DB9D" w:rsidRPr="00432986">
        <w:rPr>
          <w:sz w:val="18"/>
          <w:szCs w:val="18"/>
          <w:lang w:val="en-IE"/>
        </w:rPr>
        <w:t>Available at: </w:t>
      </w:r>
      <w:hyperlink r:id="rId43">
        <w:r w:rsidR="7535DB9D" w:rsidRPr="00432986">
          <w:rPr>
            <w:rStyle w:val="Hyperlink"/>
            <w:sz w:val="18"/>
            <w:szCs w:val="18"/>
            <w:lang w:val="en-IE"/>
          </w:rPr>
          <w:t>https://alliancerm.org/wp-content/uploads/2026/01/ARM-Q4-2025-CGT-Sector-Data.pdf</w:t>
        </w:r>
      </w:hyperlink>
    </w:p>
  </w:footnote>
  <w:footnote w:id="120">
    <w:p w14:paraId="35CB8BAD" w14:textId="77777777" w:rsidR="00B9056D" w:rsidRPr="00432986" w:rsidRDefault="00B9056D" w:rsidP="00885795">
      <w:pPr>
        <w:pStyle w:val="FootnoteText"/>
        <w:rPr>
          <w:sz w:val="18"/>
          <w:szCs w:val="18"/>
        </w:rPr>
      </w:pPr>
      <w:r w:rsidRPr="00432986">
        <w:rPr>
          <w:rStyle w:val="FootnoteReference"/>
          <w:sz w:val="18"/>
          <w:szCs w:val="18"/>
        </w:rPr>
        <w:footnoteRef/>
      </w:r>
      <w:r w:rsidRPr="00432986">
        <w:rPr>
          <w:sz w:val="18"/>
          <w:szCs w:val="18"/>
        </w:rPr>
        <w:t xml:space="preserve"> Reed Intelligence (2025) Europe Regenerative Medicine Market Size &amp; Share Report By 2033. [Online] Reed Intelligence. Available at: </w:t>
      </w:r>
      <w:hyperlink r:id="rId44" w:tgtFrame="_blank" w:history="1">
        <w:r w:rsidRPr="00432986">
          <w:rPr>
            <w:rStyle w:val="Hyperlink"/>
            <w:sz w:val="18"/>
            <w:szCs w:val="18"/>
          </w:rPr>
          <w:t>https://reedintelligence.com/insights/regenerative-medicine-market/europe</w:t>
        </w:r>
      </w:hyperlink>
      <w:r w:rsidRPr="00432986">
        <w:rPr>
          <w:b/>
          <w:sz w:val="18"/>
          <w:szCs w:val="18"/>
        </w:rPr>
        <w:t> </w:t>
      </w:r>
    </w:p>
  </w:footnote>
  <w:footnote w:id="121">
    <w:p w14:paraId="5CBA3414" w14:textId="1D69B0A7" w:rsidR="00B9056D" w:rsidRPr="00432986" w:rsidRDefault="00B9056D" w:rsidP="00885795">
      <w:pPr>
        <w:pStyle w:val="FootnoteText"/>
        <w:rPr>
          <w:sz w:val="18"/>
          <w:szCs w:val="18"/>
        </w:rPr>
      </w:pPr>
      <w:r w:rsidRPr="00432986">
        <w:rPr>
          <w:rStyle w:val="FootnoteReference"/>
          <w:sz w:val="18"/>
          <w:szCs w:val="18"/>
        </w:rPr>
        <w:footnoteRef/>
      </w:r>
      <w:r w:rsidR="4EC480EB" w:rsidRPr="00432986">
        <w:rPr>
          <w:sz w:val="18"/>
          <w:szCs w:val="18"/>
        </w:rPr>
        <w:t xml:space="preserve"> ARM: Seizing Europe’s Opportunity for Transformative Medicine </w:t>
      </w:r>
      <w:hyperlink r:id="rId45" w:history="1">
        <w:r w:rsidR="4EC480EB" w:rsidRPr="00432986">
          <w:rPr>
            <w:rStyle w:val="Hyperlink"/>
            <w:sz w:val="18"/>
            <w:szCs w:val="18"/>
          </w:rPr>
          <w:t>FINAL_ARM_Policy-Blueprint_Biotech-Act_CEO-Letter.pdf</w:t>
        </w:r>
      </w:hyperlink>
      <w:hyperlink r:id="rId46" w:history="1">
        <w:r w:rsidR="4EC480EB" w:rsidRPr="00432986">
          <w:rPr>
            <w:rStyle w:val="Hyperlink"/>
            <w:sz w:val="18"/>
            <w:szCs w:val="18"/>
          </w:rPr>
          <w:t xml:space="preserve"> </w:t>
        </w:r>
      </w:hyperlink>
      <w:r w:rsidR="4EC480EB" w:rsidRPr="00432986">
        <w:rPr>
          <w:sz w:val="18"/>
          <w:szCs w:val="18"/>
        </w:rPr>
        <w:t>2025</w:t>
      </w:r>
    </w:p>
  </w:footnote>
  <w:footnote w:id="122">
    <w:p w14:paraId="6E6CC100" w14:textId="77777777" w:rsidR="00B9056D" w:rsidRPr="00432986" w:rsidRDefault="00B9056D" w:rsidP="00885795">
      <w:pPr>
        <w:pStyle w:val="FootnoteText"/>
        <w:rPr>
          <w:sz w:val="18"/>
          <w:szCs w:val="18"/>
        </w:rPr>
      </w:pPr>
      <w:r w:rsidRPr="00432986">
        <w:rPr>
          <w:rStyle w:val="FootnoteReference"/>
          <w:sz w:val="18"/>
          <w:szCs w:val="18"/>
        </w:rPr>
        <w:footnoteRef/>
      </w:r>
      <w:r w:rsidRPr="00432986">
        <w:rPr>
          <w:sz w:val="18"/>
          <w:szCs w:val="18"/>
        </w:rPr>
        <w:t xml:space="preserve"> Joyce, K., Buljovcic, S., Jerez, L., McCarthy, C. and Barry, F. 2023, ‘Issues with Tissues: Trends in Tissue-Engineered Products in Clinical Trials in the European Union’, </w:t>
      </w:r>
      <w:r w:rsidRPr="00432986">
        <w:rPr>
          <w:i/>
          <w:iCs/>
          <w:sz w:val="18"/>
          <w:szCs w:val="18"/>
        </w:rPr>
        <w:t>Tissue Engineering Part B: Reviews</w:t>
      </w:r>
      <w:r w:rsidRPr="00432986">
        <w:rPr>
          <w:sz w:val="18"/>
          <w:szCs w:val="18"/>
        </w:rPr>
        <w:t>, 29(1), pp. 78–88. doi: 10.1089/ten.teb.2022.0094.</w:t>
      </w:r>
    </w:p>
  </w:footnote>
  <w:footnote w:id="123">
    <w:p w14:paraId="754921B5" w14:textId="1650C89D" w:rsidR="00B9056D" w:rsidRPr="00432986" w:rsidRDefault="00B9056D" w:rsidP="00885795">
      <w:pPr>
        <w:pStyle w:val="FootnoteText"/>
        <w:rPr>
          <w:sz w:val="18"/>
          <w:szCs w:val="18"/>
        </w:rPr>
      </w:pPr>
      <w:r w:rsidRPr="00432986">
        <w:rPr>
          <w:rStyle w:val="FootnoteReference"/>
          <w:sz w:val="18"/>
          <w:szCs w:val="18"/>
        </w:rPr>
        <w:footnoteRef/>
      </w:r>
      <w:r w:rsidRPr="00432986">
        <w:rPr>
          <w:sz w:val="18"/>
          <w:szCs w:val="18"/>
        </w:rPr>
        <w:t xml:space="preserve"> </w:t>
      </w:r>
      <w:r w:rsidR="367617DA" w:rsidRPr="00432986">
        <w:rPr>
          <w:sz w:val="18"/>
          <w:szCs w:val="18"/>
        </w:rPr>
        <w:t xml:space="preserve"> ATMP industry coalition, response to the Call for Evidence on the European Biotech Act, June 2025</w:t>
      </w:r>
    </w:p>
  </w:footnote>
  <w:footnote w:id="124">
    <w:p w14:paraId="3BC54B1B" w14:textId="342CF6F8" w:rsidR="009E3BA3" w:rsidRPr="00432986" w:rsidRDefault="00B9056D" w:rsidP="00885795">
      <w:pPr>
        <w:pStyle w:val="FootnoteText"/>
        <w:rPr>
          <w:sz w:val="18"/>
          <w:szCs w:val="18"/>
        </w:rPr>
      </w:pPr>
      <w:r w:rsidRPr="00432986">
        <w:rPr>
          <w:rStyle w:val="FootnoteReference"/>
          <w:sz w:val="18"/>
          <w:szCs w:val="18"/>
        </w:rPr>
        <w:footnoteRef/>
      </w:r>
      <w:r w:rsidR="67A9E9EA" w:rsidRPr="00432986">
        <w:rPr>
          <w:sz w:val="18"/>
          <w:szCs w:val="18"/>
        </w:rPr>
        <w:t xml:space="preserve"> AR Alliance for Regenerative Medicine (2026)</w:t>
      </w:r>
      <w:r w:rsidRPr="00432986">
        <w:rPr>
          <w:sz w:val="18"/>
          <w:szCs w:val="18"/>
        </w:rPr>
        <w:t xml:space="preserve"> ARM</w:t>
      </w:r>
      <w:r w:rsidR="67A9E9EA" w:rsidRPr="00432986">
        <w:rPr>
          <w:sz w:val="18"/>
          <w:szCs w:val="18"/>
        </w:rPr>
        <w:t xml:space="preserve"> Q4 2025 CGT Sector Data. [Online] Washington, DC: Alliance for Regenerative Medicine. </w:t>
      </w:r>
      <w:r w:rsidR="67A9E9EA" w:rsidRPr="00432986">
        <w:rPr>
          <w:sz w:val="18"/>
          <w:szCs w:val="18"/>
          <w:lang w:val="en-IE"/>
        </w:rPr>
        <w:t>Available at: </w:t>
      </w:r>
      <w:hyperlink r:id="rId47" w:tgtFrame="_blank" w:history="1">
        <w:r w:rsidR="67A9E9EA" w:rsidRPr="00432986">
          <w:rPr>
            <w:rStyle w:val="Hyperlink"/>
            <w:sz w:val="18"/>
            <w:szCs w:val="18"/>
            <w:lang w:val="en-IE"/>
          </w:rPr>
          <w:t>https://alliancerm.org/wp-content/uploads/2026/01/ARM-Q4-2025-CGT-Sector-Data.pdf</w:t>
        </w:r>
      </w:hyperlink>
    </w:p>
    <w:p w14:paraId="1E9726A8" w14:textId="150EADBA" w:rsidR="00B9056D" w:rsidRPr="00432986" w:rsidRDefault="00B9056D" w:rsidP="00885795">
      <w:pPr>
        <w:pStyle w:val="FootnoteText"/>
        <w:rPr>
          <w:sz w:val="18"/>
          <w:szCs w:val="18"/>
        </w:rPr>
      </w:pPr>
    </w:p>
  </w:footnote>
  <w:footnote w:id="125">
    <w:p w14:paraId="27B2AB70" w14:textId="3C0B49F5" w:rsidR="00B9056D" w:rsidRPr="002551FD" w:rsidRDefault="00B9056D" w:rsidP="00885795">
      <w:pPr>
        <w:pStyle w:val="FootnoteText"/>
        <w:rPr>
          <w:sz w:val="18"/>
          <w:szCs w:val="18"/>
        </w:rPr>
      </w:pPr>
      <w:r w:rsidRPr="00432986">
        <w:rPr>
          <w:rStyle w:val="FootnoteReference"/>
          <w:sz w:val="18"/>
          <w:szCs w:val="18"/>
        </w:rPr>
        <w:footnoteRef/>
      </w:r>
      <w:r w:rsidRPr="00432986">
        <w:rPr>
          <w:sz w:val="18"/>
          <w:szCs w:val="18"/>
        </w:rPr>
        <w:t xml:space="preserve"> </w:t>
      </w:r>
      <w:r w:rsidR="004462DB" w:rsidRPr="002551FD">
        <w:rPr>
          <w:sz w:val="18"/>
          <w:szCs w:val="18"/>
        </w:rPr>
        <w:t xml:space="preserve">Alliance for Regenerative Medicine (2026) ARM Q4 2025 CGT Sector Data. [Online] Washington, DC: Alliance for Regenerative Medicine. </w:t>
      </w:r>
      <w:r w:rsidR="004462DB" w:rsidRPr="002551FD">
        <w:rPr>
          <w:sz w:val="18"/>
          <w:szCs w:val="18"/>
          <w:lang w:val="en-IE"/>
        </w:rPr>
        <w:t>Available at: </w:t>
      </w:r>
      <w:hyperlink r:id="rId48" w:tgtFrame="_blank" w:history="1">
        <w:r w:rsidR="004462DB" w:rsidRPr="002551FD">
          <w:rPr>
            <w:rStyle w:val="Hyperlink"/>
            <w:sz w:val="18"/>
            <w:szCs w:val="18"/>
            <w:lang w:val="en-IE"/>
          </w:rPr>
          <w:t>https://alliancerm.org/wp-content/uploads/2026/01/ARM-Q4-2025-CGT-Sector-Data.pdf</w:t>
        </w:r>
      </w:hyperlink>
    </w:p>
  </w:footnote>
  <w:footnote w:id="126">
    <w:p w14:paraId="0C67A834" w14:textId="77777777" w:rsidR="00B9056D" w:rsidRPr="002551FD" w:rsidRDefault="00B9056D" w:rsidP="00885795">
      <w:pPr>
        <w:pStyle w:val="FootnoteText"/>
        <w:rPr>
          <w:sz w:val="18"/>
          <w:szCs w:val="18"/>
        </w:rPr>
      </w:pPr>
      <w:r w:rsidRPr="002551FD">
        <w:rPr>
          <w:rStyle w:val="FootnoteReference"/>
          <w:sz w:val="18"/>
          <w:szCs w:val="18"/>
        </w:rPr>
        <w:footnoteRef/>
      </w:r>
      <w:r w:rsidRPr="002551FD">
        <w:rPr>
          <w:sz w:val="18"/>
          <w:szCs w:val="18"/>
        </w:rPr>
        <w:t xml:space="preserve"> ARM Q4 2025 data shows that of the global ATMP pipeline, approximately 15% are cell</w:t>
      </w:r>
      <w:r w:rsidRPr="002551FD">
        <w:rPr>
          <w:sz w:val="18"/>
          <w:szCs w:val="18"/>
        </w:rPr>
        <w:noBreakHyphen/>
        <w:t>based therapies and 70% are gene therapies, with the remainder being tissue</w:t>
      </w:r>
      <w:r w:rsidRPr="002551FD">
        <w:rPr>
          <w:sz w:val="18"/>
          <w:szCs w:val="18"/>
        </w:rPr>
        <w:noBreakHyphen/>
        <w:t>engineered products</w:t>
      </w:r>
      <w:r w:rsidRPr="002551FD">
        <w:rPr>
          <w:i/>
          <w:sz w:val="18"/>
          <w:szCs w:val="18"/>
        </w:rPr>
        <w:t>.</w:t>
      </w:r>
    </w:p>
  </w:footnote>
  <w:footnote w:id="127">
    <w:p w14:paraId="525EC7A9" w14:textId="36F9FBE3" w:rsidR="00A0145B" w:rsidRPr="00A0145B" w:rsidRDefault="00A0145B">
      <w:pPr>
        <w:pStyle w:val="FootnoteText"/>
      </w:pPr>
      <w:r w:rsidRPr="00F46227">
        <w:rPr>
          <w:rStyle w:val="FootnoteReference"/>
          <w:sz w:val="18"/>
          <w:szCs w:val="18"/>
        </w:rPr>
        <w:footnoteRef/>
      </w:r>
      <w:r w:rsidRPr="00F46227">
        <w:rPr>
          <w:sz w:val="18"/>
          <w:szCs w:val="18"/>
        </w:rPr>
        <w:t xml:space="preserve"> </w:t>
      </w:r>
      <w:r w:rsidR="004E7229" w:rsidRPr="00F46227">
        <w:rPr>
          <w:sz w:val="18"/>
          <w:szCs w:val="18"/>
        </w:rPr>
        <w:t>Rapid Assessment Scenario Study (forthcoming), stakeholder consultation</w:t>
      </w:r>
    </w:p>
  </w:footnote>
  <w:footnote w:id="128">
    <w:p w14:paraId="7FAC956C" w14:textId="77777777" w:rsidR="00B9056D" w:rsidRPr="002551FD" w:rsidRDefault="00B9056D" w:rsidP="00885795">
      <w:pPr>
        <w:pStyle w:val="FootnoteText"/>
        <w:rPr>
          <w:sz w:val="18"/>
          <w:szCs w:val="18"/>
          <w:lang w:val="en-IE"/>
        </w:rPr>
      </w:pPr>
      <w:r w:rsidRPr="002551FD">
        <w:rPr>
          <w:rStyle w:val="FootnoteReference"/>
          <w:sz w:val="18"/>
          <w:szCs w:val="18"/>
        </w:rPr>
        <w:footnoteRef/>
      </w:r>
      <w:r w:rsidRPr="002551FD">
        <w:rPr>
          <w:sz w:val="18"/>
          <w:szCs w:val="18"/>
        </w:rPr>
        <w:t xml:space="preserve"> Alliance for Regenerative Medicine (2026) ARM Q4 2025 CGT Sector Data. [Online] Washington, DC: Alliance for Regenerative Medicine. </w:t>
      </w:r>
      <w:r w:rsidRPr="002551FD">
        <w:rPr>
          <w:sz w:val="18"/>
          <w:szCs w:val="18"/>
          <w:lang w:val="en-IE"/>
        </w:rPr>
        <w:t>Available at: </w:t>
      </w:r>
      <w:hyperlink r:id="rId49" w:tgtFrame="_blank" w:history="1">
        <w:r w:rsidRPr="002551FD">
          <w:rPr>
            <w:rStyle w:val="Hyperlink"/>
            <w:sz w:val="18"/>
            <w:szCs w:val="18"/>
            <w:lang w:val="en-IE"/>
          </w:rPr>
          <w:t>https://alliancerm.org/wp-content/uploads/2026/01/ARM-Q4-2025-CGT-Sector-Data.pdf</w:t>
        </w:r>
      </w:hyperlink>
    </w:p>
  </w:footnote>
  <w:footnote w:id="129">
    <w:p w14:paraId="1EE896C7" w14:textId="33819C62" w:rsidR="00B9056D" w:rsidRPr="00432986" w:rsidRDefault="00B9056D" w:rsidP="00885795">
      <w:pPr>
        <w:pStyle w:val="FootnoteText"/>
        <w:rPr>
          <w:sz w:val="18"/>
          <w:szCs w:val="18"/>
        </w:rPr>
      </w:pPr>
      <w:r w:rsidRPr="002551FD">
        <w:rPr>
          <w:rStyle w:val="FootnoteReference"/>
          <w:sz w:val="18"/>
          <w:szCs w:val="18"/>
        </w:rPr>
        <w:footnoteRef/>
      </w:r>
      <w:r w:rsidRPr="002551FD">
        <w:rPr>
          <w:sz w:val="18"/>
          <w:szCs w:val="18"/>
        </w:rPr>
        <w:t xml:space="preserve"> </w:t>
      </w:r>
      <w:hyperlink r:id="rId50" w:history="1">
        <w:r w:rsidRPr="002551FD">
          <w:rPr>
            <w:rStyle w:val="Hyperlink"/>
            <w:sz w:val="18"/>
            <w:szCs w:val="18"/>
          </w:rPr>
          <w:t>https://cordis.europa.eu/search?q=contenttype%3D%27project%27 AND frameworkProgramme%3D%27HORIZON%27 AND language%3D%27en%27%2C%27de%27%2C%27es%27%2C%27fr%27%2C%27it%27%2C%27pl%27 AND (%27ATMP%27)&amp;p=1&amp;num=10&amp;srt=Relevance:decreasing</w:t>
        </w:r>
      </w:hyperlink>
    </w:p>
  </w:footnote>
  <w:footnote w:id="130">
    <w:p w14:paraId="319A3DD7" w14:textId="77777777" w:rsidR="00B9056D" w:rsidRPr="00432986" w:rsidRDefault="00B9056D" w:rsidP="00885795">
      <w:pPr>
        <w:pStyle w:val="FootnoteText"/>
        <w:rPr>
          <w:sz w:val="18"/>
          <w:szCs w:val="18"/>
        </w:rPr>
      </w:pPr>
      <w:r w:rsidRPr="00432986">
        <w:rPr>
          <w:rStyle w:val="FootnoteReference"/>
          <w:sz w:val="18"/>
          <w:szCs w:val="18"/>
        </w:rPr>
        <w:footnoteRef/>
      </w:r>
      <w:r w:rsidRPr="00432986">
        <w:rPr>
          <w:sz w:val="18"/>
          <w:szCs w:val="18"/>
        </w:rPr>
        <w:t xml:space="preserve"> https://www.ema.europa.eu/en/documents/report/annual-activity-report-2024_en.pdf</w:t>
      </w:r>
    </w:p>
  </w:footnote>
  <w:footnote w:id="131">
    <w:p w14:paraId="40DED8F9" w14:textId="1DB99BCB" w:rsidR="00207F53" w:rsidRPr="00432986" w:rsidRDefault="00207F53" w:rsidP="00885795">
      <w:pPr>
        <w:spacing w:after="0" w:line="276" w:lineRule="auto"/>
        <w:rPr>
          <w:rFonts w:eastAsia="Calibri"/>
          <w:sz w:val="18"/>
          <w:szCs w:val="18"/>
          <w:lang w:val="en-IE"/>
        </w:rPr>
      </w:pPr>
      <w:r w:rsidRPr="00432986">
        <w:rPr>
          <w:rStyle w:val="FootnoteReference"/>
          <w:sz w:val="18"/>
          <w:szCs w:val="18"/>
        </w:rPr>
        <w:footnoteRef/>
      </w:r>
      <w:r w:rsidRPr="00432986">
        <w:rPr>
          <w:sz w:val="18"/>
          <w:szCs w:val="18"/>
        </w:rPr>
        <w:t xml:space="preserve"> </w:t>
      </w:r>
      <w:r w:rsidRPr="00432986">
        <w:rPr>
          <w:rFonts w:eastAsia="Calibri"/>
          <w:sz w:val="18"/>
          <w:szCs w:val="18"/>
          <w:lang w:val="en-IE"/>
        </w:rPr>
        <w:t xml:space="preserve">EFPIA, EUCOPE, EuropaBio. </w:t>
      </w:r>
      <w:r w:rsidRPr="00432986">
        <w:rPr>
          <w:rFonts w:eastAsia="Calibri"/>
          <w:i/>
          <w:iCs/>
          <w:sz w:val="18"/>
          <w:szCs w:val="18"/>
          <w:lang w:val="en-IE"/>
        </w:rPr>
        <w:t>Industry survey on GMO-IMPs under the EU CTR</w:t>
      </w:r>
      <w:r w:rsidRPr="00432986">
        <w:rPr>
          <w:rFonts w:eastAsia="Calibri"/>
          <w:sz w:val="18"/>
          <w:szCs w:val="18"/>
          <w:lang w:val="en-IE"/>
        </w:rPr>
        <w:t xml:space="preserve">. (Data referenced in the original text and in Beattie et al., </w:t>
      </w:r>
      <w:r w:rsidRPr="00432986">
        <w:rPr>
          <w:rFonts w:eastAsia="Calibri"/>
          <w:i/>
          <w:iCs/>
          <w:sz w:val="18"/>
          <w:szCs w:val="18"/>
          <w:lang w:val="en-IE"/>
        </w:rPr>
        <w:t>Cell &amp; Gene Therapy Insights</w:t>
      </w:r>
      <w:r w:rsidRPr="00432986">
        <w:rPr>
          <w:rFonts w:eastAsia="Calibri"/>
          <w:sz w:val="18"/>
          <w:szCs w:val="18"/>
          <w:lang w:val="en-IE"/>
        </w:rPr>
        <w:t>, 2024); ATMP2030 Annual Report 2024 (ATMP Sweden, September 2024).</w:t>
      </w:r>
    </w:p>
  </w:footnote>
  <w:footnote w:id="132">
    <w:p w14:paraId="40369F99" w14:textId="4F962A10" w:rsidR="00207F53" w:rsidRPr="00432986" w:rsidRDefault="00207F53" w:rsidP="00885795">
      <w:pPr>
        <w:spacing w:after="0" w:line="276" w:lineRule="auto"/>
        <w:rPr>
          <w:rFonts w:eastAsia="Times New Roman"/>
          <w:sz w:val="18"/>
          <w:szCs w:val="18"/>
          <w:lang w:val="en-IE"/>
        </w:rPr>
      </w:pPr>
      <w:r w:rsidRPr="00432986">
        <w:rPr>
          <w:rStyle w:val="FootnoteReference"/>
          <w:sz w:val="18"/>
          <w:szCs w:val="18"/>
        </w:rPr>
        <w:footnoteRef/>
      </w:r>
      <w:r w:rsidRPr="00432986">
        <w:rPr>
          <w:sz w:val="18"/>
          <w:szCs w:val="18"/>
        </w:rPr>
        <w:t xml:space="preserve"> </w:t>
      </w:r>
      <w:r w:rsidRPr="00432986">
        <w:rPr>
          <w:rFonts w:eastAsia="Calibri"/>
          <w:sz w:val="18"/>
          <w:szCs w:val="18"/>
          <w:lang w:val="en-IE"/>
        </w:rPr>
        <w:t xml:space="preserve">Bech‑Bruun. </w:t>
      </w:r>
      <w:r w:rsidRPr="00432986">
        <w:rPr>
          <w:rFonts w:eastAsia="Calibri"/>
          <w:i/>
          <w:iCs/>
          <w:sz w:val="18"/>
          <w:szCs w:val="18"/>
          <w:lang w:val="en-IE"/>
        </w:rPr>
        <w:t>Analysis of the Biotech Act</w:t>
      </w:r>
      <w:r w:rsidRPr="00432986">
        <w:rPr>
          <w:rFonts w:eastAsia="Calibri"/>
          <w:sz w:val="18"/>
          <w:szCs w:val="18"/>
          <w:lang w:val="en-IE"/>
        </w:rPr>
        <w:t>. March 2026.</w:t>
      </w:r>
      <w:r w:rsidR="203DADF1" w:rsidRPr="00432986">
        <w:rPr>
          <w:rFonts w:eastAsia="Times New Roman"/>
          <w:sz w:val="18"/>
          <w:szCs w:val="18"/>
          <w:lang w:val="en-IE"/>
        </w:rPr>
        <w:t xml:space="preserve"> </w:t>
      </w:r>
      <w:hyperlink r:id="rId51" w:history="1">
        <w:r w:rsidR="6E124B5D" w:rsidRPr="00432986">
          <w:rPr>
            <w:rStyle w:val="Hyperlink"/>
            <w:rFonts w:eastAsia="Times New Roman"/>
            <w:sz w:val="18"/>
            <w:szCs w:val="18"/>
            <w:lang w:val="en-IE"/>
          </w:rPr>
          <w:t>The EU Biotech Act: A targeted solution to Europe’s biotech challenges</w:t>
        </w:r>
      </w:hyperlink>
      <w:r w:rsidR="00BB39E6" w:rsidRPr="00432986">
        <w:rPr>
          <w:sz w:val="18"/>
          <w:szCs w:val="18"/>
        </w:rPr>
        <w:t>.</w:t>
      </w:r>
    </w:p>
  </w:footnote>
  <w:footnote w:id="133">
    <w:p w14:paraId="0A9593F1" w14:textId="77777777" w:rsidR="00207F53" w:rsidRPr="00432986" w:rsidRDefault="00207F53" w:rsidP="00885795">
      <w:pPr>
        <w:spacing w:after="0" w:line="276" w:lineRule="auto"/>
        <w:rPr>
          <w:rFonts w:eastAsia="Calibri"/>
          <w:sz w:val="18"/>
          <w:szCs w:val="18"/>
          <w:lang w:val="en-IE"/>
        </w:rPr>
      </w:pPr>
      <w:r w:rsidRPr="00432986">
        <w:rPr>
          <w:rStyle w:val="FootnoteReference"/>
          <w:sz w:val="18"/>
          <w:szCs w:val="18"/>
        </w:rPr>
        <w:footnoteRef/>
      </w:r>
      <w:r w:rsidRPr="00432986">
        <w:rPr>
          <w:sz w:val="18"/>
          <w:szCs w:val="18"/>
        </w:rPr>
        <w:t xml:space="preserve"> </w:t>
      </w:r>
      <w:r w:rsidRPr="00432986">
        <w:rPr>
          <w:rFonts w:eastAsia="Calibri"/>
          <w:sz w:val="18"/>
          <w:szCs w:val="18"/>
          <w:lang w:val="en-IE"/>
        </w:rPr>
        <w:t xml:space="preserve">EFPIA, EUCOPE, EuropaBio. </w:t>
      </w:r>
      <w:r w:rsidRPr="00432986">
        <w:rPr>
          <w:rFonts w:eastAsia="Calibri"/>
          <w:i/>
          <w:iCs/>
          <w:sz w:val="18"/>
          <w:szCs w:val="18"/>
          <w:lang w:val="en-IE"/>
        </w:rPr>
        <w:t>Industry survey on GMO-IMPs under the EU CTR</w:t>
      </w:r>
      <w:r w:rsidRPr="00432986">
        <w:rPr>
          <w:rFonts w:eastAsia="Calibri"/>
          <w:sz w:val="18"/>
          <w:szCs w:val="18"/>
          <w:lang w:val="en-IE"/>
        </w:rPr>
        <w:t xml:space="preserve">. (Data referenced in the original text and in Beattie et al., </w:t>
      </w:r>
      <w:r w:rsidRPr="00432986">
        <w:rPr>
          <w:rFonts w:eastAsia="Calibri"/>
          <w:i/>
          <w:iCs/>
          <w:sz w:val="18"/>
          <w:szCs w:val="18"/>
          <w:lang w:val="en-IE"/>
        </w:rPr>
        <w:t>Cell &amp; Gene Therapy Insights</w:t>
      </w:r>
      <w:r w:rsidRPr="00432986">
        <w:rPr>
          <w:rFonts w:eastAsia="Calibri"/>
          <w:sz w:val="18"/>
          <w:szCs w:val="18"/>
          <w:lang w:val="en-IE"/>
        </w:rPr>
        <w:t>, 2024); ATMP2030 Annual Report 2024 (ATMP Sweden, September 2024).</w:t>
      </w:r>
    </w:p>
  </w:footnote>
  <w:footnote w:id="134">
    <w:p w14:paraId="3F02EB0A" w14:textId="0514F101" w:rsidR="5DA36055" w:rsidRPr="00432986" w:rsidRDefault="5DA36055" w:rsidP="5DA36055">
      <w:pPr>
        <w:rPr>
          <w:rFonts w:eastAsia="Times-Roman"/>
          <w:i/>
          <w:iCs/>
          <w:sz w:val="18"/>
          <w:szCs w:val="18"/>
        </w:rPr>
      </w:pPr>
      <w:r w:rsidRPr="00432986">
        <w:rPr>
          <w:rFonts w:eastAsia="Times-Roman"/>
          <w:sz w:val="18"/>
          <w:szCs w:val="18"/>
          <w:vertAlign w:val="superscript"/>
        </w:rPr>
        <w:footnoteRef/>
      </w:r>
      <w:r w:rsidRPr="00432986">
        <w:rPr>
          <w:rFonts w:eastAsia="Times-Roman"/>
          <w:i/>
          <w:sz w:val="18"/>
          <w:szCs w:val="18"/>
        </w:rPr>
        <w:t xml:space="preserve"> </w:t>
      </w:r>
      <w:r w:rsidRPr="00432986">
        <w:rPr>
          <w:rFonts w:eastAsia="Times-Roman"/>
          <w:iCs/>
          <w:sz w:val="18"/>
          <w:szCs w:val="18"/>
        </w:rPr>
        <w:t xml:space="preserve">The </w:t>
      </w:r>
      <w:r w:rsidRPr="00432986">
        <w:rPr>
          <w:rFonts w:eastAsia="Times-Roman"/>
          <w:i/>
          <w:sz w:val="18"/>
          <w:szCs w:val="18"/>
        </w:rPr>
        <w:t>Study</w:t>
      </w:r>
      <w:r w:rsidR="00724E8C" w:rsidRPr="00432986">
        <w:rPr>
          <w:i/>
          <w:sz w:val="18"/>
          <w:szCs w:val="18"/>
        </w:rPr>
        <w:t xml:space="preserve"> </w:t>
      </w:r>
      <w:r w:rsidR="00724E8C" w:rsidRPr="00432986">
        <w:rPr>
          <w:rFonts w:eastAsia="Times-Roman"/>
          <w:i/>
          <w:sz w:val="18"/>
          <w:szCs w:val="18"/>
        </w:rPr>
        <w:t>Regulatory Framework Stud</w:t>
      </w:r>
      <w:r w:rsidR="007F6AE7" w:rsidRPr="00432986">
        <w:rPr>
          <w:rFonts w:eastAsia="Times-Roman"/>
          <w:i/>
          <w:sz w:val="18"/>
          <w:szCs w:val="18"/>
        </w:rPr>
        <w:t>y</w:t>
      </w:r>
      <w:r w:rsidR="00724E8C" w:rsidRPr="00432986">
        <w:rPr>
          <w:rFonts w:eastAsia="Times-Roman"/>
          <w:i/>
          <w:sz w:val="18"/>
          <w:szCs w:val="18"/>
        </w:rPr>
        <w:t xml:space="preserve"> </w:t>
      </w:r>
      <w:r w:rsidR="007F6AE7" w:rsidRPr="00432986">
        <w:rPr>
          <w:rFonts w:eastAsia="Times-Roman"/>
          <w:i/>
          <w:sz w:val="18"/>
          <w:szCs w:val="18"/>
        </w:rPr>
        <w:t>(</w:t>
      </w:r>
      <w:r w:rsidR="00724E8C" w:rsidRPr="00432986">
        <w:rPr>
          <w:rFonts w:eastAsia="Times-Roman"/>
          <w:i/>
          <w:sz w:val="18"/>
          <w:szCs w:val="18"/>
        </w:rPr>
        <w:t>forthcoming</w:t>
      </w:r>
      <w:r w:rsidR="007F6AE7" w:rsidRPr="00432986">
        <w:rPr>
          <w:rFonts w:eastAsia="Times-Roman"/>
          <w:i/>
          <w:sz w:val="18"/>
          <w:szCs w:val="18"/>
        </w:rPr>
        <w:t>)</w:t>
      </w:r>
      <w:r w:rsidRPr="00432986">
        <w:rPr>
          <w:rFonts w:eastAsia="Times-Roman"/>
          <w:iCs/>
          <w:sz w:val="18"/>
          <w:szCs w:val="18"/>
        </w:rPr>
        <w:t xml:space="preserve"> assesses the impact of four different sets of policy measures: (i) Shortening timelines for the assessment procedures and improved coordination via a strengthened role of the reporting Member States; (ii) the establishment of centralised assessment body for scientific and ethic review, (iii) the establishment of a centralised assessment body limited to public health emergencies,</w:t>
      </w:r>
      <w:r w:rsidR="00CC3A29" w:rsidRPr="00432986">
        <w:rPr>
          <w:rFonts w:eastAsia="Times-Roman"/>
          <w:iCs/>
          <w:sz w:val="18"/>
          <w:szCs w:val="18"/>
        </w:rPr>
        <w:t xml:space="preserve"> </w:t>
      </w:r>
      <w:r w:rsidRPr="00432986">
        <w:rPr>
          <w:rFonts w:eastAsia="Times-Roman"/>
          <w:iCs/>
          <w:sz w:val="18"/>
          <w:szCs w:val="18"/>
        </w:rPr>
        <w:t>and (iv) a shortening of the timelines without procedural changes. For further details, please see the report.</w:t>
      </w:r>
      <w:r w:rsidRPr="00432986">
        <w:rPr>
          <w:rFonts w:eastAsia="Times-Roman"/>
          <w:i/>
          <w:iCs/>
          <w:sz w:val="18"/>
          <w:szCs w:val="18"/>
        </w:rPr>
        <w:t xml:space="preserve"> </w:t>
      </w:r>
    </w:p>
  </w:footnote>
  <w:footnote w:id="135">
    <w:p w14:paraId="796D3897" w14:textId="0E5935BE" w:rsidR="00973D3F" w:rsidRPr="00432986" w:rsidRDefault="007D44EA" w:rsidP="00973D3F">
      <w:pPr>
        <w:pStyle w:val="FootnoteText"/>
        <w:rPr>
          <w:sz w:val="18"/>
          <w:szCs w:val="18"/>
        </w:rPr>
      </w:pPr>
      <w:r w:rsidRPr="00432986">
        <w:rPr>
          <w:rStyle w:val="FootnoteReference"/>
          <w:sz w:val="18"/>
          <w:szCs w:val="18"/>
        </w:rPr>
        <w:footnoteRef/>
      </w:r>
      <w:r w:rsidRPr="00432986">
        <w:rPr>
          <w:sz w:val="18"/>
          <w:szCs w:val="18"/>
        </w:rPr>
        <w:t xml:space="preserve"> </w:t>
      </w:r>
      <w:r w:rsidR="00973D3F" w:rsidRPr="00432986">
        <w:rPr>
          <w:sz w:val="18"/>
          <w:szCs w:val="18"/>
        </w:rPr>
        <w:t xml:space="preserve">See </w:t>
      </w:r>
      <w:r w:rsidR="00973D3F" w:rsidRPr="00432986">
        <w:rPr>
          <w:i/>
          <w:iCs/>
          <w:sz w:val="18"/>
          <w:szCs w:val="18"/>
        </w:rPr>
        <w:t>Regulatory Framework Study</w:t>
      </w:r>
      <w:r w:rsidR="00973D3F" w:rsidRPr="004570F2">
        <w:rPr>
          <w:i/>
          <w:sz w:val="18"/>
        </w:rPr>
        <w:t xml:space="preserve"> (forthcoming)</w:t>
      </w:r>
    </w:p>
    <w:p w14:paraId="3AFF735D" w14:textId="6E20FF33" w:rsidR="007D44EA" w:rsidRPr="004570F2" w:rsidRDefault="007D44EA" w:rsidP="004570F2">
      <w:pPr>
        <w:rPr>
          <w:sz w:val="18"/>
        </w:rPr>
      </w:pPr>
    </w:p>
  </w:footnote>
  <w:footnote w:id="136">
    <w:p w14:paraId="617CAA6D" w14:textId="39B42B5E" w:rsidR="00D92E04" w:rsidRPr="00432986" w:rsidRDefault="00D92E04" w:rsidP="00885795">
      <w:pPr>
        <w:pStyle w:val="FootnoteText"/>
        <w:rPr>
          <w:sz w:val="18"/>
          <w:szCs w:val="18"/>
        </w:rPr>
      </w:pPr>
      <w:r w:rsidRPr="00432986">
        <w:rPr>
          <w:rStyle w:val="FootnoteReference"/>
          <w:sz w:val="18"/>
          <w:szCs w:val="18"/>
        </w:rPr>
        <w:footnoteRef/>
      </w:r>
      <w:r w:rsidRPr="00432986">
        <w:rPr>
          <w:sz w:val="18"/>
          <w:szCs w:val="18"/>
        </w:rPr>
        <w:t xml:space="preserve"> The absolute number </w:t>
      </w:r>
      <w:r w:rsidR="00CD302C" w:rsidRPr="00432986">
        <w:rPr>
          <w:sz w:val="18"/>
          <w:szCs w:val="18"/>
        </w:rPr>
        <w:t xml:space="preserve">of products registered in UPD </w:t>
      </w:r>
      <w:r w:rsidRPr="00432986">
        <w:rPr>
          <w:sz w:val="18"/>
          <w:szCs w:val="18"/>
        </w:rPr>
        <w:t xml:space="preserve">is </w:t>
      </w:r>
      <w:r w:rsidR="00F844DC" w:rsidRPr="00432986">
        <w:rPr>
          <w:sz w:val="18"/>
          <w:szCs w:val="18"/>
        </w:rPr>
        <w:t xml:space="preserve">close to 50.000 but </w:t>
      </w:r>
      <w:r w:rsidR="00200804" w:rsidRPr="00432986">
        <w:rPr>
          <w:sz w:val="18"/>
          <w:szCs w:val="18"/>
        </w:rPr>
        <w:t>it includes also authorisations</w:t>
      </w:r>
      <w:r w:rsidR="0070416E" w:rsidRPr="00432986">
        <w:rPr>
          <w:sz w:val="18"/>
          <w:szCs w:val="18"/>
        </w:rPr>
        <w:t xml:space="preserve"> which are not relevant to the analysis, such as authorisations</w:t>
      </w:r>
      <w:r w:rsidR="00200804" w:rsidRPr="00432986">
        <w:rPr>
          <w:sz w:val="18"/>
          <w:szCs w:val="18"/>
        </w:rPr>
        <w:t xml:space="preserve"> </w:t>
      </w:r>
      <w:r w:rsidR="009E63F4" w:rsidRPr="00432986">
        <w:rPr>
          <w:sz w:val="18"/>
          <w:szCs w:val="18"/>
        </w:rPr>
        <w:t>under Article 5(6)</w:t>
      </w:r>
      <w:r w:rsidR="0070416E" w:rsidRPr="00432986">
        <w:rPr>
          <w:sz w:val="18"/>
          <w:szCs w:val="18"/>
        </w:rPr>
        <w:t xml:space="preserve"> or </w:t>
      </w:r>
      <w:r w:rsidR="00CF079E" w:rsidRPr="00432986">
        <w:rPr>
          <w:sz w:val="18"/>
          <w:szCs w:val="18"/>
        </w:rPr>
        <w:t xml:space="preserve">authorisations </w:t>
      </w:r>
      <w:r w:rsidR="0070416E" w:rsidRPr="00432986">
        <w:rPr>
          <w:sz w:val="18"/>
          <w:szCs w:val="18"/>
        </w:rPr>
        <w:t xml:space="preserve">for parallel trade. </w:t>
      </w:r>
      <w:r w:rsidR="00CF079E" w:rsidRPr="00432986">
        <w:rPr>
          <w:sz w:val="18"/>
          <w:szCs w:val="18"/>
        </w:rPr>
        <w:t xml:space="preserve"> </w:t>
      </w:r>
    </w:p>
  </w:footnote>
  <w:footnote w:id="137">
    <w:p w14:paraId="48D6FA86" w14:textId="77777777" w:rsidR="002A38D2" w:rsidRPr="00432986" w:rsidRDefault="002A38D2" w:rsidP="00885795">
      <w:pPr>
        <w:pStyle w:val="FootnoteText"/>
        <w:rPr>
          <w:sz w:val="18"/>
          <w:szCs w:val="18"/>
        </w:rPr>
      </w:pPr>
      <w:r w:rsidRPr="00432986">
        <w:rPr>
          <w:rStyle w:val="FootnoteReference"/>
          <w:sz w:val="18"/>
          <w:szCs w:val="18"/>
        </w:rPr>
        <w:footnoteRef/>
      </w:r>
      <w:r w:rsidRPr="00432986">
        <w:rPr>
          <w:sz w:val="18"/>
          <w:szCs w:val="18"/>
        </w:rPr>
        <w:t xml:space="preserve"> Moving from 10-12 cycles to 2 would yield an 80-83% reduction. The 60-70% figure is a downward adjustment reflecting that not all companies currently file at full monthly frequency and some individual submission events contain a mix of SPC-affecting and non-SPC VNRAs, meaning they cannot be cleanly separated into the two cohorts, and the transition will not be perfectly clean, with some ad hoc submissions persisting outside the two main windows.</w:t>
      </w:r>
    </w:p>
  </w:footnote>
  <w:footnote w:id="138">
    <w:p w14:paraId="64D5E628" w14:textId="56F1DE63" w:rsidR="00DA5924" w:rsidRPr="00432986" w:rsidRDefault="00DA5924" w:rsidP="00885795">
      <w:pPr>
        <w:spacing w:after="0" w:line="270" w:lineRule="atLeast"/>
        <w:ind w:right="284"/>
        <w:rPr>
          <w:sz w:val="18"/>
          <w:szCs w:val="18"/>
        </w:rPr>
      </w:pPr>
      <w:r w:rsidRPr="00432986">
        <w:rPr>
          <w:rStyle w:val="FootnoteReference"/>
          <w:sz w:val="18"/>
          <w:szCs w:val="18"/>
        </w:rPr>
        <w:footnoteRef/>
      </w:r>
      <w:r w:rsidRPr="00432986">
        <w:rPr>
          <w:sz w:val="18"/>
          <w:szCs w:val="18"/>
        </w:rPr>
        <w:t xml:space="preserve"> Annual cohort at 60% reduction is 1,830 (total for both cohorts 3,355) and annual cohort at 70% reduction is 1,373 (total for both cohorts 2,898).</w:t>
      </w:r>
    </w:p>
  </w:footnote>
  <w:footnote w:id="139">
    <w:p w14:paraId="7FFF8D4F" w14:textId="77777777" w:rsidR="002A38D2" w:rsidRPr="00432986" w:rsidRDefault="002A38D2" w:rsidP="00885795">
      <w:pPr>
        <w:pStyle w:val="FootnoteText"/>
        <w:rPr>
          <w:sz w:val="18"/>
          <w:szCs w:val="18"/>
        </w:rPr>
      </w:pPr>
      <w:r w:rsidRPr="00432986">
        <w:rPr>
          <w:rStyle w:val="FootnoteReference"/>
          <w:sz w:val="18"/>
          <w:szCs w:val="18"/>
        </w:rPr>
        <w:footnoteRef/>
      </w:r>
      <w:r w:rsidRPr="00432986">
        <w:rPr>
          <w:sz w:val="18"/>
          <w:szCs w:val="18"/>
        </w:rPr>
        <w:t xml:space="preserve"> Eurofound. (2025). </w:t>
      </w:r>
      <w:r w:rsidRPr="00432986">
        <w:rPr>
          <w:i/>
          <w:iCs/>
          <w:sz w:val="18"/>
          <w:szCs w:val="18"/>
        </w:rPr>
        <w:t>Balancing the clock: How Europe works and rests.</w:t>
      </w:r>
      <w:r w:rsidRPr="00432986">
        <w:rPr>
          <w:sz w:val="18"/>
          <w:szCs w:val="18"/>
        </w:rPr>
        <w:t xml:space="preserve"> </w:t>
      </w:r>
      <w:hyperlink r:id="rId52" w:history="1">
        <w:r w:rsidRPr="00432986">
          <w:rPr>
            <w:rStyle w:val="Hyperlink"/>
            <w:sz w:val="18"/>
            <w:szCs w:val="18"/>
          </w:rPr>
          <w:t>https://www.eurofound.europa.eu/en/publications/all/balancing-the-clock-how-europe-works-and-rests</w:t>
        </w:r>
      </w:hyperlink>
      <w:r w:rsidRPr="00432986">
        <w:rPr>
          <w:sz w:val="18"/>
          <w:szCs w:val="18"/>
        </w:rPr>
        <w:t xml:space="preserve"> </w:t>
      </w:r>
    </w:p>
  </w:footnote>
  <w:footnote w:id="140">
    <w:p w14:paraId="6904222D" w14:textId="44FB39B5" w:rsidR="002A38D2" w:rsidRPr="00432986" w:rsidRDefault="002A38D2" w:rsidP="00885795">
      <w:pPr>
        <w:pStyle w:val="FootnoteText"/>
        <w:rPr>
          <w:sz w:val="18"/>
          <w:szCs w:val="18"/>
        </w:rPr>
      </w:pPr>
      <w:r w:rsidRPr="00432986">
        <w:rPr>
          <w:rStyle w:val="FootnoteReference"/>
          <w:sz w:val="18"/>
          <w:szCs w:val="18"/>
        </w:rPr>
        <w:footnoteRef/>
      </w:r>
      <w:r w:rsidRPr="00432986">
        <w:rPr>
          <w:sz w:val="18"/>
          <w:szCs w:val="18"/>
        </w:rPr>
        <w:t xml:space="preserve"> A</w:t>
      </w:r>
      <w:r w:rsidR="009B247F" w:rsidRPr="00432986">
        <w:rPr>
          <w:sz w:val="18"/>
          <w:szCs w:val="18"/>
        </w:rPr>
        <w:t>n EU level trade association expressed that</w:t>
      </w:r>
      <w:r w:rsidRPr="00432986">
        <w:rPr>
          <w:sz w:val="18"/>
          <w:szCs w:val="18"/>
        </w:rPr>
        <w:t xml:space="preserve"> there is a risk that members expressed concerns that some Member States may continue charging fees by invoking administrative handling in UPD or national systems/legislation, or, alternatively, stop fees for VNRAs and instead shift costs by increasing annual licensing/maintenance fees.</w:t>
      </w:r>
    </w:p>
  </w:footnote>
  <w:footnote w:id="141">
    <w:p w14:paraId="2325A5FA" w14:textId="3EED3221" w:rsidR="00686C5B" w:rsidRPr="00432986" w:rsidRDefault="00686C5B" w:rsidP="00885795">
      <w:pPr>
        <w:pStyle w:val="FootnoteText"/>
        <w:rPr>
          <w:sz w:val="18"/>
          <w:szCs w:val="18"/>
          <w:lang w:val="en-IE"/>
        </w:rPr>
      </w:pPr>
      <w:r w:rsidRPr="00432986">
        <w:rPr>
          <w:rStyle w:val="FootnoteReference"/>
          <w:sz w:val="18"/>
          <w:szCs w:val="18"/>
        </w:rPr>
        <w:footnoteRef/>
      </w:r>
      <w:r w:rsidRPr="00432986">
        <w:rPr>
          <w:sz w:val="18"/>
          <w:szCs w:val="18"/>
        </w:rPr>
        <w:t xml:space="preserve"> Based on the 3-4 applications (yielding 2-3 established sandboxes), the first established sandbox plausibly operational by 2029 and 1-3 possible products/technologies per sandbox (yielding a cumulative total of around 2-9 innovations with EU market access)</w:t>
      </w:r>
    </w:p>
  </w:footnote>
  <w:footnote w:id="142">
    <w:p w14:paraId="13FABBE2" w14:textId="0F6F8135" w:rsidR="00B11EA3" w:rsidRPr="00432986" w:rsidRDefault="00B11EA3" w:rsidP="00885795">
      <w:pPr>
        <w:pStyle w:val="FootnoteText"/>
        <w:rPr>
          <w:sz w:val="18"/>
          <w:szCs w:val="18"/>
        </w:rPr>
      </w:pPr>
      <w:r w:rsidRPr="00432986">
        <w:rPr>
          <w:rStyle w:val="FootnoteReference"/>
          <w:sz w:val="18"/>
          <w:szCs w:val="18"/>
        </w:rPr>
        <w:footnoteRef/>
      </w:r>
      <w:r w:rsidRPr="00432986">
        <w:rPr>
          <w:sz w:val="18"/>
          <w:szCs w:val="18"/>
        </w:rPr>
        <w:t xml:space="preserve"> </w:t>
      </w:r>
      <w:r w:rsidR="00B23DA9" w:rsidRPr="00432986">
        <w:rPr>
          <w:sz w:val="18"/>
          <w:szCs w:val="18"/>
        </w:rPr>
        <w:t>S</w:t>
      </w:r>
      <w:r w:rsidRPr="00432986">
        <w:rPr>
          <w:sz w:val="18"/>
          <w:szCs w:val="18"/>
        </w:rPr>
        <w:t xml:space="preserve">ee the Rapid assessment scenario study for more details </w:t>
      </w:r>
    </w:p>
  </w:footnote>
  <w:footnote w:id="143">
    <w:p w14:paraId="54F5A152" w14:textId="3D2C7B8D" w:rsidR="003152A6" w:rsidRPr="004570F2" w:rsidRDefault="003152A6" w:rsidP="00885795">
      <w:pPr>
        <w:spacing w:after="0" w:line="257" w:lineRule="auto"/>
        <w:ind w:left="142" w:hanging="142"/>
        <w:rPr>
          <w:rStyle w:val="Hyperlink"/>
          <w:sz w:val="18"/>
        </w:rPr>
      </w:pPr>
      <w:r w:rsidRPr="00432986">
        <w:rPr>
          <w:rStyle w:val="FootnoteReference"/>
          <w:sz w:val="18"/>
          <w:szCs w:val="18"/>
        </w:rPr>
        <w:footnoteRef/>
      </w:r>
      <w:r w:rsidRPr="00432986">
        <w:rPr>
          <w:sz w:val="18"/>
          <w:szCs w:val="18"/>
        </w:rPr>
        <w:t xml:space="preserve"> </w:t>
      </w:r>
      <w:r w:rsidR="002D69F1" w:rsidRPr="00432986">
        <w:rPr>
          <w:rFonts w:eastAsia="Times New Roman"/>
          <w:sz w:val="18"/>
          <w:szCs w:val="18"/>
        </w:rPr>
        <w:t xml:space="preserve">Study on the status of new genomic techniques under Union law and in light of the Court of Justice ruling in Case C-528/16, SWD(2021) 92 final. </w:t>
      </w:r>
      <w:hyperlink r:id="rId53">
        <w:r w:rsidR="002D69F1" w:rsidRPr="00432986">
          <w:rPr>
            <w:rStyle w:val="Hyperlink"/>
            <w:sz w:val="18"/>
            <w:szCs w:val="18"/>
          </w:rPr>
          <w:t>https://food.ec.europa.eu/system/files/2021-04/gmo_mod-bio_ngt_eu-study.pdf</w:t>
        </w:r>
      </w:hyperlink>
      <w:r w:rsidR="002D69F1" w:rsidRPr="004570F2">
        <w:rPr>
          <w:rStyle w:val="Hyperlink"/>
          <w:sz w:val="18"/>
        </w:rPr>
        <w:t xml:space="preserve"> </w:t>
      </w:r>
    </w:p>
  </w:footnote>
  <w:footnote w:id="144">
    <w:p w14:paraId="270006FE" w14:textId="2B237FD6" w:rsidR="002D69F1" w:rsidRPr="00432986" w:rsidRDefault="002D69F1" w:rsidP="00885795">
      <w:pPr>
        <w:spacing w:after="0" w:line="257" w:lineRule="auto"/>
        <w:ind w:left="142" w:hanging="142"/>
        <w:rPr>
          <w:sz w:val="18"/>
          <w:szCs w:val="18"/>
        </w:rPr>
      </w:pPr>
      <w:r w:rsidRPr="00432986">
        <w:rPr>
          <w:rStyle w:val="FootnoteReference"/>
          <w:sz w:val="18"/>
          <w:szCs w:val="18"/>
        </w:rPr>
        <w:footnoteRef/>
      </w:r>
      <w:r w:rsidRPr="00432986">
        <w:rPr>
          <w:sz w:val="18"/>
          <w:szCs w:val="18"/>
        </w:rPr>
        <w:t xml:space="preserve"> </w:t>
      </w:r>
      <w:r w:rsidR="00F11C20" w:rsidRPr="00432986">
        <w:rPr>
          <w:rFonts w:eastAsia="Times New Roman"/>
          <w:sz w:val="18"/>
          <w:szCs w:val="18"/>
        </w:rPr>
        <w:t>COM(2023) 411 final – COD 0226/2023. A provisional political agreement was reached on 3 December 2025.</w:t>
      </w:r>
    </w:p>
  </w:footnote>
  <w:footnote w:id="145">
    <w:p w14:paraId="6157AEC8" w14:textId="7D20309B" w:rsidR="00F11C20" w:rsidRPr="004570F2" w:rsidRDefault="00F11C20" w:rsidP="00885795">
      <w:pPr>
        <w:spacing w:after="0" w:line="257" w:lineRule="auto"/>
        <w:ind w:left="142" w:hanging="142"/>
        <w:rPr>
          <w:rStyle w:val="Hyperlink"/>
          <w:sz w:val="18"/>
        </w:rPr>
      </w:pPr>
      <w:r w:rsidRPr="00432986">
        <w:rPr>
          <w:rStyle w:val="FootnoteReference"/>
          <w:sz w:val="18"/>
          <w:szCs w:val="18"/>
        </w:rPr>
        <w:footnoteRef/>
      </w:r>
      <w:r w:rsidRPr="00432986">
        <w:rPr>
          <w:sz w:val="18"/>
          <w:szCs w:val="18"/>
        </w:rPr>
        <w:t xml:space="preserve"> </w:t>
      </w:r>
      <w:r w:rsidR="00046395" w:rsidRPr="00432986">
        <w:rPr>
          <w:rFonts w:eastAsia="Times New Roman"/>
          <w:sz w:val="18"/>
          <w:szCs w:val="18"/>
        </w:rPr>
        <w:t xml:space="preserve">EFSA GMO Panel (EFSA Panel on Genetically Modified Organisms), Mullins, E., Bresson, J.-L., Dewhurst, I. C., Epstein, M. M., Firbank, L. G., Guerche, P., Hejatko, J., Moreno, F. J., Naegeli, H., Nogué, F., Rostoks, N., Sánchez Serrano, J. J., Savoini, G., Veromann, E., Veronesi, F., Cocconcelli, P. S., Glandorf, D., Herman, L.,  Jimenez Saiz, R., Ruiz Garcia, L., Aguilera Entrena, J., Gennaro, A., Schoonjans, R., Kagkli, D. M., Dalmay, T. (2024). New developments in biotechnology applied to microorganisms. EFSA Journal, 22(7), e8895. </w:t>
      </w:r>
      <w:hyperlink r:id="rId54">
        <w:r w:rsidR="00046395" w:rsidRPr="00432986">
          <w:rPr>
            <w:rStyle w:val="Hyperlink"/>
            <w:sz w:val="18"/>
            <w:szCs w:val="18"/>
          </w:rPr>
          <w:t>https://doi.org/10.2903/j.efsa.2024.8895</w:t>
        </w:r>
      </w:hyperlink>
    </w:p>
  </w:footnote>
  <w:footnote w:id="146">
    <w:p w14:paraId="037EDE46" w14:textId="606CE3AB" w:rsidR="00160041" w:rsidRPr="004570F2" w:rsidRDefault="00160041" w:rsidP="00885795">
      <w:pPr>
        <w:pStyle w:val="FootnoteText"/>
        <w:rPr>
          <w:rStyle w:val="Hyperlink"/>
          <w:sz w:val="18"/>
        </w:rPr>
      </w:pPr>
      <w:r w:rsidRPr="00432986">
        <w:rPr>
          <w:rStyle w:val="FootnoteReference"/>
          <w:sz w:val="18"/>
          <w:szCs w:val="18"/>
        </w:rPr>
        <w:footnoteRef/>
      </w:r>
      <w:r w:rsidRPr="00432986">
        <w:rPr>
          <w:sz w:val="18"/>
          <w:szCs w:val="18"/>
        </w:rPr>
        <w:t xml:space="preserve"> </w:t>
      </w:r>
      <w:r w:rsidRPr="00432986">
        <w:rPr>
          <w:rFonts w:eastAsia="Times New Roman"/>
          <w:sz w:val="18"/>
          <w:szCs w:val="18"/>
        </w:rPr>
        <w:t xml:space="preserve">EFSA Scientific Committee, Bennekou, S. H., Allende, A., Bearth, A., Casacuberta, J., Castle, L., Coja, T., Crépet, A., Halldorsson, T. I., Hoogenboom, R., Jokelainen, P., Knutsen, H. K., Lambré, C., Nielsen, S. S., Turck, D., Civera, A. V., Villa, R. E., Zorn, H., Gómez, M. A., … Brétagne, S., Christensen, H., Cocconcelli, P.S., Herman, L., Prieto-Maradona, M., Mayo, B., Peláez, C., Saarela, M., Sánchez Serrano, J., Vernis, L., Yurkov, A., Aguilera, J., Anguita, M., Bozzi Cionci, N., Brozzi, R., Correia, S., García-Cazorla, Y., Istace F., Pettenati, E., Revez, E., Schoonjans, R., Valeri, P.,  Glandorf, B. (2025). Guidance on the characterisation of microorganisms in support of the risk assessment of products used in the food chain. EFSA Journal, 23(11), e9705. </w:t>
      </w:r>
      <w:hyperlink r:id="rId55">
        <w:r w:rsidRPr="00432986">
          <w:rPr>
            <w:rStyle w:val="Hyperlink"/>
            <w:rFonts w:eastAsiaTheme="minorHAnsi"/>
            <w:sz w:val="18"/>
            <w:szCs w:val="18"/>
          </w:rPr>
          <w:t>https://doi.org/10.2903/j.efsa.2025.9705</w:t>
        </w:r>
      </w:hyperlink>
    </w:p>
  </w:footnote>
  <w:footnote w:id="147">
    <w:p w14:paraId="36DE93DC" w14:textId="40EEB066" w:rsidR="00160041" w:rsidRPr="004570F2" w:rsidRDefault="00160041" w:rsidP="006F2387">
      <w:pPr>
        <w:pStyle w:val="FootnoteText"/>
        <w:rPr>
          <w:rStyle w:val="Hyperlink"/>
          <w:sz w:val="18"/>
        </w:rPr>
      </w:pPr>
      <w:r w:rsidRPr="00432986">
        <w:rPr>
          <w:rStyle w:val="FootnoteReference"/>
          <w:sz w:val="18"/>
          <w:szCs w:val="18"/>
        </w:rPr>
        <w:footnoteRef/>
      </w:r>
      <w:r w:rsidRPr="00432986">
        <w:rPr>
          <w:sz w:val="18"/>
          <w:szCs w:val="18"/>
        </w:rPr>
        <w:t xml:space="preserve"> </w:t>
      </w:r>
      <w:r w:rsidR="00B01630" w:rsidRPr="00432986">
        <w:rPr>
          <w:rFonts w:eastAsia="Times New Roman"/>
          <w:sz w:val="18"/>
          <w:szCs w:val="18"/>
        </w:rPr>
        <w:t xml:space="preserve">European Commission working paper, On a generic approach to the safety assessment of micro-organisms used in feed/food and feed/food production; 2003. </w:t>
      </w:r>
      <w:hyperlink r:id="rId56">
        <w:r w:rsidR="00B01630" w:rsidRPr="00432986">
          <w:rPr>
            <w:rStyle w:val="Hyperlink"/>
            <w:rFonts w:eastAsiaTheme="minorHAnsi"/>
            <w:sz w:val="18"/>
            <w:szCs w:val="18"/>
          </w:rPr>
          <w:t>https://food.ec.europa.eu/system/files/2020-12/sci-com_scf_out178_en.pdf</w:t>
        </w:r>
      </w:hyperlink>
      <w:r w:rsidR="00B01630" w:rsidRPr="004570F2">
        <w:rPr>
          <w:rStyle w:val="Hyperlink"/>
          <w:sz w:val="18"/>
        </w:rPr>
        <w:t xml:space="preserve"> </w:t>
      </w:r>
    </w:p>
  </w:footnote>
  <w:footnote w:id="148">
    <w:p w14:paraId="22420A18" w14:textId="68EB130F" w:rsidR="00B01630" w:rsidRPr="00432986" w:rsidRDefault="00B01630" w:rsidP="00885795">
      <w:pPr>
        <w:pStyle w:val="FootnoteText"/>
        <w:rPr>
          <w:sz w:val="18"/>
          <w:szCs w:val="18"/>
        </w:rPr>
      </w:pPr>
      <w:r w:rsidRPr="004570F2">
        <w:rPr>
          <w:rStyle w:val="Hyperlink"/>
          <w:color w:val="auto"/>
          <w:sz w:val="18"/>
          <w:u w:val="none"/>
          <w:vertAlign w:val="superscript"/>
        </w:rPr>
        <w:footnoteRef/>
      </w:r>
      <w:r w:rsidRPr="004570F2">
        <w:rPr>
          <w:rStyle w:val="Hyperlink"/>
          <w:sz w:val="18"/>
        </w:rPr>
        <w:t xml:space="preserve"> </w:t>
      </w:r>
      <w:hyperlink r:id="rId57">
        <w:r w:rsidR="00B81529" w:rsidRPr="00432986">
          <w:rPr>
            <w:rStyle w:val="Hyperlink"/>
            <w:rFonts w:eastAsiaTheme="minorHAnsi"/>
            <w:sz w:val="18"/>
            <w:szCs w:val="18"/>
          </w:rPr>
          <w:t>https://www.fda.gov/food/food-ingredients-packaging/generally-recognized-safe-gras</w:t>
        </w:r>
      </w:hyperlink>
    </w:p>
  </w:footnote>
  <w:footnote w:id="149">
    <w:p w14:paraId="48B68E3A" w14:textId="7B3ECB4C" w:rsidR="00B01630" w:rsidRPr="00432986" w:rsidRDefault="00B01630" w:rsidP="00885795">
      <w:pPr>
        <w:pStyle w:val="FootnoteText"/>
        <w:rPr>
          <w:sz w:val="18"/>
          <w:szCs w:val="18"/>
          <w:lang w:val="en-IE"/>
        </w:rPr>
      </w:pPr>
      <w:r w:rsidRPr="00432986">
        <w:rPr>
          <w:rStyle w:val="FootnoteReference"/>
          <w:sz w:val="18"/>
          <w:szCs w:val="18"/>
        </w:rPr>
        <w:footnoteRef/>
      </w:r>
      <w:r w:rsidRPr="00432986">
        <w:rPr>
          <w:sz w:val="18"/>
          <w:szCs w:val="18"/>
        </w:rPr>
        <w:t xml:space="preserve"> </w:t>
      </w:r>
      <w:r w:rsidR="00AA0214" w:rsidRPr="00432986">
        <w:rPr>
          <w:rFonts w:eastAsia="Times New Roman"/>
          <w:sz w:val="18"/>
          <w:szCs w:val="18"/>
        </w:rPr>
        <w:t xml:space="preserve">Opinion of the Scientific Committee on a request from EFSA on the introduction of a Qualified Presumption of Safety (QPS) approach for assessment of selected microorganisms referred to EFSA. The EFSA Journal (2007) 587, 1-16; </w:t>
      </w:r>
      <w:hyperlink r:id="rId58">
        <w:r w:rsidR="00AA0214" w:rsidRPr="00432986">
          <w:rPr>
            <w:rStyle w:val="Hyperlink"/>
            <w:rFonts w:eastAsiaTheme="minorHAnsi"/>
            <w:sz w:val="18"/>
            <w:szCs w:val="18"/>
          </w:rPr>
          <w:t>https://efsa.onlinelibrary.wiley.com/doi/10.2903/j.efsa.2007.587</w:t>
        </w:r>
      </w:hyperlink>
    </w:p>
  </w:footnote>
  <w:footnote w:id="150">
    <w:p w14:paraId="38550A36" w14:textId="77777777" w:rsidR="00AA25F9" w:rsidRPr="00432986" w:rsidRDefault="001B3311" w:rsidP="00885795">
      <w:pPr>
        <w:spacing w:after="0"/>
        <w:ind w:left="142" w:hanging="142"/>
        <w:rPr>
          <w:sz w:val="18"/>
          <w:szCs w:val="18"/>
        </w:rPr>
      </w:pPr>
      <w:r w:rsidRPr="00432986">
        <w:rPr>
          <w:rStyle w:val="FootnoteReference"/>
          <w:sz w:val="18"/>
          <w:szCs w:val="18"/>
        </w:rPr>
        <w:footnoteRef/>
      </w:r>
      <w:r w:rsidRPr="00432986">
        <w:rPr>
          <w:sz w:val="18"/>
          <w:szCs w:val="18"/>
        </w:rPr>
        <w:t xml:space="preserve"> </w:t>
      </w:r>
      <w:r w:rsidR="00AA25F9" w:rsidRPr="00432986">
        <w:rPr>
          <w:sz w:val="18"/>
          <w:szCs w:val="18"/>
        </w:rPr>
        <w:t>European Commission working paper, On a generic approach to the safety assessment of micro-organisms used in feed/food and feed/food production; 2023.</w:t>
      </w:r>
    </w:p>
    <w:p w14:paraId="344336A3" w14:textId="34FFCF9F" w:rsidR="001B3311" w:rsidRPr="00432986" w:rsidRDefault="00AA25F9" w:rsidP="00885795">
      <w:pPr>
        <w:spacing w:after="0"/>
        <w:ind w:left="142"/>
        <w:rPr>
          <w:sz w:val="18"/>
          <w:szCs w:val="18"/>
        </w:rPr>
      </w:pPr>
      <w:hyperlink r:id="rId59" w:history="1">
        <w:r w:rsidRPr="00432986">
          <w:rPr>
            <w:rStyle w:val="Hyperlink"/>
            <w:sz w:val="18"/>
            <w:szCs w:val="18"/>
          </w:rPr>
          <w:t>https://food.ec.europa.eu/system/files/2020-12/sci-com_scf_out178_en.pdf</w:t>
        </w:r>
      </w:hyperlink>
      <w:r w:rsidRPr="00432986">
        <w:rPr>
          <w:sz w:val="18"/>
          <w:szCs w:val="18"/>
        </w:rPr>
        <w:t xml:space="preserve"> </w:t>
      </w:r>
    </w:p>
  </w:footnote>
  <w:footnote w:id="151">
    <w:p w14:paraId="59B6DA91" w14:textId="76CA7A3D" w:rsidR="00B01630" w:rsidRPr="00432986" w:rsidRDefault="00B01630" w:rsidP="00885795">
      <w:pPr>
        <w:spacing w:after="0"/>
        <w:ind w:left="142" w:hanging="142"/>
        <w:rPr>
          <w:sz w:val="18"/>
          <w:szCs w:val="18"/>
        </w:rPr>
      </w:pPr>
      <w:r w:rsidRPr="00432986">
        <w:rPr>
          <w:rStyle w:val="FootnoteReference"/>
          <w:sz w:val="18"/>
          <w:szCs w:val="18"/>
        </w:rPr>
        <w:footnoteRef/>
      </w:r>
      <w:r w:rsidRPr="00432986">
        <w:rPr>
          <w:sz w:val="18"/>
          <w:szCs w:val="18"/>
        </w:rPr>
        <w:t xml:space="preserve"> </w:t>
      </w:r>
      <w:r w:rsidR="00262A58" w:rsidRPr="00432986">
        <w:rPr>
          <w:sz w:val="18"/>
          <w:szCs w:val="18"/>
        </w:rPr>
        <w:t xml:space="preserve">Opinion of the Scientific Committee on a request from EFSA on the introduction of a Qualified Presumption of Safety (QPS) approach for assessment of selected microorganisms referred to EFSA. The EFSA Journal (2007) 587, 1-16; </w:t>
      </w:r>
      <w:hyperlink r:id="rId60" w:history="1">
        <w:r w:rsidR="00262A58" w:rsidRPr="00432986">
          <w:rPr>
            <w:rStyle w:val="Hyperlink"/>
            <w:sz w:val="18"/>
            <w:szCs w:val="18"/>
          </w:rPr>
          <w:t>https://efsa.onlinelibrary.wiley.com/doi/10.2903/j.efsa.2007.587</w:t>
        </w:r>
      </w:hyperlink>
    </w:p>
  </w:footnote>
  <w:footnote w:id="152">
    <w:p w14:paraId="394C9E43" w14:textId="0230CB28" w:rsidR="00B01630" w:rsidRPr="00432986" w:rsidRDefault="00B01630" w:rsidP="00885795">
      <w:pPr>
        <w:spacing w:after="0" w:line="257" w:lineRule="auto"/>
        <w:ind w:left="142" w:hanging="142"/>
        <w:rPr>
          <w:sz w:val="18"/>
          <w:szCs w:val="18"/>
        </w:rPr>
      </w:pPr>
      <w:r w:rsidRPr="00432986">
        <w:rPr>
          <w:rStyle w:val="FootnoteReference"/>
          <w:sz w:val="18"/>
          <w:szCs w:val="18"/>
        </w:rPr>
        <w:footnoteRef/>
      </w:r>
      <w:r w:rsidRPr="00432986">
        <w:rPr>
          <w:sz w:val="18"/>
          <w:szCs w:val="18"/>
        </w:rPr>
        <w:t xml:space="preserve"> </w:t>
      </w:r>
      <w:r w:rsidR="00980ACC" w:rsidRPr="00432986">
        <w:rPr>
          <w:rFonts w:eastAsia="Times New Roman"/>
          <w:sz w:val="18"/>
          <w:szCs w:val="18"/>
        </w:rPr>
        <w:t>EFSA BIOHAZ Panel (EFSA Panel on Biological Hazards), Allende, A., Alvarez-Ordóñez, A., Bortolaia, V., Bover-Cid, S., De Cesare, A., Dohmen, W., Guillier, L., Jacxsens, L., Nauta, M., Mughini-Gras, L., Ottoson, J., Peixe, L., Perez-Rodriguez, F., Skandamis, P., Suffredini, E., Chemaly, M., Cocconcelli, P. S., Fernández Escámez, P. S., Herman, L. (2026). Update of the list of QPS-recommended biological agents intentionally added to food or feeds as notified to EFSA. EFSA Journal, 24(1), e9823.</w:t>
      </w:r>
      <w:r w:rsidR="00CA2328" w:rsidRPr="00432986">
        <w:rPr>
          <w:rFonts w:eastAsia="Times New Roman"/>
          <w:sz w:val="18"/>
          <w:szCs w:val="18"/>
        </w:rPr>
        <w:t xml:space="preserve"> </w:t>
      </w:r>
      <w:hyperlink r:id="rId61">
        <w:r w:rsidR="00980ACC" w:rsidRPr="00432986">
          <w:rPr>
            <w:rStyle w:val="Hyperlink"/>
            <w:sz w:val="18"/>
            <w:szCs w:val="18"/>
          </w:rPr>
          <w:t>https://doi.org/10.2903/j.efsa.2026.9823</w:t>
        </w:r>
      </w:hyperlink>
      <w:r w:rsidR="00980ACC" w:rsidRPr="00432986">
        <w:rPr>
          <w:rFonts w:eastAsia="Times New Roman"/>
          <w:sz w:val="18"/>
          <w:szCs w:val="18"/>
        </w:rPr>
        <w:t xml:space="preserve"> </w:t>
      </w:r>
    </w:p>
  </w:footnote>
  <w:footnote w:id="153">
    <w:p w14:paraId="0FAA0A3E" w14:textId="6CC7B6E7" w:rsidR="00B01630" w:rsidRPr="00432986" w:rsidRDefault="00B01630" w:rsidP="00885795">
      <w:pPr>
        <w:spacing w:after="0" w:line="257" w:lineRule="auto"/>
        <w:ind w:left="142" w:hanging="142"/>
        <w:rPr>
          <w:sz w:val="18"/>
          <w:szCs w:val="18"/>
        </w:rPr>
      </w:pPr>
      <w:r w:rsidRPr="00432986">
        <w:rPr>
          <w:rStyle w:val="FootnoteReference"/>
          <w:sz w:val="18"/>
          <w:szCs w:val="18"/>
        </w:rPr>
        <w:footnoteRef/>
      </w:r>
      <w:r w:rsidRPr="00432986">
        <w:rPr>
          <w:sz w:val="18"/>
          <w:szCs w:val="18"/>
        </w:rPr>
        <w:t xml:space="preserve"> </w:t>
      </w:r>
      <w:r w:rsidR="00F05A98" w:rsidRPr="00432986">
        <w:rPr>
          <w:rFonts w:eastAsia="Times New Roman"/>
          <w:sz w:val="18"/>
          <w:szCs w:val="18"/>
        </w:rPr>
        <w:t>See footnote 17</w:t>
      </w:r>
      <w:r w:rsidR="00D328B4">
        <w:rPr>
          <w:rFonts w:eastAsia="Times New Roman"/>
          <w:sz w:val="18"/>
          <w:szCs w:val="18"/>
        </w:rPr>
        <w:t>0</w:t>
      </w:r>
    </w:p>
  </w:footnote>
  <w:footnote w:id="154">
    <w:p w14:paraId="0C7145CC" w14:textId="4072B6C1" w:rsidR="00B01630" w:rsidRPr="007F7A54" w:rsidRDefault="00B01630" w:rsidP="08FDD09A">
      <w:pPr>
        <w:spacing w:after="0" w:line="257" w:lineRule="auto"/>
        <w:ind w:left="142" w:hanging="142"/>
        <w:rPr>
          <w:sz w:val="18"/>
          <w:szCs w:val="18"/>
        </w:rPr>
      </w:pPr>
      <w:r w:rsidRPr="00432986">
        <w:rPr>
          <w:rStyle w:val="FootnoteReference"/>
          <w:sz w:val="18"/>
          <w:szCs w:val="18"/>
        </w:rPr>
        <w:footnoteRef/>
      </w:r>
      <w:r w:rsidRPr="00432986" w:rsidDel="08FDD09A">
        <w:rPr>
          <w:sz w:val="18"/>
          <w:szCs w:val="18"/>
        </w:rPr>
        <w:t xml:space="preserve"> </w:t>
      </w:r>
      <w:hyperlink r:id="rId62">
        <w:r w:rsidRPr="00F46227">
          <w:rPr>
            <w:rStyle w:val="Hyperlink"/>
            <w:sz w:val="18"/>
            <w:szCs w:val="18"/>
          </w:rPr>
          <w:t>https://doi.org/10.2903/j.efsa.2026.9824</w:t>
        </w:r>
      </w:hyperlink>
      <w:hyperlink r:id="rId63" w:history="1">
        <w:r w:rsidR="08FDD09A" w:rsidRPr="007F7A54">
          <w:rPr>
            <w:rStyle w:val="Hyperlink"/>
            <w:rFonts w:eastAsia="Times New Roman"/>
            <w:sz w:val="18"/>
            <w:szCs w:val="18"/>
          </w:rPr>
          <w:t>https://zenodo.org/records/15827398</w:t>
        </w:r>
      </w:hyperlink>
    </w:p>
  </w:footnote>
  <w:footnote w:id="155">
    <w:p w14:paraId="5B6B9BB7" w14:textId="190B1038" w:rsidR="003308E2" w:rsidRPr="004570F2" w:rsidRDefault="003308E2" w:rsidP="00885795">
      <w:pPr>
        <w:pStyle w:val="FootnoteText"/>
        <w:rPr>
          <w:sz w:val="18"/>
        </w:rPr>
      </w:pPr>
      <w:r w:rsidRPr="00432986">
        <w:rPr>
          <w:rStyle w:val="FootnoteReference"/>
          <w:sz w:val="18"/>
          <w:szCs w:val="18"/>
        </w:rPr>
        <w:footnoteRef/>
      </w:r>
      <w:r w:rsidRPr="004570F2">
        <w:rPr>
          <w:sz w:val="18"/>
        </w:rPr>
        <w:t xml:space="preserve"> </w:t>
      </w:r>
      <w:hyperlink r:id="rId64">
        <w:r w:rsidR="006674F4" w:rsidRPr="004570F2">
          <w:rPr>
            <w:rStyle w:val="Hyperlink"/>
            <w:sz w:val="18"/>
          </w:rPr>
          <w:t>https://zenodo.org/records/18335928</w:t>
        </w:r>
      </w:hyperlink>
    </w:p>
  </w:footnote>
  <w:footnote w:id="156">
    <w:p w14:paraId="3B4DFB0D" w14:textId="68A7FD21" w:rsidR="003308E2" w:rsidRPr="004570F2" w:rsidRDefault="003308E2" w:rsidP="00885795">
      <w:pPr>
        <w:pStyle w:val="FootnoteText"/>
        <w:rPr>
          <w:sz w:val="18"/>
        </w:rPr>
      </w:pPr>
      <w:r w:rsidRPr="00432986">
        <w:rPr>
          <w:rStyle w:val="FootnoteReference"/>
          <w:sz w:val="18"/>
          <w:szCs w:val="18"/>
        </w:rPr>
        <w:footnoteRef/>
      </w:r>
      <w:r w:rsidRPr="004570F2">
        <w:rPr>
          <w:rStyle w:val="Hyperlink"/>
          <w:sz w:val="18"/>
        </w:rPr>
        <w:t xml:space="preserve"> </w:t>
      </w:r>
      <w:hyperlink r:id="rId65">
        <w:r w:rsidR="0004729E" w:rsidRPr="004570F2">
          <w:rPr>
            <w:rStyle w:val="Hyperlink"/>
            <w:sz w:val="18"/>
          </w:rPr>
          <w:t>https://zenodo.org/records/18336181</w:t>
        </w:r>
      </w:hyperlink>
    </w:p>
  </w:footnote>
  <w:footnote w:id="157">
    <w:p w14:paraId="5907945C" w14:textId="1B95D4C4" w:rsidR="003308E2" w:rsidRPr="004570F2" w:rsidRDefault="003308E2" w:rsidP="00885795">
      <w:pPr>
        <w:pStyle w:val="FootnoteText"/>
        <w:rPr>
          <w:sz w:val="18"/>
        </w:rPr>
      </w:pPr>
      <w:r w:rsidRPr="00432986">
        <w:rPr>
          <w:rStyle w:val="FootnoteReference"/>
          <w:sz w:val="18"/>
          <w:szCs w:val="18"/>
        </w:rPr>
        <w:footnoteRef/>
      </w:r>
      <w:r w:rsidRPr="004570F2">
        <w:rPr>
          <w:rStyle w:val="Hyperlink"/>
          <w:sz w:val="18"/>
        </w:rPr>
        <w:t xml:space="preserve"> </w:t>
      </w:r>
      <w:hyperlink r:id="rId66">
        <w:r w:rsidR="00495D82" w:rsidRPr="004570F2">
          <w:rPr>
            <w:rStyle w:val="Hyperlink"/>
            <w:sz w:val="18"/>
          </w:rPr>
          <w:t>https://zenodo.org/records/18336241</w:t>
        </w:r>
      </w:hyperlink>
    </w:p>
  </w:footnote>
  <w:footnote w:id="158">
    <w:p w14:paraId="0B1F25C2" w14:textId="3F37EBD6" w:rsidR="003308E2" w:rsidRPr="004570F2" w:rsidRDefault="003308E2" w:rsidP="00885795">
      <w:pPr>
        <w:spacing w:after="0" w:line="257" w:lineRule="auto"/>
        <w:ind w:left="142" w:hanging="142"/>
        <w:rPr>
          <w:rStyle w:val="Hyperlink"/>
          <w:sz w:val="18"/>
          <w:lang w:val="fr-FR"/>
        </w:rPr>
      </w:pPr>
      <w:r w:rsidRPr="00432986">
        <w:rPr>
          <w:rStyle w:val="FootnoteReference"/>
          <w:sz w:val="18"/>
          <w:szCs w:val="18"/>
        </w:rPr>
        <w:footnoteRef/>
      </w:r>
      <w:r w:rsidRPr="004570F2">
        <w:rPr>
          <w:sz w:val="18"/>
        </w:rPr>
        <w:t xml:space="preserve"> </w:t>
      </w:r>
      <w:r w:rsidR="008C7682" w:rsidRPr="004570F2">
        <w:rPr>
          <w:sz w:val="18"/>
        </w:rPr>
        <w:t xml:space="preserve">EFSA BIOHAZ Panel (EFSA Panel on Biological Hazards), Allende, A., Alvarez-Ordóñez, A., Bortolaia, V., Bover-Cid, S., De Cesare, A., Dohmen, W., Guillier, L., Jacxsens, L., Nauta, M., Mughini-Gras, L., Ottoson, J., Peixe, L., Perez-Rodriguez, F., Skandamis, P., Suffredini, E., Chemaly, M., Cocconcelli, P. S., Fernández Escámez, P. S., Herman, L. (2026). </w:t>
      </w:r>
      <w:r w:rsidR="008C7682" w:rsidRPr="00432986">
        <w:rPr>
          <w:rFonts w:eastAsia="Times New Roman"/>
          <w:sz w:val="18"/>
          <w:szCs w:val="18"/>
        </w:rPr>
        <w:t xml:space="preserve">Update of the list of QPS-recommended biological agents intentionally added to food or feeds as notified to EFSA. </w:t>
      </w:r>
      <w:r w:rsidR="008C7682" w:rsidRPr="004570F2">
        <w:rPr>
          <w:sz w:val="18"/>
          <w:lang w:val="fr-FR"/>
        </w:rPr>
        <w:t xml:space="preserve">EFSA Journal, 24(1), e9823.  </w:t>
      </w:r>
      <w:hyperlink r:id="rId67">
        <w:r w:rsidR="008C7682" w:rsidRPr="004570F2">
          <w:rPr>
            <w:rStyle w:val="Hyperlink"/>
            <w:sz w:val="18"/>
            <w:lang w:val="fr-FR"/>
          </w:rPr>
          <w:t>https://doi.org/10.2903/j.efsa.2026.9823</w:t>
        </w:r>
      </w:hyperlink>
      <w:r w:rsidR="008C7682" w:rsidRPr="004570F2">
        <w:rPr>
          <w:rStyle w:val="Hyperlink"/>
          <w:sz w:val="18"/>
          <w:lang w:val="fr-FR"/>
        </w:rPr>
        <w:t xml:space="preserve"> </w:t>
      </w:r>
    </w:p>
  </w:footnote>
  <w:footnote w:id="159">
    <w:p w14:paraId="6F9EA8B9" w14:textId="471E002F" w:rsidR="003308E2" w:rsidRPr="004570F2" w:rsidRDefault="003308E2" w:rsidP="00885795">
      <w:pPr>
        <w:spacing w:after="0" w:line="257" w:lineRule="auto"/>
        <w:ind w:left="142" w:hanging="142"/>
        <w:rPr>
          <w:sz w:val="18"/>
          <w:lang w:val="fr-FR"/>
        </w:rPr>
      </w:pPr>
      <w:r w:rsidRPr="00432986">
        <w:rPr>
          <w:rStyle w:val="FootnoteReference"/>
          <w:sz w:val="18"/>
          <w:szCs w:val="18"/>
        </w:rPr>
        <w:footnoteRef/>
      </w:r>
      <w:r w:rsidRPr="004570F2">
        <w:rPr>
          <w:sz w:val="18"/>
          <w:lang w:val="fr-FR"/>
        </w:rPr>
        <w:t xml:space="preserve"> </w:t>
      </w:r>
      <w:hyperlink r:id="rId68">
        <w:r w:rsidR="0045710F" w:rsidRPr="004570F2">
          <w:rPr>
            <w:rStyle w:val="Hyperlink"/>
            <w:sz w:val="18"/>
            <w:lang w:val="fr-FR"/>
          </w:rPr>
          <w:t>https://zenodo.org/records/18329226</w:t>
        </w:r>
      </w:hyperlink>
      <w:r w:rsidR="0045710F" w:rsidRPr="004570F2">
        <w:rPr>
          <w:sz w:val="18"/>
          <w:lang w:val="fr-FR"/>
        </w:rPr>
        <w:t xml:space="preserve"> </w:t>
      </w:r>
    </w:p>
  </w:footnote>
  <w:footnote w:id="160">
    <w:p w14:paraId="5EFE9123" w14:textId="50C07F47" w:rsidR="66E94B6C" w:rsidRPr="00432986" w:rsidRDefault="66E94B6C" w:rsidP="00885795">
      <w:pPr>
        <w:spacing w:after="0"/>
        <w:rPr>
          <w:sz w:val="18"/>
          <w:szCs w:val="18"/>
        </w:rPr>
      </w:pPr>
      <w:r w:rsidRPr="00432986">
        <w:rPr>
          <w:sz w:val="18"/>
          <w:szCs w:val="18"/>
          <w:vertAlign w:val="superscript"/>
        </w:rPr>
        <w:footnoteRef/>
      </w:r>
      <w:r w:rsidRPr="004570F2">
        <w:rPr>
          <w:sz w:val="18"/>
          <w:lang w:val="fr-FR"/>
        </w:rPr>
        <w:t xml:space="preserve"> EFSA BIOHAZ Panel (EFSA Panel on Biological Hazards), Allende, A., Alvarez-Ordóñez, A., Bortolaia, V., Bover-Cid, S., De Cesare, A., Dohmen, W., Guillier, L., Jacxsens, L., Nauta, M., Mughini-Gras, L., Ottoson, J., Peixe, L., Perez-Rodriguez, F., Skandamis, P., Suffredini, E., Chemaly, M., Cocconcelli, P. S., Fernández Escámez, P. S., Herman, L. (2026). </w:t>
      </w:r>
      <w:r w:rsidRPr="00432986">
        <w:rPr>
          <w:sz w:val="18"/>
          <w:szCs w:val="18"/>
        </w:rPr>
        <w:t>Update of the list of QPS-recommended biological agents intentionally added to food or feeds as notified to EFSA. EFSA Journal, 24(1), e9823. https://doi.org/10.2903/j.efsa.2026.9823</w:t>
      </w:r>
      <w:r w:rsidR="00C649E1" w:rsidRPr="00432986">
        <w:rPr>
          <w:sz w:val="18"/>
          <w:szCs w:val="18"/>
        </w:rPr>
        <w:t>.</w:t>
      </w:r>
    </w:p>
  </w:footnote>
  <w:footnote w:id="161">
    <w:p w14:paraId="0489452D" w14:textId="16154F54" w:rsidR="66E94B6C" w:rsidRPr="00432986" w:rsidRDefault="66E94B6C" w:rsidP="00885795">
      <w:pPr>
        <w:spacing w:after="0"/>
        <w:rPr>
          <w:sz w:val="18"/>
          <w:szCs w:val="18"/>
        </w:rPr>
      </w:pPr>
      <w:r w:rsidRPr="00432986">
        <w:rPr>
          <w:sz w:val="18"/>
          <w:szCs w:val="18"/>
          <w:vertAlign w:val="superscript"/>
        </w:rPr>
        <w:footnoteRef/>
      </w:r>
      <w:r w:rsidRPr="00432986">
        <w:rPr>
          <w:sz w:val="18"/>
          <w:szCs w:val="18"/>
        </w:rPr>
        <w:t xml:space="preserve"> Opinion of the Scientific Committee on a request from EFSA on the introduction of a Qualified Presumption of Safety (QPS) approach for assessment of selected microorganisms referred to EFSA. The EFSA Journal (2007) 587, 1-16; https://efsa.onlinelibrary.wiley.com/doi/10.2903/j.efsa.2007.587</w:t>
      </w:r>
      <w:r w:rsidR="00C649E1" w:rsidRPr="00432986">
        <w:rPr>
          <w:sz w:val="18"/>
          <w:szCs w:val="18"/>
        </w:rPr>
        <w:t>.</w:t>
      </w:r>
    </w:p>
  </w:footnote>
  <w:footnote w:id="162">
    <w:p w14:paraId="29D1B238" w14:textId="4A9118F0" w:rsidR="4AD2C402" w:rsidRPr="00432986" w:rsidRDefault="4AD2C402" w:rsidP="00885795">
      <w:pPr>
        <w:spacing w:after="0"/>
        <w:rPr>
          <w:sz w:val="18"/>
          <w:szCs w:val="18"/>
        </w:rPr>
      </w:pPr>
      <w:r w:rsidRPr="00432986">
        <w:rPr>
          <w:sz w:val="18"/>
          <w:szCs w:val="18"/>
          <w:vertAlign w:val="superscript"/>
        </w:rPr>
        <w:footnoteRef/>
      </w:r>
      <w:r w:rsidR="2DE306CA" w:rsidRPr="00432986">
        <w:rPr>
          <w:sz w:val="18"/>
          <w:szCs w:val="18"/>
        </w:rPr>
        <w:t xml:space="preserve"> EFSA BIOHAZ Panel, Allende, A., Alvarez-Ordóñez, A., Bortolaia, V., Bover-Cid, S., De Cesare, A., Dohmen, W., Guillier, L., jacxsens, . liesbeth ., Nauta, M., Mughini-Gras, L., Ottoson, J., Peixe, L., Perez-Rodriguez, F., Skandamis, P., Suffredini, E., Cocconcelli, P. S., Fernández Escámez, P. S., Maradona, M. P., … Correia, S. (2026). Protocol for Extensive literature search (ELS) for the maintenance and update of list of QPS-recommended biological agents. Zenodo. https://doi.org/10.5281/zenodo.18336181</w:t>
      </w:r>
      <w:r w:rsidR="00C649E1" w:rsidRPr="00432986">
        <w:rPr>
          <w:sz w:val="18"/>
          <w:szCs w:val="18"/>
        </w:rPr>
        <w:t>.</w:t>
      </w:r>
    </w:p>
  </w:footnote>
  <w:footnote w:id="163">
    <w:p w14:paraId="4CE6D70F" w14:textId="4C337831" w:rsidR="693E819E" w:rsidRPr="00432986" w:rsidRDefault="693E819E" w:rsidP="00885795">
      <w:pPr>
        <w:spacing w:after="0"/>
        <w:rPr>
          <w:sz w:val="18"/>
          <w:szCs w:val="18"/>
        </w:rPr>
      </w:pPr>
      <w:r w:rsidRPr="00432986">
        <w:rPr>
          <w:sz w:val="18"/>
          <w:szCs w:val="18"/>
          <w:vertAlign w:val="superscript"/>
        </w:rPr>
        <w:footnoteRef/>
      </w:r>
      <w:r w:rsidRPr="00432986">
        <w:rPr>
          <w:sz w:val="18"/>
          <w:szCs w:val="18"/>
        </w:rPr>
        <w:t xml:space="preserve"> EFSA BIOHAZ Panel (EFSA Panel on Biological Hazards), Allende, A., Alvarez-Ordóñez, A., Bortolaia, V., Bover-Cid, S., De Cesare, A., Dohmen, W., Guillier, L., Jacxsens, L., Nauta, M., Mughini-Gras, L., Ottoson, J., Peixe, L., Perez-Rodriguez, F., Skandamis, P., Suffredini, E., Chemaly, M., Cocconcelli, P. S., Fernández Escámez, P. S., Herman, L. (2026). Update of the list of QPS-recommended biological agents intentionally added to food or feeds as notified to EFSA. EFSA Journal, 24(1), e9823. https://doi.org/10.2903/j.efsa.2026.9823</w:t>
      </w:r>
      <w:r w:rsidR="00C649E1" w:rsidRPr="00432986">
        <w:rPr>
          <w:sz w:val="18"/>
          <w:szCs w:val="18"/>
        </w:rPr>
        <w:t>.</w:t>
      </w:r>
    </w:p>
  </w:footnote>
  <w:footnote w:id="164">
    <w:p w14:paraId="2A682F20" w14:textId="4C7B0D01" w:rsidR="53F8950F" w:rsidRPr="00432986" w:rsidRDefault="53F8950F" w:rsidP="08FDD09A">
      <w:pPr>
        <w:spacing w:after="0"/>
        <w:rPr>
          <w:sz w:val="18"/>
          <w:szCs w:val="18"/>
        </w:rPr>
      </w:pPr>
      <w:r w:rsidRPr="00432986">
        <w:rPr>
          <w:sz w:val="18"/>
          <w:szCs w:val="18"/>
          <w:vertAlign w:val="superscript"/>
        </w:rPr>
        <w:footnoteRef/>
      </w:r>
      <w:r w:rsidR="08FDD09A" w:rsidRPr="00432986">
        <w:rPr>
          <w:sz w:val="18"/>
          <w:szCs w:val="18"/>
        </w:rPr>
        <w:t xml:space="preserve"> Commission Regulation (EU) 2022/1439 of 31 August 2022 amending Regulation (EU) No 283/2013 as regards the information to be submitted for active substances and the specific data requirements for micro-organisms</w:t>
      </w:r>
      <w:r w:rsidR="08FDD09A" w:rsidRPr="00432986">
        <w:rPr>
          <w:rFonts w:eastAsia="Calibri"/>
          <w:sz w:val="18"/>
          <w:szCs w:val="18"/>
          <w:u w:val="single"/>
        </w:rPr>
        <w:t>; see Annex II, Part B, Section 2, points 2.1.3. and 5.2</w:t>
      </w:r>
      <w:r w:rsidR="08FDD09A" w:rsidRPr="00432986">
        <w:rPr>
          <w:sz w:val="18"/>
          <w:szCs w:val="18"/>
        </w:rPr>
        <w:t>.</w:t>
      </w:r>
    </w:p>
  </w:footnote>
  <w:footnote w:id="165">
    <w:p w14:paraId="6B49C424" w14:textId="2014DDC9" w:rsidR="4D45FEB2" w:rsidRPr="00432986" w:rsidRDefault="4D45FEB2" w:rsidP="08FDD09A">
      <w:pPr>
        <w:spacing w:after="0"/>
        <w:rPr>
          <w:sz w:val="18"/>
          <w:szCs w:val="18"/>
        </w:rPr>
      </w:pPr>
      <w:r w:rsidRPr="00432986">
        <w:rPr>
          <w:sz w:val="18"/>
          <w:szCs w:val="18"/>
          <w:vertAlign w:val="superscript"/>
        </w:rPr>
        <w:footnoteRef/>
      </w:r>
      <w:r w:rsidR="08FDD09A" w:rsidRPr="00432986">
        <w:rPr>
          <w:sz w:val="18"/>
          <w:szCs w:val="18"/>
          <w:vertAlign w:val="superscript"/>
        </w:rPr>
        <w:t xml:space="preserve"> </w:t>
      </w:r>
      <w:r w:rsidR="08FDD09A" w:rsidRPr="00432986">
        <w:rPr>
          <w:sz w:val="18"/>
          <w:szCs w:val="18"/>
        </w:rPr>
        <w:t>Commission Implementing Regulation (EU) No 562/2012 of 27 June 2012 amending Commission Regulation (EU) No 234/2011 with regard to specific data required for risk assessment of food enzymes Text with EEA relevance</w:t>
      </w:r>
      <w:r w:rsidR="08FDD09A" w:rsidRPr="00432986">
        <w:rPr>
          <w:rFonts w:eastAsia="Calibri"/>
          <w:sz w:val="18"/>
          <w:szCs w:val="18"/>
          <w:u w:val="single"/>
        </w:rPr>
        <w:t>; see Article 1a and Article 8(3) and (5) of Commission Regulation (EU) No 234/2011; see also recital (6) of Commission Implementing Regulation (EU) No 562/2012</w:t>
      </w:r>
      <w:r w:rsidR="08FDD09A" w:rsidRPr="00432986">
        <w:rPr>
          <w:sz w:val="18"/>
          <w:szCs w:val="18"/>
        </w:rPr>
        <w:t>.</w:t>
      </w:r>
    </w:p>
  </w:footnote>
  <w:footnote w:id="166">
    <w:p w14:paraId="28C370AD" w14:textId="41081DD7" w:rsidR="53FD4F72" w:rsidRPr="00432986" w:rsidRDefault="53FD4F72" w:rsidP="08FDD09A">
      <w:pPr>
        <w:spacing w:after="0"/>
        <w:rPr>
          <w:sz w:val="18"/>
          <w:szCs w:val="18"/>
        </w:rPr>
      </w:pPr>
      <w:r w:rsidRPr="00432986">
        <w:rPr>
          <w:sz w:val="18"/>
          <w:szCs w:val="18"/>
          <w:vertAlign w:val="superscript"/>
        </w:rPr>
        <w:footnoteRef/>
      </w:r>
      <w:r w:rsidR="08FDD09A" w:rsidRPr="00432986">
        <w:rPr>
          <w:sz w:val="18"/>
          <w:szCs w:val="18"/>
        </w:rPr>
        <w:t xml:space="preserve"> Regulation (EU) 2019/1009 of the European Parliament and of the Council of 5 June 2019 laying down rules on the making available on the market of EU fertilising products and amending Regulations (EC) No 1069/2009 and (EC) No 1107/2009 and repealing Regulation (EC) No 2003/2003</w:t>
      </w:r>
      <w:r w:rsidR="08FDD09A" w:rsidRPr="00432986">
        <w:rPr>
          <w:rFonts w:eastAsia="Calibri"/>
          <w:sz w:val="18"/>
          <w:szCs w:val="18"/>
          <w:u w:val="single"/>
        </w:rPr>
        <w:t>; see Article 42(4)</w:t>
      </w:r>
      <w:r w:rsidR="08FDD09A" w:rsidRPr="00432986">
        <w:rPr>
          <w:sz w:val="18"/>
          <w:szCs w:val="18"/>
        </w:rPr>
        <w:t>.</w:t>
      </w:r>
    </w:p>
  </w:footnote>
  <w:footnote w:id="167">
    <w:p w14:paraId="4DFC0104" w14:textId="426A20CA" w:rsidR="61A077BC" w:rsidRPr="00432986" w:rsidRDefault="61A077BC" w:rsidP="08FDD09A">
      <w:pPr>
        <w:spacing w:after="0"/>
        <w:rPr>
          <w:sz w:val="18"/>
          <w:szCs w:val="18"/>
        </w:rPr>
      </w:pPr>
      <w:r w:rsidRPr="00432986">
        <w:rPr>
          <w:sz w:val="18"/>
          <w:szCs w:val="18"/>
          <w:vertAlign w:val="superscript"/>
        </w:rPr>
        <w:footnoteRef/>
      </w:r>
      <w:r w:rsidR="08FDD09A" w:rsidRPr="00432986">
        <w:rPr>
          <w:sz w:val="18"/>
          <w:szCs w:val="18"/>
        </w:rPr>
        <w:t xml:space="preserve"> Commission Decision (EU) 2017/1217 of 23 June 2017 establishing the EU Ecolabel criteria for hard surface cleaning products (notified under document C (2017) 4241)</w:t>
      </w:r>
      <w:r w:rsidR="08FDD09A" w:rsidRPr="00432986">
        <w:rPr>
          <w:rFonts w:eastAsia="Calibri"/>
          <w:sz w:val="18"/>
          <w:szCs w:val="18"/>
          <w:u w:val="single"/>
        </w:rPr>
        <w:t xml:space="preserve">. </w:t>
      </w:r>
      <w:hyperlink r:id="rId69" w:history="1">
        <w:r w:rsidR="08FDD09A" w:rsidRPr="00432986">
          <w:rPr>
            <w:rStyle w:val="Hyperlink"/>
            <w:rFonts w:eastAsia="Calibri"/>
            <w:sz w:val="18"/>
            <w:szCs w:val="18"/>
          </w:rPr>
          <w:t>https://eur-lex.europa.eu/eli/dec/2017/1217/oj</w:t>
        </w:r>
      </w:hyperlink>
      <w:r w:rsidR="08FDD09A" w:rsidRPr="00432986">
        <w:rPr>
          <w:rFonts w:eastAsia="Calibri"/>
          <w:sz w:val="18"/>
          <w:szCs w:val="18"/>
          <w:u w:val="single"/>
        </w:rPr>
        <w:t>; see in Annex, criterion 4, lett. (h), point (ii).</w:t>
      </w:r>
      <w:r w:rsidR="08FDD09A" w:rsidRPr="00432986">
        <w:rPr>
          <w:sz w:val="18"/>
          <w:szCs w:val="18"/>
        </w:rPr>
        <w:t>.</w:t>
      </w:r>
    </w:p>
  </w:footnote>
  <w:footnote w:id="168">
    <w:p w14:paraId="6135AAB5" w14:textId="5C0E8375" w:rsidR="14F9C60F" w:rsidRPr="00432986" w:rsidRDefault="14F9C60F" w:rsidP="00885795">
      <w:pPr>
        <w:spacing w:after="0"/>
        <w:rPr>
          <w:sz w:val="18"/>
          <w:szCs w:val="18"/>
        </w:rPr>
      </w:pPr>
      <w:r w:rsidRPr="00432986">
        <w:rPr>
          <w:sz w:val="18"/>
          <w:szCs w:val="18"/>
          <w:vertAlign w:val="superscript"/>
        </w:rPr>
        <w:footnoteRef/>
      </w:r>
      <w:r w:rsidR="4B651F7F" w:rsidRPr="00432986">
        <w:rPr>
          <w:sz w:val="18"/>
          <w:szCs w:val="18"/>
        </w:rPr>
        <w:t xml:space="preserve"> Sowa, S., Broothaerts, W., Burns, M., De Loose, M., Debode, F. et al., Detection of microorganisms, obtained by new genomic techniques, in food and feed products, Publications Office of the European Union, Luxembourg, 2025, JRC143597.</w:t>
      </w:r>
      <w:r w:rsidR="27420C24" w:rsidRPr="00432986">
        <w:rPr>
          <w:sz w:val="18"/>
          <w:szCs w:val="18"/>
        </w:rPr>
        <w:t xml:space="preserve"> </w:t>
      </w:r>
      <w:r w:rsidR="4B651F7F" w:rsidRPr="00432986">
        <w:rPr>
          <w:sz w:val="18"/>
          <w:szCs w:val="18"/>
        </w:rPr>
        <w:t>https://publications.jrc.ec.europa.eu/repository/handle/JRC143597</w:t>
      </w:r>
    </w:p>
  </w:footnote>
  <w:footnote w:id="169">
    <w:p w14:paraId="1C98D277" w14:textId="4CC5799C" w:rsidR="6CF09AFB" w:rsidRPr="00432986" w:rsidRDefault="6CF09AFB" w:rsidP="00885795">
      <w:pPr>
        <w:spacing w:after="0"/>
        <w:rPr>
          <w:sz w:val="18"/>
          <w:szCs w:val="18"/>
        </w:rPr>
      </w:pPr>
      <w:r w:rsidRPr="00432986">
        <w:rPr>
          <w:sz w:val="18"/>
          <w:szCs w:val="18"/>
          <w:vertAlign w:val="superscript"/>
        </w:rPr>
        <w:footnoteRef/>
      </w:r>
      <w:r w:rsidRPr="00432986">
        <w:rPr>
          <w:sz w:val="18"/>
          <w:szCs w:val="18"/>
        </w:rPr>
        <w:t xml:space="preserve"> Study on the status of new genomic techniques under Union law and in light of the Court of Justice ruling in Case C-528/16, SWD</w:t>
      </w:r>
      <w:r w:rsidR="00C649E1" w:rsidRPr="00432986">
        <w:rPr>
          <w:sz w:val="18"/>
          <w:szCs w:val="18"/>
        </w:rPr>
        <w:t xml:space="preserve"> </w:t>
      </w:r>
      <w:r w:rsidRPr="00432986">
        <w:rPr>
          <w:sz w:val="18"/>
          <w:szCs w:val="18"/>
        </w:rPr>
        <w:t>(2021) 92 final. https://food.ec.europa.eu/system/files/2021-04/gmo_mod-bio_ngt_eu-study.pdf</w:t>
      </w:r>
    </w:p>
  </w:footnote>
  <w:footnote w:id="170">
    <w:p w14:paraId="43797B19" w14:textId="47AF160E" w:rsidR="7B2BDC9F" w:rsidRPr="00432986" w:rsidRDefault="7B2BDC9F" w:rsidP="00885795">
      <w:pPr>
        <w:spacing w:after="0"/>
        <w:rPr>
          <w:sz w:val="18"/>
          <w:szCs w:val="18"/>
        </w:rPr>
      </w:pPr>
      <w:r w:rsidRPr="00432986">
        <w:rPr>
          <w:sz w:val="18"/>
          <w:szCs w:val="18"/>
          <w:vertAlign w:val="superscript"/>
        </w:rPr>
        <w:footnoteRef/>
      </w:r>
      <w:r w:rsidRPr="00432986">
        <w:rPr>
          <w:sz w:val="18"/>
          <w:szCs w:val="18"/>
        </w:rPr>
        <w:t xml:space="preserve"> European Network of GMO Laboratories (ENGL), Detection of food and feed plant products obtained by new mutagenesis techniques, 26 March 2019 (JRC116289). https://gmo-crl.jrc.ec.europa.eu/doc/JRC116289-GE-report-ENGL.pdf</w:t>
      </w:r>
    </w:p>
  </w:footnote>
  <w:footnote w:id="171">
    <w:p w14:paraId="7210746F" w14:textId="24F3E80D" w:rsidR="37CDFCA9" w:rsidRPr="00432986" w:rsidRDefault="37CDFCA9" w:rsidP="00885795">
      <w:pPr>
        <w:spacing w:after="0"/>
        <w:rPr>
          <w:sz w:val="18"/>
          <w:szCs w:val="18"/>
        </w:rPr>
      </w:pPr>
      <w:r w:rsidRPr="00432986">
        <w:rPr>
          <w:sz w:val="18"/>
          <w:szCs w:val="18"/>
          <w:vertAlign w:val="superscript"/>
        </w:rPr>
        <w:footnoteRef/>
      </w:r>
      <w:r w:rsidRPr="00432986">
        <w:rPr>
          <w:sz w:val="18"/>
          <w:szCs w:val="18"/>
        </w:rPr>
        <w:t xml:space="preserve"> European Network of GMO Laboratories, Detection of food and feed plant products obtained by targeted mutagenesis and cisgenesis, Publications Office of the European Union, Luxembourg, 2023, doi:10.2760/007925, JRC133689. https://publications.jrc.ec.europa.eu/repository/handle/JRC133689</w:t>
      </w:r>
    </w:p>
  </w:footnote>
  <w:footnote w:id="172">
    <w:p w14:paraId="38B8A176" w14:textId="0BD9DD36" w:rsidR="10F49840" w:rsidRPr="00432986" w:rsidRDefault="10F49840" w:rsidP="08FDD09A">
      <w:pPr>
        <w:spacing w:after="0"/>
        <w:rPr>
          <w:sz w:val="18"/>
          <w:szCs w:val="18"/>
        </w:rPr>
      </w:pPr>
      <w:r w:rsidRPr="00432986">
        <w:rPr>
          <w:sz w:val="18"/>
          <w:szCs w:val="18"/>
          <w:vertAlign w:val="superscript"/>
        </w:rPr>
        <w:footnoteRef/>
      </w:r>
      <w:r w:rsidR="08FDD09A" w:rsidRPr="00432986">
        <w:rPr>
          <w:sz w:val="18"/>
          <w:szCs w:val="18"/>
          <w:lang w:val="it-IT"/>
        </w:rPr>
        <w:t xml:space="preserve"> Lowe, C.R., Ponferrada, V., Ruiz Aquino, C.,</w:t>
      </w:r>
      <w:r w:rsidR="08FDD09A" w:rsidRPr="00432986">
        <w:rPr>
          <w:rFonts w:eastAsia="Calibri"/>
          <w:sz w:val="18"/>
          <w:szCs w:val="18"/>
          <w:u w:val="single"/>
          <w:lang w:val="es"/>
        </w:rPr>
        <w:t xml:space="preserve"> Compaño, R</w:t>
      </w:r>
      <w:r w:rsidR="08FDD09A" w:rsidRPr="004570F2">
        <w:rPr>
          <w:sz w:val="18"/>
          <w:u w:val="single"/>
          <w:lang w:val="es"/>
        </w:rPr>
        <w:t>.,</w:t>
      </w:r>
      <w:r w:rsidR="08FDD09A" w:rsidRPr="00432986">
        <w:rPr>
          <w:sz w:val="18"/>
          <w:szCs w:val="18"/>
          <w:lang w:val="it-IT"/>
        </w:rPr>
        <w:t xml:space="preserve"> Nanda, A.K. (2026). </w:t>
      </w:r>
      <w:r w:rsidR="08FDD09A" w:rsidRPr="00432986">
        <w:rPr>
          <w:sz w:val="18"/>
          <w:szCs w:val="18"/>
        </w:rPr>
        <w:t>Current and future market applications of genetically modified microorganisms (GMMs)</w:t>
      </w:r>
      <w:r w:rsidR="00014042" w:rsidRPr="00432986">
        <w:rPr>
          <w:sz w:val="18"/>
          <w:szCs w:val="18"/>
        </w:rPr>
        <w:t xml:space="preserve"> to be placed on the market or </w:t>
      </w:r>
      <w:r w:rsidR="08FDD09A" w:rsidRPr="00432986">
        <w:rPr>
          <w:sz w:val="18"/>
          <w:szCs w:val="18"/>
        </w:rPr>
        <w:t>for environmental release. JRC Technical Report, Publications Office of the European Union, Luxembourg (publication forthcoming).</w:t>
      </w:r>
    </w:p>
  </w:footnote>
  <w:footnote w:id="173">
    <w:p w14:paraId="667F7C33" w14:textId="095A2E44" w:rsidR="01BC0FDB" w:rsidRPr="00432986" w:rsidRDefault="01BC0FDB" w:rsidP="00885795">
      <w:pPr>
        <w:spacing w:after="0"/>
        <w:rPr>
          <w:sz w:val="18"/>
          <w:szCs w:val="18"/>
        </w:rPr>
      </w:pPr>
      <w:r w:rsidRPr="00432986">
        <w:rPr>
          <w:sz w:val="18"/>
          <w:szCs w:val="18"/>
          <w:vertAlign w:val="superscript"/>
        </w:rPr>
        <w:footnoteRef/>
      </w:r>
      <w:r w:rsidRPr="00432986">
        <w:rPr>
          <w:sz w:val="18"/>
          <w:szCs w:val="18"/>
        </w:rPr>
        <w:t xml:space="preserve"> Parisi, C. and Rodriguez Cerezo, E. (2021) Current and future market applications of new genomic techniques, Publications Office of the European Union, Luxembourg, https://data.europa.eu/doi/10.2760/02472, JRC123830.</w:t>
      </w:r>
    </w:p>
  </w:footnote>
  <w:footnote w:id="174">
    <w:p w14:paraId="21D459A9" w14:textId="53109601" w:rsidR="245F883A" w:rsidRPr="00432986" w:rsidRDefault="245F883A" w:rsidP="00885795">
      <w:pPr>
        <w:spacing w:after="0"/>
        <w:rPr>
          <w:sz w:val="18"/>
          <w:szCs w:val="18"/>
        </w:rPr>
      </w:pPr>
      <w:r w:rsidRPr="00432986">
        <w:rPr>
          <w:sz w:val="18"/>
          <w:szCs w:val="18"/>
          <w:vertAlign w:val="superscript"/>
        </w:rPr>
        <w:footnoteRef/>
      </w:r>
      <w:r w:rsidRPr="00432986">
        <w:rPr>
          <w:sz w:val="18"/>
          <w:szCs w:val="18"/>
        </w:rPr>
        <w:t xml:space="preserve"> </w:t>
      </w:r>
      <w:r w:rsidR="006D499C" w:rsidRPr="00432986">
        <w:rPr>
          <w:sz w:val="18"/>
          <w:szCs w:val="18"/>
        </w:rPr>
        <w:t>Rapid</w:t>
      </w:r>
      <w:r w:rsidRPr="00432986">
        <w:rPr>
          <w:sz w:val="18"/>
          <w:szCs w:val="18"/>
        </w:rPr>
        <w:t xml:space="preserve"> assessment </w:t>
      </w:r>
      <w:r w:rsidR="00E923DC" w:rsidRPr="00432986">
        <w:rPr>
          <w:sz w:val="18"/>
          <w:szCs w:val="18"/>
        </w:rPr>
        <w:t xml:space="preserve">scenario </w:t>
      </w:r>
      <w:r w:rsidRPr="00432986">
        <w:rPr>
          <w:sz w:val="18"/>
          <w:szCs w:val="18"/>
        </w:rPr>
        <w:t xml:space="preserve">study </w:t>
      </w:r>
      <w:r w:rsidR="00E923DC" w:rsidRPr="00432986">
        <w:rPr>
          <w:sz w:val="18"/>
          <w:szCs w:val="18"/>
        </w:rPr>
        <w:t>- forthcoming</w:t>
      </w:r>
      <w:r w:rsidRPr="00432986">
        <w:rPr>
          <w:sz w:val="18"/>
          <w:szCs w:val="18"/>
        </w:rPr>
        <w:t>.</w:t>
      </w:r>
    </w:p>
  </w:footnote>
  <w:footnote w:id="175">
    <w:p w14:paraId="4624E146" w14:textId="400824F4" w:rsidR="516B9E30" w:rsidRPr="00432986" w:rsidRDefault="516B9E30" w:rsidP="043522AD">
      <w:pPr>
        <w:spacing w:after="0"/>
        <w:rPr>
          <w:sz w:val="18"/>
          <w:szCs w:val="18"/>
        </w:rPr>
      </w:pPr>
      <w:r w:rsidRPr="00432986">
        <w:rPr>
          <w:sz w:val="18"/>
          <w:szCs w:val="18"/>
          <w:vertAlign w:val="superscript"/>
        </w:rPr>
        <w:footnoteRef/>
      </w:r>
      <w:r w:rsidR="043522AD" w:rsidRPr="00432986">
        <w:rPr>
          <w:sz w:val="18"/>
          <w:szCs w:val="18"/>
          <w:lang w:val="it-IT"/>
        </w:rPr>
        <w:t xml:space="preserve"> Lowe, C.R., Ponferrada, V., Ruiz Aquino, C., </w:t>
      </w:r>
      <w:r w:rsidR="043522AD" w:rsidRPr="00432986">
        <w:rPr>
          <w:rFonts w:eastAsia="Calibri"/>
          <w:sz w:val="18"/>
          <w:szCs w:val="18"/>
          <w:lang w:val="es"/>
        </w:rPr>
        <w:t>Compaño, R</w:t>
      </w:r>
      <w:r w:rsidR="043522AD" w:rsidRPr="004570F2">
        <w:rPr>
          <w:sz w:val="18"/>
          <w:lang w:val="es"/>
        </w:rPr>
        <w:t>.,</w:t>
      </w:r>
      <w:r w:rsidR="043522AD" w:rsidRPr="00432986">
        <w:rPr>
          <w:sz w:val="18"/>
          <w:szCs w:val="18"/>
          <w:lang w:val="it-IT"/>
        </w:rPr>
        <w:t xml:space="preserve"> Nanda, A.K. (2026). </w:t>
      </w:r>
      <w:r w:rsidR="043522AD" w:rsidRPr="00432986">
        <w:rPr>
          <w:sz w:val="18"/>
          <w:szCs w:val="18"/>
        </w:rPr>
        <w:t>Current and future market applications of genetically modified microorganisms (GMMs)</w:t>
      </w:r>
      <w:r w:rsidR="00014042" w:rsidRPr="00432986">
        <w:rPr>
          <w:sz w:val="18"/>
          <w:szCs w:val="18"/>
        </w:rPr>
        <w:t xml:space="preserve"> to be placed on the market or </w:t>
      </w:r>
      <w:r w:rsidR="043522AD" w:rsidRPr="00432986">
        <w:rPr>
          <w:sz w:val="18"/>
          <w:szCs w:val="18"/>
        </w:rPr>
        <w:t>for environmental release. JRC Technical Report, Publications Office of the European Union, Luxembourg (publication forthcoming)</w:t>
      </w:r>
    </w:p>
  </w:footnote>
  <w:footnote w:id="176">
    <w:p w14:paraId="1E19CBBE" w14:textId="386EA712" w:rsidR="5516F0C9" w:rsidRPr="00432986" w:rsidRDefault="5516F0C9" w:rsidP="00885795">
      <w:pPr>
        <w:spacing w:after="0"/>
        <w:rPr>
          <w:sz w:val="18"/>
          <w:szCs w:val="18"/>
        </w:rPr>
      </w:pPr>
      <w:r w:rsidRPr="00432986">
        <w:rPr>
          <w:sz w:val="18"/>
          <w:szCs w:val="18"/>
          <w:vertAlign w:val="superscript"/>
        </w:rPr>
        <w:footnoteRef/>
      </w:r>
      <w:r w:rsidR="0B3AC004" w:rsidRPr="00432986">
        <w:rPr>
          <w:sz w:val="18"/>
          <w:szCs w:val="18"/>
        </w:rPr>
        <w:t xml:space="preserve"> Grand View Research.</w:t>
      </w:r>
      <w:r w:rsidR="5CB52072" w:rsidRPr="00432986">
        <w:rPr>
          <w:sz w:val="18"/>
          <w:szCs w:val="18"/>
        </w:rPr>
        <w:t xml:space="preserve"> Biofertilizers Market (2025 - 2030). </w:t>
      </w:r>
      <w:r w:rsidR="0B3AC004" w:rsidRPr="00432986">
        <w:rPr>
          <w:sz w:val="18"/>
          <w:szCs w:val="18"/>
        </w:rPr>
        <w:t>https://www.grandviewresearch.com/industry-analysis/biofertilizers-industry</w:t>
      </w:r>
      <w:r w:rsidR="167BE741" w:rsidRPr="00432986">
        <w:rPr>
          <w:sz w:val="18"/>
          <w:szCs w:val="18"/>
        </w:rPr>
        <w:t>.</w:t>
      </w:r>
    </w:p>
  </w:footnote>
  <w:footnote w:id="177">
    <w:p w14:paraId="64FCCF0A" w14:textId="5FB3FB4B" w:rsidR="5516F0C9" w:rsidRPr="00432986" w:rsidRDefault="5516F0C9" w:rsidP="00885795">
      <w:pPr>
        <w:spacing w:after="0"/>
        <w:rPr>
          <w:sz w:val="18"/>
          <w:szCs w:val="18"/>
        </w:rPr>
      </w:pPr>
      <w:r w:rsidRPr="00432986">
        <w:rPr>
          <w:sz w:val="18"/>
          <w:szCs w:val="18"/>
          <w:vertAlign w:val="superscript"/>
        </w:rPr>
        <w:footnoteRef/>
      </w:r>
      <w:r w:rsidR="7104A6FA" w:rsidRPr="00432986">
        <w:rPr>
          <w:sz w:val="18"/>
          <w:szCs w:val="18"/>
        </w:rPr>
        <w:t xml:space="preserve"> Markets and Markets. Global Biofertilizers Market Size, Trends, Growth Forecast (2023–2028).</w:t>
      </w:r>
      <w:r w:rsidR="03588E93" w:rsidRPr="00432986">
        <w:rPr>
          <w:sz w:val="18"/>
          <w:szCs w:val="18"/>
        </w:rPr>
        <w:t xml:space="preserve"> 13 November 2025. https://www.marketsandmarkets.com/blog/FB/biofertilizers-market</w:t>
      </w:r>
      <w:r w:rsidR="00C649E1" w:rsidRPr="00432986">
        <w:rPr>
          <w:sz w:val="18"/>
          <w:szCs w:val="18"/>
        </w:rPr>
        <w:t>.</w:t>
      </w:r>
    </w:p>
  </w:footnote>
  <w:footnote w:id="178">
    <w:p w14:paraId="4268E6A6" w14:textId="37BC2A7A" w:rsidR="034EAC18" w:rsidRPr="00432986" w:rsidRDefault="034EAC18" w:rsidP="00885795">
      <w:pPr>
        <w:spacing w:after="0"/>
        <w:rPr>
          <w:sz w:val="18"/>
          <w:szCs w:val="18"/>
        </w:rPr>
      </w:pPr>
      <w:r w:rsidRPr="00432986">
        <w:rPr>
          <w:sz w:val="18"/>
          <w:szCs w:val="18"/>
          <w:vertAlign w:val="superscript"/>
        </w:rPr>
        <w:footnoteRef/>
      </w:r>
      <w:r w:rsidR="6C86371F" w:rsidRPr="00432986">
        <w:rPr>
          <w:sz w:val="18"/>
          <w:szCs w:val="18"/>
        </w:rPr>
        <w:t xml:space="preserve"> ReAnIn. Biocontrol Agents Market Size &amp; Share Analysis - Growth Trends and Forecast (2025 - 2032). March 2026. https://www.reanin.com/reports/biocontrol-agents-market</w:t>
      </w:r>
    </w:p>
  </w:footnote>
  <w:footnote w:id="179">
    <w:p w14:paraId="7D100556" w14:textId="6DED03BC" w:rsidR="259F1228" w:rsidRPr="00432986" w:rsidRDefault="259F1228" w:rsidP="00885795">
      <w:pPr>
        <w:spacing w:after="0"/>
        <w:rPr>
          <w:sz w:val="18"/>
          <w:szCs w:val="18"/>
        </w:rPr>
      </w:pPr>
      <w:r w:rsidRPr="00432986">
        <w:rPr>
          <w:sz w:val="18"/>
          <w:szCs w:val="18"/>
          <w:vertAlign w:val="superscript"/>
        </w:rPr>
        <w:footnoteRef/>
      </w:r>
      <w:r w:rsidRPr="00432986">
        <w:rPr>
          <w:sz w:val="18"/>
          <w:szCs w:val="18"/>
          <w:vertAlign w:val="superscript"/>
        </w:rPr>
        <w:t xml:space="preserve"> </w:t>
      </w:r>
      <w:r w:rsidRPr="00432986">
        <w:rPr>
          <w:sz w:val="18"/>
          <w:szCs w:val="18"/>
        </w:rPr>
        <w:t>Industry Research Biz. Biocontrol Market Size, Share, Growth, and Industry Analysis, By Type (Microbials, Macrobials, Biochemicals), By Application (Grains and Cereals, Oilseeds and Pulses, Fruits and Vegetables, Other Crop Applications), Regional Insights and Forecast to 2035. January 2026. https://www.industryresearch.biz/market-reports/biocontrol-market-113645</w:t>
      </w:r>
    </w:p>
  </w:footnote>
  <w:footnote w:id="180">
    <w:p w14:paraId="2504F023" w14:textId="75CBDD1D" w:rsidR="259F1228" w:rsidRPr="00432986" w:rsidRDefault="259F1228" w:rsidP="00885795">
      <w:pPr>
        <w:spacing w:after="0"/>
        <w:rPr>
          <w:sz w:val="18"/>
          <w:szCs w:val="18"/>
        </w:rPr>
      </w:pPr>
      <w:r w:rsidRPr="00432986">
        <w:rPr>
          <w:sz w:val="18"/>
          <w:szCs w:val="18"/>
          <w:vertAlign w:val="superscript"/>
        </w:rPr>
        <w:footnoteRef/>
      </w:r>
      <w:r w:rsidR="08FDD09A" w:rsidRPr="00432986">
        <w:rPr>
          <w:sz w:val="18"/>
          <w:szCs w:val="18"/>
        </w:rPr>
        <w:t xml:space="preserve"> </w:t>
      </w:r>
      <w:r w:rsidR="08FDD09A" w:rsidRPr="00432986">
        <w:rPr>
          <w:rFonts w:eastAsia="Times New Roman"/>
          <w:sz w:val="18"/>
          <w:szCs w:val="18"/>
          <w:u w:val="single"/>
        </w:rPr>
        <w:t xml:space="preserve"> Singh JS, Abhilish PC, Singh HB, Singh RP &amp; Singh DP (2011) Genetically engineered bacteria: An emerging tool for environmental remediation and future research perspectives. Gene 480, 1-9.</w:t>
      </w:r>
    </w:p>
  </w:footnote>
  <w:footnote w:id="181">
    <w:p w14:paraId="2AD28CF9" w14:textId="6FC3202A" w:rsidR="60D3DE5A" w:rsidRPr="00432986" w:rsidRDefault="60D3DE5A" w:rsidP="00885795">
      <w:pPr>
        <w:spacing w:after="0"/>
        <w:rPr>
          <w:sz w:val="18"/>
          <w:szCs w:val="18"/>
        </w:rPr>
      </w:pPr>
      <w:r w:rsidRPr="00432986">
        <w:rPr>
          <w:sz w:val="18"/>
          <w:szCs w:val="18"/>
          <w:vertAlign w:val="superscript"/>
        </w:rPr>
        <w:footnoteRef/>
      </w:r>
      <w:r w:rsidRPr="00432986">
        <w:rPr>
          <w:sz w:val="18"/>
          <w:szCs w:val="18"/>
        </w:rPr>
        <w:t xml:space="preserve"> Paliwoda Group. Lysosome Resources. January 2026. https://www.paliwoda.com/lysosomeresources.php</w:t>
      </w:r>
    </w:p>
  </w:footnote>
  <w:footnote w:id="182">
    <w:p w14:paraId="5F260893" w14:textId="2ED98A14" w:rsidR="16B82B93" w:rsidRPr="00432986" w:rsidRDefault="16B82B93" w:rsidP="00885795">
      <w:pPr>
        <w:spacing w:after="0"/>
        <w:rPr>
          <w:sz w:val="18"/>
          <w:szCs w:val="18"/>
        </w:rPr>
      </w:pPr>
      <w:r w:rsidRPr="00432986">
        <w:rPr>
          <w:sz w:val="18"/>
          <w:szCs w:val="18"/>
          <w:vertAlign w:val="superscript"/>
        </w:rPr>
        <w:footnoteRef/>
      </w:r>
      <w:r w:rsidR="21932ED0" w:rsidRPr="00432986">
        <w:rPr>
          <w:sz w:val="18"/>
          <w:szCs w:val="18"/>
        </w:rPr>
        <w:t xml:space="preserve"> SkyQuest Technology Consulting Pvt. Ltd. </w:t>
      </w:r>
      <w:r w:rsidR="39FAEFF9" w:rsidRPr="00432986">
        <w:rPr>
          <w:sz w:val="18"/>
          <w:szCs w:val="18"/>
        </w:rPr>
        <w:t>Bioremediation Market Size, Share, and Growth Analysis</w:t>
      </w:r>
      <w:r w:rsidR="3FB8F89D" w:rsidRPr="00432986">
        <w:rPr>
          <w:sz w:val="18"/>
          <w:szCs w:val="18"/>
        </w:rPr>
        <w:t xml:space="preserve">. </w:t>
      </w:r>
      <w:r w:rsidR="5FCA4E17" w:rsidRPr="00432986">
        <w:rPr>
          <w:sz w:val="18"/>
          <w:szCs w:val="18"/>
        </w:rPr>
        <w:t xml:space="preserve">Bioremediation Market By Type (Situ Bioremediation, And Ex Situ Bioremediation), By Technology (Biostimulation, Phytoremediation), By Service (Soil Remediation, Oilfield Remediation), By Region - Industry Forecast 2026-2033. </w:t>
      </w:r>
      <w:r w:rsidR="13C2C24E" w:rsidRPr="00432986">
        <w:rPr>
          <w:sz w:val="18"/>
          <w:szCs w:val="18"/>
        </w:rPr>
        <w:t>November 2024. https://www.skyquestt.com/report/bioremediation-market</w:t>
      </w:r>
    </w:p>
  </w:footnote>
  <w:footnote w:id="183">
    <w:p w14:paraId="288E3602" w14:textId="51B718F8" w:rsidR="6986A5FB" w:rsidRPr="00432986" w:rsidRDefault="6986A5FB" w:rsidP="00885795">
      <w:pPr>
        <w:spacing w:after="0"/>
        <w:rPr>
          <w:sz w:val="18"/>
          <w:szCs w:val="18"/>
        </w:rPr>
      </w:pPr>
      <w:r w:rsidRPr="00432986">
        <w:rPr>
          <w:sz w:val="18"/>
          <w:szCs w:val="18"/>
          <w:vertAlign w:val="superscript"/>
        </w:rPr>
        <w:footnoteRef/>
      </w:r>
      <w:r w:rsidRPr="00432986">
        <w:rPr>
          <w:sz w:val="18"/>
          <w:szCs w:val="18"/>
        </w:rPr>
        <w:t xml:space="preserve"> Dimension Market Research. Bioremediation Market. Bioremediation Market By Type (In Situ Bioremediation, Ex Situ Bioremediation), By Technology, By Service - Global Industry Outlook, Key Trends and Forecast 2025-2034. November 2024. https://dimensionmarketresearch.com/report/bioremediation-market/</w:t>
      </w:r>
    </w:p>
  </w:footnote>
  <w:footnote w:id="184">
    <w:p w14:paraId="33D003EE" w14:textId="24513984" w:rsidR="7DA359FC" w:rsidRPr="00432986" w:rsidRDefault="7DA359FC" w:rsidP="00885795">
      <w:pPr>
        <w:spacing w:after="0"/>
        <w:rPr>
          <w:sz w:val="18"/>
          <w:szCs w:val="18"/>
        </w:rPr>
      </w:pPr>
      <w:r w:rsidRPr="00432986">
        <w:rPr>
          <w:sz w:val="18"/>
          <w:szCs w:val="18"/>
          <w:vertAlign w:val="superscript"/>
        </w:rPr>
        <w:footnoteRef/>
      </w:r>
      <w:r w:rsidR="25A2997B" w:rsidRPr="00432986">
        <w:rPr>
          <w:sz w:val="18"/>
          <w:szCs w:val="18"/>
        </w:rPr>
        <w:t xml:space="preserve"> SkyQuest Technology Consulting Pvt. Ltd. Bioremediation Market Size, Share, and Growth Analysis. Bioremediation Market By Type (Situ Bioremediation, And Ex Situ Bioremediation), By Technology (Biostimulation, Phytoremediation), By Service (Soil Remediation, Oilfield Remediation), By Region - Industry Forecast 2026-2033. November 2024. https://www.skyquestt.com/report/bioremediation-market</w:t>
      </w:r>
    </w:p>
  </w:footnote>
  <w:footnote w:id="185">
    <w:p w14:paraId="6D3217D8" w14:textId="4C3D8047" w:rsidR="25A2997B" w:rsidRPr="00432986" w:rsidRDefault="25A2997B" w:rsidP="08FDD09A">
      <w:pPr>
        <w:spacing w:after="0"/>
        <w:rPr>
          <w:rFonts w:eastAsia="Times New Roman"/>
          <w:color w:val="881798"/>
          <w:sz w:val="18"/>
          <w:szCs w:val="18"/>
        </w:rPr>
      </w:pPr>
      <w:r w:rsidRPr="00432986">
        <w:rPr>
          <w:sz w:val="18"/>
          <w:szCs w:val="18"/>
          <w:vertAlign w:val="superscript"/>
        </w:rPr>
        <w:footnoteRef/>
      </w:r>
      <w:r w:rsidR="08FDD09A" w:rsidRPr="00432986">
        <w:rPr>
          <w:sz w:val="18"/>
          <w:szCs w:val="18"/>
        </w:rPr>
        <w:t xml:space="preserve"> </w:t>
      </w:r>
      <w:r w:rsidR="08FDD09A" w:rsidRPr="00432986">
        <w:rPr>
          <w:rFonts w:eastAsia="Times New Roman"/>
          <w:color w:val="341A51"/>
          <w:sz w:val="18"/>
          <w:szCs w:val="18"/>
          <w:u w:val="single"/>
        </w:rPr>
        <w:t>Gaurav Pant, Deviram Garlapati, Urvashi Agrawal, R. Gyana Prasuna, Thangavel Mathimani, Arivalagan Pugazhendhi, Biological approaches practised using genetically engineered microbes for a sustainable environment: A review, Journal of Hazardous Materials, Volume 405, 2021, 124631, ISSN 0304-3894,</w:t>
      </w:r>
    </w:p>
    <w:p w14:paraId="1EB9CA61" w14:textId="0DF5B345" w:rsidR="25A2997B" w:rsidRPr="00432986" w:rsidRDefault="08FDD09A" w:rsidP="003F05D9">
      <w:pPr>
        <w:spacing w:after="0"/>
        <w:rPr>
          <w:rFonts w:eastAsia="Times New Roman"/>
          <w:color w:val="000000" w:themeColor="text1"/>
          <w:sz w:val="18"/>
          <w:szCs w:val="18"/>
        </w:rPr>
      </w:pPr>
      <w:hyperlink r:id="rId70" w:history="1">
        <w:r w:rsidRPr="00432986">
          <w:rPr>
            <w:rStyle w:val="Hyperlink"/>
            <w:rFonts w:eastAsia="Times New Roman"/>
            <w:sz w:val="18"/>
            <w:szCs w:val="18"/>
          </w:rPr>
          <w:t>https://doi.org/10.1016/j.jhazmat.2020.124631</w:t>
        </w:r>
      </w:hyperlink>
      <w:r w:rsidRPr="00432986">
        <w:rPr>
          <w:rFonts w:eastAsia="Times New Roman"/>
          <w:color w:val="341A51"/>
          <w:sz w:val="18"/>
          <w:szCs w:val="18"/>
          <w:u w:val="single"/>
        </w:rPr>
        <w:t>.</w:t>
      </w:r>
    </w:p>
    <w:p w14:paraId="222937FA" w14:textId="5CEC725A" w:rsidR="25A2997B" w:rsidRPr="00432986" w:rsidRDefault="25A2997B" w:rsidP="00885795">
      <w:pPr>
        <w:spacing w:after="0"/>
        <w:rPr>
          <w:sz w:val="18"/>
          <w:szCs w:val="18"/>
        </w:rPr>
      </w:pPr>
    </w:p>
  </w:footnote>
  <w:footnote w:id="186">
    <w:p w14:paraId="35E2EE7F" w14:textId="1B15A87D" w:rsidR="0E1FFB68" w:rsidRPr="00432986" w:rsidRDefault="0E1FFB68" w:rsidP="00885795">
      <w:pPr>
        <w:spacing w:after="0"/>
        <w:rPr>
          <w:sz w:val="18"/>
          <w:szCs w:val="18"/>
        </w:rPr>
      </w:pPr>
      <w:r w:rsidRPr="00432986">
        <w:rPr>
          <w:sz w:val="18"/>
          <w:szCs w:val="18"/>
          <w:vertAlign w:val="superscript"/>
        </w:rPr>
        <w:footnoteRef/>
      </w:r>
      <w:r w:rsidR="00C65D85">
        <w:rPr>
          <w:rFonts w:eastAsia="Times New Roman"/>
          <w:sz w:val="18"/>
          <w:szCs w:val="18"/>
        </w:rPr>
        <w:t xml:space="preserve"> </w:t>
      </w:r>
      <w:r w:rsidR="08FDD09A" w:rsidRPr="00432986">
        <w:rPr>
          <w:rFonts w:eastAsia="Times New Roman"/>
          <w:sz w:val="18"/>
          <w:szCs w:val="18"/>
        </w:rPr>
        <w:t>Chen J, Liu Y, Diep P &amp; Mahadevan R (2022) Harnessing synthetic biology for sustainable biomining with Fe/S-oxidising microbes. Front Bioeng Biotech 10, 920639</w:t>
      </w:r>
    </w:p>
  </w:footnote>
  <w:footnote w:id="187">
    <w:p w14:paraId="0029838F" w14:textId="6A78C4AA" w:rsidR="001E3952" w:rsidRPr="00432986" w:rsidRDefault="001E3952" w:rsidP="001E3952">
      <w:pPr>
        <w:rPr>
          <w:rFonts w:eastAsia="Times New Roman"/>
          <w:sz w:val="18"/>
          <w:szCs w:val="18"/>
        </w:rPr>
      </w:pPr>
      <w:r w:rsidRPr="00432986">
        <w:rPr>
          <w:sz w:val="18"/>
          <w:szCs w:val="18"/>
          <w:vertAlign w:val="superscript"/>
        </w:rPr>
        <w:footnoteRef/>
      </w:r>
      <w:r w:rsidRPr="00432986">
        <w:rPr>
          <w:sz w:val="18"/>
          <w:szCs w:val="18"/>
        </w:rPr>
        <w:t xml:space="preserve"> </w:t>
      </w:r>
      <w:r w:rsidRPr="00432986">
        <w:rPr>
          <w:rFonts w:eastAsia="Aptos"/>
          <w:sz w:val="18"/>
          <w:szCs w:val="18"/>
        </w:rPr>
        <w:t xml:space="preserve">Gumulya Y, Boxall, NJ, Khaleque HN, Santala V, Carlsson RP &amp; Kallsonen AH (2018) In a quest for engineering acidophiles for biomining applications: Challenges and opportunities. Genes 9, 116. </w:t>
      </w:r>
      <w:r w:rsidRPr="00432986">
        <w:rPr>
          <w:sz w:val="18"/>
          <w:szCs w:val="18"/>
        </w:rPr>
        <w:br/>
      </w:r>
      <w:hyperlink r:id="rId71" w:history="1">
        <w:r w:rsidRPr="00432986">
          <w:rPr>
            <w:rStyle w:val="Hyperlink"/>
            <w:rFonts w:eastAsia="Aptos"/>
            <w:color w:val="467886"/>
            <w:sz w:val="18"/>
            <w:szCs w:val="18"/>
          </w:rPr>
          <w:t>https://doi.org/10.3390/genes9020116</w:t>
        </w:r>
      </w:hyperlink>
    </w:p>
  </w:footnote>
  <w:footnote w:id="188">
    <w:p w14:paraId="46F66EF1" w14:textId="37638A28" w:rsidR="49F864A7" w:rsidRPr="00432986" w:rsidRDefault="49F864A7" w:rsidP="00885795">
      <w:pPr>
        <w:spacing w:after="0"/>
        <w:rPr>
          <w:sz w:val="18"/>
          <w:szCs w:val="18"/>
        </w:rPr>
      </w:pPr>
      <w:r w:rsidRPr="00432986">
        <w:rPr>
          <w:sz w:val="18"/>
          <w:szCs w:val="18"/>
          <w:vertAlign w:val="superscript"/>
        </w:rPr>
        <w:footnoteRef/>
      </w:r>
      <w:r w:rsidR="2AC6E565" w:rsidRPr="00432986">
        <w:rPr>
          <w:sz w:val="18"/>
          <w:szCs w:val="18"/>
        </w:rPr>
        <w:t xml:space="preserve"> MIT Solve. </w:t>
      </w:r>
      <w:r w:rsidR="057C6498" w:rsidRPr="00432986">
        <w:rPr>
          <w:sz w:val="18"/>
          <w:szCs w:val="18"/>
        </w:rPr>
        <w:t>2025 Global Climate Challenge</w:t>
      </w:r>
      <w:r w:rsidR="1A24D3E9" w:rsidRPr="00432986">
        <w:rPr>
          <w:sz w:val="18"/>
          <w:szCs w:val="18"/>
        </w:rPr>
        <w:t>. Aquasaic: Bioengineered yeast for eco cobalt recovery. August 2025. https://solve.mit.edu/solutions/102928</w:t>
      </w:r>
    </w:p>
  </w:footnote>
  <w:footnote w:id="189">
    <w:p w14:paraId="0CDE5ED8" w14:textId="7DF7FD88" w:rsidR="3AD20C0A" w:rsidRPr="00432986" w:rsidRDefault="3AD20C0A" w:rsidP="00885795">
      <w:pPr>
        <w:spacing w:after="0"/>
        <w:rPr>
          <w:sz w:val="18"/>
          <w:szCs w:val="18"/>
        </w:rPr>
      </w:pPr>
      <w:r w:rsidRPr="00432986">
        <w:rPr>
          <w:sz w:val="18"/>
          <w:szCs w:val="18"/>
          <w:vertAlign w:val="superscript"/>
        </w:rPr>
        <w:footnoteRef/>
      </w:r>
      <w:r w:rsidR="378CA0DB" w:rsidRPr="00432986">
        <w:rPr>
          <w:sz w:val="18"/>
          <w:szCs w:val="18"/>
        </w:rPr>
        <w:t xml:space="preserve"> Grand View Research. Bioleaching Market (2025 - 2033) Size, Share &amp; Trends Analysis Report By Metal (Copper, Gold, Zinc &amp; Nickel), By Source (Primary Ores, Mine Tailings), By Region (North America, Europe, Asia Pacific), And Segment Forecasts. https://www.grandviewresearch.com/industry-analysis/bioleaching-market-report</w:t>
      </w:r>
    </w:p>
  </w:footnote>
  <w:footnote w:id="190">
    <w:p w14:paraId="73FD23C8" w14:textId="366CC6F8" w:rsidR="1E7CF85A" w:rsidRPr="00432986" w:rsidRDefault="1E7CF85A" w:rsidP="00885795">
      <w:pPr>
        <w:spacing w:after="0"/>
        <w:rPr>
          <w:sz w:val="18"/>
          <w:szCs w:val="18"/>
        </w:rPr>
      </w:pPr>
      <w:r w:rsidRPr="00432986">
        <w:rPr>
          <w:sz w:val="18"/>
          <w:szCs w:val="18"/>
          <w:vertAlign w:val="superscript"/>
        </w:rPr>
        <w:footnoteRef/>
      </w:r>
      <w:r w:rsidR="14804479" w:rsidRPr="00432986">
        <w:rPr>
          <w:sz w:val="18"/>
          <w:szCs w:val="18"/>
        </w:rPr>
        <w:t xml:space="preserve"> Fortune Business Insights. Bioleaching Market Size, Share, and Industry Analysis By Metal Type (Gold, Copper, Nickel, Cobalt, and Others), By Microorganism Type (Bacteria, Fungi, and Others), By Application (Mining, E-Waste Recycling, Industrial Waste Treatment, Agriculture, and Others), and Regional Forecast, 2026-2034. March 2026. https://www.fortunebusinessinsights.com/bioleaching-market-110894</w:t>
      </w:r>
    </w:p>
  </w:footnote>
  <w:footnote w:id="191">
    <w:p w14:paraId="2619AFBE" w14:textId="3E03BE8D" w:rsidR="14804479" w:rsidRPr="00432986" w:rsidRDefault="14804479" w:rsidP="00885795">
      <w:pPr>
        <w:spacing w:after="0"/>
        <w:rPr>
          <w:sz w:val="18"/>
          <w:szCs w:val="18"/>
        </w:rPr>
      </w:pPr>
      <w:r w:rsidRPr="00432986">
        <w:rPr>
          <w:sz w:val="18"/>
          <w:szCs w:val="18"/>
          <w:vertAlign w:val="superscript"/>
        </w:rPr>
        <w:footnoteRef/>
      </w:r>
      <w:r w:rsidR="52B5BD3C" w:rsidRPr="00432986">
        <w:rPr>
          <w:sz w:val="18"/>
          <w:szCs w:val="18"/>
        </w:rPr>
        <w:t xml:space="preserve"> Grand View Research. Bioleaching Market (2025 - 2033) Size, Share &amp; Trends Analysis Report By Metal (Copper, Gold, Zinc &amp; Nickel), By Source (Primary Ores, Mine Tailings), By Region (North America, Europe, Asia Pacific), And Segment Forecasts. https://www.grandviewresearch.com/industry-analysis/bioleaching-market-report </w:t>
      </w:r>
    </w:p>
  </w:footnote>
  <w:footnote w:id="192">
    <w:p w14:paraId="3941C74C" w14:textId="32DD5D63" w:rsidR="011DE1F4" w:rsidRPr="00432986" w:rsidRDefault="011DE1F4" w:rsidP="00885795">
      <w:pPr>
        <w:spacing w:after="0"/>
        <w:rPr>
          <w:sz w:val="18"/>
          <w:szCs w:val="18"/>
        </w:rPr>
      </w:pPr>
      <w:r w:rsidRPr="00432986">
        <w:rPr>
          <w:sz w:val="18"/>
          <w:szCs w:val="18"/>
          <w:vertAlign w:val="superscript"/>
        </w:rPr>
        <w:footnoteRef/>
      </w:r>
      <w:r w:rsidR="08FDD09A" w:rsidRPr="00432986">
        <w:rPr>
          <w:sz w:val="18"/>
          <w:szCs w:val="18"/>
        </w:rPr>
        <w:t xml:space="preserve"> </w:t>
      </w:r>
      <w:r w:rsidR="08FDD09A" w:rsidRPr="00432986">
        <w:rPr>
          <w:rFonts w:eastAsia="Calibri"/>
          <w:sz w:val="18"/>
          <w:szCs w:val="18"/>
        </w:rPr>
        <w:t xml:space="preserve"> Gilbert C and Ellis T (2019) Biological Engineered Living Materials: Growing Functional Materials with Genetically Programmable Properties. ACS Synthetic Biology 2019 8 (1), 1-15 </w:t>
      </w:r>
      <w:hyperlink r:id="rId72" w:history="1">
        <w:r w:rsidR="08FDD09A" w:rsidRPr="00432986">
          <w:rPr>
            <w:rStyle w:val="Hyperlink"/>
            <w:rFonts w:eastAsia="Calibri"/>
            <w:sz w:val="18"/>
            <w:szCs w:val="18"/>
            <w:u w:val="none"/>
          </w:rPr>
          <w:t>https://doi.org/10.1021/acssynbio.8b00423</w:t>
        </w:r>
      </w:hyperlink>
    </w:p>
  </w:footnote>
  <w:footnote w:id="193">
    <w:p w14:paraId="50FC4B13" w14:textId="6699426C" w:rsidR="3A1AC357" w:rsidRPr="00432986" w:rsidRDefault="3A1AC357" w:rsidP="00885795">
      <w:pPr>
        <w:spacing w:after="0"/>
        <w:rPr>
          <w:sz w:val="18"/>
          <w:szCs w:val="18"/>
        </w:rPr>
      </w:pPr>
      <w:r w:rsidRPr="00432986">
        <w:rPr>
          <w:sz w:val="18"/>
          <w:szCs w:val="18"/>
          <w:vertAlign w:val="superscript"/>
        </w:rPr>
        <w:footnoteRef/>
      </w:r>
      <w:r w:rsidR="4C33C66D" w:rsidRPr="00432986">
        <w:rPr>
          <w:sz w:val="18"/>
          <w:szCs w:val="18"/>
        </w:rPr>
        <w:t xml:space="preserve"> European Commission: European Innovation Council and SMEs Executive Agency, EIC pathfinder portfolio – Engineered living materials – Strategic plan – Brussels, November 2023, Publications Office of the European Union, 2023, https://data.europa.eu/doi/10.2826/260175</w:t>
      </w:r>
    </w:p>
  </w:footnote>
  <w:footnote w:id="194">
    <w:p w14:paraId="2752CE20" w14:textId="6ED5FDC9" w:rsidR="3F982D60" w:rsidRPr="00432986" w:rsidRDefault="3F982D60" w:rsidP="00885795">
      <w:pPr>
        <w:spacing w:after="0"/>
        <w:rPr>
          <w:sz w:val="18"/>
          <w:szCs w:val="18"/>
        </w:rPr>
      </w:pPr>
      <w:r w:rsidRPr="00432986">
        <w:rPr>
          <w:sz w:val="18"/>
          <w:szCs w:val="18"/>
          <w:vertAlign w:val="superscript"/>
        </w:rPr>
        <w:footnoteRef/>
      </w:r>
      <w:r w:rsidR="3464FCBA" w:rsidRPr="00432986">
        <w:rPr>
          <w:sz w:val="18"/>
          <w:szCs w:val="18"/>
        </w:rPr>
        <w:t xml:space="preserve"> Remedy Consortium. https://eic-remedy.eu/consortium/?lang=en</w:t>
      </w:r>
    </w:p>
  </w:footnote>
  <w:footnote w:id="195">
    <w:p w14:paraId="75CAB25E" w14:textId="3887F5F8" w:rsidR="1E1188AF" w:rsidRPr="00432986" w:rsidRDefault="1E1188AF" w:rsidP="08FDD09A">
      <w:pPr>
        <w:spacing w:after="0"/>
        <w:rPr>
          <w:rFonts w:eastAsia="Calibri"/>
          <w:sz w:val="18"/>
          <w:szCs w:val="18"/>
        </w:rPr>
      </w:pPr>
      <w:r w:rsidRPr="00432986">
        <w:rPr>
          <w:sz w:val="18"/>
          <w:szCs w:val="18"/>
          <w:vertAlign w:val="superscript"/>
        </w:rPr>
        <w:footnoteRef/>
      </w:r>
      <w:r w:rsidR="08FDD09A" w:rsidRPr="00432986">
        <w:rPr>
          <w:sz w:val="18"/>
          <w:szCs w:val="18"/>
          <w:lang w:val="es-ES"/>
        </w:rPr>
        <w:t xml:space="preserve"> </w:t>
      </w:r>
      <w:r w:rsidR="08FDD09A" w:rsidRPr="00432986">
        <w:rPr>
          <w:rFonts w:eastAsia="Calibri"/>
          <w:sz w:val="18"/>
          <w:szCs w:val="18"/>
          <w:lang w:val="es"/>
        </w:rPr>
        <w:t xml:space="preserve"> Lowe, C.R., Ponferrada, V., Ruiz Aquino C., Compaño, R., Nanda, A.K. (2026). </w:t>
      </w:r>
      <w:r w:rsidR="08FDD09A" w:rsidRPr="00432986">
        <w:rPr>
          <w:rFonts w:eastAsia="Calibri"/>
          <w:sz w:val="18"/>
          <w:szCs w:val="18"/>
        </w:rPr>
        <w:t>Current and future market applications of genetically modified microorganisms (GMMs)</w:t>
      </w:r>
      <w:r w:rsidR="00014042" w:rsidRPr="00432986">
        <w:rPr>
          <w:color w:val="FF0000"/>
          <w:sz w:val="18"/>
          <w:szCs w:val="18"/>
        </w:rPr>
        <w:t xml:space="preserve"> </w:t>
      </w:r>
      <w:r w:rsidR="00014042" w:rsidRPr="00432986">
        <w:rPr>
          <w:rFonts w:eastAsia="Calibri"/>
          <w:sz w:val="18"/>
          <w:szCs w:val="18"/>
        </w:rPr>
        <w:t xml:space="preserve">to be placed on the market or </w:t>
      </w:r>
      <w:r w:rsidR="08FDD09A" w:rsidRPr="00432986">
        <w:rPr>
          <w:rFonts w:eastAsia="Calibri"/>
          <w:sz w:val="18"/>
          <w:szCs w:val="18"/>
        </w:rPr>
        <w:t>for environmental release. JRC Technical Report, Publications Office of the European Union, Luxembourg (publication forthcoming).</w:t>
      </w:r>
    </w:p>
  </w:footnote>
  <w:footnote w:id="196">
    <w:p w14:paraId="62A4C0EC" w14:textId="42583EA1" w:rsidR="08FDD09A" w:rsidRPr="00432986" w:rsidRDefault="08FDD09A" w:rsidP="00F82ABA">
      <w:pPr>
        <w:spacing w:after="0"/>
        <w:rPr>
          <w:rFonts w:eastAsia="Calibri"/>
          <w:sz w:val="18"/>
          <w:szCs w:val="18"/>
        </w:rPr>
      </w:pPr>
      <w:r w:rsidRPr="00432986">
        <w:rPr>
          <w:sz w:val="18"/>
          <w:szCs w:val="18"/>
          <w:vertAlign w:val="superscript"/>
        </w:rPr>
        <w:footnoteRef/>
      </w:r>
      <w:r w:rsidRPr="00432986">
        <w:rPr>
          <w:sz w:val="18"/>
          <w:szCs w:val="18"/>
          <w:vertAlign w:val="superscript"/>
        </w:rPr>
        <w:t xml:space="preserve"> </w:t>
      </w:r>
      <w:r w:rsidRPr="00432986">
        <w:rPr>
          <w:rFonts w:eastAsia="Calibri"/>
          <w:sz w:val="18"/>
          <w:szCs w:val="18"/>
        </w:rPr>
        <w:t>Onyeaka H &amp; Ekwebelem OC (2023) A review of recent advances in engineering bacteria for enhanced CO</w:t>
      </w:r>
      <w:r w:rsidRPr="00432986">
        <w:rPr>
          <w:rFonts w:eastAsia="Calibri"/>
          <w:sz w:val="18"/>
          <w:szCs w:val="18"/>
          <w:vertAlign w:val="subscript"/>
        </w:rPr>
        <w:t>2</w:t>
      </w:r>
      <w:r w:rsidRPr="00432986">
        <w:rPr>
          <w:rFonts w:eastAsia="Calibri"/>
          <w:sz w:val="18"/>
          <w:szCs w:val="18"/>
        </w:rPr>
        <w:t xml:space="preserve"> capture and utilisation. Intl J Environ Sci &amp; Tech 20, 4635-4648. </w:t>
      </w:r>
      <w:hyperlink r:id="rId73" w:history="1">
        <w:r w:rsidRPr="00432986">
          <w:rPr>
            <w:rStyle w:val="Hyperlink"/>
            <w:rFonts w:eastAsia="Calibri"/>
            <w:sz w:val="18"/>
            <w:szCs w:val="18"/>
            <w:u w:val="none"/>
          </w:rPr>
          <w:t>https://doi.org/10.1007/s13762-022-04303-8</w:t>
        </w:r>
      </w:hyperlink>
    </w:p>
  </w:footnote>
  <w:footnote w:id="197">
    <w:p w14:paraId="05EFDD0A" w14:textId="718623FA" w:rsidR="08FDD09A" w:rsidRPr="00432986" w:rsidRDefault="08FDD09A" w:rsidP="00F82ABA">
      <w:pPr>
        <w:spacing w:after="0"/>
        <w:rPr>
          <w:rFonts w:eastAsia="Calibri"/>
          <w:sz w:val="18"/>
          <w:szCs w:val="18"/>
        </w:rPr>
      </w:pPr>
      <w:r w:rsidRPr="00432986">
        <w:rPr>
          <w:sz w:val="18"/>
          <w:szCs w:val="18"/>
          <w:vertAlign w:val="superscript"/>
        </w:rPr>
        <w:footnoteRef/>
      </w:r>
      <w:r w:rsidRPr="00432986">
        <w:rPr>
          <w:sz w:val="18"/>
          <w:szCs w:val="18"/>
        </w:rPr>
        <w:t xml:space="preserve"> </w:t>
      </w:r>
      <w:r w:rsidRPr="00432986">
        <w:rPr>
          <w:rFonts w:eastAsia="Calibri"/>
          <w:sz w:val="18"/>
          <w:szCs w:val="18"/>
        </w:rPr>
        <w:t xml:space="preserve">Priyadharshini K &amp; Niju S (2025) Current advances in microbial carbon capture cells – a unique bioelectrochemical system for sustainable future. Sust Chem Environ 10, 100244. </w:t>
      </w:r>
      <w:hyperlink r:id="rId74" w:history="1">
        <w:r w:rsidRPr="00432986">
          <w:rPr>
            <w:rStyle w:val="Hyperlink"/>
            <w:rFonts w:eastAsia="Calibri"/>
            <w:sz w:val="18"/>
            <w:szCs w:val="18"/>
            <w:u w:val="none"/>
          </w:rPr>
          <w:t>https://doi.org/10.1016/j.scenv.2025.100244</w:t>
        </w:r>
      </w:hyperlink>
    </w:p>
  </w:footnote>
  <w:footnote w:id="198">
    <w:p w14:paraId="75D20DD8" w14:textId="2A210091" w:rsidR="08FDD09A" w:rsidRPr="00432986" w:rsidRDefault="08FDD09A" w:rsidP="00F82ABA">
      <w:pPr>
        <w:spacing w:after="0"/>
        <w:rPr>
          <w:rFonts w:eastAsia="Calibri"/>
          <w:sz w:val="18"/>
          <w:szCs w:val="18"/>
        </w:rPr>
      </w:pPr>
      <w:r w:rsidRPr="00432986">
        <w:rPr>
          <w:sz w:val="18"/>
          <w:szCs w:val="18"/>
          <w:vertAlign w:val="superscript"/>
        </w:rPr>
        <w:footnoteRef/>
      </w:r>
      <w:r w:rsidRPr="00432986">
        <w:rPr>
          <w:sz w:val="18"/>
          <w:szCs w:val="18"/>
        </w:rPr>
        <w:t xml:space="preserve"> </w:t>
      </w:r>
      <w:r w:rsidRPr="00432986">
        <w:rPr>
          <w:rFonts w:eastAsia="Calibri"/>
          <w:sz w:val="18"/>
          <w:szCs w:val="18"/>
          <w:u w:val="single"/>
        </w:rPr>
        <w:t xml:space="preserve">Hoque M, Iannelli V, Padula F, Radice RP, Saha BK, Martelli G, Scopa A &amp; Drosos M (2025) Microalgae: green engines for achieving carbon sequestration, circular economy and environmental sustainability – a review based on last ten years of research. Bioengineering 12, 909. </w:t>
      </w:r>
      <w:hyperlink r:id="rId75" w:history="1">
        <w:r w:rsidRPr="00432986">
          <w:rPr>
            <w:rStyle w:val="Hyperlink"/>
            <w:rFonts w:eastAsia="Calibri"/>
            <w:sz w:val="18"/>
            <w:szCs w:val="18"/>
          </w:rPr>
          <w:t>https://doi.org/10.3390/bioengineering12090909</w:t>
        </w:r>
      </w:hyperlink>
    </w:p>
  </w:footnote>
  <w:footnote w:id="199">
    <w:p w14:paraId="43942A61" w14:textId="127703F1" w:rsidR="1E1188AF" w:rsidRPr="00432986" w:rsidRDefault="1E1188AF" w:rsidP="00885795">
      <w:pPr>
        <w:spacing w:after="0"/>
        <w:rPr>
          <w:sz w:val="18"/>
          <w:szCs w:val="18"/>
        </w:rPr>
      </w:pPr>
      <w:r w:rsidRPr="00432986">
        <w:rPr>
          <w:sz w:val="18"/>
          <w:szCs w:val="18"/>
          <w:vertAlign w:val="superscript"/>
        </w:rPr>
        <w:footnoteRef/>
      </w:r>
      <w:r w:rsidRPr="00432986">
        <w:rPr>
          <w:sz w:val="18"/>
          <w:szCs w:val="18"/>
        </w:rPr>
        <w:t xml:space="preserve"> </w:t>
      </w:r>
      <w:r w:rsidR="00C30615" w:rsidRPr="00432986">
        <w:rPr>
          <w:sz w:val="18"/>
          <w:szCs w:val="18"/>
        </w:rPr>
        <w:t>https://luminaprobiotic.com/</w:t>
      </w:r>
    </w:p>
  </w:footnote>
  <w:footnote w:id="200">
    <w:p w14:paraId="789B4D1D" w14:textId="38491D98" w:rsidR="08FDD09A" w:rsidRPr="00432986" w:rsidRDefault="08FDD09A" w:rsidP="00C717FD">
      <w:pPr>
        <w:spacing w:after="0"/>
        <w:rPr>
          <w:rFonts w:eastAsia="Calibri"/>
          <w:sz w:val="18"/>
          <w:szCs w:val="18"/>
          <w:u w:val="single"/>
        </w:rPr>
      </w:pPr>
      <w:r w:rsidRPr="00432986">
        <w:rPr>
          <w:sz w:val="18"/>
          <w:szCs w:val="18"/>
          <w:vertAlign w:val="superscript"/>
        </w:rPr>
        <w:footnoteRef/>
      </w:r>
      <w:r w:rsidRPr="00432986">
        <w:rPr>
          <w:sz w:val="18"/>
          <w:szCs w:val="18"/>
        </w:rPr>
        <w:t xml:space="preserve"> </w:t>
      </w:r>
      <w:r w:rsidRPr="00432986">
        <w:rPr>
          <w:rFonts w:eastAsia="Calibri"/>
          <w:sz w:val="18"/>
          <w:szCs w:val="18"/>
          <w:u w:val="single"/>
        </w:rPr>
        <w:t xml:space="preserve">Atallah, C.; El Abiad, A.; El Abiad, M.; Nakad, M.; Assaf, J.C. Bioengineered Skin Microbiome: The Next Frontier in Personalized Cosmetics. Cosmetics 2025, 12, 205. </w:t>
      </w:r>
      <w:hyperlink r:id="rId76" w:history="1">
        <w:r w:rsidRPr="00432986">
          <w:rPr>
            <w:rStyle w:val="Hyperlink"/>
            <w:rFonts w:eastAsia="Calibri"/>
            <w:color w:val="auto"/>
            <w:sz w:val="18"/>
            <w:szCs w:val="18"/>
          </w:rPr>
          <w:t>https://doi.org/10.3390/cosmetics12050205</w:t>
        </w:r>
      </w:hyperlink>
    </w:p>
  </w:footnote>
  <w:footnote w:id="201">
    <w:p w14:paraId="4DA91084" w14:textId="5F2BD209" w:rsidR="08FDD09A" w:rsidRPr="00432986" w:rsidRDefault="08FDD09A" w:rsidP="00C717FD">
      <w:pPr>
        <w:spacing w:after="0"/>
        <w:rPr>
          <w:rFonts w:eastAsia="Calibri"/>
          <w:sz w:val="18"/>
          <w:szCs w:val="18"/>
        </w:rPr>
      </w:pPr>
      <w:r w:rsidRPr="00432986">
        <w:rPr>
          <w:sz w:val="18"/>
          <w:szCs w:val="18"/>
          <w:vertAlign w:val="superscript"/>
        </w:rPr>
        <w:footnoteRef/>
      </w:r>
      <w:r w:rsidRPr="00432986">
        <w:rPr>
          <w:sz w:val="18"/>
          <w:szCs w:val="18"/>
        </w:rPr>
        <w:t xml:space="preserve"> </w:t>
      </w:r>
      <w:r w:rsidRPr="00432986">
        <w:rPr>
          <w:rFonts w:eastAsia="Calibri"/>
          <w:sz w:val="18"/>
          <w:szCs w:val="18"/>
          <w:u w:val="single"/>
        </w:rPr>
        <w:t xml:space="preserve">Chinjoo N &amp; Golzary A (2025) Microalgae: revolutionising skin repair and enhancement. Biotechnol Rep 47, e00911. </w:t>
      </w:r>
      <w:hyperlink r:id="rId77" w:history="1">
        <w:r w:rsidRPr="00432986">
          <w:rPr>
            <w:rStyle w:val="Hyperlink"/>
            <w:rFonts w:eastAsia="Calibri"/>
            <w:color w:val="auto"/>
            <w:sz w:val="18"/>
            <w:szCs w:val="18"/>
          </w:rPr>
          <w:t>https://doi.org/10.1016/j.btre.2025.e00911</w:t>
        </w:r>
      </w:hyperlink>
    </w:p>
  </w:footnote>
  <w:footnote w:id="202">
    <w:p w14:paraId="6CAD7E02" w14:textId="51EDC2FF" w:rsidR="1E1188AF" w:rsidRPr="00432986" w:rsidRDefault="1E1188AF" w:rsidP="00354BA0">
      <w:pPr>
        <w:spacing w:after="0"/>
        <w:rPr>
          <w:sz w:val="18"/>
          <w:szCs w:val="18"/>
        </w:rPr>
      </w:pPr>
      <w:r w:rsidRPr="00432986">
        <w:rPr>
          <w:sz w:val="18"/>
          <w:szCs w:val="18"/>
          <w:vertAlign w:val="superscript"/>
        </w:rPr>
        <w:footnoteRef/>
      </w:r>
      <w:r w:rsidR="255785C7" w:rsidRPr="00432986">
        <w:rPr>
          <w:sz w:val="18"/>
          <w:szCs w:val="18"/>
          <w:vertAlign w:val="superscript"/>
        </w:rPr>
        <w:t xml:space="preserve"> </w:t>
      </w:r>
      <w:r w:rsidR="007A5E5F" w:rsidRPr="00432986">
        <w:rPr>
          <w:sz w:val="18"/>
          <w:szCs w:val="18"/>
        </w:rPr>
        <w:t xml:space="preserve"> </w:t>
      </w:r>
      <w:hyperlink r:id="rId78" w:history="1">
        <w:r w:rsidR="007A5E5F" w:rsidRPr="00432986">
          <w:rPr>
            <w:rStyle w:val="Hyperlink"/>
            <w:rFonts w:eastAsia="Segoe UI"/>
            <w:color w:val="auto"/>
            <w:sz w:val="18"/>
            <w:szCs w:val="18"/>
          </w:rPr>
          <w:t>https://luminaprobiotic.com/</w:t>
        </w:r>
      </w:hyperlink>
    </w:p>
  </w:footnote>
  <w:footnote w:id="203">
    <w:p w14:paraId="0936F8DB" w14:textId="0F612307" w:rsidR="08FDD09A" w:rsidRPr="00432986" w:rsidRDefault="08FDD09A" w:rsidP="00B86339">
      <w:pPr>
        <w:spacing w:after="0"/>
        <w:rPr>
          <w:rFonts w:eastAsia="Calibri"/>
          <w:sz w:val="18"/>
          <w:szCs w:val="18"/>
        </w:rPr>
      </w:pPr>
      <w:r w:rsidRPr="00432986">
        <w:rPr>
          <w:sz w:val="18"/>
          <w:szCs w:val="18"/>
          <w:vertAlign w:val="superscript"/>
        </w:rPr>
        <w:footnoteRef/>
      </w:r>
      <w:r w:rsidRPr="00432986">
        <w:rPr>
          <w:sz w:val="18"/>
          <w:szCs w:val="18"/>
          <w:vertAlign w:val="superscript"/>
        </w:rPr>
        <w:t xml:space="preserve"> </w:t>
      </w:r>
      <w:r w:rsidRPr="00432986">
        <w:rPr>
          <w:rFonts w:eastAsia="Calibri"/>
          <w:sz w:val="18"/>
          <w:szCs w:val="18"/>
        </w:rPr>
        <w:t>Based on the description of the micro-organism and in accordance with the EU GMO definition. Products may be classified as non-genetically modified in the respective 3</w:t>
      </w:r>
      <w:r w:rsidRPr="00432986">
        <w:rPr>
          <w:rFonts w:eastAsia="Calibri"/>
          <w:sz w:val="18"/>
          <w:szCs w:val="18"/>
          <w:vertAlign w:val="superscript"/>
        </w:rPr>
        <w:t>rd</w:t>
      </w:r>
      <w:r w:rsidRPr="00432986">
        <w:rPr>
          <w:rFonts w:eastAsia="Calibri"/>
          <w:sz w:val="18"/>
          <w:szCs w:val="18"/>
        </w:rPr>
        <w:t xml:space="preserve"> country.</w:t>
      </w:r>
    </w:p>
  </w:footnote>
  <w:footnote w:id="204">
    <w:p w14:paraId="3981D7B1" w14:textId="0282C554" w:rsidR="3AE0F5B8" w:rsidRPr="00432986" w:rsidRDefault="3AE0F5B8" w:rsidP="00B86339">
      <w:pPr>
        <w:spacing w:after="0"/>
        <w:rPr>
          <w:rFonts w:eastAsia="Times New Roman"/>
          <w:sz w:val="18"/>
          <w:szCs w:val="18"/>
        </w:rPr>
      </w:pPr>
      <w:r w:rsidRPr="00432986">
        <w:rPr>
          <w:sz w:val="18"/>
          <w:szCs w:val="18"/>
          <w:vertAlign w:val="superscript"/>
        </w:rPr>
        <w:footnoteRef/>
      </w:r>
      <w:r w:rsidRPr="00432986">
        <w:rPr>
          <w:sz w:val="18"/>
          <w:szCs w:val="18"/>
        </w:rPr>
        <w:t xml:space="preserve"> </w:t>
      </w:r>
      <w:hyperlink r:id="rId79" w:history="1">
        <w:r w:rsidRPr="00432986">
          <w:rPr>
            <w:rStyle w:val="Hyperlink"/>
            <w:rFonts w:eastAsia="Times New Roman"/>
            <w:color w:val="auto"/>
            <w:sz w:val="18"/>
            <w:szCs w:val="18"/>
          </w:rPr>
          <w:t>https://www.pivotbio.com/press-releases/peer-reviewed-study-validates-pivot-bios-gene-edited-microbes-as-a-third-source-of-nitrogen-delivery</w:t>
        </w:r>
      </w:hyperlink>
    </w:p>
  </w:footnote>
  <w:footnote w:id="205">
    <w:p w14:paraId="73F2629F" w14:textId="77C6A8DE" w:rsidR="3AE0F5B8" w:rsidRPr="00432986" w:rsidRDefault="3AE0F5B8" w:rsidP="00B86339">
      <w:pPr>
        <w:spacing w:after="0"/>
        <w:rPr>
          <w:sz w:val="18"/>
          <w:szCs w:val="18"/>
        </w:rPr>
      </w:pPr>
      <w:r w:rsidRPr="00432986">
        <w:rPr>
          <w:sz w:val="18"/>
          <w:szCs w:val="18"/>
          <w:vertAlign w:val="superscript"/>
        </w:rPr>
        <w:footnoteRef/>
      </w:r>
      <w:r w:rsidRPr="00432986">
        <w:rPr>
          <w:sz w:val="18"/>
          <w:szCs w:val="18"/>
        </w:rPr>
        <w:t xml:space="preserve"> </w:t>
      </w:r>
      <w:hyperlink r:id="rId80" w:history="1">
        <w:r w:rsidRPr="00432986">
          <w:rPr>
            <w:rStyle w:val="Hyperlink"/>
            <w:rFonts w:eastAsia="Times New Roman"/>
            <w:color w:val="auto"/>
            <w:sz w:val="18"/>
            <w:szCs w:val="18"/>
          </w:rPr>
          <w:t>https://www.pivotbio.com/product-proven40-corn</w:t>
        </w:r>
      </w:hyperlink>
    </w:p>
  </w:footnote>
  <w:footnote w:id="206">
    <w:p w14:paraId="37540794" w14:textId="10137A57" w:rsidR="3AE0F5B8" w:rsidRPr="00432986" w:rsidRDefault="3AE0F5B8" w:rsidP="00B86339">
      <w:pPr>
        <w:spacing w:after="0"/>
        <w:rPr>
          <w:rFonts w:eastAsia="Times New Roman"/>
          <w:sz w:val="18"/>
          <w:szCs w:val="18"/>
          <w:vertAlign w:val="superscript"/>
        </w:rPr>
      </w:pPr>
      <w:r w:rsidRPr="00432986">
        <w:rPr>
          <w:sz w:val="18"/>
          <w:szCs w:val="18"/>
          <w:vertAlign w:val="superscript"/>
        </w:rPr>
        <w:footnoteRef/>
      </w:r>
      <w:r w:rsidR="1A14D91E" w:rsidRPr="00432986">
        <w:rPr>
          <w:sz w:val="18"/>
          <w:szCs w:val="18"/>
          <w:vertAlign w:val="superscript"/>
        </w:rPr>
        <w:t xml:space="preserve"> </w:t>
      </w:r>
      <w:r w:rsidR="00D32651" w:rsidRPr="00432986">
        <w:rPr>
          <w:sz w:val="18"/>
          <w:szCs w:val="18"/>
        </w:rPr>
        <w:t>https://worldwide.espacenet.com/patent/search/family/070918989/publication/WO2021221690A1</w:t>
      </w:r>
      <w:r w:rsidRPr="00432986">
        <w:rPr>
          <w:sz w:val="18"/>
          <w:szCs w:val="18"/>
          <w:vertAlign w:val="superscript"/>
        </w:rPr>
        <w:fldChar w:fldCharType="begin"/>
      </w:r>
      <w:r w:rsidR="1A14D91E" w:rsidRPr="00432986">
        <w:rPr>
          <w:sz w:val="18"/>
          <w:szCs w:val="18"/>
          <w:vertAlign w:val="superscript"/>
        </w:rPr>
        <w:instrText>￼￼</w:instrText>
      </w:r>
      <w:r w:rsidR="1A14D91E" w:rsidRPr="00432986">
        <w:rPr>
          <w:rStyle w:val="Hyperlink"/>
          <w:rFonts w:eastAsia="Aptos"/>
          <w:color w:val="auto"/>
          <w:sz w:val="18"/>
          <w:szCs w:val="18"/>
          <w:vertAlign w:val="superscript"/>
        </w:rPr>
        <w:instrText>https://worldwide.espacenet.com/patent/search/family/070918989/publication/WO2021221690A1</w:instrText>
      </w:r>
      <w:r w:rsidRPr="00432986">
        <w:rPr>
          <w:sz w:val="18"/>
          <w:szCs w:val="18"/>
          <w:vertAlign w:val="superscript"/>
        </w:rPr>
        <w:fldChar w:fldCharType="end"/>
      </w:r>
    </w:p>
  </w:footnote>
  <w:footnote w:id="207">
    <w:p w14:paraId="01F46647" w14:textId="20D67D09" w:rsidR="1A14D91E" w:rsidRPr="00432986" w:rsidRDefault="1A14D91E" w:rsidP="00B86339">
      <w:pPr>
        <w:spacing w:after="0"/>
        <w:rPr>
          <w:rFonts w:eastAsia="Aptos"/>
          <w:sz w:val="18"/>
          <w:szCs w:val="18"/>
        </w:rPr>
      </w:pPr>
      <w:r w:rsidRPr="00432986">
        <w:rPr>
          <w:sz w:val="18"/>
          <w:szCs w:val="18"/>
          <w:vertAlign w:val="superscript"/>
        </w:rPr>
        <w:footnoteRef/>
      </w:r>
      <w:r w:rsidRPr="00432986">
        <w:rPr>
          <w:sz w:val="18"/>
          <w:szCs w:val="18"/>
        </w:rPr>
        <w:t xml:space="preserve"> </w:t>
      </w:r>
      <w:hyperlink r:id="rId81" w:history="1">
        <w:r w:rsidRPr="00432986">
          <w:rPr>
            <w:rStyle w:val="Hyperlink"/>
            <w:rFonts w:eastAsia="Aptos"/>
            <w:color w:val="auto"/>
            <w:sz w:val="18"/>
            <w:szCs w:val="18"/>
          </w:rPr>
          <w:t>https://www.prnewswire.com/news-releases/pivot-bio-readies-brazilian-operation-with-expanded-team-302265792.html</w:t>
        </w:r>
      </w:hyperlink>
    </w:p>
  </w:footnote>
  <w:footnote w:id="208">
    <w:p w14:paraId="3DF7DAE6" w14:textId="467893B1" w:rsidR="127D8FC5" w:rsidRPr="00E5568D" w:rsidRDefault="127D8FC5" w:rsidP="00B86339">
      <w:pPr>
        <w:spacing w:after="0"/>
        <w:rPr>
          <w:rFonts w:eastAsia="Aptos"/>
          <w:sz w:val="18"/>
          <w:szCs w:val="18"/>
        </w:rPr>
      </w:pPr>
      <w:r w:rsidRPr="00432986">
        <w:rPr>
          <w:sz w:val="18"/>
          <w:szCs w:val="18"/>
          <w:vertAlign w:val="superscript"/>
        </w:rPr>
        <w:footnoteRef/>
      </w:r>
      <w:r w:rsidRPr="00E5568D">
        <w:rPr>
          <w:sz w:val="18"/>
          <w:szCs w:val="18"/>
        </w:rPr>
        <w:t xml:space="preserve"> </w:t>
      </w:r>
      <w:hyperlink r:id="rId82" w:history="1">
        <w:r w:rsidRPr="00E5568D">
          <w:rPr>
            <w:rStyle w:val="Hyperlink"/>
            <w:rFonts w:eastAsia="Aptos"/>
            <w:color w:val="auto"/>
            <w:sz w:val="18"/>
            <w:szCs w:val="18"/>
          </w:rPr>
          <w:t>https://one.oecd.org/document/ENV/CBC/MONO(2024)22/en/pdf</w:t>
        </w:r>
      </w:hyperlink>
    </w:p>
  </w:footnote>
  <w:footnote w:id="209">
    <w:p w14:paraId="5C27810D" w14:textId="23C3A976" w:rsidR="127D8FC5" w:rsidRPr="00E5568D" w:rsidRDefault="127D8FC5" w:rsidP="00B86339">
      <w:pPr>
        <w:spacing w:after="0"/>
        <w:rPr>
          <w:rFonts w:eastAsia="Times New Roman"/>
          <w:sz w:val="18"/>
          <w:szCs w:val="18"/>
        </w:rPr>
      </w:pPr>
      <w:r w:rsidRPr="00432986">
        <w:rPr>
          <w:sz w:val="18"/>
          <w:szCs w:val="18"/>
          <w:vertAlign w:val="superscript"/>
        </w:rPr>
        <w:footnoteRef/>
      </w:r>
      <w:r w:rsidRPr="00E5568D">
        <w:rPr>
          <w:sz w:val="18"/>
          <w:szCs w:val="18"/>
        </w:rPr>
        <w:t xml:space="preserve"> </w:t>
      </w:r>
      <w:hyperlink r:id="rId83" w:history="1">
        <w:r w:rsidRPr="00E5568D">
          <w:rPr>
            <w:rStyle w:val="Hyperlink"/>
            <w:rFonts w:eastAsia="Aptos"/>
            <w:color w:val="auto"/>
            <w:sz w:val="18"/>
            <w:szCs w:val="18"/>
          </w:rPr>
          <w:t>https://www.aphis.usda.gov/sites/default/files/25-007-02air-response.pdf</w:t>
        </w:r>
      </w:hyperlink>
    </w:p>
  </w:footnote>
  <w:footnote w:id="210">
    <w:p w14:paraId="54725E7C" w14:textId="6478F893" w:rsidR="127D8FC5" w:rsidRPr="00E5568D" w:rsidRDefault="127D8FC5" w:rsidP="00B86339">
      <w:pPr>
        <w:spacing w:after="0"/>
        <w:rPr>
          <w:sz w:val="18"/>
          <w:szCs w:val="18"/>
        </w:rPr>
      </w:pPr>
      <w:r w:rsidRPr="00432986">
        <w:rPr>
          <w:sz w:val="18"/>
          <w:szCs w:val="18"/>
          <w:vertAlign w:val="superscript"/>
        </w:rPr>
        <w:footnoteRef/>
      </w:r>
      <w:r w:rsidRPr="00E5568D">
        <w:rPr>
          <w:sz w:val="18"/>
          <w:szCs w:val="18"/>
        </w:rPr>
        <w:t xml:space="preserve"> </w:t>
      </w:r>
      <w:hyperlink r:id="rId84" w:history="1">
        <w:r w:rsidRPr="00E5568D">
          <w:rPr>
            <w:rStyle w:val="Hyperlink"/>
            <w:rFonts w:eastAsia="Times New Roman"/>
            <w:color w:val="auto"/>
            <w:sz w:val="18"/>
            <w:szCs w:val="18"/>
          </w:rPr>
          <w:t>https://www.aphis.usda.gov/sites/default/files/25-007-02air-cbidel-a1.pdf</w:t>
        </w:r>
      </w:hyperlink>
    </w:p>
  </w:footnote>
  <w:footnote w:id="211">
    <w:p w14:paraId="557F4229" w14:textId="0F1F3D7E" w:rsidR="127D8FC5" w:rsidRPr="00E5568D" w:rsidRDefault="127D8FC5" w:rsidP="00B86339">
      <w:pPr>
        <w:spacing w:after="0"/>
        <w:rPr>
          <w:sz w:val="18"/>
          <w:vertAlign w:val="superscript"/>
        </w:rPr>
      </w:pPr>
      <w:r w:rsidRPr="00432986">
        <w:rPr>
          <w:sz w:val="18"/>
          <w:szCs w:val="18"/>
          <w:vertAlign w:val="superscript"/>
        </w:rPr>
        <w:footnoteRef/>
      </w:r>
      <w:r w:rsidR="28CC70A9" w:rsidRPr="00E5568D">
        <w:rPr>
          <w:sz w:val="18"/>
          <w:szCs w:val="18"/>
          <w:vertAlign w:val="superscript"/>
        </w:rPr>
        <w:t xml:space="preserve"> </w:t>
      </w:r>
      <w:hyperlink r:id="rId85" w:history="1">
        <w:r w:rsidR="00610348" w:rsidRPr="00E5568D">
          <w:rPr>
            <w:rStyle w:val="Hyperlink"/>
            <w:color w:val="auto"/>
            <w:sz w:val="18"/>
            <w:szCs w:val="18"/>
          </w:rPr>
          <w:t>https://www.aphis.usda.gov/sites/default/files/25-007-01air-cbidel-a1.pdf</w:t>
        </w:r>
      </w:hyperlink>
      <w:r w:rsidRPr="00432986">
        <w:rPr>
          <w:sz w:val="18"/>
          <w:szCs w:val="18"/>
          <w:vertAlign w:val="superscript"/>
        </w:rPr>
        <w:fldChar w:fldCharType="begin"/>
      </w:r>
      <w:r w:rsidR="28CC70A9" w:rsidRPr="00432986">
        <w:rPr>
          <w:sz w:val="18"/>
          <w:szCs w:val="18"/>
          <w:vertAlign w:val="superscript"/>
        </w:rPr>
        <w:instrText>￼￼</w:instrText>
      </w:r>
      <w:r w:rsidR="28CC70A9" w:rsidRPr="00E5568D">
        <w:rPr>
          <w:rStyle w:val="Hyperlink"/>
          <w:rFonts w:eastAsia="Aptos"/>
          <w:color w:val="auto"/>
          <w:sz w:val="18"/>
          <w:szCs w:val="18"/>
          <w:vertAlign w:val="superscript"/>
        </w:rPr>
        <w:instrText>https://www.aphis.usda.gov/sites/default/files/25-007-01air-cbidel-a1.pdf</w:instrText>
      </w:r>
      <w:r w:rsidRPr="00432986">
        <w:rPr>
          <w:sz w:val="18"/>
          <w:szCs w:val="18"/>
          <w:vertAlign w:val="superscript"/>
        </w:rPr>
        <w:fldChar w:fldCharType="end"/>
      </w:r>
    </w:p>
  </w:footnote>
  <w:footnote w:id="212">
    <w:p w14:paraId="379DCFD5" w14:textId="40EED4B0" w:rsidR="28CC70A9" w:rsidRPr="00E5568D" w:rsidRDefault="28CC70A9" w:rsidP="00B86339">
      <w:pPr>
        <w:spacing w:after="0"/>
        <w:rPr>
          <w:rFonts w:eastAsia="Times New Roman"/>
          <w:sz w:val="18"/>
          <w:szCs w:val="18"/>
        </w:rPr>
      </w:pPr>
      <w:r w:rsidRPr="00432986">
        <w:rPr>
          <w:sz w:val="18"/>
          <w:szCs w:val="18"/>
          <w:vertAlign w:val="superscript"/>
        </w:rPr>
        <w:footnoteRef/>
      </w:r>
      <w:r w:rsidRPr="00E5568D">
        <w:rPr>
          <w:sz w:val="18"/>
          <w:szCs w:val="18"/>
        </w:rPr>
        <w:t xml:space="preserve"> </w:t>
      </w:r>
      <w:hyperlink r:id="rId86" w:history="1">
        <w:r w:rsidRPr="00E5568D">
          <w:rPr>
            <w:rStyle w:val="Hyperlink"/>
            <w:rFonts w:eastAsia="Aptos"/>
            <w:color w:val="auto"/>
            <w:sz w:val="18"/>
            <w:szCs w:val="18"/>
          </w:rPr>
          <w:t>https://www.aphis.usda.gov/sites/default/files/25-007-01air-response.pdf</w:t>
        </w:r>
      </w:hyperlink>
    </w:p>
  </w:footnote>
  <w:footnote w:id="213">
    <w:p w14:paraId="4239EE88" w14:textId="0AEA21E2" w:rsidR="28CC70A9" w:rsidRPr="00E5568D" w:rsidRDefault="28CC70A9" w:rsidP="00B86339">
      <w:pPr>
        <w:spacing w:after="0"/>
        <w:rPr>
          <w:rFonts w:eastAsia="Times New Roman"/>
          <w:sz w:val="18"/>
          <w:szCs w:val="18"/>
        </w:rPr>
      </w:pPr>
      <w:r w:rsidRPr="00432986">
        <w:rPr>
          <w:sz w:val="18"/>
          <w:szCs w:val="18"/>
          <w:vertAlign w:val="superscript"/>
        </w:rPr>
        <w:footnoteRef/>
      </w:r>
      <w:r w:rsidRPr="00E5568D">
        <w:rPr>
          <w:sz w:val="18"/>
          <w:szCs w:val="18"/>
        </w:rPr>
        <w:t xml:space="preserve"> </w:t>
      </w:r>
      <w:hyperlink r:id="rId87" w:history="1">
        <w:r w:rsidRPr="00E5568D">
          <w:rPr>
            <w:rStyle w:val="Hyperlink"/>
            <w:rFonts w:eastAsia="Aptos"/>
            <w:color w:val="auto"/>
            <w:sz w:val="18"/>
            <w:szCs w:val="18"/>
          </w:rPr>
          <w:t>https://www.aphis.usda.gov/sites/default/files/25-182-02air-response.pdf</w:t>
        </w:r>
      </w:hyperlink>
    </w:p>
  </w:footnote>
  <w:footnote w:id="214">
    <w:p w14:paraId="6B62F1CC" w14:textId="4E063C21" w:rsidR="28CC70A9" w:rsidRPr="00E5568D" w:rsidRDefault="28CC70A9" w:rsidP="00B86339">
      <w:pPr>
        <w:spacing w:after="0"/>
        <w:rPr>
          <w:rFonts w:eastAsia="Times New Roman"/>
          <w:sz w:val="18"/>
          <w:szCs w:val="18"/>
          <w:vertAlign w:val="superscript"/>
        </w:rPr>
      </w:pPr>
      <w:r w:rsidRPr="00432986">
        <w:rPr>
          <w:sz w:val="18"/>
          <w:szCs w:val="18"/>
          <w:vertAlign w:val="superscript"/>
        </w:rPr>
        <w:footnoteRef/>
      </w:r>
      <w:r w:rsidR="0D3C4F17" w:rsidRPr="00E5568D">
        <w:rPr>
          <w:sz w:val="18"/>
          <w:szCs w:val="18"/>
          <w:vertAlign w:val="superscript"/>
        </w:rPr>
        <w:t xml:space="preserve"> </w:t>
      </w:r>
      <w:hyperlink r:id="rId88" w:history="1">
        <w:r w:rsidR="00BD0138" w:rsidRPr="00E5568D">
          <w:rPr>
            <w:rStyle w:val="Hyperlink"/>
            <w:color w:val="auto"/>
            <w:sz w:val="18"/>
            <w:szCs w:val="18"/>
          </w:rPr>
          <w:t>https://www.aphis.usda.gov/sites/default/files/25-182-02air-cbidel-a2.pdf</w:t>
        </w:r>
      </w:hyperlink>
      <w:r w:rsidR="00BD0138" w:rsidRPr="00E5568D">
        <w:rPr>
          <w:sz w:val="18"/>
          <w:szCs w:val="18"/>
        </w:rPr>
        <w:t xml:space="preserve"> </w:t>
      </w:r>
      <w:r w:rsidRPr="00432986">
        <w:rPr>
          <w:sz w:val="18"/>
          <w:szCs w:val="18"/>
          <w:vertAlign w:val="superscript"/>
        </w:rPr>
        <w:fldChar w:fldCharType="begin"/>
      </w:r>
      <w:r w:rsidR="0D3C4F17" w:rsidRPr="00432986">
        <w:rPr>
          <w:sz w:val="18"/>
          <w:szCs w:val="18"/>
          <w:vertAlign w:val="superscript"/>
        </w:rPr>
        <w:instrText>￼￼</w:instrText>
      </w:r>
      <w:r w:rsidR="0D3C4F17" w:rsidRPr="00E5568D">
        <w:rPr>
          <w:rStyle w:val="Hyperlink"/>
          <w:rFonts w:eastAsia="Times New Roman"/>
          <w:color w:val="auto"/>
          <w:sz w:val="18"/>
          <w:szCs w:val="18"/>
          <w:vertAlign w:val="superscript"/>
        </w:rPr>
        <w:instrText>https://www.aphis.usda.gov/sites/default/files/25-182-02air-cbidel-a2.pdf</w:instrText>
      </w:r>
      <w:r w:rsidRPr="00432986">
        <w:rPr>
          <w:sz w:val="18"/>
          <w:szCs w:val="18"/>
          <w:vertAlign w:val="superscript"/>
        </w:rPr>
        <w:fldChar w:fldCharType="end"/>
      </w:r>
    </w:p>
  </w:footnote>
  <w:footnote w:id="215">
    <w:p w14:paraId="77569886" w14:textId="3A766741" w:rsidR="0D3C4F17" w:rsidRPr="00E5568D" w:rsidRDefault="0D3C4F17" w:rsidP="00B86339">
      <w:pPr>
        <w:spacing w:after="0"/>
        <w:rPr>
          <w:rFonts w:eastAsia="Times New Roman"/>
          <w:sz w:val="18"/>
          <w:szCs w:val="18"/>
        </w:rPr>
      </w:pPr>
      <w:r w:rsidRPr="00432986">
        <w:rPr>
          <w:sz w:val="18"/>
          <w:szCs w:val="18"/>
          <w:vertAlign w:val="superscript"/>
        </w:rPr>
        <w:footnoteRef/>
      </w:r>
      <w:r w:rsidRPr="00E5568D">
        <w:rPr>
          <w:sz w:val="18"/>
          <w:szCs w:val="18"/>
        </w:rPr>
        <w:t xml:space="preserve"> </w:t>
      </w:r>
      <w:hyperlink r:id="rId89" w:history="1">
        <w:r w:rsidRPr="00E5568D">
          <w:rPr>
            <w:rStyle w:val="Hyperlink"/>
            <w:rFonts w:eastAsia="Times New Roman"/>
            <w:color w:val="auto"/>
            <w:sz w:val="18"/>
            <w:szCs w:val="18"/>
          </w:rPr>
          <w:t>https://microbiologyjournal.org/role-of-pseudomonas-putida-ckvf1-in-alleviating-arsenic-induced-stress-in-vicia-faba-l/</w:t>
        </w:r>
      </w:hyperlink>
    </w:p>
  </w:footnote>
  <w:footnote w:id="216">
    <w:p w14:paraId="047E8550" w14:textId="655C2F4A" w:rsidR="0D3C4F17" w:rsidRPr="00E5568D" w:rsidRDefault="0D3C4F17" w:rsidP="00B86339">
      <w:pPr>
        <w:spacing w:after="0"/>
        <w:rPr>
          <w:rFonts w:eastAsia="Times New Roman"/>
          <w:sz w:val="18"/>
          <w:szCs w:val="18"/>
        </w:rPr>
      </w:pPr>
      <w:r w:rsidRPr="00432986">
        <w:rPr>
          <w:sz w:val="18"/>
          <w:szCs w:val="18"/>
          <w:vertAlign w:val="superscript"/>
        </w:rPr>
        <w:footnoteRef/>
      </w:r>
      <w:r w:rsidRPr="00E5568D">
        <w:rPr>
          <w:sz w:val="18"/>
          <w:szCs w:val="18"/>
        </w:rPr>
        <w:t xml:space="preserve"> </w:t>
      </w:r>
      <w:hyperlink r:id="rId90" w:history="1">
        <w:r w:rsidRPr="00E5568D">
          <w:rPr>
            <w:rStyle w:val="Hyperlink"/>
            <w:rFonts w:eastAsia="Aptos"/>
            <w:color w:val="auto"/>
            <w:sz w:val="18"/>
            <w:szCs w:val="18"/>
          </w:rPr>
          <w:t>https://pubmed.ncbi.nlm.nih.gov/39999859/</w:t>
        </w:r>
      </w:hyperlink>
    </w:p>
  </w:footnote>
  <w:footnote w:id="217">
    <w:p w14:paraId="1BB444B7" w14:textId="520E2E58" w:rsidR="0D3C4F17" w:rsidRPr="00E5568D" w:rsidRDefault="0D3C4F17" w:rsidP="00B86339">
      <w:pPr>
        <w:spacing w:after="0"/>
        <w:rPr>
          <w:rFonts w:eastAsia="Times New Roman"/>
          <w:sz w:val="18"/>
          <w:szCs w:val="18"/>
          <w:vertAlign w:val="superscript"/>
        </w:rPr>
      </w:pPr>
      <w:r w:rsidRPr="00432986">
        <w:rPr>
          <w:sz w:val="18"/>
          <w:szCs w:val="18"/>
          <w:vertAlign w:val="superscript"/>
        </w:rPr>
        <w:footnoteRef/>
      </w:r>
      <w:r w:rsidR="496C305A" w:rsidRPr="00E5568D">
        <w:rPr>
          <w:sz w:val="18"/>
          <w:szCs w:val="18"/>
          <w:vertAlign w:val="superscript"/>
        </w:rPr>
        <w:t xml:space="preserve"> </w:t>
      </w:r>
      <w:hyperlink r:id="rId91" w:history="1">
        <w:r w:rsidR="00AE5DF1" w:rsidRPr="00E5568D">
          <w:rPr>
            <w:rStyle w:val="Hyperlink"/>
            <w:sz w:val="18"/>
            <w:szCs w:val="18"/>
          </w:rPr>
          <w:t>https://www.crobio.com/technology</w:t>
        </w:r>
      </w:hyperlink>
      <w:r w:rsidRPr="00432986">
        <w:rPr>
          <w:sz w:val="18"/>
          <w:szCs w:val="18"/>
          <w:vertAlign w:val="superscript"/>
        </w:rPr>
        <w:fldChar w:fldCharType="begin"/>
      </w:r>
      <w:r w:rsidR="496C305A" w:rsidRPr="00432986">
        <w:rPr>
          <w:sz w:val="18"/>
          <w:szCs w:val="18"/>
          <w:vertAlign w:val="superscript"/>
        </w:rPr>
        <w:instrText>￼￼</w:instrText>
      </w:r>
      <w:r w:rsidR="496C305A" w:rsidRPr="00E5568D">
        <w:rPr>
          <w:rStyle w:val="Hyperlink"/>
          <w:rFonts w:eastAsia="Times New Roman"/>
          <w:color w:val="467886"/>
          <w:sz w:val="18"/>
          <w:szCs w:val="18"/>
          <w:vertAlign w:val="superscript"/>
        </w:rPr>
        <w:instrText>https://www.crobio.com/technology</w:instrText>
      </w:r>
      <w:r w:rsidRPr="00432986">
        <w:rPr>
          <w:sz w:val="18"/>
          <w:szCs w:val="18"/>
          <w:vertAlign w:val="superscript"/>
        </w:rPr>
        <w:fldChar w:fldCharType="end"/>
      </w:r>
    </w:p>
  </w:footnote>
  <w:footnote w:id="218">
    <w:p w14:paraId="27D86D2E" w14:textId="4047CC19" w:rsidR="496C305A" w:rsidRPr="00E5568D" w:rsidRDefault="496C305A" w:rsidP="00B86339">
      <w:pPr>
        <w:spacing w:after="0"/>
        <w:rPr>
          <w:rFonts w:eastAsia="Times New Roman"/>
          <w:sz w:val="18"/>
          <w:szCs w:val="18"/>
        </w:rPr>
      </w:pPr>
      <w:r w:rsidRPr="00432986">
        <w:rPr>
          <w:sz w:val="18"/>
          <w:szCs w:val="18"/>
          <w:vertAlign w:val="superscript"/>
        </w:rPr>
        <w:footnoteRef/>
      </w:r>
      <w:r w:rsidR="1D56086E" w:rsidRPr="00E5568D">
        <w:rPr>
          <w:sz w:val="18"/>
          <w:szCs w:val="18"/>
        </w:rPr>
        <w:t xml:space="preserve"> </w:t>
      </w:r>
      <w:hyperlink r:id="rId92" w:history="1">
        <w:r w:rsidR="1D56086E" w:rsidRPr="00E5568D">
          <w:rPr>
            <w:rStyle w:val="Hyperlink"/>
            <w:rFonts w:eastAsia="Aptos"/>
            <w:color w:val="467886"/>
            <w:sz w:val="18"/>
            <w:szCs w:val="18"/>
          </w:rPr>
          <w:t>https://patents.justia.com/patent/20230034438</w:t>
        </w:r>
      </w:hyperlink>
    </w:p>
  </w:footnote>
  <w:footnote w:id="219">
    <w:p w14:paraId="6FC1661A" w14:textId="02ABBB3A" w:rsidR="1D56086E" w:rsidRPr="00E5568D" w:rsidRDefault="1D56086E" w:rsidP="00B86339">
      <w:pPr>
        <w:spacing w:after="0"/>
        <w:rPr>
          <w:rFonts w:eastAsia="Aptos"/>
          <w:sz w:val="18"/>
          <w:szCs w:val="18"/>
        </w:rPr>
      </w:pPr>
      <w:r w:rsidRPr="00432986">
        <w:rPr>
          <w:sz w:val="18"/>
          <w:szCs w:val="18"/>
          <w:vertAlign w:val="superscript"/>
        </w:rPr>
        <w:footnoteRef/>
      </w:r>
      <w:r w:rsidRPr="00E5568D">
        <w:rPr>
          <w:sz w:val="18"/>
          <w:szCs w:val="18"/>
        </w:rPr>
        <w:t xml:space="preserve"> </w:t>
      </w:r>
      <w:hyperlink r:id="rId93" w:history="1">
        <w:r w:rsidRPr="00E5568D">
          <w:rPr>
            <w:rStyle w:val="Hyperlink"/>
            <w:rFonts w:eastAsia="Aptos"/>
            <w:color w:val="467886"/>
            <w:sz w:val="18"/>
            <w:szCs w:val="18"/>
          </w:rPr>
          <w:t>https://www.certisbio.com/products/bt-biolarvicides/crymax</w:t>
        </w:r>
      </w:hyperlink>
    </w:p>
  </w:footnote>
  <w:footnote w:id="220">
    <w:p w14:paraId="5388596E" w14:textId="4DFE1926" w:rsidR="1D56086E" w:rsidRPr="00E5568D" w:rsidRDefault="1D56086E" w:rsidP="00B86339">
      <w:pPr>
        <w:spacing w:after="0"/>
        <w:rPr>
          <w:rFonts w:eastAsia="Times New Roman"/>
          <w:sz w:val="18"/>
          <w:szCs w:val="18"/>
        </w:rPr>
      </w:pPr>
      <w:r w:rsidRPr="00432986">
        <w:rPr>
          <w:sz w:val="18"/>
          <w:szCs w:val="18"/>
          <w:vertAlign w:val="superscript"/>
        </w:rPr>
        <w:footnoteRef/>
      </w:r>
      <w:r w:rsidRPr="00E5568D">
        <w:rPr>
          <w:sz w:val="18"/>
          <w:szCs w:val="18"/>
        </w:rPr>
        <w:t xml:space="preserve"> </w:t>
      </w:r>
      <w:hyperlink r:id="rId94" w:history="1">
        <w:r w:rsidRPr="00E5568D">
          <w:rPr>
            <w:rStyle w:val="Hyperlink"/>
            <w:rFonts w:eastAsia="Aptos"/>
            <w:color w:val="467886"/>
            <w:sz w:val="18"/>
            <w:szCs w:val="18"/>
          </w:rPr>
          <w:t>https://pmc.ncbi.nlm.nih.gov/articles/PMC12665435/</w:t>
        </w:r>
      </w:hyperlink>
    </w:p>
  </w:footnote>
  <w:footnote w:id="221">
    <w:p w14:paraId="17C5B21E" w14:textId="09D9E73D" w:rsidR="1D56086E" w:rsidRPr="00E5568D" w:rsidRDefault="1D56086E" w:rsidP="00B86339">
      <w:pPr>
        <w:spacing w:after="0"/>
        <w:rPr>
          <w:rFonts w:eastAsia="Times New Roman"/>
          <w:sz w:val="18"/>
          <w:szCs w:val="18"/>
        </w:rPr>
      </w:pPr>
      <w:r w:rsidRPr="00432986">
        <w:rPr>
          <w:sz w:val="18"/>
          <w:szCs w:val="18"/>
          <w:vertAlign w:val="superscript"/>
        </w:rPr>
        <w:footnoteRef/>
      </w:r>
      <w:r w:rsidRPr="00E5568D">
        <w:rPr>
          <w:sz w:val="18"/>
          <w:szCs w:val="18"/>
        </w:rPr>
        <w:t xml:space="preserve"> </w:t>
      </w:r>
      <w:hyperlink r:id="rId95" w:history="1">
        <w:r w:rsidRPr="00E5568D">
          <w:rPr>
            <w:rStyle w:val="Hyperlink"/>
            <w:rFonts w:eastAsia="Aptos"/>
            <w:color w:val="467886"/>
            <w:sz w:val="18"/>
            <w:szCs w:val="18"/>
          </w:rPr>
          <w:t>https://one.oecd.org/document/ENV/CBC/MONO(2024)22/en/pdf</w:t>
        </w:r>
      </w:hyperlink>
    </w:p>
  </w:footnote>
  <w:footnote w:id="222">
    <w:p w14:paraId="6D6D7678" w14:textId="2D0E9A2E" w:rsidR="1D56086E" w:rsidRPr="00E5568D" w:rsidRDefault="1D56086E" w:rsidP="00B86339">
      <w:pPr>
        <w:spacing w:after="0"/>
        <w:rPr>
          <w:rFonts w:eastAsia="Aptos"/>
          <w:sz w:val="18"/>
          <w:szCs w:val="18"/>
        </w:rPr>
      </w:pPr>
      <w:r w:rsidRPr="00432986">
        <w:rPr>
          <w:sz w:val="18"/>
          <w:szCs w:val="18"/>
          <w:vertAlign w:val="superscript"/>
        </w:rPr>
        <w:footnoteRef/>
      </w:r>
      <w:r w:rsidRPr="00E5568D">
        <w:rPr>
          <w:sz w:val="18"/>
          <w:szCs w:val="18"/>
        </w:rPr>
        <w:t xml:space="preserve"> </w:t>
      </w:r>
      <w:hyperlink r:id="rId96" w:history="1">
        <w:r w:rsidRPr="00E5568D">
          <w:rPr>
            <w:rStyle w:val="Hyperlink"/>
            <w:rFonts w:eastAsia="Aptos"/>
            <w:color w:val="467886"/>
            <w:sz w:val="18"/>
            <w:szCs w:val="18"/>
          </w:rPr>
          <w:t>https://www3.epa.gov/pesticides/chem_search/reg_actions/registration/related_PC-006474_1-Sep-99.pdf</w:t>
        </w:r>
      </w:hyperlink>
    </w:p>
  </w:footnote>
  <w:footnote w:id="223">
    <w:p w14:paraId="3C4E3D1A" w14:textId="35FF0D03" w:rsidR="1D56086E" w:rsidRPr="00E5568D" w:rsidRDefault="1D56086E" w:rsidP="00B86339">
      <w:pPr>
        <w:spacing w:after="0"/>
        <w:rPr>
          <w:rFonts w:eastAsia="Times New Roman"/>
          <w:sz w:val="18"/>
          <w:szCs w:val="18"/>
        </w:rPr>
      </w:pPr>
      <w:r w:rsidRPr="00432986">
        <w:rPr>
          <w:sz w:val="18"/>
          <w:szCs w:val="18"/>
          <w:vertAlign w:val="superscript"/>
        </w:rPr>
        <w:footnoteRef/>
      </w:r>
      <w:r w:rsidRPr="00E5568D">
        <w:rPr>
          <w:sz w:val="18"/>
          <w:szCs w:val="18"/>
        </w:rPr>
        <w:t xml:space="preserve"> </w:t>
      </w:r>
      <w:hyperlink r:id="rId97" w:history="1">
        <w:r w:rsidRPr="00E5568D">
          <w:rPr>
            <w:rStyle w:val="Hyperlink"/>
            <w:rFonts w:eastAsia="Aptos"/>
            <w:color w:val="467886"/>
            <w:sz w:val="18"/>
            <w:szCs w:val="18"/>
          </w:rPr>
          <w:t>https://bio-caretechnology.com/</w:t>
        </w:r>
      </w:hyperlink>
    </w:p>
  </w:footnote>
  <w:footnote w:id="224">
    <w:p w14:paraId="28FBAAB7" w14:textId="5A8DC158" w:rsidR="1D56086E" w:rsidRPr="00E5568D" w:rsidRDefault="1D56086E" w:rsidP="00B86339">
      <w:pPr>
        <w:spacing w:after="0"/>
        <w:rPr>
          <w:rFonts w:eastAsia="Times New Roman"/>
          <w:sz w:val="18"/>
          <w:szCs w:val="18"/>
        </w:rPr>
      </w:pPr>
      <w:r w:rsidRPr="00432986">
        <w:rPr>
          <w:sz w:val="18"/>
          <w:szCs w:val="18"/>
          <w:vertAlign w:val="superscript"/>
        </w:rPr>
        <w:footnoteRef/>
      </w:r>
      <w:r w:rsidRPr="00E5568D">
        <w:rPr>
          <w:sz w:val="18"/>
          <w:szCs w:val="18"/>
        </w:rPr>
        <w:t xml:space="preserve"> </w:t>
      </w:r>
      <w:hyperlink r:id="rId98" w:history="1">
        <w:r w:rsidRPr="00E5568D">
          <w:rPr>
            <w:rStyle w:val="Hyperlink"/>
            <w:rFonts w:eastAsia="Aptos"/>
            <w:color w:val="467886"/>
            <w:sz w:val="18"/>
            <w:szCs w:val="18"/>
          </w:rPr>
          <w:t>https://www.mdpi.com/2073-4395/10/8/1126</w:t>
        </w:r>
      </w:hyperlink>
    </w:p>
  </w:footnote>
  <w:footnote w:id="225">
    <w:p w14:paraId="656A1930" w14:textId="53229D1D" w:rsidR="1D56086E" w:rsidRPr="00E5568D" w:rsidRDefault="1D56086E" w:rsidP="004570F2">
      <w:pPr>
        <w:spacing w:after="0"/>
        <w:rPr>
          <w:sz w:val="18"/>
          <w:szCs w:val="18"/>
        </w:rPr>
      </w:pPr>
      <w:r w:rsidRPr="00E5568D">
        <w:rPr>
          <w:sz w:val="18"/>
          <w:szCs w:val="18"/>
          <w:vertAlign w:val="superscript"/>
        </w:rPr>
        <w:footnoteRef/>
      </w:r>
      <w:r w:rsidRPr="00E5568D">
        <w:rPr>
          <w:sz w:val="18"/>
          <w:szCs w:val="18"/>
          <w:vertAlign w:val="superscript"/>
        </w:rPr>
        <w:t xml:space="preserve"> </w:t>
      </w:r>
      <w:hyperlink r:id="rId99" w:history="1">
        <w:r w:rsidRPr="00E5568D">
          <w:rPr>
            <w:rStyle w:val="Hyperlink"/>
            <w:rFonts w:eastAsia="Aptos"/>
            <w:color w:val="467886"/>
            <w:sz w:val="18"/>
            <w:szCs w:val="18"/>
          </w:rPr>
          <w:t>https://www.paliwoda.com/lysosomeresources</w:t>
        </w:r>
      </w:hyperlink>
    </w:p>
  </w:footnote>
  <w:footnote w:id="226">
    <w:p w14:paraId="466F1CF3" w14:textId="750201DD" w:rsidR="1D56086E" w:rsidRPr="00E5568D" w:rsidRDefault="1D56086E" w:rsidP="004570F2">
      <w:pPr>
        <w:spacing w:after="0"/>
        <w:rPr>
          <w:sz w:val="18"/>
          <w:szCs w:val="18"/>
        </w:rPr>
      </w:pPr>
      <w:r w:rsidRPr="00E5568D">
        <w:rPr>
          <w:sz w:val="18"/>
          <w:szCs w:val="18"/>
          <w:vertAlign w:val="superscript"/>
        </w:rPr>
        <w:footnoteRef/>
      </w:r>
      <w:r w:rsidRPr="00E5568D">
        <w:rPr>
          <w:sz w:val="18"/>
          <w:szCs w:val="18"/>
        </w:rPr>
        <w:t xml:space="preserve"> </w:t>
      </w:r>
      <w:hyperlink r:id="rId100" w:history="1">
        <w:r w:rsidRPr="00E5568D">
          <w:rPr>
            <w:rStyle w:val="Hyperlink"/>
            <w:rFonts w:eastAsia="Aptos"/>
            <w:color w:val="467886"/>
            <w:sz w:val="18"/>
            <w:szCs w:val="18"/>
          </w:rPr>
          <w:t>https://www.nature.com/articles/s44221-024-00289-4</w:t>
        </w:r>
      </w:hyperlink>
    </w:p>
  </w:footnote>
  <w:footnote w:id="227">
    <w:p w14:paraId="13F36D91" w14:textId="694E570E" w:rsidR="1D56086E" w:rsidRPr="00E5568D" w:rsidRDefault="1D56086E" w:rsidP="004570F2">
      <w:pPr>
        <w:spacing w:after="0"/>
        <w:rPr>
          <w:sz w:val="18"/>
          <w:szCs w:val="18"/>
          <w:vertAlign w:val="superscript"/>
        </w:rPr>
      </w:pPr>
      <w:r w:rsidRPr="00E5568D">
        <w:rPr>
          <w:sz w:val="18"/>
          <w:szCs w:val="18"/>
          <w:vertAlign w:val="superscript"/>
        </w:rPr>
        <w:footnoteRef/>
      </w:r>
      <w:r w:rsidR="0C6BB572" w:rsidRPr="00E5568D">
        <w:rPr>
          <w:sz w:val="18"/>
          <w:szCs w:val="18"/>
          <w:vertAlign w:val="superscript"/>
        </w:rPr>
        <w:t xml:space="preserve"> </w:t>
      </w:r>
      <w:hyperlink r:id="rId101" w:history="1">
        <w:r w:rsidR="000E134C" w:rsidRPr="00E5568D">
          <w:rPr>
            <w:rStyle w:val="Hyperlink"/>
            <w:sz w:val="18"/>
            <w:szCs w:val="18"/>
          </w:rPr>
          <w:t>https://solve.mit.edu/solutions/102928</w:t>
        </w:r>
      </w:hyperlink>
      <w:r w:rsidRPr="00C901D4">
        <w:rPr>
          <w:sz w:val="18"/>
          <w:szCs w:val="18"/>
          <w:vertAlign w:val="superscript"/>
        </w:rPr>
        <w:fldChar w:fldCharType="begin"/>
      </w:r>
      <w:r w:rsidR="0C6BB572" w:rsidRPr="00C901D4">
        <w:rPr>
          <w:sz w:val="18"/>
          <w:szCs w:val="18"/>
          <w:vertAlign w:val="superscript"/>
        </w:rPr>
        <w:instrText>￼￼</w:instrText>
      </w:r>
      <w:r w:rsidR="0C6BB572" w:rsidRPr="00E5568D">
        <w:rPr>
          <w:rStyle w:val="Hyperlink"/>
          <w:rFonts w:eastAsia="Aptos"/>
          <w:color w:val="467886"/>
          <w:sz w:val="18"/>
          <w:szCs w:val="18"/>
          <w:vertAlign w:val="superscript"/>
        </w:rPr>
        <w:instrText>https://solve.mit.edu/solutions/102928</w:instrText>
      </w:r>
      <w:r w:rsidRPr="00C901D4">
        <w:rPr>
          <w:sz w:val="18"/>
          <w:szCs w:val="18"/>
          <w:vertAlign w:val="superscript"/>
        </w:rPr>
        <w:fldChar w:fldCharType="end"/>
      </w:r>
    </w:p>
  </w:footnote>
  <w:footnote w:id="228">
    <w:p w14:paraId="2A47A35A" w14:textId="21F76E6E" w:rsidR="0C6BB572" w:rsidRPr="00E5568D" w:rsidRDefault="0C6BB572" w:rsidP="004570F2">
      <w:pPr>
        <w:spacing w:after="0"/>
        <w:rPr>
          <w:sz w:val="18"/>
          <w:szCs w:val="18"/>
        </w:rPr>
      </w:pPr>
      <w:r w:rsidRPr="00E5568D">
        <w:rPr>
          <w:sz w:val="18"/>
          <w:szCs w:val="18"/>
          <w:vertAlign w:val="superscript"/>
        </w:rPr>
        <w:footnoteRef/>
      </w:r>
      <w:r w:rsidRPr="00E5568D">
        <w:rPr>
          <w:sz w:val="18"/>
          <w:szCs w:val="18"/>
        </w:rPr>
        <w:t xml:space="preserve"> </w:t>
      </w:r>
      <w:hyperlink r:id="rId102" w:history="1">
        <w:r w:rsidRPr="00E5568D">
          <w:rPr>
            <w:rStyle w:val="Hyperlink"/>
            <w:rFonts w:eastAsia="Times New Roman"/>
            <w:color w:val="467886"/>
            <w:sz w:val="18"/>
            <w:szCs w:val="18"/>
          </w:rPr>
          <w:t>https://www.innovationnewsnetwork.com/remedy-redefining-architecture-through-engineered-living-materials/62541/</w:t>
        </w:r>
      </w:hyperlink>
    </w:p>
  </w:footnote>
  <w:footnote w:id="229">
    <w:p w14:paraId="5D390DFE" w14:textId="4D88CE75" w:rsidR="0C6BB572" w:rsidRPr="00E5568D" w:rsidRDefault="0C6BB572" w:rsidP="004570F2">
      <w:pPr>
        <w:spacing w:after="0"/>
        <w:rPr>
          <w:sz w:val="18"/>
        </w:rPr>
      </w:pPr>
      <w:r w:rsidRPr="00E5568D">
        <w:rPr>
          <w:sz w:val="18"/>
          <w:szCs w:val="18"/>
          <w:vertAlign w:val="superscript"/>
        </w:rPr>
        <w:footnoteRef/>
      </w:r>
      <w:r w:rsidRPr="00E5568D">
        <w:rPr>
          <w:sz w:val="18"/>
          <w:szCs w:val="18"/>
          <w:vertAlign w:val="superscript"/>
        </w:rPr>
        <w:t xml:space="preserve"> </w:t>
      </w:r>
      <w:hyperlink r:id="rId103" w:history="1">
        <w:r w:rsidRPr="00E5568D">
          <w:rPr>
            <w:rStyle w:val="Hyperlink"/>
            <w:rFonts w:eastAsia="Aptos"/>
            <w:color w:val="467886"/>
            <w:sz w:val="18"/>
            <w:szCs w:val="18"/>
          </w:rPr>
          <w:t>https://eic-remedy.eu/research-results</w:t>
        </w:r>
      </w:hyperlink>
    </w:p>
  </w:footnote>
  <w:footnote w:id="230">
    <w:p w14:paraId="62AB7BFE" w14:textId="60FA21D7" w:rsidR="0C6BB572" w:rsidRPr="00E5568D" w:rsidRDefault="0C6BB572" w:rsidP="00B86339">
      <w:pPr>
        <w:spacing w:after="0"/>
        <w:rPr>
          <w:rFonts w:eastAsia="Times New Roman"/>
          <w:sz w:val="18"/>
          <w:szCs w:val="18"/>
        </w:rPr>
      </w:pPr>
      <w:r w:rsidRPr="00432986">
        <w:rPr>
          <w:sz w:val="18"/>
          <w:szCs w:val="18"/>
          <w:vertAlign w:val="superscript"/>
        </w:rPr>
        <w:footnoteRef/>
      </w:r>
      <w:r w:rsidRPr="00E5568D">
        <w:rPr>
          <w:sz w:val="18"/>
          <w:szCs w:val="18"/>
        </w:rPr>
        <w:t xml:space="preserve"> </w:t>
      </w:r>
      <w:hyperlink r:id="rId104" w:history="1">
        <w:r w:rsidRPr="00E5568D">
          <w:rPr>
            <w:rStyle w:val="Hyperlink"/>
            <w:rFonts w:eastAsia="Aptos"/>
            <w:color w:val="467886"/>
            <w:sz w:val="18"/>
            <w:szCs w:val="18"/>
          </w:rPr>
          <w:t>https://luminaprobiotic.com/</w:t>
        </w:r>
      </w:hyperlink>
    </w:p>
  </w:footnote>
  <w:footnote w:id="231">
    <w:p w14:paraId="6E87B7CD" w14:textId="76F11769" w:rsidR="0C6BB572" w:rsidRPr="00E5568D" w:rsidRDefault="0C6BB572" w:rsidP="004570F2">
      <w:pPr>
        <w:spacing w:after="0" w:line="257" w:lineRule="auto"/>
        <w:rPr>
          <w:rStyle w:val="Hyperlink"/>
          <w:color w:val="467886"/>
        </w:rPr>
      </w:pPr>
      <w:r w:rsidRPr="00432986">
        <w:rPr>
          <w:sz w:val="18"/>
          <w:szCs w:val="18"/>
          <w:vertAlign w:val="superscript"/>
        </w:rPr>
        <w:footnoteRef/>
      </w:r>
      <w:r w:rsidRPr="00E5568D">
        <w:rPr>
          <w:sz w:val="18"/>
          <w:szCs w:val="18"/>
        </w:rPr>
        <w:t xml:space="preserve"> </w:t>
      </w:r>
      <w:hyperlink r:id="rId105" w:history="1">
        <w:r w:rsidRPr="00E5568D">
          <w:rPr>
            <w:rStyle w:val="Hyperlink"/>
            <w:rFonts w:eastAsia="Times New Roman"/>
            <w:color w:val="467886"/>
            <w:sz w:val="18"/>
            <w:szCs w:val="18"/>
          </w:rPr>
          <w:t>https://www.scientificamerican.com/article/this-start-up-wants-you-to-put-custom-bacteria-on-your-teeth/</w:t>
        </w:r>
      </w:hyperlink>
    </w:p>
  </w:footnote>
  <w:footnote w:id="232">
    <w:p w14:paraId="76EAD690" w14:textId="6C8E9CED" w:rsidR="0C6BB572" w:rsidRPr="00E5568D" w:rsidRDefault="0C6BB572" w:rsidP="00EF0ADE">
      <w:pPr>
        <w:spacing w:after="0"/>
        <w:rPr>
          <w:rFonts w:eastAsia="Times New Roman"/>
          <w:sz w:val="18"/>
          <w:szCs w:val="18"/>
        </w:rPr>
      </w:pPr>
      <w:r w:rsidRPr="00432986">
        <w:rPr>
          <w:sz w:val="18"/>
          <w:szCs w:val="18"/>
          <w:vertAlign w:val="superscript"/>
        </w:rPr>
        <w:footnoteRef/>
      </w:r>
      <w:r w:rsidRPr="00E5568D">
        <w:rPr>
          <w:sz w:val="18"/>
          <w:szCs w:val="18"/>
        </w:rPr>
        <w:t xml:space="preserve"> </w:t>
      </w:r>
      <w:hyperlink r:id="rId106" w:history="1">
        <w:r w:rsidRPr="00E5568D">
          <w:rPr>
            <w:rStyle w:val="Hyperlink"/>
            <w:rFonts w:eastAsia="Aptos"/>
            <w:color w:val="467886"/>
            <w:sz w:val="18"/>
            <w:szCs w:val="18"/>
          </w:rPr>
          <w:t>https://sfstandard.com/2025/02/22/lumina-probiotic-cavity-bioengineered-toothpaste/</w:t>
        </w:r>
      </w:hyperlink>
    </w:p>
  </w:footnote>
  <w:footnote w:id="233">
    <w:p w14:paraId="1CF21BDB" w14:textId="2BE51041" w:rsidR="00515917" w:rsidRPr="00432986" w:rsidRDefault="00515917" w:rsidP="00885795">
      <w:pPr>
        <w:pStyle w:val="FootnoteText"/>
        <w:ind w:left="142" w:hanging="142"/>
        <w:rPr>
          <w:sz w:val="18"/>
          <w:szCs w:val="18"/>
          <w:lang w:val="it-IT"/>
        </w:rPr>
      </w:pPr>
      <w:r w:rsidRPr="00432986">
        <w:rPr>
          <w:rStyle w:val="FootnoteReference"/>
          <w:sz w:val="18"/>
          <w:szCs w:val="18"/>
        </w:rPr>
        <w:footnoteRef/>
      </w:r>
      <w:r w:rsidRPr="00E5568D">
        <w:rPr>
          <w:sz w:val="18"/>
        </w:rPr>
        <w:t xml:space="preserve"> </w:t>
      </w:r>
      <w:r w:rsidR="00716B74" w:rsidRPr="00E5568D">
        <w:rPr>
          <w:sz w:val="18"/>
        </w:rPr>
        <w:t xml:space="preserve">EFSA GMO Panel (EFSA Panel on Genetically Modified Organisms), Mullins, E., Bresson, J.-L., Dewhurst, I. C., Epstein, M. M., Firbank, L. G., Guerche, P., Hejatko, J., Moreno, F. J., Naegeli, H., Nogué, F., Rostoks, N., Sánchez Serrano, J. J., Savoini, G., Veromann, E., Veronesi, F., Cocconcelli, P. S., Glandorf, D., Herman, L., Jimenez Saiz, R., Ruiz Garcia, L., Aguilera Entrena, J., Gennaro, A., Schoonjans, R., Kagkli, D. M., Dalmay, T. (2024). </w:t>
      </w:r>
      <w:r w:rsidR="00716B74" w:rsidRPr="00432986">
        <w:rPr>
          <w:sz w:val="18"/>
          <w:szCs w:val="18"/>
        </w:rPr>
        <w:t xml:space="preserve">New developments in biotechnology applied to microorganisms. EFSA Journal, 22(7), e8895. </w:t>
      </w:r>
      <w:hyperlink r:id="rId107" w:history="1">
        <w:r w:rsidR="00716B74" w:rsidRPr="00432986">
          <w:rPr>
            <w:rStyle w:val="Hyperlink"/>
            <w:sz w:val="18"/>
            <w:szCs w:val="18"/>
            <w:lang w:val="es-ES"/>
          </w:rPr>
          <w:t>https://doi.org/10.2903/j.efsa.2024.8895</w:t>
        </w:r>
      </w:hyperlink>
      <w:r w:rsidR="00716B74" w:rsidRPr="00432986">
        <w:rPr>
          <w:sz w:val="18"/>
          <w:szCs w:val="18"/>
          <w:lang w:val="es-ES"/>
        </w:rPr>
        <w:t xml:space="preserve"> </w:t>
      </w:r>
    </w:p>
  </w:footnote>
  <w:footnote w:id="234">
    <w:p w14:paraId="4EB38614" w14:textId="02526696" w:rsidR="00515917" w:rsidRPr="00432986" w:rsidRDefault="00515917" w:rsidP="00885795">
      <w:pPr>
        <w:pStyle w:val="FootnoteText"/>
        <w:ind w:left="142" w:hanging="142"/>
        <w:rPr>
          <w:sz w:val="18"/>
          <w:szCs w:val="18"/>
          <w:lang w:val="es-ES"/>
        </w:rPr>
      </w:pPr>
      <w:r w:rsidRPr="00432986">
        <w:rPr>
          <w:rStyle w:val="FootnoteReference"/>
          <w:sz w:val="18"/>
          <w:szCs w:val="18"/>
        </w:rPr>
        <w:footnoteRef/>
      </w:r>
      <w:r w:rsidRPr="00432986">
        <w:rPr>
          <w:sz w:val="18"/>
          <w:szCs w:val="18"/>
          <w:lang w:val="it-IT"/>
        </w:rPr>
        <w:t xml:space="preserve"> </w:t>
      </w:r>
      <w:r w:rsidR="00F70AA8" w:rsidRPr="00432986">
        <w:rPr>
          <w:sz w:val="18"/>
          <w:szCs w:val="18"/>
          <w:lang w:val="es-ES"/>
        </w:rPr>
        <w:t xml:space="preserve">Ballester, A.R., Roqué, M., Ricci-Cabello, I., Rotger, A., Malih, N. 2023. </w:t>
      </w:r>
      <w:r w:rsidR="00F70AA8" w:rsidRPr="00432986">
        <w:rPr>
          <w:sz w:val="18"/>
          <w:szCs w:val="18"/>
        </w:rPr>
        <w:t xml:space="preserve">Horizon scanning on microorganisms and their products obtained by new developments in biotechnology. </w:t>
      </w:r>
      <w:r w:rsidR="00F70AA8" w:rsidRPr="00432986">
        <w:rPr>
          <w:sz w:val="18"/>
          <w:szCs w:val="18"/>
          <w:lang w:val="es-ES"/>
        </w:rPr>
        <w:t xml:space="preserve">EFSA supporting publication 2023:EN-8503, 65 pp. doi:10.2903/sp.efsa.2023.EN-8503 </w:t>
      </w:r>
    </w:p>
  </w:footnote>
  <w:footnote w:id="235">
    <w:p w14:paraId="2045C5CF" w14:textId="109C1437" w:rsidR="00515917" w:rsidRPr="00432986" w:rsidRDefault="00515917" w:rsidP="00885795">
      <w:pPr>
        <w:spacing w:after="0"/>
        <w:ind w:left="142" w:hanging="142"/>
        <w:rPr>
          <w:sz w:val="18"/>
          <w:szCs w:val="18"/>
        </w:rPr>
      </w:pPr>
      <w:r w:rsidRPr="00432986">
        <w:rPr>
          <w:rStyle w:val="FootnoteReference"/>
          <w:sz w:val="18"/>
          <w:szCs w:val="18"/>
        </w:rPr>
        <w:footnoteRef/>
      </w:r>
      <w:r w:rsidRPr="004570F2">
        <w:rPr>
          <w:sz w:val="18"/>
          <w:lang w:val="es-ES"/>
        </w:rPr>
        <w:t xml:space="preserve"> </w:t>
      </w:r>
      <w:r w:rsidRPr="00432986">
        <w:rPr>
          <w:sz w:val="18"/>
          <w:szCs w:val="18"/>
          <w:lang w:val="es-ES"/>
        </w:rPr>
        <w:t xml:space="preserve">Burren, S., Palacios, J., Areal, F.J., Rodriguez-Cerezo, E., Barreiro-Hurle, J. (2026). </w:t>
      </w:r>
      <w:r w:rsidRPr="00432986">
        <w:rPr>
          <w:sz w:val="18"/>
          <w:szCs w:val="18"/>
          <w:lang w:val="en-US"/>
        </w:rPr>
        <w:t>The potential of genetically modified microorganisms to reduce nitrogen loads in the EU agricultural sector. JRC Technical Report, Publications Office of the European Union, Luxembourg</w:t>
      </w:r>
    </w:p>
  </w:footnote>
  <w:footnote w:id="236">
    <w:p w14:paraId="1B542220" w14:textId="77777777" w:rsidR="005441AE" w:rsidRPr="00432986" w:rsidRDefault="005441AE" w:rsidP="00885795">
      <w:pPr>
        <w:pStyle w:val="FootnoteText"/>
        <w:rPr>
          <w:sz w:val="18"/>
          <w:szCs w:val="18"/>
        </w:rPr>
      </w:pPr>
      <w:r w:rsidRPr="00432986">
        <w:rPr>
          <w:rStyle w:val="FootnoteReference"/>
          <w:sz w:val="18"/>
          <w:szCs w:val="18"/>
        </w:rPr>
        <w:footnoteRef/>
      </w:r>
      <w:r w:rsidRPr="00432986">
        <w:rPr>
          <w:rFonts w:eastAsia="Cambria"/>
          <w:sz w:val="18"/>
          <w:szCs w:val="18"/>
        </w:rPr>
        <w:t>Article 6a(4)–(5): medicinal products under Directive 2001/83/EC or Regulation (EC) No 726/2004; Article 6a(6): medical devices under Regulation (EU) 2017/745; Article 6a(7): SoHO preparations under Regulation (EU) 2024/1938.</w:t>
      </w:r>
    </w:p>
  </w:footnote>
  <w:footnote w:id="237">
    <w:p w14:paraId="2093C38B" w14:textId="025F6D97" w:rsidR="00A17B1B" w:rsidRPr="00432986" w:rsidRDefault="00A17B1B" w:rsidP="00885795">
      <w:pPr>
        <w:pStyle w:val="FootnoteText"/>
        <w:rPr>
          <w:sz w:val="18"/>
          <w:szCs w:val="18"/>
          <w:lang w:val="en-IE"/>
        </w:rPr>
      </w:pPr>
      <w:r w:rsidRPr="00432986">
        <w:rPr>
          <w:rStyle w:val="FootnoteReference"/>
          <w:sz w:val="18"/>
          <w:szCs w:val="18"/>
        </w:rPr>
        <w:footnoteRef/>
      </w:r>
      <w:r w:rsidRPr="00432986">
        <w:rPr>
          <w:sz w:val="18"/>
          <w:szCs w:val="18"/>
        </w:rPr>
        <w:t xml:space="preserve"> </w:t>
      </w:r>
      <w:r w:rsidRPr="00432986">
        <w:rPr>
          <w:sz w:val="18"/>
          <w:szCs w:val="18"/>
          <w:lang w:val="en-US"/>
        </w:rPr>
        <w:t>The use of this full twelve-year period, which spans pre-pandemic expansion, pandemic disruption, and recovery, provides a more statistically robust and conservative estimate of the structural growth rate than any shorter sub-period</w:t>
      </w:r>
    </w:p>
  </w:footnote>
  <w:footnote w:id="238">
    <w:p w14:paraId="5432E3DD" w14:textId="08BE4EB2" w:rsidR="003640EA" w:rsidRPr="00432986" w:rsidRDefault="003640EA" w:rsidP="00885795">
      <w:pPr>
        <w:pStyle w:val="FootnoteText"/>
        <w:rPr>
          <w:sz w:val="18"/>
          <w:szCs w:val="18"/>
          <w:lang w:val="en-IE"/>
        </w:rPr>
      </w:pPr>
      <w:r w:rsidRPr="00432986">
        <w:rPr>
          <w:rStyle w:val="FootnoteReference"/>
          <w:sz w:val="18"/>
          <w:szCs w:val="18"/>
        </w:rPr>
        <w:footnoteRef/>
      </w:r>
      <w:r w:rsidRPr="00432986">
        <w:rPr>
          <w:sz w:val="18"/>
          <w:szCs w:val="18"/>
        </w:rPr>
        <w:t xml:space="preserve"> </w:t>
      </w:r>
      <w:r w:rsidRPr="00432986">
        <w:rPr>
          <w:sz w:val="18"/>
          <w:szCs w:val="18"/>
          <w:lang w:val="en-US"/>
        </w:rPr>
        <w:t>32,222 transplants across a population of approximately 448 million</w:t>
      </w:r>
      <w:r w:rsidR="000C5CC4" w:rsidRPr="00432986">
        <w:rPr>
          <w:sz w:val="18"/>
          <w:szCs w:val="18"/>
          <w:lang w:val="en-US"/>
        </w:rPr>
        <w:t>.</w:t>
      </w:r>
    </w:p>
  </w:footnote>
  <w:footnote w:id="239">
    <w:p w14:paraId="662E3A89" w14:textId="77777777" w:rsidR="00E37E25" w:rsidRPr="00432986" w:rsidRDefault="00E37E25" w:rsidP="00885795">
      <w:pPr>
        <w:pStyle w:val="FootnoteText"/>
        <w:jc w:val="lowKashida"/>
        <w:rPr>
          <w:sz w:val="18"/>
          <w:szCs w:val="18"/>
        </w:rPr>
      </w:pPr>
      <w:r w:rsidRPr="00432986">
        <w:rPr>
          <w:rStyle w:val="FootnoteReference"/>
          <w:sz w:val="18"/>
          <w:szCs w:val="18"/>
        </w:rPr>
        <w:footnoteRef/>
      </w:r>
      <w:r w:rsidRPr="00432986">
        <w:rPr>
          <w:sz w:val="18"/>
          <w:szCs w:val="18"/>
        </w:rPr>
        <w:t xml:space="preserve"> The 0.5% annual growth rate implies that the EU-27 waiting list grows from 52,488 (end-2024) to approximately 55,400 by 2035 and 56,800 by 2040. Combined with the baseline transplant projection (1.54% CAGR), this yields aggregate turnover ratios of approximately 17.5 months (2035) and 16.6 months (2040). The plausible range of 0.35–0.65% is determined by the joint constraint that the turnover ratio falls within 17-18 months by 2035 and 16-17 months by 2040; a waiting-list growth rate below 0.28% or above 0.66% would violate one or both of these constraints.</w:t>
      </w:r>
    </w:p>
  </w:footnote>
  <w:footnote w:id="240">
    <w:p w14:paraId="6F18EAE0" w14:textId="77777777"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lang w:val="fr-BE"/>
        </w:rPr>
        <w:t xml:space="preserve"> Nasralla, D., Coussios, C. C., Mergental, H., </w:t>
      </w:r>
      <w:r w:rsidRPr="004570F2">
        <w:rPr>
          <w:i/>
          <w:sz w:val="18"/>
          <w:lang w:val="fr-BE"/>
        </w:rPr>
        <w:t>et al</w:t>
      </w:r>
      <w:r w:rsidRPr="00432986">
        <w:rPr>
          <w:sz w:val="18"/>
          <w:szCs w:val="18"/>
          <w:lang w:val="fr-BE"/>
        </w:rPr>
        <w:t xml:space="preserve">. </w:t>
      </w:r>
      <w:r w:rsidRPr="00432986">
        <w:rPr>
          <w:sz w:val="18"/>
          <w:szCs w:val="18"/>
        </w:rPr>
        <w:t xml:space="preserve">(2018). A randomized trial of normothermic preservation in liver transplantation. Nature, 557(7703), 50–56. </w:t>
      </w:r>
      <w:hyperlink r:id="rId108" w:history="1">
        <w:r w:rsidRPr="00432986">
          <w:rPr>
            <w:rStyle w:val="Hyperlink"/>
            <w:sz w:val="18"/>
            <w:szCs w:val="18"/>
          </w:rPr>
          <w:t>https://doi.org/10.1038/s41586-018-0047-9</w:t>
        </w:r>
      </w:hyperlink>
      <w:r w:rsidRPr="00432986">
        <w:rPr>
          <w:sz w:val="18"/>
          <w:szCs w:val="18"/>
        </w:rPr>
        <w:t xml:space="preserve"> </w:t>
      </w:r>
    </w:p>
  </w:footnote>
  <w:footnote w:id="241">
    <w:p w14:paraId="29F77D53" w14:textId="77777777" w:rsidR="00E37E25" w:rsidRPr="00432986" w:rsidRDefault="00E37E25" w:rsidP="00885795">
      <w:pPr>
        <w:pStyle w:val="FootnoteText"/>
        <w:rPr>
          <w:sz w:val="18"/>
          <w:szCs w:val="18"/>
          <w:lang w:val="fr-BE"/>
        </w:rPr>
      </w:pPr>
      <w:r w:rsidRPr="00432986">
        <w:rPr>
          <w:rStyle w:val="FootnoteReference"/>
          <w:sz w:val="18"/>
          <w:szCs w:val="18"/>
        </w:rPr>
        <w:footnoteRef/>
      </w:r>
      <w:r w:rsidRPr="00432986">
        <w:rPr>
          <w:sz w:val="18"/>
          <w:szCs w:val="18"/>
        </w:rPr>
        <w:t xml:space="preserve"> Mergental, H., Laing, R. W., Kirkham, A. J., Perera, M. T. P. R., Boteon, Y. L., Attard, J., Barton, D., Curbishley, S., Wilkhu, M., Neil, D. A. H., Hübscher, S. G., Muiesan, P., Isaac, J. R., Roberts, K. J., Abradelo, M., Schlegel, A., Ferguson, J., Cilliers, H., Bion, J., Adams, D. H., … Mirza, D. F. (2020). Transplantation of discarded livers following viability testing with normothermic machine perfusion. </w:t>
      </w:r>
      <w:r w:rsidRPr="00432986">
        <w:rPr>
          <w:i/>
          <w:sz w:val="18"/>
          <w:szCs w:val="18"/>
          <w:lang w:val="fr-BE"/>
        </w:rPr>
        <w:t>Nature communications</w:t>
      </w:r>
      <w:r w:rsidRPr="00432986">
        <w:rPr>
          <w:sz w:val="18"/>
          <w:szCs w:val="18"/>
          <w:lang w:val="fr-BE"/>
        </w:rPr>
        <w:t>, </w:t>
      </w:r>
      <w:r w:rsidRPr="00432986">
        <w:rPr>
          <w:i/>
          <w:sz w:val="18"/>
          <w:szCs w:val="18"/>
          <w:lang w:val="fr-BE"/>
        </w:rPr>
        <w:t>11</w:t>
      </w:r>
      <w:r w:rsidRPr="00432986">
        <w:rPr>
          <w:sz w:val="18"/>
          <w:szCs w:val="18"/>
          <w:lang w:val="fr-BE"/>
        </w:rPr>
        <w:t>(1), 2939. https://doi.org/10.1038/s41467-020-16251-3</w:t>
      </w:r>
    </w:p>
  </w:footnote>
  <w:footnote w:id="242">
    <w:p w14:paraId="168FAD00" w14:textId="77777777" w:rsidR="00E37E25" w:rsidRPr="00432986" w:rsidRDefault="00E37E25" w:rsidP="00885795">
      <w:pPr>
        <w:pStyle w:val="FootnoteText"/>
        <w:rPr>
          <w:sz w:val="18"/>
          <w:szCs w:val="18"/>
        </w:rPr>
      </w:pPr>
      <w:r w:rsidRPr="00432986">
        <w:rPr>
          <w:rStyle w:val="FootnoteReference"/>
          <w:sz w:val="18"/>
          <w:szCs w:val="18"/>
        </w:rPr>
        <w:footnoteRef/>
      </w:r>
      <w:r w:rsidRPr="004570F2">
        <w:rPr>
          <w:sz w:val="18"/>
          <w:lang w:val="fr-FR"/>
        </w:rPr>
        <w:t xml:space="preserve"> De Simone, P., &amp; Ghinolfi, D. (2022). </w:t>
      </w:r>
      <w:r w:rsidRPr="00432986">
        <w:rPr>
          <w:sz w:val="18"/>
          <w:szCs w:val="18"/>
        </w:rPr>
        <w:t>Hospital-Based Health Technology Assessment of Machine Perfusion Systems for Human Liver Transplantation. </w:t>
      </w:r>
      <w:r w:rsidRPr="00432986">
        <w:rPr>
          <w:i/>
          <w:sz w:val="18"/>
          <w:szCs w:val="18"/>
        </w:rPr>
        <w:t>Transplant international : official journal of the European Society for Organ Transplantation</w:t>
      </w:r>
      <w:r w:rsidRPr="00432986">
        <w:rPr>
          <w:sz w:val="18"/>
          <w:szCs w:val="18"/>
        </w:rPr>
        <w:t>, </w:t>
      </w:r>
      <w:r w:rsidRPr="00432986">
        <w:rPr>
          <w:i/>
          <w:sz w:val="18"/>
          <w:szCs w:val="18"/>
        </w:rPr>
        <w:t>35</w:t>
      </w:r>
      <w:r w:rsidRPr="00432986">
        <w:rPr>
          <w:sz w:val="18"/>
          <w:szCs w:val="18"/>
        </w:rPr>
        <w:t>, 10405. https://doi.org/10.3389/ti.2022.10405</w:t>
      </w:r>
    </w:p>
  </w:footnote>
  <w:footnote w:id="243">
    <w:p w14:paraId="20EC964B" w14:textId="77777777"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rPr>
        <w:t xml:space="preserve"> Keshavjee, S., Sage, A. T., Borrillo, T., Yeung, J. C., Piyasena, D., Wakeam, E., Donahoe, L., Waddell, T. K., De Perrot, M., Pierre, A., Balachandran, S., Ghany, R., Ali, A., Yasufuku, K., &amp; Cypel, M. (2025). One thousand cases of ex vivo lung perfusion for lung transplantation: A single-center experience. </w:t>
      </w:r>
      <w:r w:rsidRPr="00432986">
        <w:rPr>
          <w:i/>
          <w:sz w:val="18"/>
          <w:szCs w:val="18"/>
        </w:rPr>
        <w:t>Journal of Thoracic and Cardiovascular Surgery</w:t>
      </w:r>
      <w:r w:rsidRPr="00432986">
        <w:rPr>
          <w:sz w:val="18"/>
          <w:szCs w:val="18"/>
        </w:rPr>
        <w:t xml:space="preserve">, </w:t>
      </w:r>
      <w:r w:rsidRPr="00432986">
        <w:rPr>
          <w:i/>
          <w:sz w:val="18"/>
          <w:szCs w:val="18"/>
        </w:rPr>
        <w:t>171</w:t>
      </w:r>
      <w:r w:rsidRPr="00432986">
        <w:rPr>
          <w:sz w:val="18"/>
          <w:szCs w:val="18"/>
        </w:rPr>
        <w:t xml:space="preserve">(2), 540-550.e2. </w:t>
      </w:r>
      <w:hyperlink r:id="rId109" w:history="1">
        <w:r w:rsidRPr="00432986">
          <w:rPr>
            <w:rStyle w:val="Hyperlink"/>
            <w:sz w:val="18"/>
            <w:szCs w:val="18"/>
          </w:rPr>
          <w:t>https://doi.org/10.1016/j.jtcvs.2025.08.036</w:t>
        </w:r>
      </w:hyperlink>
      <w:r w:rsidRPr="00432986">
        <w:rPr>
          <w:sz w:val="18"/>
          <w:szCs w:val="18"/>
        </w:rPr>
        <w:t xml:space="preserve">    </w:t>
      </w:r>
    </w:p>
  </w:footnote>
  <w:footnote w:id="244">
    <w:p w14:paraId="2F4E850D" w14:textId="77777777"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rPr>
        <w:t xml:space="preserve"> Tian, D., Wang, Y., Shiiya, H., Sun, C., Uemura, Y., Sato, M., &amp; Nakajima, J. (2019). Outcomes of marginal donors for lung transplantation after ex vivo lung perfusion: A systematic review and meta-analysis. </w:t>
      </w:r>
      <w:r w:rsidRPr="00432986">
        <w:rPr>
          <w:i/>
          <w:sz w:val="18"/>
          <w:szCs w:val="18"/>
        </w:rPr>
        <w:t>Journal of Thoracic and Cardiovascular Surgery</w:t>
      </w:r>
      <w:r w:rsidRPr="00432986">
        <w:rPr>
          <w:sz w:val="18"/>
          <w:szCs w:val="18"/>
        </w:rPr>
        <w:t xml:space="preserve">, 159(2), 720-730.e6. </w:t>
      </w:r>
      <w:hyperlink r:id="rId110" w:history="1">
        <w:r w:rsidRPr="00432986">
          <w:rPr>
            <w:rStyle w:val="Hyperlink"/>
            <w:sz w:val="18"/>
            <w:szCs w:val="18"/>
          </w:rPr>
          <w:t>https://doi.org/10.1016/j.jtcvs.2019.07.087</w:t>
        </w:r>
      </w:hyperlink>
      <w:r w:rsidRPr="00432986">
        <w:rPr>
          <w:sz w:val="18"/>
          <w:szCs w:val="18"/>
        </w:rPr>
        <w:t xml:space="preserve"> </w:t>
      </w:r>
    </w:p>
  </w:footnote>
  <w:footnote w:id="245">
    <w:p w14:paraId="72531A56" w14:textId="77777777"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rPr>
        <w:t xml:space="preserve"> Chakos, A., Ferret, P., Muston, B., Yan, T. D., &amp; Tian, D. H. (2020). Ex-vivo lung perfusion versus standard protocol lung transplantation-mid-term survival and meta-analysis. </w:t>
      </w:r>
      <w:r w:rsidRPr="00432986">
        <w:rPr>
          <w:i/>
          <w:sz w:val="18"/>
          <w:szCs w:val="18"/>
        </w:rPr>
        <w:t>Annals of cardiothoracic surgery</w:t>
      </w:r>
      <w:r w:rsidRPr="00432986">
        <w:rPr>
          <w:sz w:val="18"/>
          <w:szCs w:val="18"/>
        </w:rPr>
        <w:t>, </w:t>
      </w:r>
      <w:r w:rsidRPr="00432986">
        <w:rPr>
          <w:i/>
          <w:sz w:val="18"/>
          <w:szCs w:val="18"/>
        </w:rPr>
        <w:t>9</w:t>
      </w:r>
      <w:r w:rsidRPr="00432986">
        <w:rPr>
          <w:sz w:val="18"/>
          <w:szCs w:val="18"/>
        </w:rPr>
        <w:t xml:space="preserve">(1), 1–9. </w:t>
      </w:r>
      <w:hyperlink r:id="rId111" w:history="1">
        <w:r w:rsidRPr="00432986">
          <w:rPr>
            <w:rStyle w:val="Hyperlink"/>
            <w:sz w:val="18"/>
            <w:szCs w:val="18"/>
          </w:rPr>
          <w:t>https://doi.org/10.21037/acs.2020.01.02</w:t>
        </w:r>
      </w:hyperlink>
      <w:r w:rsidRPr="00432986">
        <w:rPr>
          <w:sz w:val="18"/>
          <w:szCs w:val="18"/>
        </w:rPr>
        <w:t xml:space="preserve"> </w:t>
      </w:r>
    </w:p>
  </w:footnote>
  <w:footnote w:id="246">
    <w:p w14:paraId="7926548B" w14:textId="77777777"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rPr>
        <w:t xml:space="preserve"> Amarnath, D. R., Kourounis, G., Massie, A., Segev, D., Jochmans, I., Wilson, C. H., &amp; Tingle, S. J. (2026). Machine perfusion modulates cold preservation injury in kidney transplantation: IDEAL Stage 4 OPTN Population Cohort study. </w:t>
      </w:r>
      <w:r w:rsidRPr="00432986">
        <w:rPr>
          <w:i/>
          <w:sz w:val="18"/>
          <w:szCs w:val="18"/>
        </w:rPr>
        <w:t>American Journal of Transplantation</w:t>
      </w:r>
      <w:r w:rsidRPr="00432986">
        <w:rPr>
          <w:sz w:val="18"/>
          <w:szCs w:val="18"/>
        </w:rPr>
        <w:t xml:space="preserve">. </w:t>
      </w:r>
      <w:hyperlink r:id="rId112" w:history="1">
        <w:r w:rsidRPr="00432986">
          <w:rPr>
            <w:rStyle w:val="Hyperlink"/>
            <w:sz w:val="18"/>
            <w:szCs w:val="18"/>
          </w:rPr>
          <w:t>https://doi.org/10.1016/j.ajt.2026.02.025</w:t>
        </w:r>
      </w:hyperlink>
      <w:r w:rsidRPr="00432986">
        <w:rPr>
          <w:sz w:val="18"/>
          <w:szCs w:val="18"/>
        </w:rPr>
        <w:t xml:space="preserve"> </w:t>
      </w:r>
    </w:p>
  </w:footnote>
  <w:footnote w:id="247">
    <w:p w14:paraId="4E8649B6" w14:textId="77777777"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rPr>
        <w:t xml:space="preserve"> Tingle, S. J., Figueiredo, R. S., Moir, J. A., Goodfellow, M., Talbot, D., &amp; Wilson, C. H. (2019). Machine perfusion preservation versus static cold storage for deceased donor kidney transplantation. </w:t>
      </w:r>
      <w:r w:rsidRPr="00432986">
        <w:rPr>
          <w:i/>
          <w:sz w:val="18"/>
          <w:szCs w:val="18"/>
        </w:rPr>
        <w:t>The Cochrane database of systematic reviews</w:t>
      </w:r>
      <w:r w:rsidRPr="00432986">
        <w:rPr>
          <w:sz w:val="18"/>
          <w:szCs w:val="18"/>
        </w:rPr>
        <w:t>, </w:t>
      </w:r>
      <w:r w:rsidRPr="00432986">
        <w:rPr>
          <w:i/>
          <w:sz w:val="18"/>
          <w:szCs w:val="18"/>
        </w:rPr>
        <w:t>3</w:t>
      </w:r>
      <w:r w:rsidRPr="00432986">
        <w:rPr>
          <w:sz w:val="18"/>
          <w:szCs w:val="18"/>
        </w:rPr>
        <w:t xml:space="preserve">(3), CD011671. </w:t>
      </w:r>
      <w:hyperlink r:id="rId113" w:history="1">
        <w:r w:rsidRPr="00432986">
          <w:rPr>
            <w:rStyle w:val="Hyperlink"/>
            <w:sz w:val="18"/>
            <w:szCs w:val="18"/>
          </w:rPr>
          <w:t>https://doi.org/10.1002/14651858.CD011671.pub2</w:t>
        </w:r>
      </w:hyperlink>
      <w:r w:rsidRPr="00432986">
        <w:rPr>
          <w:sz w:val="18"/>
          <w:szCs w:val="18"/>
        </w:rPr>
        <w:t xml:space="preserve"> </w:t>
      </w:r>
    </w:p>
  </w:footnote>
  <w:footnote w:id="248">
    <w:p w14:paraId="10C6B6A4" w14:textId="77777777"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lang w:val="de-DE"/>
        </w:rPr>
        <w:t xml:space="preserve"> Fallon, J., Sagar, A., Elzawahry, M., Sadik, H., Gyoten, K., Abbas, S. H., Dumbill, R., &amp; Friend, P. (2025). </w:t>
      </w:r>
      <w:r w:rsidRPr="00432986">
        <w:rPr>
          <w:sz w:val="18"/>
          <w:szCs w:val="18"/>
        </w:rPr>
        <w:t>The Hitchhiker's guide to isolated organ perfusion: a journey to 2040. </w:t>
      </w:r>
      <w:r w:rsidRPr="00432986">
        <w:rPr>
          <w:i/>
          <w:sz w:val="18"/>
          <w:szCs w:val="18"/>
        </w:rPr>
        <w:t>Frontiers in transplantation</w:t>
      </w:r>
      <w:r w:rsidRPr="00432986">
        <w:rPr>
          <w:sz w:val="18"/>
          <w:szCs w:val="18"/>
        </w:rPr>
        <w:t>, </w:t>
      </w:r>
      <w:r w:rsidRPr="00432986">
        <w:rPr>
          <w:i/>
          <w:sz w:val="18"/>
          <w:szCs w:val="18"/>
        </w:rPr>
        <w:t>4</w:t>
      </w:r>
      <w:r w:rsidRPr="00432986">
        <w:rPr>
          <w:sz w:val="18"/>
          <w:szCs w:val="18"/>
        </w:rPr>
        <w:t xml:space="preserve">, 1642724. </w:t>
      </w:r>
      <w:hyperlink r:id="rId114" w:history="1">
        <w:r w:rsidRPr="00432986">
          <w:rPr>
            <w:rStyle w:val="Hyperlink"/>
            <w:sz w:val="18"/>
            <w:szCs w:val="18"/>
          </w:rPr>
          <w:t>https://doi.org/10.3389/frtra.2025.1642724</w:t>
        </w:r>
      </w:hyperlink>
      <w:r w:rsidRPr="00432986">
        <w:rPr>
          <w:sz w:val="18"/>
          <w:szCs w:val="18"/>
        </w:rPr>
        <w:t xml:space="preserve"> </w:t>
      </w:r>
    </w:p>
  </w:footnote>
  <w:footnote w:id="249">
    <w:p w14:paraId="6C4618CC" w14:textId="77777777"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rPr>
        <w:t xml:space="preserve"> For each organ, the number of procured organs at 2035 is derived by dividing the projected baseline deceased-donor transplant volume (T0 deceased-donor transplants × the 1.1855 baseline growth factor) by (1 − baseline 2035 discard rate). The additional transplants are then computed as: procured organs × processing intensity × baseline discard rate × evidence-based discard reduction rate.</w:t>
      </w:r>
    </w:p>
  </w:footnote>
  <w:footnote w:id="250">
    <w:p w14:paraId="583245BD" w14:textId="77777777"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rPr>
        <w:t xml:space="preserve"> ERA. (2025). </w:t>
      </w:r>
      <w:r w:rsidRPr="00432986">
        <w:rPr>
          <w:i/>
          <w:sz w:val="18"/>
          <w:szCs w:val="18"/>
        </w:rPr>
        <w:t xml:space="preserve">Chronic Kidney Disease in Europe: The Missing Link in Cardiovascular Risk Assessment. </w:t>
      </w:r>
      <w:hyperlink r:id="rId115" w:history="1">
        <w:r w:rsidRPr="00432986">
          <w:rPr>
            <w:rStyle w:val="Hyperlink"/>
            <w:sz w:val="18"/>
            <w:szCs w:val="18"/>
          </w:rPr>
          <w:t>https://www.era-online.org/publications/chronic-kidney-disease-in-europe-the-missing-link-in-cardiovascular-risk-assessment/</w:t>
        </w:r>
      </w:hyperlink>
      <w:r w:rsidRPr="00432986">
        <w:rPr>
          <w:sz w:val="18"/>
          <w:szCs w:val="18"/>
        </w:rPr>
        <w:t xml:space="preserve"> </w:t>
      </w:r>
    </w:p>
  </w:footnote>
  <w:footnote w:id="251">
    <w:p w14:paraId="1BAA58C7" w14:textId="77777777" w:rsidR="00E37E25" w:rsidRPr="00432986" w:rsidRDefault="00E37E25" w:rsidP="00885795">
      <w:pPr>
        <w:pStyle w:val="FootnoteText"/>
        <w:rPr>
          <w:sz w:val="18"/>
          <w:szCs w:val="18"/>
        </w:rPr>
      </w:pPr>
      <w:r w:rsidRPr="00432986">
        <w:rPr>
          <w:rStyle w:val="FootnoteReference"/>
          <w:sz w:val="18"/>
          <w:szCs w:val="18"/>
        </w:rPr>
        <w:footnoteRef/>
      </w:r>
      <w:r w:rsidRPr="00C65D85">
        <w:rPr>
          <w:sz w:val="18"/>
          <w:szCs w:val="18"/>
        </w:rPr>
        <w:t xml:space="preserve"> Chamberlain, George &amp; Baboolal, Keshwar &amp; Pockett, Rhys &amp; Mcewan, Phil &amp; Sabater, Javier &amp; Sennfält, Karin. </w:t>
      </w:r>
      <w:r w:rsidRPr="00432986">
        <w:rPr>
          <w:sz w:val="18"/>
          <w:szCs w:val="18"/>
        </w:rPr>
        <w:t xml:space="preserve">(2014). The Economic Burden of Posttransplant Events in Renal Transplant Recipients in Europe. </w:t>
      </w:r>
      <w:r w:rsidRPr="00432986">
        <w:rPr>
          <w:i/>
          <w:sz w:val="18"/>
          <w:szCs w:val="18"/>
        </w:rPr>
        <w:t>Transplantation.</w:t>
      </w:r>
      <w:r w:rsidRPr="00432986">
        <w:rPr>
          <w:sz w:val="18"/>
          <w:szCs w:val="18"/>
        </w:rPr>
        <w:t xml:space="preserve"> 97. 854-61. 10.1097/01.TP.0000438205.04348.69  </w:t>
      </w:r>
    </w:p>
  </w:footnote>
  <w:footnote w:id="252">
    <w:p w14:paraId="711C7A18" w14:textId="77777777"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rPr>
        <w:t xml:space="preserve"> The baseline projects total transplants at ~38,200 by 2035. Living-donor transplants at T0 are ~3,691 (11.5% of 32,222). Deceased-donor transplants by 2035: 38,200 × (1 – 0.115) = ~33,824. Dividing by the baseline organ yield of 2.85-2.90 gives: 33,824 / 2.90 = 11,663 to 33,824 / 2.85 = 11,868 utilised donors.</w:t>
      </w:r>
    </w:p>
  </w:footnote>
  <w:footnote w:id="253">
    <w:p w14:paraId="6C84E693" w14:textId="5F6BAA60"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rPr>
        <w:t xml:space="preserve"> Baseline liver transplants 2035 (total, including living donor at 3</w:t>
      </w:r>
      <w:r w:rsidR="006856C2" w:rsidRPr="00432986">
        <w:rPr>
          <w:sz w:val="18"/>
          <w:szCs w:val="18"/>
        </w:rPr>
        <w:t>%</w:t>
      </w:r>
      <w:r w:rsidRPr="00432986">
        <w:rPr>
          <w:sz w:val="18"/>
          <w:szCs w:val="18"/>
        </w:rPr>
        <w:t xml:space="preserve"> share): 8,015 × 1.1855 growth factor = ~9,502. </w:t>
      </w:r>
      <w:r w:rsidRPr="00432986">
        <w:rPr>
          <w:sz w:val="18"/>
          <w:szCs w:val="18"/>
        </w:rPr>
        <w:br/>
        <w:t>Baseline liver turnover: (4,500 / 9,502) × 12 = 5.68 months.</w:t>
      </w:r>
    </w:p>
    <w:p w14:paraId="418E78FB" w14:textId="77777777" w:rsidR="00E37E25" w:rsidRPr="00432986" w:rsidRDefault="00E37E25" w:rsidP="00885795">
      <w:pPr>
        <w:pStyle w:val="FootnoteText"/>
        <w:numPr>
          <w:ilvl w:val="0"/>
          <w:numId w:val="260"/>
        </w:numPr>
        <w:spacing w:line="170" w:lineRule="atLeast"/>
        <w:jc w:val="left"/>
        <w:rPr>
          <w:sz w:val="18"/>
          <w:szCs w:val="18"/>
        </w:rPr>
      </w:pPr>
      <w:r w:rsidRPr="00432986">
        <w:rPr>
          <w:sz w:val="18"/>
          <w:szCs w:val="18"/>
        </w:rPr>
        <w:t xml:space="preserve">With +120 additional: (4,500 / 9,662) × 12 = 5.61 months → reduction = </w:t>
      </w:r>
      <w:r w:rsidRPr="00432986">
        <w:rPr>
          <w:b/>
          <w:sz w:val="18"/>
          <w:szCs w:val="18"/>
        </w:rPr>
        <w:t>0.07 months (approx. 0.1)</w:t>
      </w:r>
    </w:p>
    <w:p w14:paraId="11C41E76" w14:textId="77777777" w:rsidR="00E37E25" w:rsidRPr="00432986" w:rsidRDefault="00E37E25" w:rsidP="00885795">
      <w:pPr>
        <w:pStyle w:val="FootnoteText"/>
        <w:numPr>
          <w:ilvl w:val="0"/>
          <w:numId w:val="260"/>
        </w:numPr>
        <w:spacing w:line="170" w:lineRule="atLeast"/>
        <w:jc w:val="left"/>
        <w:rPr>
          <w:sz w:val="18"/>
          <w:szCs w:val="18"/>
        </w:rPr>
      </w:pPr>
      <w:r w:rsidRPr="00432986">
        <w:rPr>
          <w:sz w:val="18"/>
          <w:szCs w:val="18"/>
        </w:rPr>
        <w:t xml:space="preserve">With +265 additional: (4,500 / 9,752) × 12 = 5.53 months → reduction = </w:t>
      </w:r>
      <w:r w:rsidRPr="00432986">
        <w:rPr>
          <w:b/>
          <w:sz w:val="18"/>
          <w:szCs w:val="18"/>
        </w:rPr>
        <w:t>0.15 months (approx. 0.2)</w:t>
      </w:r>
    </w:p>
    <w:p w14:paraId="2BD15036" w14:textId="77777777" w:rsidR="00E37E25" w:rsidRPr="00432986" w:rsidRDefault="00E37E25" w:rsidP="00885795">
      <w:pPr>
        <w:pStyle w:val="FootnoteText"/>
        <w:rPr>
          <w:sz w:val="18"/>
          <w:szCs w:val="18"/>
        </w:rPr>
      </w:pPr>
      <w:r w:rsidRPr="00432986">
        <w:rPr>
          <w:sz w:val="18"/>
          <w:szCs w:val="18"/>
        </w:rPr>
        <w:t>The aggregate growth factor of 1.1855 is the ratio of projected baseline total transplants in 2035 to total transplants at T0 (38,200 / 32,222).</w:t>
      </w:r>
    </w:p>
  </w:footnote>
  <w:footnote w:id="254">
    <w:p w14:paraId="17FEFC10" w14:textId="77777777"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rPr>
        <w:t xml:space="preserve"> Baseline lung transplants 2035: 2,221 × 1.1855 = ~2,633. </w:t>
      </w:r>
      <w:r w:rsidRPr="00432986">
        <w:rPr>
          <w:sz w:val="18"/>
          <w:szCs w:val="18"/>
        </w:rPr>
        <w:br/>
        <w:t>Baseline lung turnover: (1,600 / 2,633) × 12 = 7.29 months.</w:t>
      </w:r>
    </w:p>
    <w:p w14:paraId="2C18C07D" w14:textId="77777777" w:rsidR="00E37E25" w:rsidRPr="00432986" w:rsidRDefault="00E37E25" w:rsidP="00885795">
      <w:pPr>
        <w:pStyle w:val="FootnoteText"/>
        <w:numPr>
          <w:ilvl w:val="0"/>
          <w:numId w:val="262"/>
        </w:numPr>
        <w:spacing w:line="170" w:lineRule="atLeast"/>
        <w:jc w:val="left"/>
        <w:rPr>
          <w:sz w:val="18"/>
          <w:szCs w:val="18"/>
        </w:rPr>
      </w:pPr>
      <w:r w:rsidRPr="00432986">
        <w:rPr>
          <w:sz w:val="18"/>
          <w:szCs w:val="18"/>
        </w:rPr>
        <w:t xml:space="preserve">With +35: (1,600 / 2,668) × 12 = 7.20 months → reduction = </w:t>
      </w:r>
      <w:r w:rsidRPr="00432986">
        <w:rPr>
          <w:b/>
          <w:sz w:val="18"/>
          <w:szCs w:val="18"/>
        </w:rPr>
        <w:t>0.10 months (approx. 0.1)</w:t>
      </w:r>
    </w:p>
    <w:p w14:paraId="4C9D4A9C" w14:textId="77777777" w:rsidR="00E37E25" w:rsidRPr="00432986" w:rsidRDefault="00E37E25" w:rsidP="00885795">
      <w:pPr>
        <w:pStyle w:val="FootnoteText"/>
        <w:numPr>
          <w:ilvl w:val="0"/>
          <w:numId w:val="262"/>
        </w:numPr>
        <w:spacing w:line="170" w:lineRule="atLeast"/>
        <w:jc w:val="left"/>
        <w:rPr>
          <w:sz w:val="18"/>
          <w:szCs w:val="18"/>
        </w:rPr>
      </w:pPr>
      <w:r w:rsidRPr="00432986">
        <w:rPr>
          <w:sz w:val="18"/>
          <w:szCs w:val="18"/>
        </w:rPr>
        <w:t xml:space="preserve">With +80: (1,600 / 2,713) × 12 = 7.08 months → reduction = </w:t>
      </w:r>
      <w:r w:rsidRPr="00432986">
        <w:rPr>
          <w:b/>
          <w:sz w:val="18"/>
          <w:szCs w:val="18"/>
        </w:rPr>
        <w:t>0.22 months (approx. 0.2)</w:t>
      </w:r>
    </w:p>
  </w:footnote>
  <w:footnote w:id="255">
    <w:p w14:paraId="49441C49" w14:textId="63DAFC44"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rPr>
        <w:t xml:space="preserve"> Assumption: Net savings begin the year after transplant (year 1 is absorbed by surgery costs), with 2</w:t>
      </w:r>
      <w:r w:rsidR="006856C2" w:rsidRPr="00432986">
        <w:rPr>
          <w:sz w:val="18"/>
          <w:szCs w:val="18"/>
        </w:rPr>
        <w:t>%</w:t>
      </w:r>
      <w:r w:rsidRPr="00432986">
        <w:rPr>
          <w:sz w:val="18"/>
          <w:szCs w:val="18"/>
        </w:rPr>
        <w:t xml:space="preserve"> annual graft attrition.</w:t>
      </w:r>
    </w:p>
    <w:p w14:paraId="54FDFFA6" w14:textId="77777777" w:rsidR="00E37E25" w:rsidRPr="00432986" w:rsidRDefault="00E37E25" w:rsidP="00885795">
      <w:pPr>
        <w:pStyle w:val="FootnoteText"/>
        <w:rPr>
          <w:sz w:val="18"/>
          <w:szCs w:val="18"/>
        </w:rPr>
      </w:pPr>
      <w:r w:rsidRPr="00432986">
        <w:rPr>
          <w:sz w:val="18"/>
          <w:szCs w:val="18"/>
        </w:rPr>
        <w:t>Each cohort generates savings only in subsequent years within the period, discounted by graft loss:</w:t>
      </w:r>
    </w:p>
    <w:p w14:paraId="2F45690F" w14:textId="77777777" w:rsidR="00E37E25" w:rsidRPr="00432986" w:rsidRDefault="00E37E25" w:rsidP="00885795">
      <w:pPr>
        <w:pStyle w:val="FootnoteText"/>
        <w:numPr>
          <w:ilvl w:val="0"/>
          <w:numId w:val="258"/>
        </w:numPr>
        <w:jc w:val="left"/>
        <w:rPr>
          <w:sz w:val="18"/>
          <w:szCs w:val="18"/>
        </w:rPr>
      </w:pPr>
      <w:r w:rsidRPr="00432986">
        <w:rPr>
          <w:sz w:val="18"/>
          <w:szCs w:val="18"/>
        </w:rPr>
        <w:t xml:space="preserve">2028 cohort (94 patients): savings in 2029–2035 = 94 × (0.98 + 0.98² + … + 0.98⁷) = 94 × 6.48 = </w:t>
      </w:r>
      <w:r w:rsidRPr="00432986">
        <w:rPr>
          <w:b/>
          <w:sz w:val="18"/>
          <w:szCs w:val="18"/>
        </w:rPr>
        <w:t>609</w:t>
      </w:r>
      <w:r w:rsidRPr="00432986">
        <w:rPr>
          <w:sz w:val="18"/>
          <w:szCs w:val="18"/>
        </w:rPr>
        <w:t xml:space="preserve"> patient-years</w:t>
      </w:r>
    </w:p>
    <w:p w14:paraId="14DC318E" w14:textId="77777777" w:rsidR="00E37E25" w:rsidRPr="00432986" w:rsidRDefault="00E37E25" w:rsidP="00885795">
      <w:pPr>
        <w:pStyle w:val="FootnoteText"/>
        <w:numPr>
          <w:ilvl w:val="0"/>
          <w:numId w:val="258"/>
        </w:numPr>
        <w:jc w:val="left"/>
        <w:rPr>
          <w:sz w:val="18"/>
          <w:szCs w:val="18"/>
        </w:rPr>
      </w:pPr>
      <w:r w:rsidRPr="00432986">
        <w:rPr>
          <w:sz w:val="18"/>
          <w:szCs w:val="18"/>
        </w:rPr>
        <w:t xml:space="preserve">2029 cohort (191): savings in 2030–2035 = 191 × 5.60 = </w:t>
      </w:r>
      <w:r w:rsidRPr="00432986">
        <w:rPr>
          <w:b/>
          <w:sz w:val="18"/>
          <w:szCs w:val="18"/>
        </w:rPr>
        <w:t>1,070</w:t>
      </w:r>
    </w:p>
    <w:p w14:paraId="5E65C48A" w14:textId="77777777" w:rsidR="00E37E25" w:rsidRPr="00432986" w:rsidRDefault="00E37E25" w:rsidP="00885795">
      <w:pPr>
        <w:pStyle w:val="FootnoteText"/>
        <w:numPr>
          <w:ilvl w:val="0"/>
          <w:numId w:val="258"/>
        </w:numPr>
        <w:jc w:val="left"/>
        <w:rPr>
          <w:sz w:val="18"/>
          <w:szCs w:val="18"/>
        </w:rPr>
      </w:pPr>
      <w:r w:rsidRPr="00432986">
        <w:rPr>
          <w:sz w:val="18"/>
          <w:szCs w:val="18"/>
        </w:rPr>
        <w:t xml:space="preserve">2030 cohort (291): savings in 2031–2035 = 291 × 4.71 = </w:t>
      </w:r>
      <w:r w:rsidRPr="00432986">
        <w:rPr>
          <w:b/>
          <w:sz w:val="18"/>
          <w:szCs w:val="18"/>
        </w:rPr>
        <w:t>1,371</w:t>
      </w:r>
    </w:p>
    <w:p w14:paraId="0131C591" w14:textId="77777777" w:rsidR="00E37E25" w:rsidRPr="00432986" w:rsidRDefault="00E37E25" w:rsidP="00885795">
      <w:pPr>
        <w:pStyle w:val="FootnoteText"/>
        <w:numPr>
          <w:ilvl w:val="0"/>
          <w:numId w:val="258"/>
        </w:numPr>
        <w:jc w:val="left"/>
        <w:rPr>
          <w:sz w:val="18"/>
          <w:szCs w:val="18"/>
        </w:rPr>
      </w:pPr>
      <w:r w:rsidRPr="00432986">
        <w:rPr>
          <w:sz w:val="18"/>
          <w:szCs w:val="18"/>
        </w:rPr>
        <w:t xml:space="preserve">2031 cohort (395): savings in 2032–2035 = 395 × 3.81 = </w:t>
      </w:r>
      <w:r w:rsidRPr="00432986">
        <w:rPr>
          <w:b/>
          <w:sz w:val="18"/>
          <w:szCs w:val="18"/>
        </w:rPr>
        <w:t>1,504</w:t>
      </w:r>
    </w:p>
    <w:p w14:paraId="6D750093" w14:textId="77777777" w:rsidR="00E37E25" w:rsidRPr="00432986" w:rsidRDefault="00E37E25" w:rsidP="00885795">
      <w:pPr>
        <w:pStyle w:val="FootnoteText"/>
        <w:numPr>
          <w:ilvl w:val="0"/>
          <w:numId w:val="258"/>
        </w:numPr>
        <w:jc w:val="left"/>
        <w:rPr>
          <w:sz w:val="18"/>
          <w:szCs w:val="18"/>
        </w:rPr>
      </w:pPr>
      <w:r w:rsidRPr="00432986">
        <w:rPr>
          <w:sz w:val="18"/>
          <w:szCs w:val="18"/>
        </w:rPr>
        <w:t xml:space="preserve">2032 cohort (502): savings in 2033–2035 = 502 × 2.88 = </w:t>
      </w:r>
      <w:r w:rsidRPr="00432986">
        <w:rPr>
          <w:b/>
          <w:sz w:val="18"/>
          <w:szCs w:val="18"/>
        </w:rPr>
        <w:t>1,446</w:t>
      </w:r>
    </w:p>
    <w:p w14:paraId="3CA3EA62" w14:textId="77777777" w:rsidR="00E37E25" w:rsidRPr="00432986" w:rsidRDefault="00E37E25" w:rsidP="00885795">
      <w:pPr>
        <w:pStyle w:val="FootnoteText"/>
        <w:numPr>
          <w:ilvl w:val="0"/>
          <w:numId w:val="258"/>
        </w:numPr>
        <w:jc w:val="left"/>
        <w:rPr>
          <w:sz w:val="18"/>
          <w:szCs w:val="18"/>
        </w:rPr>
      </w:pPr>
      <w:r w:rsidRPr="00432986">
        <w:rPr>
          <w:sz w:val="18"/>
          <w:szCs w:val="18"/>
        </w:rPr>
        <w:t xml:space="preserve">2033 cohort (614): savings in 2034–2035 = 614 × 1.94 = </w:t>
      </w:r>
      <w:r w:rsidRPr="00432986">
        <w:rPr>
          <w:b/>
          <w:sz w:val="18"/>
          <w:szCs w:val="18"/>
        </w:rPr>
        <w:t>1,191</w:t>
      </w:r>
    </w:p>
    <w:p w14:paraId="77639507" w14:textId="77777777" w:rsidR="00E37E25" w:rsidRPr="00432986" w:rsidRDefault="00E37E25" w:rsidP="00885795">
      <w:pPr>
        <w:pStyle w:val="FootnoteText"/>
        <w:numPr>
          <w:ilvl w:val="0"/>
          <w:numId w:val="258"/>
        </w:numPr>
        <w:jc w:val="left"/>
        <w:rPr>
          <w:sz w:val="18"/>
          <w:szCs w:val="18"/>
        </w:rPr>
      </w:pPr>
      <w:r w:rsidRPr="00432986">
        <w:rPr>
          <w:sz w:val="18"/>
          <w:szCs w:val="18"/>
        </w:rPr>
        <w:t xml:space="preserve">2034 cohort (729): savings in 2035 only = 729 × 0.98 = </w:t>
      </w:r>
      <w:r w:rsidRPr="00432986">
        <w:rPr>
          <w:b/>
          <w:sz w:val="18"/>
          <w:szCs w:val="18"/>
        </w:rPr>
        <w:t>714</w:t>
      </w:r>
    </w:p>
    <w:p w14:paraId="42592F2B" w14:textId="77777777" w:rsidR="00E37E25" w:rsidRPr="00432986" w:rsidRDefault="00E37E25" w:rsidP="00885795">
      <w:pPr>
        <w:pStyle w:val="FootnoteText"/>
        <w:numPr>
          <w:ilvl w:val="0"/>
          <w:numId w:val="258"/>
        </w:numPr>
        <w:jc w:val="left"/>
        <w:rPr>
          <w:sz w:val="18"/>
          <w:szCs w:val="18"/>
        </w:rPr>
      </w:pPr>
      <w:r w:rsidRPr="00432986">
        <w:rPr>
          <w:sz w:val="18"/>
          <w:szCs w:val="18"/>
        </w:rPr>
        <w:t xml:space="preserve">2035 cohort (847): no savings within period (surgery year) = </w:t>
      </w:r>
      <w:r w:rsidRPr="00432986">
        <w:rPr>
          <w:b/>
          <w:sz w:val="18"/>
          <w:szCs w:val="18"/>
        </w:rPr>
        <w:t>0</w:t>
      </w:r>
    </w:p>
    <w:p w14:paraId="727367C0" w14:textId="77777777" w:rsidR="00E37E25" w:rsidRPr="00432986" w:rsidRDefault="00E37E25" w:rsidP="00885795">
      <w:pPr>
        <w:pStyle w:val="FootnoteText"/>
        <w:rPr>
          <w:sz w:val="18"/>
          <w:szCs w:val="18"/>
        </w:rPr>
      </w:pPr>
      <w:r w:rsidRPr="00432986">
        <w:rPr>
          <w:sz w:val="18"/>
          <w:szCs w:val="18"/>
        </w:rPr>
        <w:t xml:space="preserve">Total: </w:t>
      </w:r>
      <w:r w:rsidRPr="00432986">
        <w:rPr>
          <w:b/>
          <w:sz w:val="18"/>
          <w:szCs w:val="18"/>
        </w:rPr>
        <w:t>7,905 patient-years</w:t>
      </w:r>
      <w:r w:rsidRPr="00432986">
        <w:rPr>
          <w:sz w:val="18"/>
          <w:szCs w:val="18"/>
        </w:rPr>
        <w:t xml:space="preserve"> × EUR 20,000 = </w:t>
      </w:r>
      <w:r w:rsidRPr="00432986">
        <w:rPr>
          <w:b/>
          <w:sz w:val="18"/>
          <w:szCs w:val="18"/>
        </w:rPr>
        <w:t>~ EUR 158 million</w:t>
      </w:r>
    </w:p>
  </w:footnote>
  <w:footnote w:id="256">
    <w:p w14:paraId="50601681" w14:textId="4E7DF4CC"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rPr>
        <w:t xml:space="preserve"> European Commission. (2024). </w:t>
      </w:r>
      <w:r w:rsidRPr="00432986">
        <w:rPr>
          <w:i/>
          <w:sz w:val="18"/>
          <w:szCs w:val="18"/>
        </w:rPr>
        <w:t xml:space="preserve">Commission staff working document: impact assessment report. </w:t>
      </w:r>
      <w:hyperlink r:id="rId116" w:history="1">
        <w:r w:rsidRPr="00432986">
          <w:rPr>
            <w:rStyle w:val="Hyperlink"/>
            <w:i/>
            <w:sz w:val="18"/>
            <w:szCs w:val="18"/>
          </w:rPr>
          <w:t>SWD(2024) 63 final</w:t>
        </w:r>
      </w:hyperlink>
      <w:r w:rsidRPr="00432986">
        <w:rPr>
          <w:i/>
          <w:sz w:val="18"/>
          <w:szCs w:val="18"/>
        </w:rPr>
        <w:t xml:space="preserve">. </w:t>
      </w:r>
    </w:p>
  </w:footnote>
  <w:footnote w:id="257">
    <w:p w14:paraId="114C201E" w14:textId="77777777" w:rsidR="00E37E25" w:rsidRPr="00432986" w:rsidRDefault="00E37E25" w:rsidP="00885795">
      <w:pPr>
        <w:pStyle w:val="FootnoteText"/>
        <w:rPr>
          <w:sz w:val="18"/>
          <w:szCs w:val="18"/>
        </w:rPr>
      </w:pPr>
      <w:r w:rsidRPr="00432986">
        <w:rPr>
          <w:rStyle w:val="FootnoteReference"/>
          <w:sz w:val="18"/>
          <w:szCs w:val="18"/>
        </w:rPr>
        <w:footnoteRef/>
      </w:r>
      <w:r w:rsidRPr="00432986">
        <w:rPr>
          <w:sz w:val="18"/>
          <w:szCs w:val="18"/>
        </w:rPr>
        <w:t xml:space="preserve"> At 4%: Σ(year-by-year additional transplants × 0.04) = 248; At 5%: Σ(year-by-year additional transplants × 0.05) = 311.</w:t>
      </w:r>
    </w:p>
  </w:footnote>
  <w:footnote w:id="258">
    <w:p w14:paraId="2D512402" w14:textId="7D6D782C" w:rsidR="00CA2BCB" w:rsidRPr="00432986" w:rsidRDefault="00CA2BCB">
      <w:pPr>
        <w:pStyle w:val="FootnoteText"/>
        <w:rPr>
          <w:sz w:val="18"/>
          <w:szCs w:val="18"/>
        </w:rPr>
      </w:pPr>
      <w:r w:rsidRPr="00432986">
        <w:rPr>
          <w:rStyle w:val="FootnoteReference"/>
          <w:sz w:val="18"/>
          <w:szCs w:val="18"/>
        </w:rPr>
        <w:footnoteRef/>
      </w:r>
      <w:r w:rsidRPr="00432986">
        <w:rPr>
          <w:sz w:val="18"/>
          <w:szCs w:val="18"/>
        </w:rPr>
        <w:t xml:space="preserve"> </w:t>
      </w:r>
      <w:r w:rsidR="00030F70" w:rsidRPr="00432986">
        <w:rPr>
          <w:sz w:val="18"/>
          <w:szCs w:val="18"/>
        </w:rPr>
        <w:t xml:space="preserve">European Commission ‘Have Your Say’, European Commission website, </w:t>
      </w:r>
      <w:hyperlink r:id="rId117" w:history="1">
        <w:r w:rsidR="00030F70" w:rsidRPr="00432986">
          <w:rPr>
            <w:rStyle w:val="Hyperlink"/>
            <w:sz w:val="18"/>
            <w:szCs w:val="18"/>
          </w:rPr>
          <w:t>https://ec.europa.eu/info/law/better-regulation/have-your-say/initiatives/14627-Biotech-Act/public-consultation_en</w:t>
        </w:r>
      </w:hyperlink>
      <w:r w:rsidR="00030F70" w:rsidRPr="00432986">
        <w:rPr>
          <w:sz w:val="18"/>
          <w:szCs w:val="18"/>
        </w:rPr>
        <w:t>.</w:t>
      </w:r>
    </w:p>
  </w:footnote>
  <w:footnote w:id="259">
    <w:p w14:paraId="3EC1E2E4" w14:textId="2F186BC3" w:rsidR="2AF7BD95" w:rsidRPr="00432986" w:rsidRDefault="2AF7BD95" w:rsidP="00E5568D">
      <w:pPr>
        <w:spacing w:after="0"/>
        <w:rPr>
          <w:sz w:val="18"/>
          <w:szCs w:val="18"/>
        </w:rPr>
      </w:pPr>
      <w:r w:rsidRPr="00432986">
        <w:rPr>
          <w:sz w:val="18"/>
          <w:szCs w:val="18"/>
          <w:vertAlign w:val="superscript"/>
        </w:rPr>
        <w:footnoteRef/>
      </w:r>
      <w:r w:rsidRPr="00432986">
        <w:rPr>
          <w:sz w:val="18"/>
          <w:szCs w:val="18"/>
        </w:rPr>
        <w:t xml:space="preserve"> Landscape analysis study</w:t>
      </w:r>
    </w:p>
  </w:footnote>
  <w:footnote w:id="260">
    <w:p w14:paraId="40D064EA" w14:textId="3AD6F9E7" w:rsidR="00030F70" w:rsidRPr="00432986" w:rsidRDefault="00030F70">
      <w:pPr>
        <w:pStyle w:val="FootnoteText"/>
        <w:rPr>
          <w:sz w:val="18"/>
          <w:szCs w:val="18"/>
        </w:rPr>
      </w:pPr>
      <w:r w:rsidRPr="00432986">
        <w:rPr>
          <w:rStyle w:val="FootnoteReference"/>
          <w:sz w:val="18"/>
          <w:szCs w:val="18"/>
        </w:rPr>
        <w:footnoteRef/>
      </w:r>
      <w:r w:rsidRPr="00432986">
        <w:rPr>
          <w:sz w:val="18"/>
          <w:szCs w:val="18"/>
        </w:rPr>
        <w:t xml:space="preserve"> European Commission ‘Have Your Say’, European Commission website, </w:t>
      </w:r>
      <w:hyperlink r:id="rId118" w:history="1">
        <w:r w:rsidRPr="00432986">
          <w:rPr>
            <w:rStyle w:val="Hyperlink"/>
            <w:sz w:val="18"/>
            <w:szCs w:val="18"/>
          </w:rPr>
          <w:t>https://ec.europa.eu/info/law/better-regulation/have-your-say/initiatives/14627-Biotech-Act/public-consultation_en</w:t>
        </w:r>
      </w:hyperlink>
      <w:r w:rsidRPr="00432986">
        <w:rPr>
          <w:sz w:val="18"/>
          <w:szCs w:val="18"/>
        </w:rPr>
        <w:t>.</w:t>
      </w:r>
    </w:p>
  </w:footnote>
  <w:footnote w:id="261">
    <w:p w14:paraId="1A2C05CB" w14:textId="77777777" w:rsidR="008D7CC6" w:rsidRPr="00432986" w:rsidRDefault="008D7CC6" w:rsidP="00885795">
      <w:pPr>
        <w:pStyle w:val="FootnoteText"/>
        <w:rPr>
          <w:sz w:val="18"/>
          <w:szCs w:val="18"/>
          <w:lang w:val="en-IE"/>
        </w:rPr>
      </w:pPr>
      <w:r w:rsidRPr="00432986">
        <w:rPr>
          <w:rStyle w:val="FootnoteReference"/>
          <w:sz w:val="18"/>
          <w:szCs w:val="18"/>
        </w:rPr>
        <w:footnoteRef/>
      </w:r>
      <w:r w:rsidRPr="00432986">
        <w:rPr>
          <w:sz w:val="18"/>
          <w:szCs w:val="18"/>
        </w:rPr>
        <w:t xml:space="preserve"> Bridging the Gap – Transforming EU Biotech Policy, ADC, DANSK BIOTEK, 2025.</w:t>
      </w:r>
    </w:p>
  </w:footnote>
  <w:footnote w:id="262">
    <w:p w14:paraId="25E6FB77" w14:textId="3EC4B09A" w:rsidR="008D7CC6" w:rsidRPr="00432986" w:rsidRDefault="008D7CC6" w:rsidP="00885795">
      <w:pPr>
        <w:pStyle w:val="FootnoteText"/>
        <w:rPr>
          <w:sz w:val="18"/>
          <w:szCs w:val="18"/>
          <w:lang w:val="en-IE"/>
        </w:rPr>
      </w:pPr>
      <w:r w:rsidRPr="00432986">
        <w:rPr>
          <w:rStyle w:val="FootnoteReference"/>
          <w:sz w:val="18"/>
          <w:szCs w:val="18"/>
        </w:rPr>
        <w:footnoteRef/>
      </w:r>
      <w:r w:rsidRPr="00432986">
        <w:rPr>
          <w:sz w:val="18"/>
          <w:szCs w:val="18"/>
        </w:rPr>
        <w:t xml:space="preserve"> </w:t>
      </w:r>
      <w:r w:rsidR="000B7A24" w:rsidRPr="00432986">
        <w:rPr>
          <w:sz w:val="18"/>
          <w:szCs w:val="18"/>
        </w:rPr>
        <w:t>https://www.boyle-associates.com/the-hidden-costs-of-regulatory-delays</w:t>
      </w:r>
    </w:p>
  </w:footnote>
  <w:footnote w:id="263">
    <w:p w14:paraId="76A63720" w14:textId="0A21C47D" w:rsidR="00016015" w:rsidRPr="00432986" w:rsidRDefault="00016015" w:rsidP="00885795">
      <w:pPr>
        <w:pStyle w:val="FootnoteText"/>
        <w:rPr>
          <w:sz w:val="18"/>
          <w:szCs w:val="18"/>
        </w:rPr>
      </w:pPr>
      <w:r w:rsidRPr="00432986">
        <w:rPr>
          <w:rStyle w:val="FootnoteReference"/>
          <w:sz w:val="18"/>
          <w:szCs w:val="18"/>
        </w:rPr>
        <w:footnoteRef/>
      </w:r>
      <w:r w:rsidRPr="00432986">
        <w:rPr>
          <w:sz w:val="18"/>
          <w:szCs w:val="18"/>
        </w:rPr>
        <w:t xml:space="preserve"> </w:t>
      </w:r>
      <w:hyperlink r:id="rId119" w:history="1">
        <w:r w:rsidRPr="00432986">
          <w:rPr>
            <w:rStyle w:val="Hyperlink"/>
            <w:sz w:val="18"/>
            <w:szCs w:val="18"/>
          </w:rPr>
          <w:t>https://www.boyle-associates.com/the-hidden-costs-of-regulatory-delays/</w:t>
        </w:r>
      </w:hyperlink>
    </w:p>
  </w:footnote>
  <w:footnote w:id="264">
    <w:p w14:paraId="7B14F7CD" w14:textId="3CFE82E6" w:rsidR="00773024" w:rsidRPr="00432986" w:rsidRDefault="00773024" w:rsidP="00885795">
      <w:pPr>
        <w:pStyle w:val="FootnoteText"/>
        <w:rPr>
          <w:sz w:val="18"/>
          <w:szCs w:val="18"/>
        </w:rPr>
      </w:pPr>
      <w:r w:rsidRPr="00432986">
        <w:rPr>
          <w:rStyle w:val="FootnoteReference"/>
          <w:sz w:val="18"/>
          <w:szCs w:val="18"/>
        </w:rPr>
        <w:footnoteRef/>
      </w:r>
      <w:r w:rsidRPr="00432986">
        <w:rPr>
          <w:sz w:val="18"/>
          <w:szCs w:val="18"/>
        </w:rPr>
        <w:t xml:space="preserve"> </w:t>
      </w:r>
      <w:r w:rsidR="008F6D1D" w:rsidRPr="00432986">
        <w:rPr>
          <w:sz w:val="18"/>
          <w:szCs w:val="18"/>
        </w:rPr>
        <w:t>Based on reported values for a syringe manufacturing facility and a vaccine manufacturing facility transaction:</w:t>
      </w:r>
      <w:r w:rsidRPr="00432986">
        <w:rPr>
          <w:sz w:val="18"/>
          <w:szCs w:val="18"/>
        </w:rPr>
        <w:t xml:space="preserve"> https://apnews.com/article/north-carolina-syringes-plant-jobs-5a69d78d39973fb59eaf6e4da167bc2c</w:t>
      </w:r>
      <w:r w:rsidR="008F6D1D" w:rsidRPr="00432986">
        <w:rPr>
          <w:sz w:val="18"/>
          <w:szCs w:val="18"/>
        </w:rPr>
        <w:t>;</w:t>
      </w:r>
      <w:r w:rsidRPr="00432986">
        <w:rPr>
          <w:sz w:val="18"/>
          <w:szCs w:val="18"/>
        </w:rPr>
        <w:t xml:space="preserve"> </w:t>
      </w:r>
    </w:p>
    <w:p w14:paraId="6B1DEF56" w14:textId="6E737A57" w:rsidR="00773024" w:rsidRPr="00432986" w:rsidRDefault="00773024" w:rsidP="00885795">
      <w:pPr>
        <w:pStyle w:val="FootnoteText"/>
        <w:rPr>
          <w:sz w:val="18"/>
          <w:szCs w:val="18"/>
        </w:rPr>
      </w:pPr>
      <w:r w:rsidRPr="00432986">
        <w:rPr>
          <w:sz w:val="18"/>
          <w:szCs w:val="18"/>
        </w:rPr>
        <w:t xml:space="preserve">  https://www.wsj.com/business/wuxi-biologics-to-sell-irish-vaccine-facility-to-merck-for-500-million-4d6684dc</w:t>
      </w:r>
    </w:p>
  </w:footnote>
  <w:footnote w:id="265">
    <w:p w14:paraId="2949B8FB" w14:textId="77777777" w:rsidR="008D7CC6" w:rsidRPr="00432986" w:rsidRDefault="008D7CC6" w:rsidP="00885795">
      <w:pPr>
        <w:pStyle w:val="FootnoteText"/>
        <w:rPr>
          <w:sz w:val="18"/>
          <w:szCs w:val="18"/>
          <w:lang w:val="en-IE"/>
        </w:rPr>
      </w:pPr>
      <w:r w:rsidRPr="00432986">
        <w:rPr>
          <w:rStyle w:val="FootnoteReference"/>
          <w:sz w:val="18"/>
          <w:szCs w:val="18"/>
        </w:rPr>
        <w:footnoteRef/>
      </w:r>
      <w:r w:rsidRPr="00432986">
        <w:rPr>
          <w:sz w:val="18"/>
          <w:szCs w:val="18"/>
        </w:rPr>
        <w:t xml:space="preserve"> </w:t>
      </w:r>
      <w:hyperlink r:id="rId120" w:history="1">
        <w:r w:rsidRPr="00432986">
          <w:rPr>
            <w:rStyle w:val="Hyperlink"/>
            <w:sz w:val="18"/>
            <w:szCs w:val="18"/>
          </w:rPr>
          <w:t>https://cinea.ec.europa.eu/news-events/news/first-pcispmis-list-data-available-transparency-platform-managed-cinea-2024-05-14_en</w:t>
        </w:r>
      </w:hyperlink>
    </w:p>
  </w:footnote>
  <w:footnote w:id="266">
    <w:p w14:paraId="0C4A4A3B" w14:textId="77777777" w:rsidR="008D7CC6" w:rsidRPr="00432986" w:rsidRDefault="008D7CC6" w:rsidP="00885795">
      <w:pPr>
        <w:pStyle w:val="FootnoteText"/>
        <w:rPr>
          <w:sz w:val="18"/>
          <w:szCs w:val="18"/>
          <w:lang w:val="en-IE"/>
        </w:rPr>
      </w:pPr>
      <w:r w:rsidRPr="00432986">
        <w:rPr>
          <w:rStyle w:val="FootnoteReference"/>
          <w:sz w:val="18"/>
          <w:szCs w:val="18"/>
        </w:rPr>
        <w:footnoteRef/>
      </w:r>
      <w:r w:rsidRPr="00432986">
        <w:rPr>
          <w:sz w:val="18"/>
          <w:szCs w:val="18"/>
        </w:rPr>
        <w:t xml:space="preserve"> </w:t>
      </w:r>
      <w:hyperlink r:id="rId121" w:history="1">
        <w:r w:rsidRPr="00432986">
          <w:rPr>
            <w:rStyle w:val="Hyperlink"/>
            <w:sz w:val="18"/>
            <w:szCs w:val="18"/>
          </w:rPr>
          <w:t>https://competition-policy.ec.europa.eu/state-aid/ipcei/approved-ipceis/microelectronics-value-chain_en</w:t>
        </w:r>
      </w:hyperlink>
    </w:p>
  </w:footnote>
  <w:footnote w:id="267">
    <w:p w14:paraId="4E949972" w14:textId="77777777" w:rsidR="00DD7069" w:rsidRPr="00432986" w:rsidRDefault="00DD7069" w:rsidP="00885795">
      <w:pPr>
        <w:pStyle w:val="FootnoteText"/>
        <w:rPr>
          <w:rFonts w:eastAsia="Times New Roman"/>
          <w:color w:val="353332"/>
          <w:sz w:val="18"/>
          <w:szCs w:val="18"/>
          <w:lang w:eastAsia="lt-LT"/>
        </w:rPr>
      </w:pPr>
      <w:r w:rsidRPr="00432986">
        <w:rPr>
          <w:rStyle w:val="FootnoteReference"/>
          <w:sz w:val="18"/>
          <w:szCs w:val="18"/>
        </w:rPr>
        <w:footnoteRef/>
      </w:r>
      <w:r w:rsidRPr="00432986">
        <w:rPr>
          <w:sz w:val="18"/>
          <w:szCs w:val="18"/>
        </w:rPr>
        <w:t xml:space="preserve"> The utilisation assumptions are calibrated using observed throughput of comparable late-stage translation and biomanufacturing support infrastructures. For example, the Cell and Gene Therapy Catapult reports collaborating with 70 companies in a single year and delivering 127 collaborative projects (</w:t>
      </w:r>
      <w:hyperlink r:id="rId122" w:history="1">
        <w:r w:rsidRPr="00432986">
          <w:rPr>
            <w:rStyle w:val="Hyperlink"/>
            <w:sz w:val="18"/>
            <w:szCs w:val="18"/>
          </w:rPr>
          <w:t>https://ct.catapult.org.uk/about/annual-review/annual-review-2025</w:t>
        </w:r>
      </w:hyperlink>
      <w:r w:rsidRPr="00432986">
        <w:rPr>
          <w:sz w:val="18"/>
          <w:szCs w:val="18"/>
        </w:rPr>
        <w:t xml:space="preserve">), implying close to two projects per company per year. In addition, a bioprocessing research, development and demonstration facility (Verschuren Centre, </w:t>
      </w:r>
      <w:hyperlink r:id="rId123" w:history="1">
        <w:r w:rsidRPr="00432986">
          <w:rPr>
            <w:rStyle w:val="Hyperlink"/>
            <w:sz w:val="18"/>
            <w:szCs w:val="18"/>
          </w:rPr>
          <w:t>https://www.canada.ca/en/atlantic-canada-opportunities/news/2022/06/verschuren-centre-expansion-will-help-cleantech-entrepreneurs-find-solutions-to-environmental-challenges.html</w:t>
        </w:r>
      </w:hyperlink>
      <w:r w:rsidRPr="00432986">
        <w:rPr>
          <w:sz w:val="18"/>
          <w:szCs w:val="18"/>
        </w:rPr>
        <w:t>) reports working with more than 40 companies. Against these benchmarks, an illustrative range of 30-60 firms served per year per infrastructure is conservative, but suitable for a specialised, high-impact facility, while 2-4 service engagements per firm reflects that firms typically interact through more than one structured work package (such as testing, validation, GMP-mirroring runs and associated quality control activities) rather than a single one-off interaction.</w:t>
      </w:r>
    </w:p>
  </w:footnote>
  <w:footnote w:id="268">
    <w:p w14:paraId="35CF8561" w14:textId="77777777" w:rsidR="00DD7069" w:rsidRPr="00432986" w:rsidRDefault="00DD7069" w:rsidP="00885795">
      <w:pPr>
        <w:pStyle w:val="FootnoteText"/>
        <w:rPr>
          <w:sz w:val="18"/>
          <w:szCs w:val="18"/>
        </w:rPr>
      </w:pPr>
      <w:r w:rsidRPr="00432986">
        <w:rPr>
          <w:rStyle w:val="FootnoteReference"/>
          <w:sz w:val="18"/>
          <w:szCs w:val="18"/>
        </w:rPr>
        <w:footnoteRef/>
      </w:r>
      <w:r w:rsidRPr="00432986">
        <w:rPr>
          <w:sz w:val="18"/>
          <w:szCs w:val="18"/>
        </w:rPr>
        <w:t xml:space="preserve"> The lower bound is anchored in published orders of magnitude for bioprocessing translation and training infrastructures. For example, the NIBRT facility in Ireland was reported as a EUR 57 million build (</w:t>
      </w:r>
      <w:hyperlink r:id="rId124" w:history="1">
        <w:r w:rsidRPr="00432986">
          <w:rPr>
            <w:rStyle w:val="Hyperlink"/>
            <w:sz w:val="18"/>
            <w:szCs w:val="18"/>
          </w:rPr>
          <w:t>https://www.rte.ie/news/business/2011/0609/302171-research-business/</w:t>
        </w:r>
      </w:hyperlink>
      <w:r w:rsidRPr="00432986">
        <w:rPr>
          <w:sz w:val="18"/>
          <w:szCs w:val="18"/>
        </w:rPr>
        <w:t>) and NIBRT’s 2022 annual report states that IDA Ireland has invested over EUR 80 million in NIBRT since 2011, with a further EUR 21 million cell and gene therapy related investment referenced (</w:t>
      </w:r>
      <w:hyperlink r:id="rId125" w:history="1">
        <w:r w:rsidRPr="00432986">
          <w:rPr>
            <w:rStyle w:val="Hyperlink"/>
            <w:sz w:val="18"/>
            <w:szCs w:val="18"/>
          </w:rPr>
          <w:t>https://www.nibrt.ie/wp-content/uploads/2023/01/NIBRT-Annual-Report-2022.pdf</w:t>
        </w:r>
      </w:hyperlink>
      <w:r w:rsidRPr="00432986">
        <w:rPr>
          <w:sz w:val="18"/>
          <w:szCs w:val="18"/>
        </w:rPr>
        <w:t>). The upper bound reflects that more GMP-intensive advanced-therapy capability and manufacturing facilities can move into the low hundreds of millions, depending on scope and industrial intensity, for example UCB announced an investment of more than EUR 200 million in a gene therapy development and clinical manufacturing facility (</w:t>
      </w:r>
      <w:hyperlink r:id="rId126" w:history="1">
        <w:r w:rsidRPr="00432986">
          <w:rPr>
            <w:rStyle w:val="Hyperlink"/>
            <w:sz w:val="18"/>
            <w:szCs w:val="18"/>
          </w:rPr>
          <w:t>https://www.ucb.com/newsroom/press-releases/article/ucb-expands-innovation-footprint-with-new-state-of-the-art-gene-therapy-facility</w:t>
        </w:r>
      </w:hyperlink>
      <w:r w:rsidRPr="00432986">
        <w:rPr>
          <w:sz w:val="18"/>
          <w:szCs w:val="18"/>
        </w:rPr>
        <w:t>). Additional reference points indicating variation in scale include a EUR 14 million hospital-linked ATMP facility investment (</w:t>
      </w:r>
      <w:hyperlink r:id="rId127" w:history="1">
        <w:r w:rsidRPr="00432986">
          <w:rPr>
            <w:rStyle w:val="Hyperlink"/>
            <w:sz w:val="18"/>
            <w:szCs w:val="18"/>
          </w:rPr>
          <w:t>https://www.uzleuven.be/en/news/uz-leuven-and-ku-leuven-invest-14-million-euros-new-cell-and-gene-therapy-facility</w:t>
        </w:r>
      </w:hyperlink>
      <w:r w:rsidRPr="00432986">
        <w:rPr>
          <w:sz w:val="18"/>
          <w:szCs w:val="18"/>
        </w:rPr>
        <w:t>) and public investments in ATMP ecosystem capability at regional level (</w:t>
      </w:r>
      <w:hyperlink r:id="rId128" w:history="1">
        <w:r w:rsidRPr="00432986">
          <w:rPr>
            <w:rStyle w:val="Hyperlink"/>
            <w:sz w:val="18"/>
            <w:szCs w:val="18"/>
          </w:rPr>
          <w:t>https://www.wallonia.be/en/news/advanced-therapy-wallonia-invests-eu81-million-atmp</w:t>
        </w:r>
      </w:hyperlink>
      <w:r w:rsidRPr="00432986">
        <w:rPr>
          <w:sz w:val="18"/>
          <w:szCs w:val="18"/>
        </w:rPr>
        <w:t xml:space="preserve">). </w:t>
      </w:r>
    </w:p>
  </w:footnote>
  <w:footnote w:id="269">
    <w:p w14:paraId="45C2F38B" w14:textId="44C0AB09" w:rsidR="00104C89" w:rsidRPr="00432986" w:rsidRDefault="00104C89" w:rsidP="00885795">
      <w:pPr>
        <w:pStyle w:val="FootnoteText"/>
        <w:rPr>
          <w:sz w:val="18"/>
          <w:szCs w:val="18"/>
        </w:rPr>
      </w:pPr>
      <w:r w:rsidRPr="00432986">
        <w:rPr>
          <w:rStyle w:val="FootnoteReference"/>
          <w:sz w:val="18"/>
          <w:szCs w:val="18"/>
        </w:rPr>
        <w:footnoteRef/>
      </w:r>
      <w:r w:rsidRPr="00432986">
        <w:rPr>
          <w:sz w:val="18"/>
          <w:szCs w:val="18"/>
        </w:rPr>
        <w:t xml:space="preserve"> See footnote 2</w:t>
      </w:r>
      <w:r w:rsidR="00D328B4">
        <w:rPr>
          <w:sz w:val="18"/>
          <w:szCs w:val="18"/>
        </w:rPr>
        <w:t>79</w:t>
      </w:r>
      <w:r w:rsidRPr="00432986">
        <w:rPr>
          <w:sz w:val="18"/>
          <w:szCs w:val="18"/>
        </w:rPr>
        <w:t>.</w:t>
      </w:r>
    </w:p>
  </w:footnote>
  <w:footnote w:id="270">
    <w:p w14:paraId="07B0987C" w14:textId="6A3D254C" w:rsidR="00C11665" w:rsidRPr="00432986" w:rsidRDefault="00C11665" w:rsidP="00885795">
      <w:pPr>
        <w:pStyle w:val="FootnoteText"/>
        <w:rPr>
          <w:sz w:val="18"/>
          <w:szCs w:val="18"/>
          <w:lang w:val="en-IE"/>
        </w:rPr>
      </w:pPr>
      <w:r w:rsidRPr="00432986">
        <w:rPr>
          <w:rStyle w:val="FootnoteReference"/>
          <w:sz w:val="18"/>
          <w:szCs w:val="18"/>
        </w:rPr>
        <w:footnoteRef/>
      </w:r>
      <w:r w:rsidRPr="00432986">
        <w:rPr>
          <w:sz w:val="18"/>
          <w:szCs w:val="18"/>
        </w:rPr>
        <w:t xml:space="preserve"> Case study on cross-border and multi-country projects, with specific focus on Important Projects of Common European Interest (IPCEIs), </w:t>
      </w:r>
      <w:hyperlink r:id="rId129" w:history="1">
        <w:r w:rsidRPr="00432986">
          <w:rPr>
            <w:rStyle w:val="Hyperlink"/>
            <w:sz w:val="18"/>
            <w:szCs w:val="18"/>
          </w:rPr>
          <w:t>https://commission.europa.eu/document/download/30a28e5a-a052-4f49-9c79-f5ec35f10527_en?filename=case-study-on-cross-border-and-multi-country-projects.pdf</w:t>
        </w:r>
      </w:hyperlink>
    </w:p>
  </w:footnote>
  <w:footnote w:id="271">
    <w:p w14:paraId="623D6C41" w14:textId="12162853" w:rsidR="009060CA" w:rsidRPr="00432986" w:rsidRDefault="009060CA" w:rsidP="00885795">
      <w:pPr>
        <w:pStyle w:val="FootnoteText"/>
        <w:rPr>
          <w:sz w:val="18"/>
          <w:szCs w:val="18"/>
          <w:lang w:val="en-IE"/>
        </w:rPr>
      </w:pPr>
      <w:r w:rsidRPr="00432986">
        <w:rPr>
          <w:rStyle w:val="FootnoteReference"/>
          <w:sz w:val="18"/>
          <w:szCs w:val="18"/>
        </w:rPr>
        <w:footnoteRef/>
      </w:r>
      <w:r w:rsidRPr="00432986">
        <w:rPr>
          <w:sz w:val="18"/>
          <w:szCs w:val="18"/>
        </w:rPr>
        <w:t xml:space="preserve">  </w:t>
      </w:r>
      <w:hyperlink r:id="rId130" w:history="1">
        <w:r w:rsidRPr="00432986">
          <w:rPr>
            <w:rStyle w:val="Hyperlink"/>
            <w:sz w:val="18"/>
            <w:szCs w:val="18"/>
          </w:rPr>
          <w:t>https://digital-strategy.ec.europa.eu/en/policies/european-chips-act</w:t>
        </w:r>
      </w:hyperlink>
    </w:p>
  </w:footnote>
  <w:footnote w:id="272">
    <w:p w14:paraId="753CA158" w14:textId="3DAD3F7C" w:rsidR="00DD7069" w:rsidRPr="00432986" w:rsidRDefault="00DD7069" w:rsidP="00885795">
      <w:pPr>
        <w:pStyle w:val="FootnoteText"/>
        <w:rPr>
          <w:sz w:val="18"/>
          <w:szCs w:val="18"/>
        </w:rPr>
      </w:pPr>
      <w:r w:rsidRPr="00432986">
        <w:rPr>
          <w:rStyle w:val="FootnoteReference"/>
          <w:sz w:val="18"/>
          <w:szCs w:val="18"/>
        </w:rPr>
        <w:footnoteRef/>
      </w:r>
      <w:r w:rsidRPr="00432986">
        <w:rPr>
          <w:sz w:val="18"/>
          <w:szCs w:val="18"/>
        </w:rPr>
        <w:t xml:space="preserve"> </w:t>
      </w:r>
      <w:r w:rsidR="006C71F6" w:rsidRPr="00432986">
        <w:rPr>
          <w:sz w:val="18"/>
          <w:szCs w:val="18"/>
        </w:rPr>
        <w:t>The assumed investment range per project is based on indicative evidence from comparable large-scale biopharmaceutical research and manufacturing investments, as analysed in the Rapid Assessment Scenario Study (forthcoming), where examples of such investments are featured.</w:t>
      </w:r>
    </w:p>
  </w:footnote>
  <w:footnote w:id="273">
    <w:p w14:paraId="32069545" w14:textId="77777777" w:rsidR="00DD7069" w:rsidRPr="00432986" w:rsidRDefault="00DD7069" w:rsidP="00885795">
      <w:pPr>
        <w:pStyle w:val="FootnoteText"/>
        <w:rPr>
          <w:sz w:val="18"/>
          <w:szCs w:val="18"/>
        </w:rPr>
      </w:pPr>
      <w:r w:rsidRPr="00432986">
        <w:rPr>
          <w:rStyle w:val="FootnoteReference"/>
          <w:sz w:val="18"/>
          <w:szCs w:val="18"/>
        </w:rPr>
        <w:footnoteRef/>
      </w:r>
      <w:r w:rsidRPr="00432986">
        <w:rPr>
          <w:sz w:val="18"/>
          <w:szCs w:val="18"/>
        </w:rPr>
        <w:t xml:space="preserve"> Decision for the Important Project of Common European Interest (IPCEI) – Innovative medical devices and support software (Tech4Cure).</w:t>
      </w:r>
    </w:p>
  </w:footnote>
  <w:footnote w:id="274">
    <w:p w14:paraId="41994BE9" w14:textId="77777777" w:rsidR="00DD7069" w:rsidRPr="00432986" w:rsidRDefault="00DD7069" w:rsidP="00885795">
      <w:pPr>
        <w:pStyle w:val="FootnoteText"/>
        <w:rPr>
          <w:sz w:val="18"/>
          <w:szCs w:val="18"/>
        </w:rPr>
      </w:pPr>
      <w:r w:rsidRPr="00432986">
        <w:rPr>
          <w:rStyle w:val="FootnoteReference"/>
          <w:sz w:val="18"/>
          <w:szCs w:val="18"/>
        </w:rPr>
        <w:footnoteRef/>
      </w:r>
      <w:r w:rsidRPr="00432986">
        <w:rPr>
          <w:sz w:val="18"/>
          <w:szCs w:val="18"/>
        </w:rPr>
        <w:t xml:space="preserve"> The 20-40% range is a conservative proxy for the share of users expected to originate from a different Member State than the service location once EU-wide access is operational, recognising that facility-type infrastructures will typically continue to serve a material domestic user base alongside cross-border users. The calibration draws on established practice in EU-funded Transnational Access schemes, where access is explicitly reserved for external user groups and eligibility commonly requires that the user group leader and the majority of users work in a country other than the country where the installation is located (for example ChETEC-INFRA eligibility criteria: </w:t>
      </w:r>
      <w:hyperlink r:id="rId131" w:tgtFrame="_new" w:history="1">
        <w:r w:rsidRPr="00432986">
          <w:rPr>
            <w:rStyle w:val="Hyperlink"/>
            <w:sz w:val="18"/>
            <w:szCs w:val="18"/>
          </w:rPr>
          <w:t>https://www.chetec-infra.eu/ta/application/</w:t>
        </w:r>
      </w:hyperlink>
      <w:r w:rsidRPr="00432986">
        <w:rPr>
          <w:sz w:val="18"/>
          <w:szCs w:val="18"/>
        </w:rPr>
        <w:t xml:space="preserve">; JERICO access rules referencing the EC grant agreement: </w:t>
      </w:r>
      <w:hyperlink r:id="rId132" w:tgtFrame="_new" w:history="1">
        <w:r w:rsidRPr="00432986">
          <w:rPr>
            <w:rStyle w:val="Hyperlink"/>
            <w:sz w:val="18"/>
            <w:szCs w:val="18"/>
          </w:rPr>
          <w:t>https://www.jerico-ri.eu/ta/access-rules/</w:t>
        </w:r>
      </w:hyperlink>
      <w:r w:rsidRPr="00432986">
        <w:rPr>
          <w:sz w:val="18"/>
          <w:szCs w:val="18"/>
        </w:rPr>
        <w:t xml:space="preserve">; SERA-TA transnational access conditions: </w:t>
      </w:r>
      <w:hyperlink r:id="rId133" w:tgtFrame="_new" w:history="1">
        <w:r w:rsidRPr="00432986">
          <w:rPr>
            <w:rStyle w:val="Hyperlink"/>
            <w:sz w:val="18"/>
            <w:szCs w:val="18"/>
          </w:rPr>
          <w:t>https://sera-ta.eucentre.it/transnational-access/</w:t>
        </w:r>
      </w:hyperlink>
      <w:r w:rsidRPr="00432986">
        <w:rPr>
          <w:sz w:val="18"/>
          <w:szCs w:val="18"/>
        </w:rPr>
        <w:t>). Given that such “transnational-only” access rules imply a much higher cross-border share within the funded access stream, applying 20-40% as the cross-border share of total users is intended as an order-of-magnitude assumption that allows for continued national usage alongside a substantial but not dominant cross-border component.</w:t>
      </w:r>
    </w:p>
  </w:footnote>
  <w:footnote w:id="275">
    <w:p w14:paraId="31020D4D" w14:textId="77777777" w:rsidR="00DD7069" w:rsidRPr="00432986" w:rsidRDefault="00DD7069" w:rsidP="00885795">
      <w:pPr>
        <w:pStyle w:val="FootnoteText"/>
        <w:rPr>
          <w:sz w:val="18"/>
          <w:szCs w:val="18"/>
        </w:rPr>
      </w:pPr>
      <w:r w:rsidRPr="00432986">
        <w:rPr>
          <w:rStyle w:val="FootnoteReference"/>
          <w:sz w:val="18"/>
          <w:szCs w:val="18"/>
        </w:rPr>
        <w:footnoteRef/>
      </w:r>
      <w:r w:rsidRPr="00432986">
        <w:rPr>
          <w:sz w:val="18"/>
          <w:szCs w:val="18"/>
        </w:rPr>
        <w:t xml:space="preserve"> Decision for Important Project of Common European Interest (IPCEI) on health (Med4Cure).</w:t>
      </w:r>
    </w:p>
  </w:footnote>
  <w:footnote w:id="276">
    <w:p w14:paraId="36C50CC7" w14:textId="3A695196" w:rsidR="00DD7069" w:rsidRPr="00432986" w:rsidRDefault="00DD7069" w:rsidP="00885795">
      <w:pPr>
        <w:pStyle w:val="FootnoteText"/>
        <w:rPr>
          <w:sz w:val="18"/>
          <w:szCs w:val="18"/>
        </w:rPr>
      </w:pPr>
      <w:r w:rsidRPr="00432986">
        <w:rPr>
          <w:rStyle w:val="FootnoteReference"/>
          <w:sz w:val="18"/>
          <w:szCs w:val="18"/>
        </w:rPr>
        <w:footnoteRef/>
      </w:r>
      <w:r w:rsidRPr="00432986">
        <w:rPr>
          <w:sz w:val="18"/>
          <w:szCs w:val="18"/>
        </w:rPr>
        <w:t xml:space="preserve"> DG COMP Code of good practices for a transparent, inclusive, faster design and assessment of IPCEIs, </w:t>
      </w:r>
      <w:hyperlink r:id="rId134" w:history="1">
        <w:r w:rsidRPr="00432986">
          <w:rPr>
            <w:rStyle w:val="Hyperlink"/>
            <w:sz w:val="18"/>
            <w:szCs w:val="18"/>
          </w:rPr>
          <w:t>https://competition-policy.ec.europa.eu/system/files/2023-05/IPCEIs_DG_COMP_code_of_good_practices.pdf</w:t>
        </w:r>
      </w:hyperlink>
      <w:r w:rsidR="006410A6" w:rsidRPr="00432986">
        <w:rPr>
          <w:sz w:val="18"/>
          <w:szCs w:val="18"/>
        </w:rPr>
        <w:t xml:space="preserve">. See also Joint European Forum (JEF-IPCEI) workstreams and related guidance, including IPCEI factsheets, templates and the IPCEI Design Support Hub: </w:t>
      </w:r>
      <w:hyperlink r:id="rId135" w:tgtFrame="_new" w:history="1">
        <w:r w:rsidR="006410A6" w:rsidRPr="00432986">
          <w:rPr>
            <w:rStyle w:val="Hyperlink"/>
            <w:sz w:val="18"/>
            <w:szCs w:val="18"/>
          </w:rPr>
          <w:t>https://competition-policy.ec.europa.eu/state-aid/ipcei_en</w:t>
        </w:r>
      </w:hyperlink>
      <w:r w:rsidRPr="00432986">
        <w:rPr>
          <w:sz w:val="18"/>
          <w:szCs w:val="18"/>
        </w:rPr>
        <w:t xml:space="preserve"> </w:t>
      </w:r>
    </w:p>
  </w:footnote>
  <w:footnote w:id="277">
    <w:p w14:paraId="57120A76" w14:textId="77777777" w:rsidR="004E062C" w:rsidRPr="00432986" w:rsidRDefault="004E062C" w:rsidP="00885795">
      <w:pPr>
        <w:pStyle w:val="FootnoteText"/>
        <w:rPr>
          <w:sz w:val="18"/>
          <w:szCs w:val="18"/>
          <w:lang w:val="fr-FR"/>
        </w:rPr>
      </w:pPr>
      <w:r w:rsidRPr="00432986">
        <w:rPr>
          <w:rStyle w:val="FootnoteReference"/>
          <w:sz w:val="18"/>
          <w:szCs w:val="18"/>
        </w:rPr>
        <w:footnoteRef/>
      </w:r>
      <w:r w:rsidRPr="00432986">
        <w:rPr>
          <w:sz w:val="18"/>
          <w:szCs w:val="18"/>
        </w:rPr>
        <w:t xml:space="preserve"> EuropaBio (2024). </w:t>
      </w:r>
      <w:r w:rsidRPr="00432986">
        <w:rPr>
          <w:i/>
          <w:iCs/>
          <w:sz w:val="18"/>
          <w:szCs w:val="18"/>
        </w:rPr>
        <w:t>Joint Statement on the EC Initiative: Boosting Biotechnology and Biomanufacturing in the EU</w:t>
      </w:r>
      <w:r w:rsidRPr="00432986">
        <w:rPr>
          <w:sz w:val="18"/>
          <w:szCs w:val="18"/>
        </w:rPr>
        <w:t xml:space="preserve">. </w:t>
      </w:r>
      <w:r w:rsidRPr="00432986">
        <w:rPr>
          <w:sz w:val="18"/>
          <w:szCs w:val="18"/>
          <w:lang w:val="fr-FR"/>
        </w:rPr>
        <w:t>Available at: </w:t>
      </w:r>
      <w:hyperlink r:id="rId136" w:tgtFrame="_blank" w:history="1">
        <w:r w:rsidRPr="00432986">
          <w:rPr>
            <w:rStyle w:val="Hyperlink"/>
            <w:sz w:val="18"/>
            <w:szCs w:val="18"/>
            <w:lang w:val="fr-FR"/>
          </w:rPr>
          <w:t>https://www.europabio.org/joint-statement-on-the-ec-initiative-boosting-biotechnology-and-biomanufacturing-in-the-eu/</w:t>
        </w:r>
      </w:hyperlink>
      <w:r w:rsidRPr="00432986">
        <w:rPr>
          <w:sz w:val="18"/>
          <w:szCs w:val="18"/>
          <w:lang w:val="fr-FR"/>
        </w:rPr>
        <w:t>.</w:t>
      </w:r>
    </w:p>
  </w:footnote>
  <w:footnote w:id="278">
    <w:p w14:paraId="6A2834D2" w14:textId="77777777" w:rsidR="004E062C" w:rsidRPr="00432986" w:rsidRDefault="004E062C" w:rsidP="00885795">
      <w:pPr>
        <w:pStyle w:val="FootnoteText"/>
        <w:rPr>
          <w:sz w:val="18"/>
          <w:szCs w:val="18"/>
        </w:rPr>
      </w:pPr>
      <w:r w:rsidRPr="00432986">
        <w:rPr>
          <w:rStyle w:val="FootnoteReference"/>
          <w:sz w:val="18"/>
          <w:szCs w:val="18"/>
        </w:rPr>
        <w:footnoteRef/>
      </w:r>
      <w:r w:rsidRPr="00432986">
        <w:rPr>
          <w:sz w:val="18"/>
          <w:szCs w:val="18"/>
        </w:rPr>
        <w:t xml:space="preserve"> European Commission (2024). </w:t>
      </w:r>
      <w:r w:rsidRPr="00432986">
        <w:rPr>
          <w:i/>
          <w:iCs/>
          <w:sz w:val="18"/>
          <w:szCs w:val="18"/>
        </w:rPr>
        <w:t>Communication from the Commission to the European Parliament, the Council, the European Economic and Social Committee and The Committee of the Regions: Building the future with nature: Boosting Biotechnology and Biomanufacturing in the EU</w:t>
      </w:r>
      <w:r w:rsidRPr="00432986">
        <w:rPr>
          <w:sz w:val="18"/>
          <w:szCs w:val="18"/>
        </w:rPr>
        <w:t>, COM(2024) 137 final.</w:t>
      </w:r>
    </w:p>
  </w:footnote>
  <w:footnote w:id="279">
    <w:p w14:paraId="4E678AF1" w14:textId="3B7F3AFD" w:rsidR="002566F3" w:rsidRPr="00432986" w:rsidRDefault="002566F3" w:rsidP="00885795">
      <w:pPr>
        <w:pStyle w:val="FootnoteText"/>
        <w:rPr>
          <w:sz w:val="18"/>
          <w:szCs w:val="18"/>
          <w:lang w:val="en-IE"/>
        </w:rPr>
      </w:pPr>
      <w:r w:rsidRPr="00432986">
        <w:rPr>
          <w:rStyle w:val="FootnoteReference"/>
          <w:sz w:val="18"/>
          <w:szCs w:val="18"/>
        </w:rPr>
        <w:footnoteRef/>
      </w:r>
      <w:r w:rsidRPr="00432986">
        <w:rPr>
          <w:sz w:val="18"/>
          <w:szCs w:val="18"/>
        </w:rPr>
        <w:t xml:space="preserve"> OECD (2026). </w:t>
      </w:r>
      <w:r w:rsidRPr="00432986">
        <w:rPr>
          <w:i/>
          <w:iCs/>
          <w:sz w:val="18"/>
          <w:szCs w:val="18"/>
        </w:rPr>
        <w:t>A comparison of the innovation and regulatory environments for biotechnology and biosolutions across the EU and the United States</w:t>
      </w:r>
      <w:r w:rsidRPr="00432986">
        <w:rPr>
          <w:sz w:val="18"/>
          <w:szCs w:val="18"/>
        </w:rPr>
        <w:t xml:space="preserve">. Available at: </w:t>
      </w:r>
      <w:hyperlink r:id="rId137" w:history="1">
        <w:r w:rsidRPr="004570F2">
          <w:rPr>
            <w:rStyle w:val="Hyperlink"/>
            <w:sz w:val="18"/>
          </w:rPr>
          <w:t>https://www.oecd.org/en/publications/a-comparison-of-the-innovation-and-regulatory-environments-for-biotechnology-and-biosolutions-across-the-european-union-and-the-united-states_1ec20342-en.html</w:t>
        </w:r>
      </w:hyperlink>
      <w:r w:rsidRPr="00432986">
        <w:rPr>
          <w:sz w:val="18"/>
          <w:szCs w:val="18"/>
        </w:rPr>
        <w:t>.</w:t>
      </w:r>
    </w:p>
  </w:footnote>
  <w:footnote w:id="280">
    <w:p w14:paraId="5DB6324B" w14:textId="75531BB2" w:rsidR="00B937FF" w:rsidRPr="00432986" w:rsidRDefault="00B937FF" w:rsidP="00885795">
      <w:pPr>
        <w:pStyle w:val="FootnoteText"/>
        <w:rPr>
          <w:sz w:val="18"/>
          <w:szCs w:val="18"/>
          <w:lang w:val="en-IE"/>
        </w:rPr>
      </w:pPr>
      <w:r w:rsidRPr="00432986">
        <w:rPr>
          <w:rStyle w:val="FootnoteReference"/>
          <w:sz w:val="18"/>
          <w:szCs w:val="18"/>
        </w:rPr>
        <w:footnoteRef/>
      </w:r>
      <w:r w:rsidRPr="00432986">
        <w:rPr>
          <w:sz w:val="18"/>
          <w:szCs w:val="18"/>
        </w:rPr>
        <w:t xml:space="preserve"> </w:t>
      </w:r>
      <w:r w:rsidR="00FF2CFE" w:rsidRPr="00432986">
        <w:rPr>
          <w:sz w:val="18"/>
          <w:szCs w:val="18"/>
        </w:rPr>
        <w:t xml:space="preserve">European Commission (2024). </w:t>
      </w:r>
      <w:r w:rsidR="00FF2CFE" w:rsidRPr="00432986">
        <w:rPr>
          <w:i/>
          <w:iCs/>
          <w:sz w:val="18"/>
          <w:szCs w:val="18"/>
        </w:rPr>
        <w:t>Communication from the Commission to the European Parliament, the Council, the European Economic and Social Committee and The Committee of the Regions: Building the future with nature: Boosting Biotechnology and Biomanufacturing in the EU</w:t>
      </w:r>
      <w:r w:rsidR="00FF2CFE" w:rsidRPr="00432986">
        <w:rPr>
          <w:sz w:val="18"/>
          <w:szCs w:val="18"/>
        </w:rPr>
        <w:t>, COM(2024) 137 final.</w:t>
      </w:r>
    </w:p>
  </w:footnote>
  <w:footnote w:id="281">
    <w:p w14:paraId="4159CE8E" w14:textId="31366BAC" w:rsidR="00C17E09" w:rsidRPr="00432986" w:rsidRDefault="00C17E09" w:rsidP="00885795">
      <w:pPr>
        <w:pStyle w:val="FootnoteText"/>
        <w:rPr>
          <w:sz w:val="18"/>
          <w:szCs w:val="18"/>
        </w:rPr>
      </w:pPr>
      <w:r w:rsidRPr="00432986">
        <w:rPr>
          <w:rStyle w:val="FootnoteReference"/>
          <w:sz w:val="18"/>
          <w:szCs w:val="18"/>
        </w:rPr>
        <w:footnoteRef/>
      </w:r>
      <w:r w:rsidRPr="00432986">
        <w:rPr>
          <w:sz w:val="18"/>
          <w:szCs w:val="18"/>
        </w:rPr>
        <w:t xml:space="preserve"> See </w:t>
      </w:r>
      <w:hyperlink r:id="rId138" w:history="1">
        <w:r w:rsidRPr="00432986">
          <w:rPr>
            <w:rStyle w:val="Hyperlink"/>
            <w:sz w:val="18"/>
            <w:szCs w:val="18"/>
          </w:rPr>
          <w:t>https://www.bridgecross.bio/mapping-chinas-biotech-hubs-where-policy-capital-and-competition-collide/</w:t>
        </w:r>
      </w:hyperlink>
      <w:r w:rsidRPr="00432986">
        <w:rPr>
          <w:sz w:val="18"/>
          <w:szCs w:val="18"/>
        </w:rPr>
        <w:t xml:space="preserve">; </w:t>
      </w:r>
      <w:hyperlink r:id="rId139" w:history="1">
        <w:r w:rsidRPr="00432986">
          <w:rPr>
            <w:rStyle w:val="Hyperlink"/>
            <w:sz w:val="18"/>
            <w:szCs w:val="18"/>
          </w:rPr>
          <w:t>https://merics.org/en/report/lab-leader-market-ascender-chinas-rise-biotechnology</w:t>
        </w:r>
      </w:hyperlink>
      <w:r w:rsidRPr="00432986">
        <w:rPr>
          <w:sz w:val="18"/>
          <w:szCs w:val="18"/>
        </w:rPr>
        <w:t>.</w:t>
      </w:r>
    </w:p>
  </w:footnote>
  <w:footnote w:id="282">
    <w:p w14:paraId="415ABF89" w14:textId="77777777"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Innovate UK (2023). </w:t>
      </w:r>
      <w:r w:rsidRPr="00432986">
        <w:rPr>
          <w:i/>
          <w:iCs/>
          <w:sz w:val="18"/>
          <w:szCs w:val="18"/>
        </w:rPr>
        <w:t>Enterprise Europe Network impact evaluation</w:t>
      </w:r>
      <w:r w:rsidRPr="00432986">
        <w:rPr>
          <w:sz w:val="18"/>
          <w:szCs w:val="18"/>
        </w:rPr>
        <w:t xml:space="preserve">. Available at: </w:t>
      </w:r>
      <w:hyperlink r:id="rId140" w:history="1">
        <w:r w:rsidRPr="00432986">
          <w:rPr>
            <w:rStyle w:val="Hyperlink"/>
            <w:sz w:val="18"/>
            <w:szCs w:val="18"/>
          </w:rPr>
          <w:t>https://www.ukri.org/publications/enterprise-europe-network-impact-evaluation/</w:t>
        </w:r>
      </w:hyperlink>
      <w:r w:rsidRPr="00432986">
        <w:rPr>
          <w:sz w:val="18"/>
          <w:szCs w:val="18"/>
        </w:rPr>
        <w:t>.</w:t>
      </w:r>
    </w:p>
  </w:footnote>
  <w:footnote w:id="283">
    <w:p w14:paraId="5172BE64" w14:textId="77777777"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European Medicines Agency (2025). </w:t>
      </w:r>
      <w:r w:rsidRPr="00432986">
        <w:rPr>
          <w:i/>
          <w:iCs/>
          <w:sz w:val="18"/>
          <w:szCs w:val="18"/>
        </w:rPr>
        <w:t>Outcome of SME office survey on the implementation of the SME regulation - Commission Regulation (EC) No 2049/2005</w:t>
      </w:r>
      <w:r w:rsidRPr="00432986">
        <w:rPr>
          <w:sz w:val="18"/>
          <w:szCs w:val="18"/>
        </w:rPr>
        <w:t xml:space="preserve">. Available at: </w:t>
      </w:r>
      <w:hyperlink r:id="rId141" w:history="1">
        <w:r w:rsidRPr="00432986">
          <w:rPr>
            <w:rStyle w:val="Hyperlink"/>
            <w:sz w:val="18"/>
            <w:szCs w:val="18"/>
          </w:rPr>
          <w:t>https://www.ema.europa.eu/en/about-us/support-smes/sme-regulation-reports</w:t>
        </w:r>
      </w:hyperlink>
      <w:r w:rsidRPr="00432986">
        <w:rPr>
          <w:sz w:val="18"/>
          <w:szCs w:val="18"/>
        </w:rPr>
        <w:t>.</w:t>
      </w:r>
    </w:p>
  </w:footnote>
  <w:footnote w:id="284">
    <w:p w14:paraId="39FED114" w14:textId="77777777" w:rsidR="00153ADE" w:rsidRPr="00432986" w:rsidRDefault="00153ADE" w:rsidP="00885795">
      <w:pPr>
        <w:pStyle w:val="FootnoteText"/>
        <w:rPr>
          <w:sz w:val="18"/>
          <w:szCs w:val="18"/>
          <w:lang w:val="lt-LT"/>
        </w:rPr>
      </w:pPr>
      <w:r w:rsidRPr="00432986">
        <w:rPr>
          <w:rStyle w:val="FootnoteReference"/>
          <w:sz w:val="18"/>
          <w:szCs w:val="18"/>
        </w:rPr>
        <w:footnoteRef/>
      </w:r>
      <w:r w:rsidRPr="00432986">
        <w:rPr>
          <w:sz w:val="18"/>
          <w:szCs w:val="18"/>
        </w:rPr>
        <w:t xml:space="preserve"> Innovate UK (2023). </w:t>
      </w:r>
      <w:r w:rsidRPr="00432986">
        <w:rPr>
          <w:i/>
          <w:iCs/>
          <w:sz w:val="18"/>
          <w:szCs w:val="18"/>
        </w:rPr>
        <w:t>Enterprise Europe Network impact evaluation</w:t>
      </w:r>
      <w:r w:rsidRPr="00432986">
        <w:rPr>
          <w:sz w:val="18"/>
          <w:szCs w:val="18"/>
        </w:rPr>
        <w:t xml:space="preserve">. Available at: </w:t>
      </w:r>
      <w:hyperlink r:id="rId142" w:history="1">
        <w:r w:rsidRPr="00432986">
          <w:rPr>
            <w:rStyle w:val="Hyperlink"/>
            <w:sz w:val="18"/>
            <w:szCs w:val="18"/>
          </w:rPr>
          <w:t>https://www.ukri.org/publications/enterprise-europe-network-impact-evaluation/</w:t>
        </w:r>
      </w:hyperlink>
      <w:r w:rsidRPr="00432986">
        <w:rPr>
          <w:sz w:val="18"/>
          <w:szCs w:val="18"/>
        </w:rPr>
        <w:t>.</w:t>
      </w:r>
    </w:p>
  </w:footnote>
  <w:footnote w:id="285">
    <w:p w14:paraId="7FA7C26E" w14:textId="77777777" w:rsidR="00153ADE" w:rsidRPr="00432986" w:rsidRDefault="00153ADE" w:rsidP="00885795">
      <w:pPr>
        <w:pStyle w:val="FootnoteText"/>
        <w:rPr>
          <w:sz w:val="18"/>
          <w:szCs w:val="18"/>
          <w:lang w:val="lt-LT"/>
        </w:rPr>
      </w:pPr>
      <w:r w:rsidRPr="00432986">
        <w:rPr>
          <w:rStyle w:val="FootnoteReference"/>
          <w:sz w:val="18"/>
          <w:szCs w:val="18"/>
        </w:rPr>
        <w:footnoteRef/>
      </w:r>
      <w:r w:rsidRPr="00432986">
        <w:rPr>
          <w:sz w:val="18"/>
          <w:szCs w:val="18"/>
        </w:rPr>
        <w:t xml:space="preserve"> European Commission (2025). </w:t>
      </w:r>
      <w:r w:rsidRPr="00432986">
        <w:rPr>
          <w:i/>
          <w:iCs/>
          <w:sz w:val="18"/>
          <w:szCs w:val="18"/>
        </w:rPr>
        <w:t>Single market programme mid-term evaluation – Supporting study – Final report</w:t>
      </w:r>
      <w:r w:rsidRPr="00432986">
        <w:rPr>
          <w:sz w:val="18"/>
          <w:szCs w:val="18"/>
        </w:rPr>
        <w:t xml:space="preserve">. Available at: </w:t>
      </w:r>
      <w:hyperlink r:id="rId143" w:history="1">
        <w:r w:rsidRPr="00432986">
          <w:rPr>
            <w:rStyle w:val="Hyperlink"/>
            <w:sz w:val="18"/>
            <w:szCs w:val="18"/>
          </w:rPr>
          <w:t>https://data.europa.eu/doi/10.2873/1307895</w:t>
        </w:r>
      </w:hyperlink>
      <w:r w:rsidRPr="00432986">
        <w:rPr>
          <w:sz w:val="18"/>
          <w:szCs w:val="18"/>
        </w:rPr>
        <w:t>.</w:t>
      </w:r>
    </w:p>
  </w:footnote>
  <w:footnote w:id="286">
    <w:p w14:paraId="61DAF1D1" w14:textId="77777777"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See </w:t>
      </w:r>
      <w:hyperlink r:id="rId144" w:history="1">
        <w:r w:rsidRPr="00432986">
          <w:rPr>
            <w:rStyle w:val="Hyperlink"/>
            <w:sz w:val="18"/>
            <w:szCs w:val="18"/>
          </w:rPr>
          <w:t>https://eic.ec.europa.eu/eic-funding-opportunities/bas_en</w:t>
        </w:r>
      </w:hyperlink>
      <w:r w:rsidRPr="00432986">
        <w:rPr>
          <w:sz w:val="18"/>
          <w:szCs w:val="18"/>
        </w:rPr>
        <w:t>.</w:t>
      </w:r>
    </w:p>
  </w:footnote>
  <w:footnote w:id="287">
    <w:p w14:paraId="277BC282" w14:textId="77777777"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See </w:t>
      </w:r>
      <w:hyperlink r:id="rId145" w:history="1">
        <w:r w:rsidRPr="00432986">
          <w:rPr>
            <w:rStyle w:val="Hyperlink"/>
            <w:sz w:val="18"/>
            <w:szCs w:val="18"/>
          </w:rPr>
          <w:t>https://www.ema.europa.eu/en/news/improving-efficiency-approval-process-new-medicines-eu</w:t>
        </w:r>
      </w:hyperlink>
      <w:r w:rsidRPr="00432986">
        <w:rPr>
          <w:sz w:val="18"/>
          <w:szCs w:val="18"/>
        </w:rPr>
        <w:t>.</w:t>
      </w:r>
    </w:p>
  </w:footnote>
  <w:footnote w:id="288">
    <w:p w14:paraId="51E1B810" w14:textId="77777777"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EMA 2020 and 2025 SME Office surveys. Available at  </w:t>
      </w:r>
      <w:hyperlink r:id="rId146" w:history="1">
        <w:r w:rsidRPr="00432986">
          <w:rPr>
            <w:rStyle w:val="Hyperlink"/>
            <w:sz w:val="18"/>
            <w:szCs w:val="18"/>
          </w:rPr>
          <w:t>https://www.ema.europa.eu/en/about-us/support-smes/sme-regulation-reports</w:t>
        </w:r>
      </w:hyperlink>
      <w:r w:rsidRPr="00432986">
        <w:rPr>
          <w:sz w:val="18"/>
          <w:szCs w:val="18"/>
        </w:rPr>
        <w:t xml:space="preserve">. See also </w:t>
      </w:r>
      <w:hyperlink r:id="rId147" w:history="1">
        <w:r w:rsidRPr="00432986">
          <w:rPr>
            <w:rStyle w:val="Hyperlink"/>
            <w:sz w:val="18"/>
            <w:szCs w:val="18"/>
          </w:rPr>
          <w:t>https://somerville-partners.com/how-successful-are-the-emas-sme-initiatives/</w:t>
        </w:r>
      </w:hyperlink>
      <w:r w:rsidRPr="00432986">
        <w:rPr>
          <w:sz w:val="18"/>
          <w:szCs w:val="18"/>
        </w:rPr>
        <w:t>.</w:t>
      </w:r>
    </w:p>
  </w:footnote>
  <w:footnote w:id="289">
    <w:p w14:paraId="5B5F188D" w14:textId="77777777"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PRIME is a scheme run by EMA to enhance support for the development of medicines that target an unmet medical need. This voluntary scheme is based on enhanced interaction and early dialogue with developers of promising medicines, to optimise development plans and speed up evaluation so these medicines can reach patients earlier.</w:t>
      </w:r>
    </w:p>
  </w:footnote>
  <w:footnote w:id="290">
    <w:p w14:paraId="6A3DB1C9" w14:textId="77777777"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See </w:t>
      </w:r>
      <w:hyperlink r:id="rId148" w:history="1">
        <w:r w:rsidRPr="00432986">
          <w:rPr>
            <w:rStyle w:val="Hyperlink"/>
            <w:sz w:val="18"/>
            <w:szCs w:val="18"/>
          </w:rPr>
          <w:t>https://www.hta.gov.uk/guidance-professionals/guidance-sector/human-application/regulatory-advice-service-regenerative</w:t>
        </w:r>
      </w:hyperlink>
      <w:r w:rsidRPr="00432986">
        <w:rPr>
          <w:sz w:val="18"/>
          <w:szCs w:val="18"/>
        </w:rPr>
        <w:t>.</w:t>
      </w:r>
    </w:p>
  </w:footnote>
  <w:footnote w:id="291">
    <w:p w14:paraId="5BDA60AE" w14:textId="77777777"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See </w:t>
      </w:r>
      <w:hyperlink r:id="rId149" w:history="1">
        <w:r w:rsidRPr="00432986">
          <w:rPr>
            <w:rStyle w:val="Hyperlink"/>
            <w:sz w:val="18"/>
            <w:szCs w:val="18"/>
          </w:rPr>
          <w:t>https://assets.publishing.service.gov.uk/media/5a81f4bced915d74e3400f57/Government_Response_to__Inquiry_into_Regenerative_MedicineCm_9491.pdf</w:t>
        </w:r>
      </w:hyperlink>
      <w:r w:rsidRPr="00432986">
        <w:rPr>
          <w:sz w:val="18"/>
          <w:szCs w:val="18"/>
        </w:rPr>
        <w:t>.</w:t>
      </w:r>
    </w:p>
  </w:footnote>
  <w:footnote w:id="292">
    <w:p w14:paraId="63BBEC4B" w14:textId="70476430"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As per the Proposal for the </w:t>
      </w:r>
      <w:r w:rsidR="00E27D56" w:rsidRPr="00432986">
        <w:rPr>
          <w:sz w:val="18"/>
          <w:szCs w:val="18"/>
        </w:rPr>
        <w:t xml:space="preserve">European </w:t>
      </w:r>
      <w:r w:rsidRPr="00432986">
        <w:rPr>
          <w:sz w:val="18"/>
          <w:szCs w:val="18"/>
        </w:rPr>
        <w:t>Biotech Act (Section 4, Article 19(5)) “The Commission shall select the members of the Network based on criteria made public pertaining to the expertise and capabilities required to fulfil the missions referred to in paragraph 3”.</w:t>
      </w:r>
    </w:p>
  </w:footnote>
  <w:footnote w:id="293">
    <w:p w14:paraId="3B64E777" w14:textId="756BC3A7"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Workshop on strengthening biotechnology clusters: current landscape and potential impacts of the European Biotech Act proposal.</w:t>
      </w:r>
    </w:p>
  </w:footnote>
  <w:footnote w:id="294">
    <w:p w14:paraId="2910A17D" w14:textId="77777777"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European Cluster Collaboration Platform (2025). </w:t>
      </w:r>
      <w:r w:rsidRPr="00432986">
        <w:rPr>
          <w:i/>
          <w:iCs/>
          <w:sz w:val="18"/>
          <w:szCs w:val="18"/>
        </w:rPr>
        <w:t>Clusters and Europe’s Competitiveness ECCP Summary Report 2025</w:t>
      </w:r>
      <w:r w:rsidRPr="00432986">
        <w:rPr>
          <w:sz w:val="18"/>
          <w:szCs w:val="18"/>
        </w:rPr>
        <w:t xml:space="preserve">. Available at: </w:t>
      </w:r>
      <w:hyperlink r:id="rId150" w:history="1">
        <w:r w:rsidRPr="00432986">
          <w:rPr>
            <w:rStyle w:val="Hyperlink"/>
            <w:sz w:val="18"/>
            <w:szCs w:val="18"/>
          </w:rPr>
          <w:t>https://www.clustercollaboration.eu/sites/default/files/document-store/ECCP_SummaryReport_2025.pdf</w:t>
        </w:r>
      </w:hyperlink>
      <w:r w:rsidRPr="00432986">
        <w:rPr>
          <w:sz w:val="18"/>
          <w:szCs w:val="18"/>
        </w:rPr>
        <w:t>.</w:t>
      </w:r>
    </w:p>
  </w:footnote>
  <w:footnote w:id="295">
    <w:p w14:paraId="7E100967" w14:textId="77777777"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Prognos, CSES, Idea Consult (2021). </w:t>
      </w:r>
      <w:r w:rsidRPr="00432986">
        <w:rPr>
          <w:i/>
          <w:iCs/>
          <w:sz w:val="18"/>
          <w:szCs w:val="18"/>
        </w:rPr>
        <w:t>Evaluation Study of and Potential Follow-Up to Cluster Initiatives under COSME, H2020 and FPI</w:t>
      </w:r>
      <w:r w:rsidRPr="00432986">
        <w:rPr>
          <w:sz w:val="18"/>
          <w:szCs w:val="18"/>
        </w:rPr>
        <w:t xml:space="preserve">. Available at: </w:t>
      </w:r>
      <w:hyperlink r:id="rId151" w:history="1">
        <w:r w:rsidRPr="00432986">
          <w:rPr>
            <w:rStyle w:val="Hyperlink"/>
            <w:sz w:val="18"/>
            <w:szCs w:val="18"/>
          </w:rPr>
          <w:t>https://data.europa.eu/doi/10.2873/977418</w:t>
        </w:r>
      </w:hyperlink>
      <w:r w:rsidRPr="00432986">
        <w:rPr>
          <w:sz w:val="18"/>
          <w:szCs w:val="18"/>
        </w:rPr>
        <w:t>.</w:t>
      </w:r>
    </w:p>
  </w:footnote>
  <w:footnote w:id="296">
    <w:p w14:paraId="4845C22F" w14:textId="423DC78B"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Workshop on strengthening biotechnology clusters: current landscape and potential impacts of the European Biotech Act proposal.</w:t>
      </w:r>
    </w:p>
  </w:footnote>
  <w:footnote w:id="297">
    <w:p w14:paraId="37375207" w14:textId="77777777"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Innovate UK (2023). </w:t>
      </w:r>
      <w:r w:rsidRPr="00432986">
        <w:rPr>
          <w:i/>
          <w:iCs/>
          <w:sz w:val="18"/>
          <w:szCs w:val="18"/>
        </w:rPr>
        <w:t>Enterprise Europe Network impact evaluation</w:t>
      </w:r>
      <w:r w:rsidRPr="00432986">
        <w:rPr>
          <w:sz w:val="18"/>
          <w:szCs w:val="18"/>
        </w:rPr>
        <w:t xml:space="preserve">. Available at: </w:t>
      </w:r>
      <w:hyperlink r:id="rId152" w:history="1">
        <w:r w:rsidRPr="00432986">
          <w:rPr>
            <w:rStyle w:val="Hyperlink"/>
            <w:sz w:val="18"/>
            <w:szCs w:val="18"/>
          </w:rPr>
          <w:t>https://www.ukri.org/publications/enterprise-europe-network-impact-evaluation/</w:t>
        </w:r>
      </w:hyperlink>
      <w:r w:rsidRPr="00432986">
        <w:rPr>
          <w:sz w:val="18"/>
          <w:szCs w:val="18"/>
        </w:rPr>
        <w:t>.</w:t>
      </w:r>
    </w:p>
  </w:footnote>
  <w:footnote w:id="298">
    <w:p w14:paraId="60529EEC" w14:textId="571CEC4C"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Workshop on strengthening biotechnology clusters: current landscape and potential impacts of the European Biotech Act proposal.</w:t>
      </w:r>
    </w:p>
  </w:footnote>
  <w:footnote w:id="299">
    <w:p w14:paraId="5CA7AF68" w14:textId="77777777" w:rsidR="00153ADE" w:rsidRPr="00432986" w:rsidRDefault="00153ADE" w:rsidP="00885795">
      <w:pPr>
        <w:pStyle w:val="FootnoteText"/>
        <w:rPr>
          <w:sz w:val="18"/>
          <w:szCs w:val="18"/>
        </w:rPr>
      </w:pPr>
      <w:r w:rsidRPr="00432986">
        <w:rPr>
          <w:rStyle w:val="FootnoteReference"/>
          <w:sz w:val="18"/>
          <w:szCs w:val="18"/>
        </w:rPr>
        <w:footnoteRef/>
      </w:r>
      <w:r w:rsidRPr="00432986">
        <w:rPr>
          <w:sz w:val="18"/>
          <w:szCs w:val="18"/>
        </w:rPr>
        <w:t xml:space="preserve"> European Commission (2023). </w:t>
      </w:r>
      <w:r w:rsidRPr="00432986">
        <w:rPr>
          <w:i/>
          <w:iCs/>
          <w:sz w:val="18"/>
          <w:szCs w:val="18"/>
        </w:rPr>
        <w:t>Commission Staff Working Document for a Regulation of the European Parliament and of the Council on establishing a framework of measures for strengthening Europe’s net-zero technology products manufacturing ecosystem (Net Zero Industry Act)</w:t>
      </w:r>
      <w:r w:rsidRPr="00432986">
        <w:rPr>
          <w:sz w:val="18"/>
          <w:szCs w:val="18"/>
        </w:rPr>
        <w:t xml:space="preserve">. Available at </w:t>
      </w:r>
      <w:hyperlink r:id="rId153" w:history="1">
        <w:r w:rsidRPr="00432986">
          <w:rPr>
            <w:rStyle w:val="Hyperlink"/>
            <w:sz w:val="18"/>
            <w:szCs w:val="18"/>
          </w:rPr>
          <w:t>https://www.europarl.europa.eu/RegData/docs_autres_institutions/commission_europeenne/swd/2023/0219/COM_SWD(2023)0219_EN.pdf</w:t>
        </w:r>
      </w:hyperlink>
      <w:r w:rsidRPr="00432986">
        <w:rPr>
          <w:sz w:val="18"/>
          <w:szCs w:val="18"/>
        </w:rPr>
        <w:t>.</w:t>
      </w:r>
    </w:p>
  </w:footnote>
  <w:footnote w:id="300">
    <w:p w14:paraId="2801034C" w14:textId="77777777" w:rsidR="00153ADE" w:rsidRPr="00432986" w:rsidRDefault="00153ADE" w:rsidP="00885795">
      <w:pPr>
        <w:pStyle w:val="FootnoteText"/>
        <w:rPr>
          <w:i/>
          <w:iCs/>
          <w:sz w:val="18"/>
          <w:szCs w:val="18"/>
        </w:rPr>
      </w:pPr>
      <w:r w:rsidRPr="00432986">
        <w:rPr>
          <w:rStyle w:val="FootnoteReference"/>
          <w:sz w:val="18"/>
          <w:szCs w:val="18"/>
        </w:rPr>
        <w:footnoteRef/>
      </w:r>
      <w:r w:rsidRPr="00432986">
        <w:rPr>
          <w:sz w:val="18"/>
          <w:szCs w:val="18"/>
        </w:rPr>
        <w:t xml:space="preserve"> European Commission (2023). </w:t>
      </w:r>
      <w:r w:rsidRPr="00432986">
        <w:rPr>
          <w:i/>
          <w:iCs/>
          <w:sz w:val="18"/>
          <w:szCs w:val="18"/>
        </w:rPr>
        <w:t>Commission Staff Working Document Impact Assessment Report accompanying the document Proposal for a Regulation of the European Parliament and of the Council establishing a framework for ensuring a secure and sustainable supply of critical raw materials and amending Regulations (EU) 168/2013, (EU) 2018/858, 2018/1724 and (EU)</w:t>
      </w:r>
    </w:p>
    <w:p w14:paraId="49E83E45" w14:textId="77777777" w:rsidR="00153ADE" w:rsidRPr="00432986" w:rsidRDefault="00153ADE" w:rsidP="00885795">
      <w:pPr>
        <w:pStyle w:val="FootnoteText"/>
        <w:rPr>
          <w:sz w:val="18"/>
          <w:szCs w:val="18"/>
        </w:rPr>
      </w:pPr>
      <w:r w:rsidRPr="00432986">
        <w:rPr>
          <w:i/>
          <w:iCs/>
          <w:sz w:val="18"/>
          <w:szCs w:val="18"/>
        </w:rPr>
        <w:t>2019/1020</w:t>
      </w:r>
      <w:r w:rsidRPr="00432986">
        <w:rPr>
          <w:sz w:val="18"/>
          <w:szCs w:val="18"/>
        </w:rPr>
        <w:t xml:space="preserve">. Available at: </w:t>
      </w:r>
      <w:hyperlink r:id="rId154" w:history="1">
        <w:r w:rsidRPr="00432986">
          <w:rPr>
            <w:rStyle w:val="Hyperlink"/>
            <w:sz w:val="18"/>
            <w:szCs w:val="18"/>
          </w:rPr>
          <w:t>https://eur-lex.europa.eu/legal-content/EN/TXT/PDF/?uri=CELEX:52023SC0161</w:t>
        </w:r>
      </w:hyperlink>
      <w:r w:rsidRPr="00432986">
        <w:rPr>
          <w:sz w:val="18"/>
          <w:szCs w:val="18"/>
        </w:rPr>
        <w:t xml:space="preserve">. </w:t>
      </w:r>
    </w:p>
  </w:footnote>
  <w:footnote w:id="301">
    <w:p w14:paraId="14735DBA" w14:textId="317CF8E2" w:rsidR="00C006F4" w:rsidRPr="00432986" w:rsidRDefault="00C006F4">
      <w:pPr>
        <w:spacing w:after="0"/>
        <w:rPr>
          <w:sz w:val="18"/>
          <w:szCs w:val="18"/>
        </w:rPr>
      </w:pPr>
      <w:r w:rsidRPr="00432986">
        <w:rPr>
          <w:sz w:val="18"/>
          <w:szCs w:val="18"/>
          <w:vertAlign w:val="superscript"/>
        </w:rPr>
        <w:footnoteRef/>
      </w:r>
      <w:r w:rsidR="00C65D85">
        <w:rPr>
          <w:sz w:val="18"/>
          <w:szCs w:val="18"/>
        </w:rPr>
        <w:t xml:space="preserve"> </w:t>
      </w:r>
      <w:r w:rsidRPr="00432986">
        <w:rPr>
          <w:sz w:val="18"/>
          <w:szCs w:val="18"/>
        </w:rPr>
        <w:t>McKinsey &amp; Company. (2022, August 19). Three imperatives for R&amp;D in biosimilars. https://www.mckinsey.com/industries/life-sciences/our-insights/three-imperatives-for-r-and-d-in-biosimilars</w:t>
      </w:r>
    </w:p>
  </w:footnote>
  <w:footnote w:id="302">
    <w:p w14:paraId="28DF5228" w14:textId="41AEBC64" w:rsidR="00C006F4" w:rsidRPr="00432986" w:rsidRDefault="00C006F4">
      <w:pPr>
        <w:spacing w:after="0"/>
        <w:rPr>
          <w:rFonts w:eastAsia="Times New Roman"/>
          <w:sz w:val="18"/>
          <w:szCs w:val="18"/>
        </w:rPr>
      </w:pPr>
      <w:r w:rsidRPr="00432986">
        <w:rPr>
          <w:sz w:val="18"/>
          <w:szCs w:val="18"/>
          <w:vertAlign w:val="superscript"/>
        </w:rPr>
        <w:footnoteRef/>
      </w:r>
      <w:r w:rsidR="11FB219F" w:rsidRPr="11FB219F">
        <w:rPr>
          <w:sz w:val="18"/>
          <w:szCs w:val="18"/>
          <w:vertAlign w:val="superscript"/>
        </w:rPr>
        <w:t xml:space="preserve"> </w:t>
      </w:r>
      <w:r w:rsidR="11FB219F" w:rsidRPr="00F46227">
        <w:rPr>
          <w:sz w:val="18"/>
          <w:szCs w:val="18"/>
        </w:rPr>
        <w:t>Moore, T. J., Mouslim, M. C., Blunt, J. L., Alexander, G. C., &amp; Shermock, K. M. (2020). Assessment of availability, clinical testing, and US Food and Drug Administration review of biosimilar biologic products. JAMA Internal Medicine, 181(1), 52–60. https://doi.org/10.1001/jamainternmed.2020.3997</w:t>
      </w:r>
    </w:p>
  </w:footnote>
  <w:footnote w:id="303">
    <w:p w14:paraId="1A5F9B1B" w14:textId="2714A3D2" w:rsidR="00C006F4" w:rsidRPr="00432986" w:rsidRDefault="00C006F4">
      <w:pPr>
        <w:pStyle w:val="FootnoteText"/>
        <w:rPr>
          <w:sz w:val="18"/>
          <w:szCs w:val="18"/>
        </w:rPr>
      </w:pPr>
      <w:r w:rsidRPr="00432986">
        <w:rPr>
          <w:rStyle w:val="FootnoteReference"/>
          <w:sz w:val="18"/>
          <w:szCs w:val="18"/>
        </w:rPr>
        <w:footnoteRef/>
      </w:r>
      <w:r w:rsidR="00C65D85">
        <w:rPr>
          <w:sz w:val="18"/>
          <w:szCs w:val="18"/>
        </w:rPr>
        <w:t> </w:t>
      </w:r>
      <w:r w:rsidR="001F05A0" w:rsidRPr="001F05A0">
        <w:rPr>
          <w:sz w:val="18"/>
          <w:szCs w:val="18"/>
        </w:rPr>
        <w:t xml:space="preserve">IQVIA, </w:t>
      </w:r>
      <w:r w:rsidR="001F05A0" w:rsidRPr="00F46227">
        <w:rPr>
          <w:sz w:val="18"/>
          <w:szCs w:val="18"/>
        </w:rPr>
        <w:t>The Impact of Biosimilar Competition in Europe</w:t>
      </w:r>
      <w:r w:rsidR="001F05A0" w:rsidRPr="00D635D0">
        <w:rPr>
          <w:sz w:val="18"/>
          <w:szCs w:val="18"/>
        </w:rPr>
        <w:t>,</w:t>
      </w:r>
      <w:r w:rsidR="001F05A0" w:rsidRPr="001F05A0">
        <w:rPr>
          <w:sz w:val="18"/>
          <w:szCs w:val="18"/>
        </w:rPr>
        <w:t xml:space="preserve"> January 26, 2026,</w:t>
      </w:r>
      <w:r w:rsidRPr="00432986">
        <w:rPr>
          <w:sz w:val="18"/>
          <w:szCs w:val="18"/>
        </w:rPr>
        <w:t xml:space="preserve"> </w:t>
      </w:r>
      <w:hyperlink r:id="rId155" w:history="1">
        <w:r w:rsidRPr="00432986">
          <w:rPr>
            <w:rStyle w:val="Hyperlink"/>
            <w:sz w:val="18"/>
            <w:szCs w:val="18"/>
          </w:rPr>
          <w:t>iqvia-the-impact-of-biosimilar-competition-in-europe-2026-01-26-forweb.pdf</w:t>
        </w:r>
      </w:hyperlink>
    </w:p>
  </w:footnote>
  <w:footnote w:id="304">
    <w:p w14:paraId="60CE14BA" w14:textId="77777777" w:rsidR="00C006F4" w:rsidRPr="00432986" w:rsidRDefault="00C006F4">
      <w:pPr>
        <w:spacing w:after="0"/>
        <w:rPr>
          <w:sz w:val="18"/>
          <w:szCs w:val="18"/>
        </w:rPr>
      </w:pPr>
      <w:r w:rsidRPr="004570F2">
        <w:rPr>
          <w:sz w:val="18"/>
          <w:vertAlign w:val="superscript"/>
        </w:rPr>
        <w:footnoteRef/>
      </w:r>
      <w:r w:rsidRPr="00432986">
        <w:rPr>
          <w:sz w:val="18"/>
          <w:szCs w:val="18"/>
        </w:rPr>
        <w:t xml:space="preserve"> European Medicines Agency. (2026). Medicines output report [dataset]. Retrieved 2 March 2026 from https://www.ema.europa.eu/en/medicines/download-medicine-data</w:t>
      </w:r>
    </w:p>
  </w:footnote>
  <w:footnote w:id="305">
    <w:p w14:paraId="5CFE0D11" w14:textId="0BA2006C" w:rsidR="00C006F4" w:rsidRPr="00C65D85" w:rsidRDefault="00C006F4">
      <w:pPr>
        <w:spacing w:after="0"/>
        <w:rPr>
          <w:rStyle w:val="Hyperlink"/>
          <w:rFonts w:eastAsia="Palatino Linotype"/>
          <w:sz w:val="18"/>
          <w:szCs w:val="18"/>
        </w:rPr>
      </w:pPr>
      <w:r w:rsidRPr="004570F2">
        <w:rPr>
          <w:sz w:val="18"/>
          <w:vertAlign w:val="superscript"/>
        </w:rPr>
        <w:footnoteRef/>
      </w:r>
      <w:r w:rsidRPr="00432986">
        <w:rPr>
          <w:sz w:val="18"/>
          <w:szCs w:val="18"/>
          <w:lang w:val="de-DE"/>
        </w:rPr>
        <w:t xml:space="preserve"> </w:t>
      </w:r>
      <w:r w:rsidR="00117C1D" w:rsidRPr="00432986">
        <w:rPr>
          <w:sz w:val="18"/>
          <w:szCs w:val="18"/>
          <w:lang w:val="de-DE"/>
        </w:rPr>
        <w:t>K</w:t>
      </w:r>
      <w:r w:rsidRPr="00432986">
        <w:rPr>
          <w:sz w:val="18"/>
          <w:szCs w:val="18"/>
          <w:lang w:val="de-DE"/>
        </w:rPr>
        <w:t>irsch</w:t>
      </w:r>
      <w:r w:rsidRPr="004570F2">
        <w:rPr>
          <w:sz w:val="18"/>
          <w:lang w:val="de-DE"/>
        </w:rPr>
        <w:t xml:space="preserve">-Stefan, N., Guillen, E., Ekman, N., Barry, S., Knippel, V., Killalea, S., Weise, M., &amp; Wolff-Holz, E. (2023). </w:t>
      </w:r>
      <w:r w:rsidRPr="004570F2">
        <w:rPr>
          <w:sz w:val="18"/>
        </w:rPr>
        <w:t xml:space="preserve">Do the outcomes of clinical efficacy trials matter in regulatory decision-making for biosimilars? </w:t>
      </w:r>
      <w:r w:rsidRPr="00C65D85">
        <w:rPr>
          <w:sz w:val="18"/>
        </w:rPr>
        <w:t>BioDrugs, 37(6), 855–871.</w:t>
      </w:r>
      <w:r w:rsidRPr="00C65D85">
        <w:rPr>
          <w:rFonts w:eastAsia="Palatino Linotype"/>
          <w:color w:val="008080"/>
          <w:sz w:val="18"/>
          <w:szCs w:val="18"/>
          <w:u w:val="single"/>
        </w:rPr>
        <w:t xml:space="preserve"> </w:t>
      </w:r>
      <w:hyperlink r:id="rId156" w:history="1">
        <w:r w:rsidRPr="00C65D85">
          <w:rPr>
            <w:rStyle w:val="Hyperlink"/>
            <w:rFonts w:eastAsia="Palatino Linotype"/>
            <w:sz w:val="18"/>
            <w:szCs w:val="18"/>
          </w:rPr>
          <w:t>https://doi.org/10.1007/s40259-023-00631-4</w:t>
        </w:r>
      </w:hyperlink>
    </w:p>
  </w:footnote>
  <w:footnote w:id="306">
    <w:p w14:paraId="19483BCA" w14:textId="77777777" w:rsidR="00C006F4" w:rsidRPr="00432986" w:rsidRDefault="00C006F4">
      <w:pPr>
        <w:spacing w:after="0"/>
        <w:rPr>
          <w:sz w:val="18"/>
          <w:szCs w:val="18"/>
          <w:lang w:val="en-IE"/>
        </w:rPr>
      </w:pPr>
      <w:r w:rsidRPr="004570F2">
        <w:rPr>
          <w:sz w:val="18"/>
          <w:vertAlign w:val="superscript"/>
        </w:rPr>
        <w:footnoteRef/>
      </w:r>
      <w:r w:rsidRPr="00C65D85">
        <w:rPr>
          <w:sz w:val="18"/>
          <w:szCs w:val="18"/>
        </w:rPr>
        <w:t xml:space="preserve"> Kirsch-Stefan, N., Guillen, E., Ekman, N., Barry, S., Knippel, V., Killalea, S., Weise, M., &amp; Wolff-Holz, E. (2023). </w:t>
      </w:r>
      <w:r w:rsidRPr="00432986">
        <w:rPr>
          <w:sz w:val="18"/>
          <w:szCs w:val="18"/>
        </w:rPr>
        <w:t>Do the outcomes of clinical efficacy trials matter in regulatory decision-making for biosimilars? BioDrugs, 37(6), 855–871. https://doi.org/10.1007/s40259-023-00631-4</w:t>
      </w:r>
    </w:p>
  </w:footnote>
  <w:footnote w:id="307">
    <w:p w14:paraId="032A7C78" w14:textId="77777777" w:rsidR="00C006F4" w:rsidRPr="00432986" w:rsidRDefault="00C006F4">
      <w:pPr>
        <w:spacing w:after="0"/>
        <w:rPr>
          <w:sz w:val="18"/>
          <w:szCs w:val="18"/>
        </w:rPr>
      </w:pPr>
      <w:r w:rsidRPr="00432986">
        <w:rPr>
          <w:sz w:val="18"/>
          <w:szCs w:val="18"/>
          <w:vertAlign w:val="superscript"/>
        </w:rPr>
        <w:footnoteRef/>
      </w:r>
      <w:r w:rsidRPr="00432986">
        <w:rPr>
          <w:sz w:val="18"/>
          <w:szCs w:val="18"/>
          <w:vertAlign w:val="superscript"/>
        </w:rPr>
        <w:t xml:space="preserve"> </w:t>
      </w:r>
      <w:r w:rsidRPr="00432986">
        <w:rPr>
          <w:sz w:val="18"/>
          <w:szCs w:val="18"/>
        </w:rPr>
        <w:t>European Medicines Agency. (2024). Reflection paper on a tailored clinical approach in biosimilar development (draft for consultation). Amsterdam: EMA.</w:t>
      </w:r>
    </w:p>
  </w:footnote>
  <w:footnote w:id="308">
    <w:p w14:paraId="7C7361A8" w14:textId="77777777" w:rsidR="00C006F4" w:rsidRPr="00432986" w:rsidRDefault="00C006F4">
      <w:pPr>
        <w:pStyle w:val="FootnoteText"/>
        <w:rPr>
          <w:rFonts w:eastAsiaTheme="minorHAnsi"/>
          <w:sz w:val="18"/>
          <w:szCs w:val="18"/>
        </w:rPr>
      </w:pPr>
      <w:r w:rsidRPr="00C65D85">
        <w:rPr>
          <w:rFonts w:eastAsiaTheme="minorHAnsi"/>
          <w:sz w:val="18"/>
          <w:szCs w:val="18"/>
          <w:vertAlign w:val="superscript"/>
        </w:rPr>
        <w:footnoteRef/>
      </w:r>
      <w:r w:rsidRPr="00432986">
        <w:rPr>
          <w:rFonts w:eastAsiaTheme="minorHAnsi"/>
          <w:sz w:val="18"/>
          <w:szCs w:val="18"/>
        </w:rPr>
        <w:t xml:space="preserve"> U.S. Food and Drug Administration. (2024). Considerations in demonstrating interchangeability with a reference product: Update (draft guidance). Silver Spring, MD: FDA.</w:t>
      </w:r>
    </w:p>
  </w:footnote>
  <w:footnote w:id="309">
    <w:p w14:paraId="71767013" w14:textId="77777777" w:rsidR="00C006F4" w:rsidRPr="00432986" w:rsidRDefault="00C006F4">
      <w:pPr>
        <w:pStyle w:val="FootnoteText"/>
        <w:rPr>
          <w:sz w:val="18"/>
          <w:szCs w:val="18"/>
          <w:lang w:val="en-IE"/>
        </w:rPr>
      </w:pPr>
      <w:r w:rsidRPr="004570F2">
        <w:rPr>
          <w:sz w:val="18"/>
          <w:vertAlign w:val="superscript"/>
        </w:rPr>
        <w:footnoteRef/>
      </w:r>
      <w:r w:rsidRPr="00432986">
        <w:rPr>
          <w:rFonts w:eastAsiaTheme="minorHAnsi"/>
          <w:sz w:val="18"/>
          <w:szCs w:val="18"/>
        </w:rPr>
        <w:t xml:space="preserve"> Smart &amp; Biggar. (2025, July 4). Update on biosimilars in Canada – June 2025. https://www.smartbiggar.ca/insights/publication/update-on-biosimilars-in-canada-june-2025</w:t>
      </w:r>
    </w:p>
  </w:footnote>
  <w:footnote w:id="310">
    <w:p w14:paraId="67B68774" w14:textId="77777777" w:rsidR="00C006F4" w:rsidRPr="00432986" w:rsidRDefault="00C006F4">
      <w:pPr>
        <w:pStyle w:val="FootnoteText"/>
        <w:rPr>
          <w:rFonts w:eastAsiaTheme="minorHAnsi"/>
          <w:sz w:val="18"/>
          <w:szCs w:val="18"/>
        </w:rPr>
      </w:pPr>
      <w:r w:rsidRPr="004570F2">
        <w:rPr>
          <w:sz w:val="18"/>
          <w:vertAlign w:val="superscript"/>
        </w:rPr>
        <w:footnoteRef/>
      </w:r>
      <w:r w:rsidRPr="00C65D85">
        <w:rPr>
          <w:sz w:val="18"/>
          <w:lang w:val="en-IE"/>
        </w:rPr>
        <w:t xml:space="preserve"> Kang, H. N., Thorpe, R., Knezevic, I., </w:t>
      </w:r>
      <w:r w:rsidRPr="00C65D85">
        <w:rPr>
          <w:i/>
          <w:sz w:val="18"/>
          <w:lang w:val="en-IE"/>
        </w:rPr>
        <w:t>et al.</w:t>
      </w:r>
      <w:r w:rsidRPr="00C65D85">
        <w:rPr>
          <w:sz w:val="18"/>
          <w:lang w:val="en-IE"/>
        </w:rPr>
        <w:t xml:space="preserve"> </w:t>
      </w:r>
      <w:r w:rsidRPr="00432986">
        <w:rPr>
          <w:rFonts w:eastAsiaTheme="minorHAnsi"/>
          <w:sz w:val="18"/>
          <w:szCs w:val="18"/>
        </w:rPr>
        <w:t>(2020). The regulatory landscape of biosimilars: WHO efforts and progress made from 2009 to 2019. Biologicals, 65, 1–9. https://doi.org/10.1016/j.biologicals.2020.02.005</w:t>
      </w:r>
    </w:p>
  </w:footnote>
  <w:footnote w:id="311">
    <w:p w14:paraId="60776566" w14:textId="77777777" w:rsidR="00C006F4" w:rsidRPr="00432986" w:rsidRDefault="00C006F4" w:rsidP="00885795">
      <w:pPr>
        <w:spacing w:after="0"/>
        <w:rPr>
          <w:rStyle w:val="Hyperlink"/>
          <w:rFonts w:eastAsia="Palatino Linotype"/>
          <w:sz w:val="18"/>
          <w:szCs w:val="18"/>
        </w:rPr>
      </w:pPr>
      <w:r w:rsidRPr="004570F2">
        <w:rPr>
          <w:sz w:val="18"/>
          <w:vertAlign w:val="superscript"/>
        </w:rPr>
        <w:footnoteRef/>
      </w:r>
      <w:r w:rsidRPr="00432986">
        <w:rPr>
          <w:sz w:val="18"/>
          <w:szCs w:val="18"/>
        </w:rPr>
        <w:t xml:space="preserve"> </w:t>
      </w:r>
      <w:r w:rsidRPr="004570F2">
        <w:rPr>
          <w:sz w:val="18"/>
          <w:lang w:val="en-IE"/>
        </w:rPr>
        <w:t>Precedence Research. (2025, August 13). Biosimilars market size to hit USD 175.99 billion by 2034.</w:t>
      </w:r>
      <w:r w:rsidRPr="00432986">
        <w:rPr>
          <w:rFonts w:eastAsia="Palatino Linotype"/>
          <w:color w:val="008080"/>
          <w:sz w:val="18"/>
          <w:szCs w:val="18"/>
          <w:u w:val="single"/>
        </w:rPr>
        <w:t xml:space="preserve"> </w:t>
      </w:r>
      <w:hyperlink r:id="rId157" w:history="1">
        <w:r w:rsidRPr="00432986">
          <w:rPr>
            <w:rStyle w:val="Hyperlink"/>
            <w:rFonts w:eastAsia="Palatino Linotype"/>
            <w:sz w:val="18"/>
            <w:szCs w:val="18"/>
          </w:rPr>
          <w:t>https://www.precedenceresearch.com/biosimilars-market</w:t>
        </w:r>
      </w:hyperlink>
    </w:p>
  </w:footnote>
  <w:footnote w:id="312">
    <w:p w14:paraId="5F79E859" w14:textId="2264C6CD" w:rsidR="00C006F4" w:rsidRPr="00432986" w:rsidRDefault="00C006F4" w:rsidP="00885795">
      <w:pPr>
        <w:spacing w:after="0"/>
        <w:rPr>
          <w:sz w:val="18"/>
          <w:szCs w:val="18"/>
        </w:rPr>
      </w:pPr>
      <w:r w:rsidRPr="00432986">
        <w:rPr>
          <w:sz w:val="18"/>
          <w:szCs w:val="18"/>
          <w:vertAlign w:val="superscript"/>
        </w:rPr>
        <w:footnoteRef/>
      </w:r>
      <w:r w:rsidR="00C65D85">
        <w:rPr>
          <w:sz w:val="18"/>
          <w:szCs w:val="18"/>
        </w:rPr>
        <w:t xml:space="preserve"> </w:t>
      </w:r>
      <w:r w:rsidRPr="00432986">
        <w:rPr>
          <w:sz w:val="18"/>
          <w:szCs w:val="18"/>
        </w:rPr>
        <w:t>Precedence Research. (11 Mar 2026). Biosimilars Market Size, Share and Trends 2026 to 2035.  https://www.precedenceresearch.com/biosimilars-market</w:t>
      </w:r>
    </w:p>
  </w:footnote>
  <w:footnote w:id="313">
    <w:p w14:paraId="2703A402" w14:textId="0F2B7201" w:rsidR="009B5580" w:rsidRPr="00432986" w:rsidRDefault="009B5580" w:rsidP="00885795">
      <w:pPr>
        <w:spacing w:after="0"/>
        <w:rPr>
          <w:sz w:val="18"/>
          <w:szCs w:val="18"/>
        </w:rPr>
      </w:pPr>
      <w:r w:rsidRPr="00432986">
        <w:rPr>
          <w:rStyle w:val="FootnoteReference"/>
          <w:sz w:val="18"/>
          <w:szCs w:val="18"/>
        </w:rPr>
        <w:footnoteRef/>
      </w:r>
      <w:r w:rsidR="00C65D85">
        <w:rPr>
          <w:rFonts w:eastAsia="Arial"/>
          <w:sz w:val="18"/>
          <w:szCs w:val="18"/>
        </w:rPr>
        <w:t xml:space="preserve"> </w:t>
      </w:r>
      <w:r w:rsidRPr="00432986">
        <w:rPr>
          <w:rFonts w:eastAsia="Arial"/>
          <w:sz w:val="18"/>
          <w:szCs w:val="18"/>
        </w:rPr>
        <w:t>Alira Health. (2025, November 6). Key players in the biosimilars market 2025. https://alirahealth.com/key-players-biosimilars-market-2025/</w:t>
      </w:r>
    </w:p>
  </w:footnote>
  <w:footnote w:id="314">
    <w:p w14:paraId="32EA43A9" w14:textId="2A456670" w:rsidR="00D62A25" w:rsidRPr="00F46227" w:rsidRDefault="00D62A25">
      <w:pPr>
        <w:pStyle w:val="FootnoteText"/>
        <w:rPr>
          <w:lang w:val="en-IE"/>
        </w:rPr>
      </w:pPr>
      <w:r>
        <w:rPr>
          <w:rStyle w:val="FootnoteReference"/>
        </w:rPr>
        <w:footnoteRef/>
      </w:r>
      <w:r w:rsidR="00C65D85">
        <w:rPr>
          <w:rFonts w:eastAsia="Arial"/>
          <w:sz w:val="18"/>
          <w:szCs w:val="18"/>
        </w:rPr>
        <w:t> </w:t>
      </w:r>
      <w:r w:rsidR="001D5E6B" w:rsidRPr="00F46227">
        <w:rPr>
          <w:rFonts w:eastAsia="Arial"/>
          <w:sz w:val="18"/>
          <w:szCs w:val="18"/>
        </w:rPr>
        <w:t xml:space="preserve">Why Europe is Becoming a Global Hub for Biologics Manufacturing. Mabion Science Hub: </w:t>
      </w:r>
      <w:hyperlink r:id="rId158" w:history="1">
        <w:r w:rsidR="001D5E6B" w:rsidRPr="00F46227">
          <w:rPr>
            <w:rFonts w:eastAsia="Arial"/>
            <w:sz w:val="18"/>
            <w:szCs w:val="18"/>
          </w:rPr>
          <w:t>https://www.mabion.eu/science-hub/articles/why-europe-is-becoming-a-global-hub-for-biologics-manufacturing/</w:t>
        </w:r>
      </w:hyperlink>
    </w:p>
  </w:footnote>
  <w:footnote w:id="315">
    <w:p w14:paraId="51B7A549" w14:textId="43779088" w:rsidR="009B5580" w:rsidRPr="00432986" w:rsidRDefault="009B5580" w:rsidP="00885795">
      <w:pPr>
        <w:spacing w:after="0"/>
        <w:rPr>
          <w:sz w:val="18"/>
          <w:szCs w:val="18"/>
        </w:rPr>
      </w:pPr>
      <w:r w:rsidRPr="00432986">
        <w:rPr>
          <w:rStyle w:val="FootnoteReference"/>
          <w:sz w:val="18"/>
          <w:szCs w:val="18"/>
        </w:rPr>
        <w:footnoteRef/>
      </w:r>
      <w:r w:rsidR="00C65D85">
        <w:rPr>
          <w:sz w:val="18"/>
          <w:szCs w:val="18"/>
        </w:rPr>
        <w:t> </w:t>
      </w:r>
      <w:r w:rsidR="00420158" w:rsidRPr="001720B5">
        <w:rPr>
          <w:sz w:val="18"/>
          <w:szCs w:val="18"/>
        </w:rPr>
        <w:t xml:space="preserve">Cohen, H. P., Turner, M., McCabe, D., &amp; Woollett, G. R. (2023). Future evolution of biosimilar development by application of current science and available evidence: The developer’s perspective. </w:t>
      </w:r>
      <w:r w:rsidR="00420158" w:rsidRPr="001720B5">
        <w:rPr>
          <w:i/>
          <w:sz w:val="18"/>
          <w:szCs w:val="18"/>
          <w:lang w:val="en-IE"/>
        </w:rPr>
        <w:t>BioDrugs</w:t>
      </w:r>
      <w:r w:rsidR="00420158" w:rsidRPr="001720B5">
        <w:rPr>
          <w:sz w:val="18"/>
          <w:szCs w:val="18"/>
          <w:lang w:val="en-IE"/>
        </w:rPr>
        <w:t xml:space="preserve">, </w:t>
      </w:r>
      <w:r w:rsidR="00420158" w:rsidRPr="001720B5">
        <w:rPr>
          <w:i/>
          <w:sz w:val="18"/>
          <w:szCs w:val="18"/>
          <w:lang w:val="en-IE"/>
        </w:rPr>
        <w:t>37</w:t>
      </w:r>
      <w:r w:rsidR="00420158" w:rsidRPr="001720B5">
        <w:rPr>
          <w:sz w:val="18"/>
          <w:szCs w:val="18"/>
          <w:lang w:val="en-IE"/>
        </w:rPr>
        <w:t>(5), 583–593.</w:t>
      </w:r>
      <w:r w:rsidRPr="00432986">
        <w:rPr>
          <w:rFonts w:eastAsia="Arial"/>
          <w:sz w:val="18"/>
          <w:szCs w:val="18"/>
        </w:rPr>
        <w:t>.</w:t>
      </w:r>
    </w:p>
  </w:footnote>
  <w:footnote w:id="316">
    <w:p w14:paraId="47E93FF3" w14:textId="5CF093EF" w:rsidR="007F5C2D" w:rsidRPr="00432986" w:rsidRDefault="007F5C2D" w:rsidP="007F5C2D">
      <w:pPr>
        <w:spacing w:after="0"/>
        <w:rPr>
          <w:sz w:val="18"/>
          <w:szCs w:val="18"/>
        </w:rPr>
      </w:pPr>
      <w:r w:rsidRPr="00432986">
        <w:rPr>
          <w:rStyle w:val="FootnoteReference"/>
          <w:sz w:val="18"/>
          <w:szCs w:val="18"/>
        </w:rPr>
        <w:footnoteRef/>
      </w:r>
      <w:r w:rsidR="00C65D85">
        <w:rPr>
          <w:rFonts w:eastAsia="Arial"/>
          <w:sz w:val="18"/>
          <w:szCs w:val="18"/>
        </w:rPr>
        <w:t> </w:t>
      </w:r>
      <w:r w:rsidRPr="00432986">
        <w:rPr>
          <w:rFonts w:eastAsia="Arial"/>
          <w:sz w:val="18"/>
          <w:szCs w:val="18"/>
        </w:rPr>
        <w:t>European Medicines Agency. (2026). Medicines output report [dataset]. Retrieved 2 March 2026 from https://www.ema.europa.eu/en/medicines/download-medicine-data</w:t>
      </w:r>
    </w:p>
  </w:footnote>
  <w:footnote w:id="317">
    <w:p w14:paraId="315CA0FE" w14:textId="77777777" w:rsidR="006D6370" w:rsidRPr="00432986" w:rsidRDefault="006D6370" w:rsidP="006D6370">
      <w:pPr>
        <w:pStyle w:val="FootnoteText"/>
        <w:rPr>
          <w:sz w:val="18"/>
          <w:szCs w:val="18"/>
        </w:rPr>
      </w:pPr>
      <w:r w:rsidRPr="00432986">
        <w:rPr>
          <w:rStyle w:val="FootnoteReference"/>
          <w:sz w:val="18"/>
          <w:szCs w:val="18"/>
        </w:rPr>
        <w:footnoteRef/>
      </w:r>
      <w:r w:rsidRPr="00432986">
        <w:rPr>
          <w:sz w:val="18"/>
          <w:szCs w:val="18"/>
        </w:rPr>
        <w:t xml:space="preserve"> Guillen, E., </w:t>
      </w:r>
      <w:r w:rsidRPr="00432986">
        <w:rPr>
          <w:i/>
          <w:iCs/>
          <w:sz w:val="18"/>
          <w:szCs w:val="18"/>
        </w:rPr>
        <w:t>et al.</w:t>
      </w:r>
      <w:r w:rsidRPr="00432986">
        <w:rPr>
          <w:sz w:val="18"/>
          <w:szCs w:val="18"/>
        </w:rPr>
        <w:t xml:space="preserve"> (2023). A data driven approach to support tailored clinical programs for biosimilar mAbs. Clinical Pharmacology &amp; Therapeutics, 113(1), 108–123. https://doi.org/10.1002/cpt.2785</w:t>
      </w:r>
    </w:p>
  </w:footnote>
  <w:footnote w:id="318">
    <w:p w14:paraId="3EAC81B5" w14:textId="1D9E4478" w:rsidR="00193121" w:rsidRPr="00432986" w:rsidRDefault="00193121" w:rsidP="006350DF">
      <w:pPr>
        <w:spacing w:after="0"/>
        <w:rPr>
          <w:sz w:val="18"/>
          <w:szCs w:val="18"/>
        </w:rPr>
      </w:pPr>
      <w:r w:rsidRPr="00432986">
        <w:rPr>
          <w:rStyle w:val="FootnoteReference"/>
          <w:sz w:val="18"/>
          <w:szCs w:val="18"/>
        </w:rPr>
        <w:footnoteRef/>
      </w:r>
      <w:r w:rsidRPr="00432986">
        <w:rPr>
          <w:sz w:val="18"/>
          <w:szCs w:val="18"/>
        </w:rPr>
        <w:t xml:space="preserve"> </w:t>
      </w:r>
      <w:r w:rsidRPr="00432986">
        <w:rPr>
          <w:rFonts w:eastAsiaTheme="minorEastAsia"/>
          <w:sz w:val="18"/>
          <w:szCs w:val="18"/>
        </w:rPr>
        <w:t>Alira Health. (2025). 2025 global biosimilars report. https://alirahealth.com/biosimilars-market-2025-market-size-growth-drivers-regional-dynamics/</w:t>
      </w:r>
    </w:p>
  </w:footnote>
  <w:footnote w:id="319">
    <w:p w14:paraId="25CD36E5" w14:textId="39B137E6" w:rsidR="00193121" w:rsidRPr="00432986" w:rsidRDefault="00193121">
      <w:pPr>
        <w:pStyle w:val="FootnoteText"/>
        <w:rPr>
          <w:sz w:val="18"/>
          <w:szCs w:val="18"/>
          <w:lang w:val="en-IE"/>
        </w:rPr>
      </w:pPr>
      <w:r w:rsidRPr="00432986">
        <w:rPr>
          <w:rStyle w:val="FootnoteReference"/>
          <w:sz w:val="18"/>
          <w:szCs w:val="18"/>
        </w:rPr>
        <w:footnoteRef/>
      </w:r>
      <w:r w:rsidRPr="00432986">
        <w:rPr>
          <w:rFonts w:eastAsia="Arial"/>
          <w:sz w:val="18"/>
          <w:szCs w:val="18"/>
        </w:rPr>
        <w:t xml:space="preserve"> </w:t>
      </w:r>
      <w:r w:rsidR="00E95D7E" w:rsidRPr="00432986">
        <w:rPr>
          <w:sz w:val="18"/>
          <w:szCs w:val="18"/>
        </w:rPr>
        <w:t xml:space="preserve">Precedence </w:t>
      </w:r>
      <w:r w:rsidRPr="00432986">
        <w:rPr>
          <w:sz w:val="18"/>
          <w:szCs w:val="18"/>
        </w:rPr>
        <w:t>Research. (2025). Biosimilars market size to hit USD 175.99 billion by 2034. https://www.precedenceresearch.com/biosimilars-market</w:t>
      </w:r>
    </w:p>
  </w:footnote>
  <w:footnote w:id="320">
    <w:p w14:paraId="286BB63F" w14:textId="60F6D66C" w:rsidR="00683548" w:rsidRPr="00432986" w:rsidRDefault="00683548">
      <w:pPr>
        <w:pStyle w:val="FootnoteText"/>
        <w:rPr>
          <w:sz w:val="18"/>
          <w:szCs w:val="18"/>
          <w:lang w:val="en-IE"/>
        </w:rPr>
      </w:pPr>
      <w:r w:rsidRPr="00432986">
        <w:rPr>
          <w:rStyle w:val="FootnoteReference"/>
          <w:sz w:val="18"/>
          <w:szCs w:val="18"/>
        </w:rPr>
        <w:footnoteRef/>
      </w:r>
      <w:r w:rsidRPr="00432986" w:rsidDel="003C1EAB">
        <w:rPr>
          <w:sz w:val="18"/>
          <w:szCs w:val="18"/>
        </w:rPr>
        <w:t xml:space="preserve"> </w:t>
      </w:r>
      <w:r w:rsidRPr="00432986">
        <w:rPr>
          <w:sz w:val="18"/>
          <w:szCs w:val="18"/>
        </w:rPr>
        <w:t>Medicines for Europe. (2024). The impact of biosimilar medicines in Europe. Brussels.</w:t>
      </w:r>
    </w:p>
  </w:footnote>
  <w:footnote w:id="321">
    <w:p w14:paraId="64307F9A" w14:textId="4BBB15B4" w:rsidR="004C4B77" w:rsidRPr="00432986" w:rsidRDefault="004C4B77" w:rsidP="00885795">
      <w:pPr>
        <w:pStyle w:val="FootnoteText"/>
        <w:rPr>
          <w:sz w:val="18"/>
          <w:szCs w:val="18"/>
          <w:lang w:val="en-IE"/>
        </w:rPr>
      </w:pPr>
      <w:r w:rsidRPr="00432986">
        <w:rPr>
          <w:rStyle w:val="FootnoteReference"/>
          <w:sz w:val="18"/>
          <w:szCs w:val="18"/>
        </w:rPr>
        <w:footnoteRef/>
      </w:r>
      <w:r w:rsidRPr="00432986">
        <w:rPr>
          <w:sz w:val="18"/>
          <w:szCs w:val="18"/>
        </w:rPr>
        <w:t xml:space="preserve"> </w:t>
      </w:r>
      <w:r w:rsidR="0035442F" w:rsidRPr="00432986">
        <w:rPr>
          <w:sz w:val="18"/>
          <w:szCs w:val="18"/>
        </w:rPr>
        <w:t xml:space="preserve">Analysis using IQVIA MIDAS® quarterly sales data 2008-2024. Geographical coverage: EU27 without Cyprus, Malta and Denmark which were obtained under license from IQVIA and reflect estimates of real world activity. Copyright IQVIA. All rights reserved. Last layer of protection was determined through analysis of </w:t>
      </w:r>
      <w:r w:rsidR="0035442F" w:rsidRPr="00432986">
        <w:rPr>
          <w:i/>
          <w:sz w:val="18"/>
          <w:szCs w:val="18"/>
        </w:rPr>
        <w:t>IQVIA Patent Intelligence.</w:t>
      </w:r>
    </w:p>
  </w:footnote>
  <w:footnote w:id="322">
    <w:p w14:paraId="4CE8BD23" w14:textId="223FA923" w:rsidR="009B35F5" w:rsidRPr="00432986" w:rsidRDefault="009B35F5">
      <w:pPr>
        <w:pStyle w:val="FootnoteText"/>
        <w:rPr>
          <w:sz w:val="18"/>
          <w:szCs w:val="18"/>
        </w:rPr>
      </w:pPr>
      <w:r w:rsidRPr="00432986">
        <w:rPr>
          <w:rStyle w:val="FootnoteReference"/>
          <w:sz w:val="18"/>
          <w:szCs w:val="18"/>
        </w:rPr>
        <w:footnoteRef/>
      </w:r>
      <w:r w:rsidRPr="00432986">
        <w:rPr>
          <w:sz w:val="18"/>
          <w:szCs w:val="18"/>
        </w:rPr>
        <w:t xml:space="preserve"> </w:t>
      </w:r>
      <w:r w:rsidRPr="00432986">
        <w:rPr>
          <w:iCs/>
          <w:sz w:val="18"/>
          <w:szCs w:val="18"/>
        </w:rPr>
        <w:t>Geographical coverage: EU27 without Cyprus, Malta and Denmark.</w:t>
      </w:r>
      <w:r w:rsidR="004C7CEA" w:rsidRPr="00432986">
        <w:rPr>
          <w:iCs/>
          <w:sz w:val="18"/>
          <w:szCs w:val="18"/>
        </w:rPr>
        <w:t xml:space="preserve"> </w:t>
      </w:r>
    </w:p>
  </w:footnote>
  <w:footnote w:id="323">
    <w:p w14:paraId="34C1918D" w14:textId="21D386A4" w:rsidR="00FD578D" w:rsidRPr="00432986" w:rsidRDefault="00FD578D" w:rsidP="00885795">
      <w:pPr>
        <w:pStyle w:val="FootnoteText"/>
        <w:rPr>
          <w:iCs/>
          <w:sz w:val="18"/>
          <w:szCs w:val="18"/>
        </w:rPr>
      </w:pPr>
      <w:r w:rsidRPr="00432986">
        <w:rPr>
          <w:rStyle w:val="FootnoteReference"/>
          <w:sz w:val="18"/>
          <w:szCs w:val="18"/>
        </w:rPr>
        <w:footnoteRef/>
      </w:r>
      <w:r w:rsidRPr="00432986">
        <w:rPr>
          <w:sz w:val="18"/>
          <w:szCs w:val="18"/>
        </w:rPr>
        <w:t xml:space="preserve"> </w:t>
      </w:r>
      <w:r w:rsidR="00EA28B3" w:rsidRPr="00432986">
        <w:rPr>
          <w:iCs/>
          <w:sz w:val="18"/>
          <w:szCs w:val="18"/>
        </w:rPr>
        <w:t>I</w:t>
      </w:r>
      <w:r w:rsidRPr="00432986">
        <w:rPr>
          <w:iCs/>
          <w:sz w:val="18"/>
          <w:szCs w:val="18"/>
        </w:rPr>
        <w:t>nternal</w:t>
      </w:r>
      <w:r w:rsidRPr="004570F2">
        <w:rPr>
          <w:sz w:val="18"/>
        </w:rPr>
        <w:t xml:space="preserve"> analysis by the authors using IQVIA MIDAS® </w:t>
      </w:r>
      <w:r w:rsidR="007E1693" w:rsidRPr="00432986">
        <w:rPr>
          <w:iCs/>
          <w:sz w:val="18"/>
          <w:szCs w:val="18"/>
        </w:rPr>
        <w:t>quarterly</w:t>
      </w:r>
      <w:r w:rsidRPr="004570F2">
        <w:rPr>
          <w:sz w:val="18"/>
        </w:rPr>
        <w:t xml:space="preserve"> sales data 2008-2024. Geographical coverage: EU27 without Cyprus, Malta and Denmark. which were obtained under license from IQVIA and reflect estimates of real world activity. Copyright IQVIA. All rights reserved</w:t>
      </w:r>
    </w:p>
  </w:footnote>
  <w:footnote w:id="324">
    <w:p w14:paraId="5775B3AA" w14:textId="77777777" w:rsidR="009A2C23" w:rsidRPr="00432986" w:rsidRDefault="009A2C23" w:rsidP="00885795">
      <w:pPr>
        <w:pStyle w:val="FootnoteText"/>
        <w:rPr>
          <w:sz w:val="18"/>
          <w:szCs w:val="18"/>
        </w:rPr>
      </w:pPr>
      <w:r w:rsidRPr="00432986">
        <w:rPr>
          <w:rStyle w:val="FootnoteReference"/>
          <w:sz w:val="18"/>
          <w:szCs w:val="18"/>
        </w:rPr>
        <w:footnoteRef/>
      </w:r>
      <w:r w:rsidRPr="00432986">
        <w:rPr>
          <w:sz w:val="18"/>
          <w:szCs w:val="18"/>
        </w:rPr>
        <w:t xml:space="preserve">  Namely removing products with lower than €50m revenue in the year before expiry and removing non-biotech products as well as including products with much shorter protection periods that are nonetheless SPC-reliant, and modified parameters for calculating profits</w:t>
      </w:r>
    </w:p>
  </w:footnote>
  <w:footnote w:id="325">
    <w:p w14:paraId="07083DD2" w14:textId="77777777" w:rsidR="00902323" w:rsidRPr="00432986" w:rsidRDefault="00902323" w:rsidP="00885795">
      <w:pPr>
        <w:pStyle w:val="FootnoteText"/>
        <w:rPr>
          <w:sz w:val="18"/>
          <w:szCs w:val="18"/>
        </w:rPr>
      </w:pPr>
      <w:r w:rsidRPr="00432986">
        <w:rPr>
          <w:rStyle w:val="FootnoteReference"/>
          <w:sz w:val="18"/>
          <w:szCs w:val="18"/>
        </w:rPr>
        <w:footnoteRef/>
      </w:r>
      <w:r w:rsidRPr="00432986">
        <w:rPr>
          <w:sz w:val="18"/>
          <w:szCs w:val="18"/>
        </w:rPr>
        <w:t xml:space="preserve"> European Federation of Pharmaceutical Industries and Associations. (2025). The pharmaceutical industry in figures 2025. </w:t>
      </w:r>
      <w:hyperlink r:id="rId159" w:history="1">
        <w:r w:rsidRPr="00432986">
          <w:rPr>
            <w:rStyle w:val="Hyperlink"/>
            <w:sz w:val="18"/>
            <w:szCs w:val="18"/>
          </w:rPr>
          <w:t>https://www.efpia.eu/media/uj0popel/the-pharmaceutical-industry-in-figures-2025.pdf</w:t>
        </w:r>
      </w:hyperlink>
      <w:r w:rsidRPr="00432986">
        <w:rPr>
          <w:sz w:val="18"/>
          <w:szCs w:val="18"/>
        </w:rPr>
        <w:t xml:space="preserve"> </w:t>
      </w:r>
    </w:p>
  </w:footnote>
  <w:footnote w:id="326">
    <w:p w14:paraId="065815B9" w14:textId="35307724" w:rsidR="00E40588" w:rsidRPr="00432986" w:rsidRDefault="00E40588">
      <w:pPr>
        <w:pStyle w:val="FootnoteText"/>
        <w:rPr>
          <w:sz w:val="18"/>
          <w:szCs w:val="18"/>
        </w:rPr>
      </w:pPr>
      <w:r w:rsidRPr="00432986">
        <w:rPr>
          <w:rStyle w:val="FootnoteReference"/>
          <w:sz w:val="18"/>
          <w:szCs w:val="18"/>
        </w:rPr>
        <w:footnoteRef/>
      </w:r>
      <w:r w:rsidRPr="00432986">
        <w:rPr>
          <w:sz w:val="18"/>
          <w:szCs w:val="18"/>
        </w:rPr>
        <w:t xml:space="preserve"> Annual values represent the average number of medicines per year over the 2016–2025 period (10 years), calculated as the total divided by 10 and rounded to the nearest whole number. As medicinal products cannot be meaningfully expressed in fractional units, results are presented in whole numbers. Minor discrepancies in totals may arise due to rounding.</w:t>
      </w:r>
    </w:p>
  </w:footnote>
  <w:footnote w:id="327">
    <w:p w14:paraId="45403946" w14:textId="77777777" w:rsidR="009A2C23" w:rsidRPr="00432986" w:rsidRDefault="009A2C23" w:rsidP="00885795">
      <w:pPr>
        <w:pStyle w:val="FootnoteText"/>
        <w:rPr>
          <w:sz w:val="18"/>
          <w:szCs w:val="18"/>
        </w:rPr>
      </w:pPr>
      <w:r w:rsidRPr="00432986">
        <w:rPr>
          <w:rStyle w:val="FootnoteReference"/>
          <w:sz w:val="18"/>
          <w:szCs w:val="18"/>
        </w:rPr>
        <w:footnoteRef/>
      </w:r>
      <w:r w:rsidRPr="00432986">
        <w:rPr>
          <w:sz w:val="18"/>
          <w:szCs w:val="18"/>
        </w:rPr>
        <w:t xml:space="preserve"> European Commission (2023), Commission Staff Working Document – Impact Assessment accompanying the proposals on supplementary protection certificates, SWD(2023) 118 final, Brussels, 27 April 2023, Section 2.3.2 and Annex 6 (SME Test).</w:t>
      </w:r>
    </w:p>
  </w:footnote>
  <w:footnote w:id="328">
    <w:p w14:paraId="4BE1FEC8" w14:textId="77777777" w:rsidR="009A2C23" w:rsidRPr="00432986" w:rsidRDefault="009A2C23" w:rsidP="00885795">
      <w:pPr>
        <w:pStyle w:val="FootnoteText"/>
        <w:rPr>
          <w:sz w:val="18"/>
          <w:szCs w:val="18"/>
        </w:rPr>
      </w:pPr>
      <w:r w:rsidRPr="00432986">
        <w:rPr>
          <w:rStyle w:val="FootnoteReference"/>
          <w:sz w:val="18"/>
          <w:szCs w:val="18"/>
        </w:rPr>
        <w:footnoteRef/>
      </w:r>
      <w:r w:rsidRPr="00432986">
        <w:rPr>
          <w:sz w:val="18"/>
          <w:szCs w:val="18"/>
        </w:rPr>
        <w:t xml:space="preserve"> European Commission (2023), Commission Staff Working Document – Impact Assessment accompanying the Proposal for a Regulation of the European Parliament and of the Council on the supplementary protection certificate for medicinal products (recast) and the Proposal for a Regulation on the unitary supplementary protection certificate for medicinal products, SWD(2023) 118 final, Brussels, 27 April 2023, Section 2.3.2 and Annex 5B.</w:t>
      </w:r>
    </w:p>
  </w:footnote>
  <w:footnote w:id="329">
    <w:p w14:paraId="23F82A2C"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w:t>
      </w:r>
      <w:r w:rsidRPr="00432986">
        <w:rPr>
          <w:sz w:val="18"/>
          <w:szCs w:val="18"/>
          <w:lang w:eastAsia="en-GB"/>
        </w:rPr>
        <w:t xml:space="preserve">Capgemini Research Institute. (2026). </w:t>
      </w:r>
      <w:r w:rsidRPr="00432986">
        <w:rPr>
          <w:i/>
          <w:iCs/>
          <w:sz w:val="18"/>
          <w:szCs w:val="18"/>
          <w:lang w:eastAsia="en-GB"/>
        </w:rPr>
        <w:t>Smart bet, only option, or both?: Biopharma R&amp;D turns to AI</w:t>
      </w:r>
      <w:r w:rsidRPr="00432986">
        <w:rPr>
          <w:sz w:val="18"/>
          <w:szCs w:val="18"/>
          <w:lang w:eastAsia="en-GB"/>
        </w:rPr>
        <w:t xml:space="preserve">. </w:t>
      </w:r>
      <w:r w:rsidRPr="00C65D85">
        <w:rPr>
          <w:sz w:val="18"/>
          <w:szCs w:val="18"/>
          <w:lang w:val="nl-BE" w:eastAsia="en-GB"/>
        </w:rPr>
        <w:t>Capgemini.</w:t>
      </w:r>
      <w:r w:rsidRPr="00C65D85">
        <w:rPr>
          <w:sz w:val="18"/>
          <w:szCs w:val="18"/>
          <w:lang w:val="nl-BE"/>
        </w:rPr>
        <w:t xml:space="preserve"> </w:t>
      </w:r>
      <w:hyperlink r:id="rId160" w:history="1">
        <w:r w:rsidRPr="00C65D85">
          <w:rPr>
            <w:rStyle w:val="Hyperlink"/>
            <w:sz w:val="18"/>
            <w:szCs w:val="18"/>
            <w:lang w:val="nl-BE" w:eastAsia="en-GB"/>
          </w:rPr>
          <w:t>https://www.capgemini.com/wp-content/uploads/2026/01/120126CRI_Gen-AI-in-Lifesciences-_Final-interactive.pdf</w:t>
        </w:r>
      </w:hyperlink>
    </w:p>
  </w:footnote>
  <w:footnote w:id="330">
    <w:p w14:paraId="02768DEA"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lang w:val="nl-NL"/>
        </w:rPr>
        <w:t xml:space="preserve"> Lowe, C. R., Minssen, T., &amp; Skentelbery, C. (2024). </w:t>
      </w:r>
      <w:r w:rsidRPr="00432986">
        <w:rPr>
          <w:sz w:val="18"/>
          <w:szCs w:val="18"/>
        </w:rPr>
        <w:t>Emerging biotechnologies in Europe: Foresight for policy (P.-M. Pélissier, Ed.). Publications Office of the European Union. https://doi.org/10.2760/4814109</w:t>
      </w:r>
    </w:p>
  </w:footnote>
  <w:footnote w:id="331">
    <w:p w14:paraId="192EF8C4" w14:textId="4AE10CBB" w:rsidR="00625BEE" w:rsidRPr="00432986" w:rsidRDefault="00625BEE" w:rsidP="00885795">
      <w:pPr>
        <w:pStyle w:val="FootnoteText"/>
        <w:rPr>
          <w:sz w:val="18"/>
          <w:szCs w:val="18"/>
        </w:rPr>
      </w:pPr>
      <w:r w:rsidRPr="00432986">
        <w:rPr>
          <w:rStyle w:val="FootnoteReference"/>
          <w:sz w:val="18"/>
          <w:szCs w:val="18"/>
        </w:rPr>
        <w:footnoteRef/>
      </w:r>
      <w:r w:rsidRPr="00432986">
        <w:rPr>
          <w:sz w:val="18"/>
          <w:szCs w:val="18"/>
        </w:rPr>
        <w:t xml:space="preserve"> Discussed during the stakeholder workshop on Data and AI</w:t>
      </w:r>
      <w:r w:rsidR="00117C1D" w:rsidRPr="00432986">
        <w:rPr>
          <w:sz w:val="18"/>
          <w:szCs w:val="18"/>
        </w:rPr>
        <w:t xml:space="preserve"> </w:t>
      </w:r>
      <w:r w:rsidRPr="00432986">
        <w:rPr>
          <w:sz w:val="18"/>
          <w:szCs w:val="18"/>
        </w:rPr>
        <w:t xml:space="preserve">– </w:t>
      </w:r>
      <w:r w:rsidR="00117C1D" w:rsidRPr="00432986">
        <w:rPr>
          <w:sz w:val="18"/>
          <w:szCs w:val="18"/>
        </w:rPr>
        <w:t>Rapid Assessment Scenario Study</w:t>
      </w:r>
      <w:r w:rsidRPr="00432986">
        <w:rPr>
          <w:sz w:val="18"/>
          <w:szCs w:val="18"/>
        </w:rPr>
        <w:t xml:space="preserve"> - forthcoming. </w:t>
      </w:r>
    </w:p>
  </w:footnote>
  <w:footnote w:id="332">
    <w:p w14:paraId="350E2720" w14:textId="40C1F4F3" w:rsidR="00625BEE" w:rsidRPr="00432986" w:rsidRDefault="00625BEE" w:rsidP="00885795">
      <w:pPr>
        <w:pStyle w:val="FootnoteText"/>
        <w:rPr>
          <w:sz w:val="18"/>
          <w:szCs w:val="18"/>
        </w:rPr>
      </w:pPr>
      <w:r w:rsidRPr="00432986">
        <w:rPr>
          <w:rStyle w:val="FootnoteReference"/>
          <w:sz w:val="18"/>
          <w:szCs w:val="18"/>
        </w:rPr>
        <w:footnoteRef/>
      </w:r>
      <w:r w:rsidRPr="00432986">
        <w:rPr>
          <w:sz w:val="18"/>
          <w:szCs w:val="18"/>
        </w:rPr>
        <w:t xml:space="preserve"> Discussed during the stakeholder workshop on Data and AI</w:t>
      </w:r>
      <w:r w:rsidRPr="00432986" w:rsidDel="00117C1D">
        <w:rPr>
          <w:sz w:val="18"/>
          <w:szCs w:val="18"/>
        </w:rPr>
        <w:t xml:space="preserve"> </w:t>
      </w:r>
      <w:r w:rsidRPr="00432986">
        <w:rPr>
          <w:sz w:val="18"/>
          <w:szCs w:val="18"/>
        </w:rPr>
        <w:t xml:space="preserve">– </w:t>
      </w:r>
      <w:r w:rsidR="00117C1D" w:rsidRPr="00432986">
        <w:rPr>
          <w:sz w:val="18"/>
          <w:szCs w:val="18"/>
        </w:rPr>
        <w:t xml:space="preserve">Rapid Assessment Scenario Study </w:t>
      </w:r>
      <w:r w:rsidRPr="00432986">
        <w:rPr>
          <w:sz w:val="18"/>
          <w:szCs w:val="18"/>
        </w:rPr>
        <w:t xml:space="preserve">- forthcoming. </w:t>
      </w:r>
    </w:p>
  </w:footnote>
  <w:footnote w:id="333">
    <w:p w14:paraId="7AFFCA8B"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w:t>
      </w:r>
      <w:r w:rsidRPr="00432986">
        <w:rPr>
          <w:sz w:val="18"/>
          <w:szCs w:val="18"/>
          <w:lang w:eastAsia="en-GB"/>
        </w:rPr>
        <w:t>European Medicines Agency. (2023). Qualification of novel methodologies for drug development: Guidance to applicants (EMEA/CHMP/SAWP/72894/2008 Rev. 5). https://www.ema.europa.eu/en/documents/regulatory-procedural-guideline/qualification-novel-methodologies-drug-development-guidance-applicants_en.pdf</w:t>
      </w:r>
    </w:p>
  </w:footnote>
  <w:footnote w:id="334">
    <w:p w14:paraId="420A211F"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European Federation of Pharmaceutical Industries and Associations. (2024). EFPIA position on the use of artificial intelligence in the medicinal product lifecycle. https://www.efpia.eu/media/tzeavw1t/efpia-position-on-the-use-of-artificial-intelligence-in-the-medicinal-product-lifecycle.pdf</w:t>
      </w:r>
    </w:p>
  </w:footnote>
  <w:footnote w:id="335">
    <w:p w14:paraId="19A56806"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European Medicines Agency. (2025). 2024 AI observatory report (EMA/76534/2025). https://www.ema.europa.eu/en/documents/report/2024-ai-observatory-report_en.pdf</w:t>
      </w:r>
    </w:p>
  </w:footnote>
  <w:footnote w:id="336">
    <w:p w14:paraId="799465C6"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European Medicines Agency. (2025). 2024 AI observatory: Compilation of 2024 experience (EMA/154528/2025). https://bluepharm.fr/wp-content/uploads/2025/11/2024-ai-observatory-report-compilation-2024-experience_en.pdf</w:t>
      </w:r>
    </w:p>
  </w:footnote>
  <w:footnote w:id="337">
    <w:p w14:paraId="4D115497"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European Medicines Agency. (2025). New approach methodologies EU-Innovation Network horizon scanning report (EMA/56850/2025 Rev. 1). https://www.ema.europa.eu/en/documents/report/new-approach-methodologies-eu-horizon-scanning-report_en.pdf</w:t>
      </w:r>
    </w:p>
  </w:footnote>
  <w:footnote w:id="338">
    <w:p w14:paraId="2CE701D8"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w:t>
      </w:r>
      <w:r w:rsidRPr="00432986">
        <w:rPr>
          <w:sz w:val="18"/>
          <w:szCs w:val="18"/>
          <w:lang w:eastAsia="en-GB"/>
        </w:rPr>
        <w:t>European Medicines Agency. (2023). Qualification of novel methodologies for drug development: Guidance to applicants (EMEA/CHMP/SAWP/72894/2008 Rev. 5). https://www.ema.europa.eu/en/documents/regulatory-procedural-guideline/qualification-novel-methodologies-drug-development-guidance-applicants_en.pdf</w:t>
      </w:r>
    </w:p>
  </w:footnote>
  <w:footnote w:id="339">
    <w:p w14:paraId="353E7EE8" w14:textId="77777777" w:rsidR="00625BEE" w:rsidRPr="00432986" w:rsidRDefault="00625BEE" w:rsidP="00885795">
      <w:pPr>
        <w:pStyle w:val="FootnoteText"/>
        <w:rPr>
          <w:sz w:val="18"/>
          <w:szCs w:val="18"/>
          <w:highlight w:val="yellow"/>
          <w:lang w:val="lt-LT"/>
        </w:rPr>
      </w:pPr>
      <w:r w:rsidRPr="00432986">
        <w:rPr>
          <w:rStyle w:val="FootnoteReference"/>
          <w:sz w:val="18"/>
          <w:szCs w:val="18"/>
        </w:rPr>
        <w:footnoteRef/>
      </w:r>
      <w:r w:rsidRPr="00C65D85">
        <w:rPr>
          <w:sz w:val="18"/>
          <w:szCs w:val="18"/>
          <w:lang w:val="en-IE"/>
        </w:rPr>
        <w:t xml:space="preserve"> </w:t>
      </w:r>
      <w:r w:rsidRPr="00C65D85">
        <w:rPr>
          <w:color w:val="1A1A1A"/>
          <w:sz w:val="18"/>
          <w:szCs w:val="18"/>
          <w:shd w:val="clear" w:color="auto" w:fill="FFFFFF"/>
          <w:lang w:val="en-IE"/>
        </w:rPr>
        <w:t xml:space="preserve">Lowe, C. R., Minssen, T., &amp; Skentelbery, C. (2024). </w:t>
      </w:r>
      <w:r w:rsidRPr="00432986">
        <w:rPr>
          <w:color w:val="1A1A1A"/>
          <w:sz w:val="18"/>
          <w:szCs w:val="18"/>
          <w:shd w:val="clear" w:color="auto" w:fill="FFFFFF"/>
        </w:rPr>
        <w:t>Emerging biotechnologies in Europe: Foresight for policy (P.-M. Pélissier, Ed.). Publications Office of the European Union. https://doi.org/10.2760/4814109</w:t>
      </w:r>
    </w:p>
  </w:footnote>
  <w:footnote w:id="340">
    <w:p w14:paraId="3997500A"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European Medicines Agency. (2024). Reflection paper on the use of artificial intelligence (AI) in the medicinal product lifecycle (EMA/CHMP/CVMP/83833/2023). https://www.ema.europa.eu/en/documents/scientific-guideline/reflection-paper-use-artificial-intelligence-ai-medicinal-product-lifecycle_en.pdf</w:t>
      </w:r>
    </w:p>
  </w:footnote>
  <w:footnote w:id="341">
    <w:p w14:paraId="7CE66D97"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w:t>
      </w:r>
      <w:r w:rsidRPr="00432986">
        <w:rPr>
          <w:sz w:val="18"/>
          <w:szCs w:val="18"/>
          <w:lang w:eastAsia="en-GB"/>
        </w:rPr>
        <w:t>European Medicines Agency. (2023). Qualification of novel methodologies for drug development: Guidance to applicants (EMEA/CHMP/SAWP/72894/2008 Rev. 5). https://www.ema.europa.eu/en/documents/regulatory-procedural-guideline/qualification-novel-methodologies-drug-development-guidance-applicants_en.pdf</w:t>
      </w:r>
    </w:p>
  </w:footnote>
  <w:footnote w:id="342">
    <w:p w14:paraId="2F073184"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C65D85">
        <w:rPr>
          <w:sz w:val="18"/>
          <w:szCs w:val="18"/>
          <w:lang w:val="en-IE"/>
        </w:rPr>
        <w:t xml:space="preserve"> </w:t>
      </w:r>
      <w:r w:rsidRPr="00C65D85">
        <w:rPr>
          <w:color w:val="1A1A1A"/>
          <w:sz w:val="18"/>
          <w:szCs w:val="18"/>
          <w:shd w:val="clear" w:color="auto" w:fill="FFFFFF"/>
          <w:lang w:val="en-IE"/>
        </w:rPr>
        <w:t xml:space="preserve">Lowe, C. R., Minssen, T., &amp; Skentelbery, C. (2024). </w:t>
      </w:r>
      <w:r w:rsidRPr="00432986">
        <w:rPr>
          <w:color w:val="1A1A1A"/>
          <w:sz w:val="18"/>
          <w:szCs w:val="18"/>
          <w:shd w:val="clear" w:color="auto" w:fill="FFFFFF"/>
        </w:rPr>
        <w:t>Emerging biotechnologies in Europe: Foresight for policy (P.-M. Pélissier, Ed.). Publications Office of the European Union. https://doi.org/10.2760/4814109</w:t>
      </w:r>
    </w:p>
  </w:footnote>
  <w:footnote w:id="343">
    <w:p w14:paraId="420371F0"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Lowe, C. R., Minssen, T., &amp; Skentelbery, C. (2024). Emerging biotechnologies in Europe: Foresight for policy (P.-M. Pélissier, Ed.). Publications Office of the European Union. https://doi.org/10.2760/4814109</w:t>
      </w:r>
    </w:p>
  </w:footnote>
  <w:footnote w:id="344">
    <w:p w14:paraId="1936EDFD"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w:t>
      </w:r>
      <w:r w:rsidRPr="00432986">
        <w:rPr>
          <w:sz w:val="18"/>
          <w:szCs w:val="18"/>
        </w:rPr>
        <w:fldChar w:fldCharType="begin"/>
      </w:r>
      <w:r w:rsidRPr="00432986">
        <w:rPr>
          <w:sz w:val="18"/>
          <w:szCs w:val="18"/>
        </w:rPr>
        <w:instrText xml:space="preserve"> ADDIN ZOTERO_ITEM CSL_CITATION {"citationID":"ZLRpxWQl","properties":{"formattedCitation":"\\uc0\\u8220{}EFPIA Position on the Use of Artificial Intelligence in the Medicinal Product Lifecycle,\\uc0\\u8221{} EFPIA, 2024, https://efpia.eu/media/tzeavw1t/efpia-position-on-the-use-of-artificial-intelligence-in-the-medicinal-product-lifecycle.pdf.","plainCitation":"“EFPIA Position on the Use of Artificial Intelligence in the Medicinal Product Lifecycle,” EFPIA, 2024, https://efpia.eu/media/tzeavw1t/efpia-position-on-the-use-of-artificial-intelligence-in-the-medicinal-product-lifecycle.pdf.","noteIndex":15},"citationItems":[{"id":3695,"uris":["http://zotero.org/users/1159734/items/FWCH4SMK"],"itemData":{"id":3695,"type":"document","publisher":"EFPIA","title":"EFPIA position on the use of artificial intelligence in the medicinal product lifecycle","URL":"https://efpia.eu/media/tzeavw1t/efpia-position-on-the-use-of-artificial-intelligence-in-the-medicinal-product-lifecycle.pdf","issued":{"date-parts":[["2024"]]}}}],"schema":"https://github.com/citation-style-language/schema/raw/master/csl-citation.json"} </w:instrText>
      </w:r>
      <w:r w:rsidRPr="00432986">
        <w:rPr>
          <w:sz w:val="18"/>
          <w:szCs w:val="18"/>
        </w:rPr>
        <w:fldChar w:fldCharType="separate"/>
      </w:r>
      <w:r w:rsidRPr="00432986">
        <w:rPr>
          <w:sz w:val="18"/>
          <w:szCs w:val="18"/>
        </w:rPr>
        <w:t>“EFPIA Position on the Use of Artificial Intelligence in the Medicinal Product Lifecycle,” EFPIA, 2024, https://efpia.eu/media/tzeavw1t/efpia-position-on-the-use-of-artificial-intelligence-in-the-medicinal-product-lifecycle.pdf.</w:t>
      </w:r>
      <w:r w:rsidRPr="00432986">
        <w:rPr>
          <w:sz w:val="18"/>
          <w:szCs w:val="18"/>
        </w:rPr>
        <w:fldChar w:fldCharType="end"/>
      </w:r>
      <w:r w:rsidRPr="00432986">
        <w:rPr>
          <w:sz w:val="18"/>
          <w:szCs w:val="18"/>
        </w:rPr>
        <w:t xml:space="preserve"> </w:t>
      </w:r>
    </w:p>
  </w:footnote>
  <w:footnote w:id="345">
    <w:p w14:paraId="6B54C8AB"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lang w:val="lt-LT"/>
        </w:rPr>
        <w:t xml:space="preserve"> </w:t>
      </w:r>
      <w:r w:rsidRPr="00432986">
        <w:rPr>
          <w:sz w:val="18"/>
          <w:szCs w:val="18"/>
        </w:rPr>
        <w:fldChar w:fldCharType="begin"/>
      </w:r>
      <w:r w:rsidRPr="00432986">
        <w:rPr>
          <w:sz w:val="18"/>
          <w:szCs w:val="18"/>
          <w:lang w:val="lt-LT"/>
        </w:rPr>
        <w:instrText xml:space="preserve"> ADDIN ZOTERO_ITEM CSL_CITATION {"citationID":"a8rBUzT6","properties":{"formattedCitation":"European Medicines Agency, \\uc0\\u8220{}Multi - Annual AI Workplan 2023 - 2028,\\uc0\\u8221{} European Medicines Agency, 2023, https://www.ema.europa.eu/en/documents/work-programme/multi-annual-artificial-intelligence-workplan-2023-2028-hma-ema-joint-big-data-steering-group_en.pdf.","plainCitation":"European Medicines Agency, “Multi - Annual AI Workplan 2023 - 2028,” European Medicines Agency, 2023, https://www.ema.europa.eu/en/documents/work-programme/multi-annual-artificial-intelligence-workplan-2023-2028-hma-ema-joint-big-data-steering-group_en.pdf.","noteIndex":16},"citationItems":[{"id":3699,"uris":["http://zotero.org/users/1159734/items/DZCE7SES"],"itemData":{"id":3699,"type":"document","publisher":"European Medicines Agency","title":"Multi - annual AI workplan 2023 - 2028","URL":"https://www.ema.europa.eu/en/documents/work-programme/multi-annual-artificial-intelligence-workplan-2023-2028-hma-ema-joint-big-data-steering-group_en.pdf","author":[{"literal":"European Medicines Agency"}],"issued":{"date-parts":[["2023"]]}}}],"schema":"https://github.com/citation-style-language/schema/raw/master/csl-citation.json"} </w:instrText>
      </w:r>
      <w:r w:rsidRPr="00432986">
        <w:rPr>
          <w:sz w:val="18"/>
          <w:szCs w:val="18"/>
        </w:rPr>
        <w:fldChar w:fldCharType="separate"/>
      </w:r>
      <w:r w:rsidRPr="00432986">
        <w:rPr>
          <w:sz w:val="18"/>
          <w:szCs w:val="18"/>
          <w:lang w:val="lt-LT"/>
        </w:rPr>
        <w:t>European Medicines Agency, “Multi - Annual AI Workplan 2023 - 2028,” European Medicines Agency, 2023, https://www.ema.europa.eu/en/documents/work-programme/multi-annual-artificial-intelligence-workplan-2023-2028-hma-ema-joint-big-data-steering-group_en.pdf.</w:t>
      </w:r>
      <w:r w:rsidRPr="00432986">
        <w:rPr>
          <w:sz w:val="18"/>
          <w:szCs w:val="18"/>
        </w:rPr>
        <w:fldChar w:fldCharType="end"/>
      </w:r>
    </w:p>
  </w:footnote>
  <w:footnote w:id="346">
    <w:p w14:paraId="2EA32615"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w:t>
      </w:r>
      <w:r w:rsidRPr="00432986">
        <w:rPr>
          <w:sz w:val="18"/>
          <w:szCs w:val="18"/>
        </w:rPr>
        <w:fldChar w:fldCharType="begin"/>
      </w:r>
      <w:r w:rsidRPr="00432986">
        <w:rPr>
          <w:sz w:val="18"/>
          <w:szCs w:val="18"/>
        </w:rPr>
        <w:instrText xml:space="preserve"> ADDIN ZOTERO_ITEM CSL_CITATION {"citationID":"y0ztlUMU","properties":{"formattedCitation":"European Medicines Agency, \\uc0\\u8220{}Qualification Opinion for Artificial Intelligence-Based Measurement of Non-Alcoholic Steatohepatitis Histology in Liver Biopsies to Determine Disease Activity in NASH/MASH Clinical Trials,\\uc0\\u8221{} European Medicines Agency, 2025.","plainCitation":"European Medicines Agency, “Qualification Opinion for Artificial Intelligence-Based Measurement of Non-Alcoholic Steatohepatitis Histology in Liver Biopsies to Determine Disease Activity in NASH/MASH Clinical Trials,” European Medicines Agency, 2025.","noteIndex":21},"citationItems":[{"id":3703,"uris":["http://zotero.org/users/1159734/items/UEKSZZ5E"],"itemData":{"id":3703,"type":"document","call-number":"EMADOC-1700519818-1761332 Corr.1","publisher":"European Medicines Agency","title":"Qualification opinion for Artificial Intelligence-Based Measurement of Non-alcoholic Steatohepatitis Histology in Liver Biopsies to Determine Disease Activity in NASH/MASH Clinical Trials","author":[{"literal":"European Medicines Agency"}],"issued":{"date-parts":[["2025"]]}}}],"schema":"https://github.com/citation-style-language/schema/raw/master/csl-citation.json"} </w:instrText>
      </w:r>
      <w:r w:rsidRPr="00432986">
        <w:rPr>
          <w:sz w:val="18"/>
          <w:szCs w:val="18"/>
        </w:rPr>
        <w:fldChar w:fldCharType="separate"/>
      </w:r>
      <w:r w:rsidRPr="00432986">
        <w:rPr>
          <w:sz w:val="18"/>
          <w:szCs w:val="18"/>
        </w:rPr>
        <w:t>European Medicines Agency, “Qualification Opinion for Artificial Intelligence-Based Measurement of Non-Alcoholic Steatohepatitis Histology in Liver Biopsies to Determine Disease Activity in NASH/MASH Clinical Trials,” European Medicines Agency, 2025.</w:t>
      </w:r>
      <w:r w:rsidRPr="00432986">
        <w:rPr>
          <w:sz w:val="18"/>
          <w:szCs w:val="18"/>
        </w:rPr>
        <w:fldChar w:fldCharType="end"/>
      </w:r>
    </w:p>
  </w:footnote>
  <w:footnote w:id="347">
    <w:p w14:paraId="43F8C513"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Aggregated findings from the Public Consultation and Call for Evidence.</w:t>
      </w:r>
    </w:p>
  </w:footnote>
  <w:footnote w:id="348">
    <w:p w14:paraId="39AD54C0"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w:t>
      </w:r>
      <w:r w:rsidRPr="00432986">
        <w:rPr>
          <w:sz w:val="18"/>
          <w:szCs w:val="18"/>
          <w:lang w:eastAsia="en-GB"/>
        </w:rPr>
        <w:t xml:space="preserve">Capgemini Research Institute. (2026). </w:t>
      </w:r>
      <w:r w:rsidRPr="00432986">
        <w:rPr>
          <w:i/>
          <w:iCs/>
          <w:sz w:val="18"/>
          <w:szCs w:val="18"/>
          <w:lang w:eastAsia="en-GB"/>
        </w:rPr>
        <w:t>Smart bet, only option, or both?: Biopharma R&amp;D turns to AI</w:t>
      </w:r>
      <w:r w:rsidRPr="00432986">
        <w:rPr>
          <w:sz w:val="18"/>
          <w:szCs w:val="18"/>
          <w:lang w:eastAsia="en-GB"/>
        </w:rPr>
        <w:t xml:space="preserve">. </w:t>
      </w:r>
      <w:r w:rsidRPr="0024473A">
        <w:rPr>
          <w:sz w:val="18"/>
          <w:szCs w:val="18"/>
          <w:lang w:eastAsia="en-GB"/>
        </w:rPr>
        <w:t>Capgemini.</w:t>
      </w:r>
      <w:r w:rsidRPr="0024473A">
        <w:rPr>
          <w:sz w:val="18"/>
          <w:szCs w:val="18"/>
        </w:rPr>
        <w:t xml:space="preserve"> </w:t>
      </w:r>
      <w:hyperlink r:id="rId161" w:history="1">
        <w:r w:rsidRPr="0024473A">
          <w:rPr>
            <w:rStyle w:val="Hyperlink"/>
            <w:sz w:val="18"/>
            <w:szCs w:val="18"/>
            <w:lang w:eastAsia="en-GB"/>
          </w:rPr>
          <w:t>https://www.capgemini.com/wp-content/uploads/2026/01/120126CRI_Gen-AI-in-Lifesciences-_Final-interactive.pdf</w:t>
        </w:r>
      </w:hyperlink>
    </w:p>
  </w:footnote>
  <w:footnote w:id="349">
    <w:p w14:paraId="49992457"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w:t>
      </w:r>
      <w:r w:rsidRPr="00432986">
        <w:rPr>
          <w:color w:val="1A1A1A"/>
          <w:sz w:val="18"/>
          <w:szCs w:val="18"/>
          <w:shd w:val="clear" w:color="auto" w:fill="FFFFFF"/>
        </w:rPr>
        <w:t>European Medicines Agency. (2025). 2024 AI observatory report (EMA/76534/2025). https://www.ema.europa.eu/en/documents/report/2024-ai-observatory-report_en.pdf</w:t>
      </w:r>
    </w:p>
  </w:footnote>
  <w:footnote w:id="350">
    <w:p w14:paraId="1313E83D" w14:textId="6BDED9BA" w:rsidR="00625BEE" w:rsidRPr="00432986" w:rsidRDefault="00625BEE" w:rsidP="00885795">
      <w:pPr>
        <w:pStyle w:val="FootnoteText"/>
        <w:rPr>
          <w:sz w:val="18"/>
          <w:szCs w:val="18"/>
          <w:lang w:val="lt-LT"/>
        </w:rPr>
      </w:pPr>
      <w:r w:rsidRPr="00432986">
        <w:rPr>
          <w:rStyle w:val="FootnoteReference"/>
          <w:sz w:val="18"/>
          <w:szCs w:val="18"/>
        </w:rPr>
        <w:footnoteRef/>
      </w:r>
      <w:r w:rsidR="0007763C" w:rsidRPr="00432986">
        <w:rPr>
          <w:sz w:val="18"/>
          <w:szCs w:val="18"/>
        </w:rPr>
        <w:t xml:space="preserve"> S</w:t>
      </w:r>
      <w:r w:rsidRPr="00432986">
        <w:rPr>
          <w:sz w:val="18"/>
          <w:szCs w:val="18"/>
        </w:rPr>
        <w:t>ubmission to the Public Consultation</w:t>
      </w:r>
      <w:r w:rsidR="0007763C" w:rsidRPr="00432986">
        <w:rPr>
          <w:sz w:val="18"/>
          <w:szCs w:val="18"/>
        </w:rPr>
        <w:t xml:space="preserve"> by an European trade association</w:t>
      </w:r>
      <w:r w:rsidRPr="00432986">
        <w:rPr>
          <w:sz w:val="18"/>
          <w:szCs w:val="18"/>
        </w:rPr>
        <w:t>.</w:t>
      </w:r>
    </w:p>
  </w:footnote>
  <w:footnote w:id="351">
    <w:p w14:paraId="7DC11C56"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Submissions to the Call for Evidence.</w:t>
      </w:r>
    </w:p>
  </w:footnote>
  <w:footnote w:id="352">
    <w:p w14:paraId="74690793"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Submissions to the Call for Evidence.</w:t>
      </w:r>
    </w:p>
  </w:footnote>
  <w:footnote w:id="353">
    <w:p w14:paraId="51EB28AD"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Submissions to the Call for Evidence</w:t>
      </w:r>
    </w:p>
  </w:footnote>
  <w:footnote w:id="354">
    <w:p w14:paraId="45846743"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w:t>
      </w:r>
      <w:r w:rsidRPr="00432986">
        <w:rPr>
          <w:sz w:val="18"/>
          <w:szCs w:val="18"/>
          <w:lang w:eastAsia="en-GB"/>
        </w:rPr>
        <w:t xml:space="preserve">Capgemini Research Institute. (2026). </w:t>
      </w:r>
      <w:r w:rsidRPr="00432986">
        <w:rPr>
          <w:i/>
          <w:iCs/>
          <w:sz w:val="18"/>
          <w:szCs w:val="18"/>
          <w:lang w:eastAsia="en-GB"/>
        </w:rPr>
        <w:t>Smart bet, only option, or both?: Biopharma R&amp;D turns to AI</w:t>
      </w:r>
      <w:r w:rsidRPr="00432986">
        <w:rPr>
          <w:sz w:val="18"/>
          <w:szCs w:val="18"/>
          <w:lang w:eastAsia="en-GB"/>
        </w:rPr>
        <w:t xml:space="preserve">. </w:t>
      </w:r>
      <w:r w:rsidRPr="0024473A">
        <w:rPr>
          <w:sz w:val="18"/>
          <w:szCs w:val="18"/>
          <w:lang w:val="en-IE" w:eastAsia="en-GB"/>
        </w:rPr>
        <w:t>Capgemini.</w:t>
      </w:r>
      <w:r w:rsidRPr="0024473A">
        <w:rPr>
          <w:sz w:val="18"/>
          <w:szCs w:val="18"/>
          <w:lang w:val="en-IE"/>
        </w:rPr>
        <w:t xml:space="preserve"> </w:t>
      </w:r>
      <w:hyperlink r:id="rId162" w:history="1">
        <w:r w:rsidRPr="0024473A">
          <w:rPr>
            <w:rStyle w:val="Hyperlink"/>
            <w:sz w:val="18"/>
            <w:szCs w:val="18"/>
            <w:lang w:eastAsia="en-GB"/>
          </w:rPr>
          <w:t>https://www.capgemini.com/wp-content/uploads/2026/01/120126CRI_Gen-AI-in-Lifesciences-_Final-interactive.pdf</w:t>
        </w:r>
      </w:hyperlink>
    </w:p>
  </w:footnote>
  <w:footnote w:id="355">
    <w:p w14:paraId="037A5D32"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Submissions to the Call for Evidence and Public Consultation.</w:t>
      </w:r>
    </w:p>
  </w:footnote>
  <w:footnote w:id="356">
    <w:p w14:paraId="0855F134"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Submissions to the Call for Evidence and Public Consultation.</w:t>
      </w:r>
    </w:p>
  </w:footnote>
  <w:footnote w:id="357">
    <w:p w14:paraId="599066EA" w14:textId="77777777" w:rsidR="004D76BD" w:rsidRPr="00432986" w:rsidRDefault="004D76BD" w:rsidP="00885795">
      <w:pPr>
        <w:pStyle w:val="FootnoteText"/>
        <w:rPr>
          <w:sz w:val="18"/>
          <w:szCs w:val="18"/>
          <w:lang w:val="lt-LT"/>
        </w:rPr>
      </w:pPr>
      <w:r w:rsidRPr="00432986">
        <w:rPr>
          <w:rStyle w:val="FootnoteReference"/>
          <w:sz w:val="18"/>
          <w:szCs w:val="18"/>
        </w:rPr>
        <w:footnoteRef/>
      </w:r>
      <w:r w:rsidRPr="00432986">
        <w:rPr>
          <w:sz w:val="18"/>
          <w:szCs w:val="18"/>
        </w:rPr>
        <w:t xml:space="preserve"> Submissions to the Call for Evidence and Public Consultation.</w:t>
      </w:r>
    </w:p>
  </w:footnote>
  <w:footnote w:id="358">
    <w:p w14:paraId="6413078B"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Public authority submissions to the Call for Evidence and Public Consultation</w:t>
      </w:r>
    </w:p>
  </w:footnote>
  <w:footnote w:id="359">
    <w:p w14:paraId="49154D6A"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Submissions to the Call for Evidence and Public Consultation</w:t>
      </w:r>
    </w:p>
  </w:footnote>
  <w:footnote w:id="360">
    <w:p w14:paraId="5147C741"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Submissions to the Call for Evidence and Public Consultation</w:t>
      </w:r>
    </w:p>
  </w:footnote>
  <w:footnote w:id="361">
    <w:p w14:paraId="49B3EA18"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Submissions to the Call for Evidence and Public Consultation.</w:t>
      </w:r>
    </w:p>
  </w:footnote>
  <w:footnote w:id="362">
    <w:p w14:paraId="162880A0" w14:textId="5F53B166"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w:t>
      </w:r>
      <w:r w:rsidR="00803216" w:rsidRPr="00432986">
        <w:rPr>
          <w:sz w:val="18"/>
          <w:szCs w:val="18"/>
        </w:rPr>
        <w:t>Submissions to the Call for Evidence; with references to ICMRA PQ KMS and Collaborative Hybrid Inspection Pilots.</w:t>
      </w:r>
    </w:p>
  </w:footnote>
  <w:footnote w:id="363">
    <w:p w14:paraId="2ADB2ECD"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Submissions to the Call for Evidence and Public Consultation.</w:t>
      </w:r>
    </w:p>
  </w:footnote>
  <w:footnote w:id="364">
    <w:p w14:paraId="359F3C8D"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Submissions to the Call for Evidence and Public Consultation.</w:t>
      </w:r>
    </w:p>
  </w:footnote>
  <w:footnote w:id="365">
    <w:p w14:paraId="38E2AB0A"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w:t>
      </w:r>
      <w:r w:rsidRPr="00432986">
        <w:rPr>
          <w:sz w:val="18"/>
          <w:szCs w:val="18"/>
          <w:lang w:eastAsia="en-GB"/>
        </w:rPr>
        <w:t xml:space="preserve">Capgemini Research Institute. (2026). </w:t>
      </w:r>
      <w:r w:rsidRPr="00432986">
        <w:rPr>
          <w:i/>
          <w:iCs/>
          <w:sz w:val="18"/>
          <w:szCs w:val="18"/>
          <w:lang w:eastAsia="en-GB"/>
        </w:rPr>
        <w:t>Smart bet, only option, or both?: Biopharma R&amp;D turns to AI</w:t>
      </w:r>
      <w:r w:rsidRPr="00432986">
        <w:rPr>
          <w:sz w:val="18"/>
          <w:szCs w:val="18"/>
          <w:lang w:eastAsia="en-GB"/>
        </w:rPr>
        <w:t xml:space="preserve">. </w:t>
      </w:r>
      <w:r w:rsidRPr="0024473A">
        <w:rPr>
          <w:sz w:val="18"/>
          <w:szCs w:val="18"/>
          <w:lang w:eastAsia="en-GB"/>
        </w:rPr>
        <w:t>Capgemini.</w:t>
      </w:r>
      <w:r w:rsidRPr="0024473A">
        <w:rPr>
          <w:sz w:val="18"/>
          <w:szCs w:val="18"/>
        </w:rPr>
        <w:t xml:space="preserve"> </w:t>
      </w:r>
      <w:hyperlink r:id="rId163" w:history="1">
        <w:r w:rsidRPr="0024473A">
          <w:rPr>
            <w:rStyle w:val="Hyperlink"/>
            <w:sz w:val="18"/>
            <w:szCs w:val="18"/>
            <w:lang w:eastAsia="en-GB"/>
          </w:rPr>
          <w:t>https://www.capgemini.com/wp-content/uploads/2026/01/120126CRI_Gen-AI-in-Lifesciences-_Final-interactive.pdf</w:t>
        </w:r>
      </w:hyperlink>
    </w:p>
  </w:footnote>
  <w:footnote w:id="366">
    <w:p w14:paraId="6AC872DA" w14:textId="77777777" w:rsidR="00625BEE" w:rsidRPr="00432986" w:rsidRDefault="00625BEE" w:rsidP="00885795">
      <w:pPr>
        <w:pStyle w:val="FootnoteText"/>
        <w:rPr>
          <w:sz w:val="18"/>
          <w:szCs w:val="18"/>
          <w:lang w:val="lt-LT"/>
        </w:rPr>
      </w:pPr>
      <w:r w:rsidRPr="00432986">
        <w:rPr>
          <w:rStyle w:val="FootnoteReference"/>
          <w:sz w:val="18"/>
          <w:szCs w:val="18"/>
        </w:rPr>
        <w:footnoteRef/>
      </w:r>
      <w:r w:rsidRPr="00432986">
        <w:rPr>
          <w:sz w:val="18"/>
          <w:szCs w:val="18"/>
        </w:rPr>
        <w:t xml:space="preserve"> EMA, Scientific Explorer performance data</w:t>
      </w:r>
    </w:p>
  </w:footnote>
  <w:footnote w:id="367">
    <w:p w14:paraId="26EAF555" w14:textId="77777777" w:rsidR="00625BEE" w:rsidRPr="00432986" w:rsidRDefault="00625BEE" w:rsidP="00885795">
      <w:pPr>
        <w:pStyle w:val="FootnoteText"/>
        <w:rPr>
          <w:sz w:val="18"/>
          <w:szCs w:val="18"/>
          <w:lang w:val="sv-SE"/>
        </w:rPr>
      </w:pPr>
      <w:r w:rsidRPr="00432986">
        <w:rPr>
          <w:rStyle w:val="FootnoteReference"/>
          <w:sz w:val="18"/>
          <w:szCs w:val="18"/>
        </w:rPr>
        <w:footnoteRef/>
      </w:r>
      <w:r w:rsidRPr="00432986">
        <w:rPr>
          <w:sz w:val="18"/>
          <w:szCs w:val="18"/>
          <w:lang w:val="lt-LT"/>
        </w:rPr>
        <w:t xml:space="preserve"> Gong EJ, Bang CS, Lee JJ, Baik GH. </w:t>
      </w:r>
      <w:r w:rsidRPr="00432986">
        <w:rPr>
          <w:sz w:val="18"/>
          <w:szCs w:val="18"/>
        </w:rPr>
        <w:t xml:space="preserve">Knowledge-Practice Performance Gap in Clinical Large Language Models: Systematic Review of 39 Benchmarks. </w:t>
      </w:r>
      <w:r w:rsidRPr="00432986">
        <w:rPr>
          <w:sz w:val="18"/>
          <w:szCs w:val="18"/>
          <w:lang w:val="sv-SE"/>
        </w:rPr>
        <w:t xml:space="preserve">J Med Internet Res. 2025 Dec 1;27:e84120. doi: 10.2196/84120. PMID: 41325597; PMCID: PMC12706444. </w:t>
      </w:r>
    </w:p>
  </w:footnote>
  <w:footnote w:id="368">
    <w:p w14:paraId="1ED27328" w14:textId="77777777" w:rsidR="00625BEE" w:rsidRPr="00432986" w:rsidRDefault="00625BEE" w:rsidP="00885795">
      <w:pPr>
        <w:pStyle w:val="FootnoteText"/>
        <w:rPr>
          <w:sz w:val="18"/>
          <w:szCs w:val="18"/>
          <w:lang w:val="sv-SE"/>
        </w:rPr>
      </w:pPr>
      <w:r w:rsidRPr="00432986">
        <w:rPr>
          <w:rStyle w:val="FootnoteReference"/>
          <w:sz w:val="18"/>
          <w:szCs w:val="18"/>
        </w:rPr>
        <w:footnoteRef/>
      </w:r>
      <w:r w:rsidRPr="00432986">
        <w:rPr>
          <w:sz w:val="18"/>
          <w:szCs w:val="18"/>
          <w:lang w:val="sv-SE"/>
        </w:rPr>
        <w:t xml:space="preserve"> Gong EJ, Bang CS, Lee JJ, Baik GH. </w:t>
      </w:r>
      <w:r w:rsidRPr="00432986">
        <w:rPr>
          <w:sz w:val="18"/>
          <w:szCs w:val="18"/>
        </w:rPr>
        <w:t xml:space="preserve">Knowledge-Practice Performance Gap in Clinical Large Language Models: Systematic Review of 39 Benchmarks. </w:t>
      </w:r>
      <w:r w:rsidRPr="00432986">
        <w:rPr>
          <w:sz w:val="18"/>
          <w:szCs w:val="18"/>
          <w:lang w:val="sv-SE"/>
        </w:rPr>
        <w:t xml:space="preserve">J Med Internet Res. 2025 Dec 1;27:e84120. doi: 10.2196/84120. PMID: 41325597; PMCID: PMC12706444. </w:t>
      </w:r>
    </w:p>
  </w:footnote>
  <w:footnote w:id="369">
    <w:p w14:paraId="1BB59758"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w:t>
      </w:r>
      <w:r w:rsidRPr="00432986">
        <w:rPr>
          <w:sz w:val="18"/>
          <w:szCs w:val="18"/>
          <w:lang w:eastAsia="en-GB"/>
        </w:rPr>
        <w:t>European Medicines Agency. (2023). Qualification of novel methodologies for drug development: Guidance to applicants (EMEA/CHMP/SAWP/72894/2008 Rev. 5). https://www.ema.europa.eu/en/documents/regulatory-procedural-guideline/qualification-novel-methodologies-drug-development-guidance-applicants_en.pdf</w:t>
      </w:r>
    </w:p>
  </w:footnote>
  <w:footnote w:id="370">
    <w:p w14:paraId="207BC93D"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w:t>
      </w:r>
      <w:r w:rsidRPr="00432986">
        <w:rPr>
          <w:sz w:val="18"/>
          <w:szCs w:val="18"/>
          <w:lang w:eastAsia="en-GB"/>
        </w:rPr>
        <w:t xml:space="preserve">European Medicines Agency. (2023). Qualification of novel methodologies for drug development: Guidance to applicants (EMEA/CHMP/SAWP/72894/2008 Rev. 5). </w:t>
      </w:r>
      <w:hyperlink r:id="rId164" w:history="1">
        <w:r w:rsidRPr="00432986">
          <w:rPr>
            <w:rStyle w:val="Hyperlink"/>
            <w:sz w:val="18"/>
            <w:szCs w:val="18"/>
            <w:lang w:eastAsia="en-GB"/>
          </w:rPr>
          <w:t>https://www.ema.europa.eu/en/documents/regulatory-procedural-guideline/qualification-novel-methodologies-drug-development-guidance-applicants_en.pdf</w:t>
        </w:r>
      </w:hyperlink>
    </w:p>
  </w:footnote>
  <w:footnote w:id="371">
    <w:p w14:paraId="5697A2CD" w14:textId="28C98793"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The administrative burden observed in Horizon Europe projects (typically estimated at 6–10% of project budgets) is used as a reference point, corresponding to approximately 0.5–1 FTE of administrative effort per project per year. IPCEI reporting and compliance obligations are assumed to require approximately two to three times higher effort, reflecting additional State aid requirements, dual reporting to national and EU authorities, and longer monitoring periods. This implies an estimated administrative effort of 1–3 FTE per year per participant. When scaled to the larger investment volumes of IPCEI projects, this corresponds to approximately 1–2</w:t>
      </w:r>
      <w:r w:rsidR="006856C2" w:rsidRPr="00432986">
        <w:rPr>
          <w:sz w:val="18"/>
          <w:szCs w:val="18"/>
        </w:rPr>
        <w:t>%</w:t>
      </w:r>
      <w:r w:rsidRPr="00432986">
        <w:rPr>
          <w:sz w:val="18"/>
          <w:szCs w:val="18"/>
        </w:rPr>
        <w:t xml:space="preserve"> of total project value. These figures should be interpreted as indicative orders of magnitude. </w:t>
      </w:r>
    </w:p>
  </w:footnote>
  <w:footnote w:id="372">
    <w:p w14:paraId="60B3CCE7"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European Commission, Spatial Foresight, &amp; t33. (2018). New assessment of ESIF administrative costs and burden: Final report. European Commission, Directorate-General for Regional and Urban Policy. </w:t>
      </w:r>
      <w:hyperlink r:id="rId165" w:history="1">
        <w:r w:rsidRPr="00432986">
          <w:rPr>
            <w:rStyle w:val="Hyperlink"/>
            <w:sz w:val="18"/>
            <w:szCs w:val="18"/>
          </w:rPr>
          <w:t>https://ec.europa.eu/regional_policy/sources/studies/assess_admin_costs.pdf</w:t>
        </w:r>
      </w:hyperlink>
      <w:r w:rsidRPr="00432986">
        <w:rPr>
          <w:sz w:val="18"/>
          <w:szCs w:val="18"/>
        </w:rPr>
        <w:t xml:space="preserve"> </w:t>
      </w:r>
    </w:p>
  </w:footnote>
  <w:footnote w:id="373">
    <w:p w14:paraId="678B579E" w14:textId="77777777" w:rsidR="00071C29" w:rsidRPr="00432986" w:rsidRDefault="00071C29" w:rsidP="00885795">
      <w:pPr>
        <w:pStyle w:val="FootnoteText"/>
        <w:rPr>
          <w:sz w:val="18"/>
          <w:szCs w:val="18"/>
          <w:lang w:eastAsia="en-GB"/>
        </w:rPr>
      </w:pPr>
      <w:r w:rsidRPr="00432986">
        <w:rPr>
          <w:rStyle w:val="FootnoteReference"/>
          <w:sz w:val="18"/>
          <w:szCs w:val="18"/>
        </w:rPr>
        <w:footnoteRef/>
      </w:r>
      <w:r w:rsidRPr="004570F2">
        <w:rPr>
          <w:sz w:val="18"/>
          <w:lang w:val="es-ES"/>
        </w:rPr>
        <w:t xml:space="preserve"> Montegu, J., Saporito, N. F., &amp; Polakiewicz, Z. (2026). </w:t>
      </w:r>
      <w:r w:rsidRPr="00432986">
        <w:rPr>
          <w:i/>
          <w:iCs/>
          <w:sz w:val="18"/>
          <w:szCs w:val="18"/>
          <w:lang w:eastAsia="en-GB"/>
        </w:rPr>
        <w:t>The evolution of the biotechnology sector: Implications for FDI and SME linkages across Europe</w:t>
      </w:r>
      <w:r w:rsidRPr="00432986">
        <w:rPr>
          <w:sz w:val="18"/>
          <w:szCs w:val="18"/>
          <w:lang w:eastAsia="en-GB"/>
        </w:rPr>
        <w:t xml:space="preserve"> (OECD SME and Entrepreneurship Papers No. 75). OECD Publishing. </w:t>
      </w:r>
      <w:hyperlink r:id="rId166" w:history="1">
        <w:r w:rsidRPr="00432986">
          <w:rPr>
            <w:rStyle w:val="Hyperlink"/>
            <w:sz w:val="18"/>
            <w:szCs w:val="18"/>
            <w:lang w:eastAsia="en-GB"/>
          </w:rPr>
          <w:t>https://doi.org/10.1787/420bb546-en</w:t>
        </w:r>
      </w:hyperlink>
    </w:p>
  </w:footnote>
  <w:footnote w:id="374">
    <w:p w14:paraId="67AD3FC2"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Organisation for Economic Co-operation and Development. (2026). Connecting FDI and SMEs for productivity and innovation in Europe. OECD Publishing. </w:t>
      </w:r>
      <w:hyperlink r:id="rId167" w:history="1">
        <w:r w:rsidRPr="00432986">
          <w:rPr>
            <w:rStyle w:val="Hyperlink"/>
            <w:sz w:val="18"/>
            <w:szCs w:val="18"/>
          </w:rPr>
          <w:t>https://doi.org/10.1787/9848e952-en</w:t>
        </w:r>
      </w:hyperlink>
      <w:r w:rsidRPr="00432986">
        <w:rPr>
          <w:sz w:val="18"/>
          <w:szCs w:val="18"/>
        </w:rPr>
        <w:t xml:space="preserve"> </w:t>
      </w:r>
    </w:p>
  </w:footnote>
  <w:footnote w:id="375">
    <w:p w14:paraId="7C73DCE0" w14:textId="77777777" w:rsidR="00071C29" w:rsidRPr="00432986" w:rsidRDefault="00071C29" w:rsidP="00885795">
      <w:pPr>
        <w:pStyle w:val="FootnoteText"/>
        <w:rPr>
          <w:sz w:val="18"/>
          <w:szCs w:val="18"/>
          <w:lang w:val="lt-LT"/>
        </w:rPr>
      </w:pPr>
      <w:r w:rsidRPr="00432986">
        <w:rPr>
          <w:rStyle w:val="FootnoteReference"/>
          <w:sz w:val="18"/>
          <w:szCs w:val="18"/>
        </w:rPr>
        <w:footnoteRef/>
      </w:r>
      <w:r w:rsidRPr="00432986">
        <w:rPr>
          <w:sz w:val="18"/>
          <w:szCs w:val="18"/>
        </w:rPr>
        <w:t xml:space="preserve"> </w:t>
      </w:r>
      <w:r w:rsidRPr="00432986">
        <w:rPr>
          <w:sz w:val="18"/>
          <w:szCs w:val="18"/>
          <w:lang w:eastAsia="en-GB"/>
        </w:rPr>
        <w:t xml:space="preserve">Benchling. (2026). </w:t>
      </w:r>
      <w:r w:rsidRPr="00432986">
        <w:rPr>
          <w:i/>
          <w:iCs/>
          <w:sz w:val="18"/>
          <w:szCs w:val="18"/>
          <w:lang w:eastAsia="en-GB"/>
        </w:rPr>
        <w:t>The 2026 biotech AI report: Breakthroughs, bottlenecks, and the power shift shaping biotech’s AI future</w:t>
      </w:r>
      <w:r w:rsidRPr="00432986">
        <w:rPr>
          <w:sz w:val="18"/>
          <w:szCs w:val="18"/>
          <w:lang w:eastAsia="en-GB"/>
        </w:rPr>
        <w:t xml:space="preserve">. Benchling. </w:t>
      </w:r>
      <w:hyperlink r:id="rId168" w:history="1">
        <w:r w:rsidRPr="00432986">
          <w:rPr>
            <w:rStyle w:val="Hyperlink"/>
            <w:sz w:val="18"/>
            <w:szCs w:val="18"/>
            <w:lang w:eastAsia="en-GB"/>
          </w:rPr>
          <w:t>https://downloads.ctfassets.net/kzeezny59h5p/YpQPwDughrM22nvqp8pxl/ac49d590d9c9c74400dde6e6bf0657ea/2026-Biotech-AI-Report.pdf</w:t>
        </w:r>
      </w:hyperlink>
      <w:r w:rsidRPr="00432986">
        <w:rPr>
          <w:sz w:val="18"/>
          <w:szCs w:val="18"/>
          <w:lang w:eastAsia="en-GB"/>
        </w:rPr>
        <w:t xml:space="preserve"> </w:t>
      </w:r>
    </w:p>
  </w:footnote>
  <w:footnote w:id="376">
    <w:p w14:paraId="03ED70B2" w14:textId="77777777" w:rsidR="00071C29" w:rsidRPr="00432986" w:rsidRDefault="00071C29" w:rsidP="00885795">
      <w:pPr>
        <w:pStyle w:val="FootnoteText"/>
        <w:rPr>
          <w:sz w:val="18"/>
          <w:szCs w:val="18"/>
          <w:lang w:val="lt-LT"/>
        </w:rPr>
      </w:pPr>
      <w:r w:rsidRPr="00432986">
        <w:rPr>
          <w:rStyle w:val="FootnoteReference"/>
          <w:sz w:val="18"/>
          <w:szCs w:val="18"/>
        </w:rPr>
        <w:footnoteRef/>
      </w:r>
      <w:r w:rsidRPr="00432986">
        <w:rPr>
          <w:sz w:val="18"/>
          <w:szCs w:val="18"/>
        </w:rPr>
        <w:t xml:space="preserve"> </w:t>
      </w:r>
      <w:r w:rsidRPr="00432986">
        <w:rPr>
          <w:sz w:val="18"/>
          <w:szCs w:val="18"/>
          <w:lang w:eastAsia="en-GB"/>
        </w:rPr>
        <w:t xml:space="preserve">Benchling. (2026). </w:t>
      </w:r>
      <w:r w:rsidRPr="00432986">
        <w:rPr>
          <w:i/>
          <w:iCs/>
          <w:sz w:val="18"/>
          <w:szCs w:val="18"/>
          <w:lang w:eastAsia="en-GB"/>
        </w:rPr>
        <w:t>The 2026 biotech AI report: Breakthroughs, bottlenecks, and the power shift shaping biotech’s AI future</w:t>
      </w:r>
      <w:r w:rsidRPr="00432986">
        <w:rPr>
          <w:sz w:val="18"/>
          <w:szCs w:val="18"/>
          <w:lang w:eastAsia="en-GB"/>
        </w:rPr>
        <w:t xml:space="preserve">. </w:t>
      </w:r>
      <w:r w:rsidRPr="00C65D85">
        <w:rPr>
          <w:sz w:val="18"/>
          <w:szCs w:val="18"/>
          <w:lang w:val="en-IE" w:eastAsia="en-GB"/>
        </w:rPr>
        <w:t xml:space="preserve">Benchling. </w:t>
      </w:r>
      <w:hyperlink r:id="rId169" w:history="1">
        <w:r w:rsidRPr="00C65D85">
          <w:rPr>
            <w:rStyle w:val="Hyperlink"/>
            <w:sz w:val="18"/>
            <w:szCs w:val="18"/>
            <w:lang w:val="en-IE" w:eastAsia="en-GB"/>
          </w:rPr>
          <w:t>https://downloads.ctfassets.net/kzeezny59h5p/YpQPwDughrM22nvqp8pxl/ac49d590d9c9c74400dde6e6bf0657ea/2026-Biotech-AI-Report.pdf</w:t>
        </w:r>
      </w:hyperlink>
      <w:r w:rsidRPr="00C65D85">
        <w:rPr>
          <w:sz w:val="18"/>
          <w:szCs w:val="18"/>
          <w:lang w:val="en-IE" w:eastAsia="en-GB"/>
        </w:rPr>
        <w:t xml:space="preserve"> </w:t>
      </w:r>
    </w:p>
  </w:footnote>
  <w:footnote w:id="377">
    <w:p w14:paraId="4708FEC2" w14:textId="77777777" w:rsidR="00071C29" w:rsidRPr="00432986" w:rsidRDefault="00071C29" w:rsidP="00885795">
      <w:pPr>
        <w:pStyle w:val="FootnoteText"/>
        <w:rPr>
          <w:sz w:val="18"/>
          <w:szCs w:val="18"/>
          <w:lang w:val="it-IT"/>
        </w:rPr>
      </w:pPr>
      <w:r w:rsidRPr="00432986">
        <w:rPr>
          <w:rStyle w:val="FootnoteReference"/>
          <w:sz w:val="18"/>
          <w:szCs w:val="18"/>
        </w:rPr>
        <w:footnoteRef/>
      </w:r>
      <w:r w:rsidRPr="00C65D85">
        <w:rPr>
          <w:sz w:val="18"/>
          <w:szCs w:val="18"/>
          <w:lang w:val="en-IE"/>
        </w:rPr>
        <w:t xml:space="preserve"> IntuitionLabs. </w:t>
      </w:r>
      <w:r w:rsidRPr="00432986">
        <w:rPr>
          <w:sz w:val="18"/>
          <w:szCs w:val="18"/>
        </w:rPr>
        <w:t xml:space="preserve">(2026). AI for biotech: A build vs. buy decision framework. </w:t>
      </w:r>
      <w:r w:rsidRPr="00432986">
        <w:rPr>
          <w:sz w:val="18"/>
          <w:szCs w:val="18"/>
          <w:lang w:val="it-IT"/>
        </w:rPr>
        <w:t>IntuitionLabs. https://intuitionlabs.ai/articles/build-vs-buy-ai-biotech</w:t>
      </w:r>
    </w:p>
  </w:footnote>
  <w:footnote w:id="378">
    <w:p w14:paraId="3F2224C1"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lang w:val="it-IT"/>
        </w:rPr>
        <w:t xml:space="preserve"> </w:t>
      </w:r>
      <w:r w:rsidRPr="00432986">
        <w:rPr>
          <w:sz w:val="18"/>
          <w:szCs w:val="18"/>
          <w:lang w:val="it-IT" w:eastAsia="en-GB"/>
        </w:rPr>
        <w:t xml:space="preserve">Montegu, J., Saporito, N. F., &amp; Polakiewicz, Z. (2026). </w:t>
      </w:r>
      <w:r w:rsidRPr="00432986">
        <w:rPr>
          <w:i/>
          <w:iCs/>
          <w:sz w:val="18"/>
          <w:szCs w:val="18"/>
          <w:lang w:eastAsia="en-GB"/>
        </w:rPr>
        <w:t>The evolution of the biotechnology sector: Implications for FDI and SME linkages across Europe</w:t>
      </w:r>
      <w:r w:rsidRPr="00432986">
        <w:rPr>
          <w:sz w:val="18"/>
          <w:szCs w:val="18"/>
          <w:lang w:eastAsia="en-GB"/>
        </w:rPr>
        <w:t xml:space="preserve"> (OECD SME and Entrepreneurship Papers No. 75). OECD Publishing. </w:t>
      </w:r>
      <w:hyperlink r:id="rId170" w:history="1">
        <w:r w:rsidRPr="00432986">
          <w:rPr>
            <w:rStyle w:val="Hyperlink"/>
            <w:sz w:val="18"/>
            <w:szCs w:val="18"/>
            <w:lang w:eastAsia="en-GB"/>
          </w:rPr>
          <w:t>https://doi.org/10.1787/420bb546-en</w:t>
        </w:r>
      </w:hyperlink>
    </w:p>
  </w:footnote>
  <w:footnote w:id="379">
    <w:p w14:paraId="1BE8D682"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European Commission, Directorate-General for Research and Innovation, &amp; PwC EU Services. (2018). Cost-benefit analysis for FAIR research data: Cost of not having FAIR research data. Publications Office of the European Union. https://doi.org/10.2777/02999</w:t>
      </w:r>
    </w:p>
  </w:footnote>
  <w:footnote w:id="380">
    <w:p w14:paraId="4E79FD43" w14:textId="5662CCFF" w:rsidR="00071C29" w:rsidRPr="0024473A" w:rsidRDefault="00071C29" w:rsidP="00885795">
      <w:pPr>
        <w:pStyle w:val="FootnoteText"/>
        <w:rPr>
          <w:sz w:val="18"/>
          <w:lang w:val="en-IE"/>
        </w:rPr>
      </w:pPr>
      <w:r w:rsidRPr="00432986">
        <w:rPr>
          <w:rStyle w:val="FootnoteReference"/>
          <w:sz w:val="18"/>
          <w:szCs w:val="18"/>
        </w:rPr>
        <w:footnoteRef/>
      </w:r>
      <w:r w:rsidRPr="00432986">
        <w:rPr>
          <w:sz w:val="18"/>
          <w:szCs w:val="18"/>
        </w:rPr>
        <w:t xml:space="preserve"> IntuitionLabs. (2026). AI for biotech: A build vs. buy decision framework. </w:t>
      </w:r>
      <w:r w:rsidRPr="0024473A">
        <w:rPr>
          <w:sz w:val="18"/>
          <w:lang w:val="en-IE"/>
        </w:rPr>
        <w:t xml:space="preserve">IntuitionLabs. </w:t>
      </w:r>
      <w:hyperlink r:id="rId171" w:history="1">
        <w:r w:rsidR="00C92FF3" w:rsidRPr="0024473A">
          <w:rPr>
            <w:rStyle w:val="Hyperlink"/>
            <w:sz w:val="18"/>
            <w:szCs w:val="18"/>
            <w:lang w:val="fr-FR"/>
          </w:rPr>
          <w:t>https://intuitionlabs.ai/articles/build-vs-buy-ai-biotech</w:t>
        </w:r>
      </w:hyperlink>
      <w:r w:rsidR="00C92FF3" w:rsidRPr="0024473A">
        <w:rPr>
          <w:sz w:val="18"/>
          <w:szCs w:val="18"/>
          <w:lang w:val="en-IE"/>
        </w:rPr>
        <w:t xml:space="preserve"> </w:t>
      </w:r>
    </w:p>
  </w:footnote>
  <w:footnote w:id="381">
    <w:p w14:paraId="38F5CA7B" w14:textId="77777777" w:rsidR="00071C29" w:rsidRPr="00432986" w:rsidRDefault="00071C29" w:rsidP="00885795">
      <w:pPr>
        <w:pStyle w:val="FootnoteText"/>
        <w:rPr>
          <w:sz w:val="18"/>
          <w:szCs w:val="18"/>
        </w:rPr>
      </w:pPr>
      <w:r w:rsidRPr="00432986">
        <w:rPr>
          <w:rStyle w:val="FootnoteReference"/>
          <w:sz w:val="18"/>
          <w:szCs w:val="18"/>
        </w:rPr>
        <w:footnoteRef/>
      </w:r>
      <w:r w:rsidRPr="0024473A">
        <w:rPr>
          <w:sz w:val="18"/>
          <w:lang w:val="en-IE"/>
        </w:rPr>
        <w:t xml:space="preserve"> European Commission. </w:t>
      </w:r>
      <w:r w:rsidRPr="00432986">
        <w:rPr>
          <w:sz w:val="18"/>
          <w:szCs w:val="18"/>
        </w:rPr>
        <w:t xml:space="preserve">(2025). Communication from the Commission to the European Parliament and the Council: Data Union strategy – Unlocking data for artificial intelligence (COM(2025) 835 final). European Commission. </w:t>
      </w:r>
      <w:hyperlink r:id="rId172" w:history="1">
        <w:r w:rsidRPr="00432986">
          <w:rPr>
            <w:rStyle w:val="Hyperlink"/>
            <w:sz w:val="18"/>
            <w:szCs w:val="18"/>
          </w:rPr>
          <w:t>http://publications.europa.eu/resource/celex/52025DC0835</w:t>
        </w:r>
      </w:hyperlink>
      <w:r w:rsidRPr="00432986">
        <w:rPr>
          <w:sz w:val="18"/>
          <w:szCs w:val="18"/>
        </w:rPr>
        <w:t xml:space="preserve"> </w:t>
      </w:r>
    </w:p>
  </w:footnote>
  <w:footnote w:id="382">
    <w:p w14:paraId="4865B40A" w14:textId="77777777" w:rsidR="00071C29" w:rsidRPr="00432986" w:rsidRDefault="00071C29" w:rsidP="00885795">
      <w:pPr>
        <w:pStyle w:val="FootnoteText"/>
        <w:rPr>
          <w:sz w:val="18"/>
          <w:szCs w:val="18"/>
          <w:lang w:val="es-ES"/>
        </w:rPr>
      </w:pPr>
      <w:r w:rsidRPr="00432986">
        <w:rPr>
          <w:rStyle w:val="FootnoteReference"/>
          <w:sz w:val="18"/>
          <w:szCs w:val="18"/>
        </w:rPr>
        <w:footnoteRef/>
      </w:r>
      <w:r w:rsidRPr="00432986">
        <w:rPr>
          <w:sz w:val="18"/>
          <w:szCs w:val="18"/>
        </w:rPr>
        <w:t xml:space="preserve"> European Commission. (n.d.). European Health Data Space regulation (EHDS). </w:t>
      </w:r>
      <w:r w:rsidRPr="00432986">
        <w:rPr>
          <w:sz w:val="18"/>
          <w:szCs w:val="18"/>
          <w:lang w:val="es-ES"/>
        </w:rPr>
        <w:t>European Commission.</w:t>
      </w:r>
    </w:p>
    <w:p w14:paraId="00B8B7EE" w14:textId="77777777" w:rsidR="00071C29" w:rsidRPr="00432986" w:rsidRDefault="00071C29" w:rsidP="00885795">
      <w:pPr>
        <w:pStyle w:val="FootnoteText"/>
        <w:rPr>
          <w:sz w:val="18"/>
          <w:szCs w:val="18"/>
          <w:lang w:val="es-ES"/>
        </w:rPr>
      </w:pPr>
      <w:hyperlink r:id="rId173" w:history="1">
        <w:r w:rsidRPr="00432986">
          <w:rPr>
            <w:rStyle w:val="Hyperlink"/>
            <w:sz w:val="18"/>
            <w:szCs w:val="18"/>
            <w:lang w:val="es-ES"/>
          </w:rPr>
          <w:t>https://health.ec.europa.eu/ehealth-digital-health-and-care/european-health-data-space-regulation-ehds_en</w:t>
        </w:r>
      </w:hyperlink>
      <w:r w:rsidRPr="00432986">
        <w:rPr>
          <w:sz w:val="18"/>
          <w:szCs w:val="18"/>
          <w:lang w:val="es-ES"/>
        </w:rPr>
        <w:t xml:space="preserve"> </w:t>
      </w:r>
    </w:p>
  </w:footnote>
  <w:footnote w:id="383">
    <w:p w14:paraId="4974E633" w14:textId="77777777" w:rsidR="00071C29" w:rsidRPr="00432986" w:rsidRDefault="00071C29" w:rsidP="00885795">
      <w:pPr>
        <w:pStyle w:val="FootnoteText"/>
        <w:rPr>
          <w:sz w:val="18"/>
          <w:szCs w:val="18"/>
          <w:lang w:val="lt-LT"/>
        </w:rPr>
      </w:pPr>
      <w:r w:rsidRPr="00432986">
        <w:rPr>
          <w:rStyle w:val="FootnoteReference"/>
          <w:sz w:val="18"/>
          <w:szCs w:val="18"/>
        </w:rPr>
        <w:footnoteRef/>
      </w:r>
      <w:r w:rsidRPr="00432986">
        <w:rPr>
          <w:sz w:val="18"/>
          <w:szCs w:val="18"/>
        </w:rPr>
        <w:t xml:space="preserve"> Organisation for Economic Co-operation and Development. (2017). Strengthening the effectiveness and sustainability of international research infrastructures (OECD Science, Technology and Industry Policy Papers No. 48). OECD Publishing. </w:t>
      </w:r>
      <w:hyperlink r:id="rId174" w:history="1">
        <w:r w:rsidRPr="00432986">
          <w:rPr>
            <w:rStyle w:val="Hyperlink"/>
            <w:sz w:val="18"/>
            <w:szCs w:val="18"/>
          </w:rPr>
          <w:t>https://doi.org/10.1787/fa11a0e0-en</w:t>
        </w:r>
      </w:hyperlink>
      <w:r w:rsidRPr="00432986">
        <w:rPr>
          <w:sz w:val="18"/>
          <w:szCs w:val="18"/>
        </w:rPr>
        <w:t xml:space="preserve"> </w:t>
      </w:r>
    </w:p>
  </w:footnote>
  <w:footnote w:id="384">
    <w:p w14:paraId="24B009F9" w14:textId="77777777" w:rsidR="00071C29" w:rsidRPr="00432986" w:rsidRDefault="00071C29" w:rsidP="00885795">
      <w:pPr>
        <w:pStyle w:val="FootnoteText"/>
        <w:rPr>
          <w:sz w:val="18"/>
          <w:szCs w:val="18"/>
          <w:lang w:val="it-IT"/>
        </w:rPr>
      </w:pPr>
      <w:r w:rsidRPr="00432986">
        <w:rPr>
          <w:rStyle w:val="FootnoteReference"/>
          <w:sz w:val="18"/>
          <w:szCs w:val="18"/>
        </w:rPr>
        <w:footnoteRef/>
      </w:r>
      <w:r w:rsidRPr="00432986">
        <w:rPr>
          <w:sz w:val="18"/>
          <w:szCs w:val="18"/>
        </w:rPr>
        <w:t xml:space="preserve"> European Court of Auditors. (2024). Special report 25/2024: Digitalisation of healthcare. </w:t>
      </w:r>
      <w:hyperlink r:id="rId175" w:history="1">
        <w:r w:rsidRPr="00432986">
          <w:rPr>
            <w:rStyle w:val="Hyperlink"/>
            <w:sz w:val="18"/>
            <w:szCs w:val="18"/>
            <w:lang w:val="it-IT"/>
          </w:rPr>
          <w:t>https://www.eca.europa.eu/ECAPublications/SR-2024-25/SR-2024-25_EN.pdf</w:t>
        </w:r>
      </w:hyperlink>
      <w:r w:rsidRPr="00432986">
        <w:rPr>
          <w:sz w:val="18"/>
          <w:szCs w:val="18"/>
          <w:lang w:val="it-IT"/>
        </w:rPr>
        <w:t xml:space="preserve"> </w:t>
      </w:r>
    </w:p>
  </w:footnote>
  <w:footnote w:id="385">
    <w:p w14:paraId="107B536D"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lang w:val="it-IT"/>
        </w:rPr>
        <w:t xml:space="preserve"> Capgemini Invent. </w:t>
      </w:r>
      <w:r w:rsidRPr="00432986">
        <w:rPr>
          <w:sz w:val="18"/>
          <w:szCs w:val="18"/>
        </w:rPr>
        <w:t xml:space="preserve">(2025). 2025 Digital Decade eHealth indicator study: Final report. European Commission. </w:t>
      </w:r>
      <w:hyperlink r:id="rId176" w:history="1">
        <w:r w:rsidRPr="00432986">
          <w:rPr>
            <w:rStyle w:val="Hyperlink"/>
            <w:sz w:val="18"/>
            <w:szCs w:val="18"/>
          </w:rPr>
          <w:t>http://espanadigital.gob.es/sites/espanadigital/files/2025-12/Estudio%20de%20Indicadores%20de%20eHealth%20de%20la%20D%C3%A9cada%20Digital%202025.pdf</w:t>
        </w:r>
      </w:hyperlink>
      <w:r w:rsidRPr="00432986">
        <w:rPr>
          <w:sz w:val="18"/>
          <w:szCs w:val="18"/>
        </w:rPr>
        <w:t xml:space="preserve"> </w:t>
      </w:r>
    </w:p>
  </w:footnote>
  <w:footnote w:id="386">
    <w:p w14:paraId="663C3863"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Organisation for Economic Co-operation and Development, &amp; European Observatory on Health Systems and Policies. (2025). Synthesis report 2025: Health policy reform trends in the EU. OECD Publishing. </w:t>
      </w:r>
      <w:hyperlink r:id="rId177" w:history="1">
        <w:r w:rsidRPr="00432986">
          <w:rPr>
            <w:rStyle w:val="Hyperlink"/>
            <w:sz w:val="18"/>
            <w:szCs w:val="18"/>
          </w:rPr>
          <w:t>https://doi.org/10.1787/1f6a8e9a-en</w:t>
        </w:r>
      </w:hyperlink>
      <w:r w:rsidRPr="00432986">
        <w:rPr>
          <w:sz w:val="18"/>
          <w:szCs w:val="18"/>
        </w:rPr>
        <w:t xml:space="preserve"> </w:t>
      </w:r>
    </w:p>
  </w:footnote>
  <w:footnote w:id="387">
    <w:p w14:paraId="2F4C2C38"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Capgemini Invent. (2025). 2025 Digital Decade eHealth indicator study: Final report. European Commission. </w:t>
      </w:r>
      <w:hyperlink r:id="rId178" w:history="1">
        <w:r w:rsidRPr="00432986">
          <w:rPr>
            <w:rStyle w:val="Hyperlink"/>
            <w:sz w:val="18"/>
            <w:szCs w:val="18"/>
          </w:rPr>
          <w:t>http://espanadigital.gob.es/sites/espanadigital/files/2025-12/Estudio%20de%20Indicadores%20de%20eHealth%20de%20la%20D%C3%A9cada%20Digital%202025.pdf</w:t>
        </w:r>
      </w:hyperlink>
    </w:p>
  </w:footnote>
  <w:footnote w:id="388">
    <w:p w14:paraId="18493CA8"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Organisation for Economic Co-operation and Development, &amp; European Observatory on Health Systems and Policies. (2025). Romania: Country health profile 2025. OECD Publishing. </w:t>
      </w:r>
      <w:hyperlink r:id="rId179" w:history="1">
        <w:r w:rsidRPr="00432986">
          <w:rPr>
            <w:rStyle w:val="Hyperlink"/>
            <w:sz w:val="18"/>
            <w:szCs w:val="18"/>
          </w:rPr>
          <w:t>https://www.oecd.org/content/dam/oecd/en/publications/reports/2025/12/country-health-profile-2025-country-notes_7e72146d/romania_ca47b392/1269b371-en.pdf</w:t>
        </w:r>
      </w:hyperlink>
      <w:r w:rsidRPr="00432986">
        <w:rPr>
          <w:sz w:val="18"/>
          <w:szCs w:val="18"/>
        </w:rPr>
        <w:t xml:space="preserve"> </w:t>
      </w:r>
    </w:p>
  </w:footnote>
  <w:footnote w:id="389">
    <w:p w14:paraId="026C952C"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Collected through public consultations and workshop. </w:t>
      </w:r>
    </w:p>
  </w:footnote>
  <w:footnote w:id="390">
    <w:p w14:paraId="3D713E13" w14:textId="5B11EC21" w:rsidR="005B016B" w:rsidRPr="00432986" w:rsidRDefault="005B016B" w:rsidP="00885795">
      <w:pPr>
        <w:pStyle w:val="FootnoteText"/>
        <w:rPr>
          <w:sz w:val="18"/>
          <w:szCs w:val="18"/>
          <w:lang w:val="en-IE"/>
        </w:rPr>
      </w:pPr>
      <w:r w:rsidRPr="00432986">
        <w:rPr>
          <w:rStyle w:val="FootnoteReference"/>
          <w:sz w:val="18"/>
          <w:szCs w:val="18"/>
        </w:rPr>
        <w:footnoteRef/>
      </w:r>
      <w:r w:rsidRPr="00432986">
        <w:rPr>
          <w:sz w:val="18"/>
          <w:szCs w:val="18"/>
        </w:rPr>
        <w:t xml:space="preserve"> Organisation for Economic Co-operation and Development. (2022). Data shaping firms and markets (OECD Digital Economy Papers, No. 344). OECD Publishing. https://doi.org/10.1787/7b1a2d70-en</w:t>
      </w:r>
    </w:p>
  </w:footnote>
  <w:footnote w:id="391">
    <w:p w14:paraId="05089D86" w14:textId="7CDE38C0" w:rsidR="008A70A0" w:rsidRPr="00432986" w:rsidRDefault="008A70A0" w:rsidP="00885795">
      <w:pPr>
        <w:pStyle w:val="FootnoteText"/>
        <w:rPr>
          <w:sz w:val="18"/>
          <w:szCs w:val="18"/>
          <w:lang w:val="en-IE"/>
        </w:rPr>
      </w:pPr>
      <w:r w:rsidRPr="00432986">
        <w:rPr>
          <w:rStyle w:val="FootnoteReference"/>
          <w:sz w:val="18"/>
          <w:szCs w:val="18"/>
        </w:rPr>
        <w:footnoteRef/>
      </w:r>
      <w:r w:rsidRPr="00432986">
        <w:rPr>
          <w:sz w:val="18"/>
          <w:szCs w:val="18"/>
        </w:rPr>
        <w:t xml:space="preserve"> TEHDAS Joint Action. (2022). Report on secondary use of health data through European case studies. </w:t>
      </w:r>
      <w:hyperlink r:id="rId180" w:history="1">
        <w:r w:rsidRPr="00432986">
          <w:rPr>
            <w:rStyle w:val="Hyperlink"/>
            <w:sz w:val="18"/>
            <w:szCs w:val="18"/>
          </w:rPr>
          <w:t>https://tehdas.eu/app/uploads/2022/08/tehdas-report-on-secondary-use-of-health-data-through-european-case-studies-.pdf</w:t>
        </w:r>
      </w:hyperlink>
    </w:p>
  </w:footnote>
  <w:footnote w:id="392">
    <w:p w14:paraId="684568E3" w14:textId="77777777" w:rsidR="00071C29" w:rsidRPr="00432986" w:rsidRDefault="00071C29" w:rsidP="00885795">
      <w:pPr>
        <w:pStyle w:val="FootnoteText"/>
        <w:rPr>
          <w:sz w:val="18"/>
          <w:szCs w:val="18"/>
          <w:lang w:val="lt-LT"/>
        </w:rPr>
      </w:pPr>
      <w:r w:rsidRPr="00432986">
        <w:rPr>
          <w:rStyle w:val="FootnoteReference"/>
          <w:sz w:val="18"/>
          <w:szCs w:val="18"/>
        </w:rPr>
        <w:footnoteRef/>
      </w:r>
      <w:r w:rsidRPr="004570F2">
        <w:rPr>
          <w:sz w:val="18"/>
          <w:lang w:val="fr-BE"/>
        </w:rPr>
        <w:t xml:space="preserve"> Fries, J. A., </w:t>
      </w:r>
      <w:r w:rsidRPr="004570F2">
        <w:rPr>
          <w:i/>
          <w:sz w:val="18"/>
          <w:lang w:val="fr-BE"/>
        </w:rPr>
        <w:t>et al</w:t>
      </w:r>
      <w:r w:rsidRPr="004570F2">
        <w:rPr>
          <w:sz w:val="18"/>
          <w:lang w:val="fr-BE"/>
        </w:rPr>
        <w:t xml:space="preserve">. </w:t>
      </w:r>
      <w:r w:rsidRPr="00432986">
        <w:rPr>
          <w:sz w:val="18"/>
          <w:szCs w:val="18"/>
        </w:rPr>
        <w:t xml:space="preserve">(2022). Dataset debt in biomedical language modeling. </w:t>
      </w:r>
      <w:hyperlink r:id="rId181" w:history="1">
        <w:r w:rsidRPr="00432986">
          <w:rPr>
            <w:rStyle w:val="Hyperlink"/>
            <w:sz w:val="18"/>
            <w:szCs w:val="18"/>
          </w:rPr>
          <w:t>https://edoc.mdc-berlin.de/id/eprint/22134/1/22134oa.pdf</w:t>
        </w:r>
      </w:hyperlink>
      <w:r w:rsidRPr="00432986">
        <w:rPr>
          <w:sz w:val="18"/>
          <w:szCs w:val="18"/>
        </w:rPr>
        <w:t xml:space="preserve"> </w:t>
      </w:r>
    </w:p>
  </w:footnote>
  <w:footnote w:id="393">
    <w:p w14:paraId="49D5BEBB" w14:textId="77777777" w:rsidR="00071C29" w:rsidRPr="00432986" w:rsidRDefault="00071C29" w:rsidP="00885795">
      <w:pPr>
        <w:pStyle w:val="FootnoteText"/>
        <w:rPr>
          <w:sz w:val="18"/>
          <w:szCs w:val="18"/>
          <w:lang w:val="lt-LT"/>
        </w:rPr>
      </w:pPr>
      <w:r w:rsidRPr="00432986">
        <w:rPr>
          <w:rStyle w:val="FootnoteReference"/>
          <w:sz w:val="18"/>
          <w:szCs w:val="18"/>
        </w:rPr>
        <w:footnoteRef/>
      </w:r>
      <w:r w:rsidRPr="00432986">
        <w:rPr>
          <w:sz w:val="18"/>
          <w:szCs w:val="18"/>
        </w:rPr>
        <w:t xml:space="preserve"> European Commission, Directorate-General for Research and Innovation, &amp; PwC EU Services. (2018). Cost-benefit analysis for FAIR research data: Cost of not having FAIR research data. Publications Office of the European Union. </w:t>
      </w:r>
      <w:hyperlink r:id="rId182" w:history="1">
        <w:r w:rsidRPr="00432986">
          <w:rPr>
            <w:rStyle w:val="Hyperlink"/>
            <w:sz w:val="18"/>
            <w:szCs w:val="18"/>
          </w:rPr>
          <w:t>https://doi.org/10.2777/02999</w:t>
        </w:r>
      </w:hyperlink>
      <w:r w:rsidRPr="00432986">
        <w:rPr>
          <w:sz w:val="18"/>
          <w:szCs w:val="18"/>
        </w:rPr>
        <w:t xml:space="preserve"> </w:t>
      </w:r>
    </w:p>
  </w:footnote>
  <w:footnote w:id="394">
    <w:p w14:paraId="2802E5D9" w14:textId="77777777" w:rsidR="00071C29" w:rsidRPr="00432986" w:rsidRDefault="00071C29" w:rsidP="00885795">
      <w:pPr>
        <w:pStyle w:val="FootnoteText"/>
        <w:rPr>
          <w:sz w:val="18"/>
          <w:szCs w:val="18"/>
          <w:lang w:val="lt-LT"/>
        </w:rPr>
      </w:pPr>
      <w:r w:rsidRPr="00432986">
        <w:rPr>
          <w:rStyle w:val="FootnoteReference"/>
          <w:sz w:val="18"/>
          <w:szCs w:val="18"/>
        </w:rPr>
        <w:footnoteRef/>
      </w:r>
      <w:r w:rsidRPr="00432986">
        <w:rPr>
          <w:sz w:val="18"/>
          <w:szCs w:val="18"/>
        </w:rPr>
        <w:t xml:space="preserve"> Elucidata (2025), Data Mine to Data Minefield: The Hidden Costs of Poor Data Quality in Biopharma R&amp;D. </w:t>
      </w:r>
      <w:hyperlink r:id="rId183" w:history="1">
        <w:r w:rsidRPr="00432986">
          <w:rPr>
            <w:rStyle w:val="Hyperlink"/>
            <w:sz w:val="18"/>
            <w:szCs w:val="18"/>
          </w:rPr>
          <w:t>https://www.elucidata.io/blog/data-mine-to-data-minefield-the-hidden-costs-of-poor-data-quality-in-biopharma-r-d</w:t>
        </w:r>
      </w:hyperlink>
      <w:r w:rsidRPr="00432986">
        <w:rPr>
          <w:sz w:val="18"/>
          <w:szCs w:val="18"/>
        </w:rPr>
        <w:t xml:space="preserve"> </w:t>
      </w:r>
    </w:p>
  </w:footnote>
  <w:footnote w:id="395">
    <w:p w14:paraId="12388E7A" w14:textId="77777777" w:rsidR="00071C29" w:rsidRPr="00432986" w:rsidRDefault="00071C29" w:rsidP="00885795">
      <w:pPr>
        <w:pStyle w:val="FootnoteText"/>
        <w:rPr>
          <w:sz w:val="18"/>
          <w:szCs w:val="18"/>
          <w:lang w:val="lt-LT"/>
        </w:rPr>
      </w:pPr>
      <w:r w:rsidRPr="00432986">
        <w:rPr>
          <w:rStyle w:val="FootnoteReference"/>
          <w:sz w:val="18"/>
          <w:szCs w:val="18"/>
        </w:rPr>
        <w:footnoteRef/>
      </w:r>
      <w:r w:rsidRPr="00432986">
        <w:rPr>
          <w:sz w:val="18"/>
          <w:szCs w:val="18"/>
        </w:rPr>
        <w:t xml:space="preserve"> European Court of Auditors (2016), Special Report No 04/2016: The European Institute of Innovation and Technology must modify its delivery mechanisms and elements of its design to achieve the expected impact. </w:t>
      </w:r>
      <w:hyperlink r:id="rId184" w:history="1">
        <w:r w:rsidRPr="00432986">
          <w:rPr>
            <w:rStyle w:val="Hyperlink"/>
            <w:sz w:val="18"/>
            <w:szCs w:val="18"/>
          </w:rPr>
          <w:t>https://www.eca.europa.eu/lists/ecadocuments/sr16_04/sr_eit_en.pdf</w:t>
        </w:r>
      </w:hyperlink>
      <w:r w:rsidRPr="00432986">
        <w:rPr>
          <w:sz w:val="18"/>
          <w:szCs w:val="18"/>
        </w:rPr>
        <w:t xml:space="preserve"> </w:t>
      </w:r>
    </w:p>
  </w:footnote>
  <w:footnote w:id="396">
    <w:p w14:paraId="1EBE8D3A" w14:textId="77777777" w:rsidR="00071C29" w:rsidRPr="00432986" w:rsidRDefault="00071C29" w:rsidP="00885795">
      <w:pPr>
        <w:pStyle w:val="FootnoteText"/>
        <w:rPr>
          <w:sz w:val="18"/>
          <w:szCs w:val="18"/>
          <w:lang w:val="lt-LT"/>
        </w:rPr>
      </w:pPr>
      <w:r w:rsidRPr="00432986">
        <w:rPr>
          <w:rStyle w:val="FootnoteReference"/>
          <w:sz w:val="18"/>
          <w:szCs w:val="18"/>
        </w:rPr>
        <w:footnoteRef/>
      </w:r>
      <w:r w:rsidRPr="00432986">
        <w:rPr>
          <w:sz w:val="18"/>
          <w:szCs w:val="18"/>
        </w:rPr>
        <w:t xml:space="preserve"> Santos, F. M., &amp; Mendonça, S. (2025), Innovation Intermediaries in the Digital Transformation Process, Technovation. https://doi.org/10.1016/j.technovation.2025.102902</w:t>
      </w:r>
    </w:p>
  </w:footnote>
  <w:footnote w:id="397">
    <w:p w14:paraId="0F3CB8AC" w14:textId="77777777" w:rsidR="00071C29" w:rsidRPr="00432986" w:rsidRDefault="00071C29" w:rsidP="00885795">
      <w:pPr>
        <w:pStyle w:val="FootnoteText"/>
        <w:rPr>
          <w:sz w:val="18"/>
          <w:szCs w:val="18"/>
          <w:lang w:val="lt-LT"/>
        </w:rPr>
      </w:pPr>
      <w:r w:rsidRPr="00432986">
        <w:rPr>
          <w:rStyle w:val="FootnoteReference"/>
          <w:sz w:val="18"/>
          <w:szCs w:val="18"/>
        </w:rPr>
        <w:footnoteRef/>
      </w:r>
      <w:r w:rsidRPr="00432986">
        <w:rPr>
          <w:sz w:val="18"/>
          <w:szCs w:val="18"/>
        </w:rPr>
        <w:t xml:space="preserve"> European Court of Auditors (2026), Opinion No 10/2026 on the proposal for a regulation establishing a budget expenditure tracking and performance framework. </w:t>
      </w:r>
      <w:hyperlink r:id="rId185" w:history="1">
        <w:r w:rsidRPr="00432986">
          <w:rPr>
            <w:rStyle w:val="Hyperlink"/>
            <w:sz w:val="18"/>
            <w:szCs w:val="18"/>
          </w:rPr>
          <w:t>https://www.eca.europa.eu/en/publications/OP-2026-10</w:t>
        </w:r>
      </w:hyperlink>
      <w:r w:rsidRPr="00432986">
        <w:rPr>
          <w:sz w:val="18"/>
          <w:szCs w:val="18"/>
        </w:rPr>
        <w:t xml:space="preserve"> </w:t>
      </w:r>
    </w:p>
  </w:footnote>
  <w:footnote w:id="398">
    <w:p w14:paraId="278566B8" w14:textId="77777777" w:rsidR="00071C29" w:rsidRPr="0024473A"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w:t>
      </w:r>
      <w:r w:rsidRPr="00432986">
        <w:rPr>
          <w:sz w:val="18"/>
          <w:szCs w:val="18"/>
          <w:lang w:eastAsia="en-GB"/>
        </w:rPr>
        <w:t xml:space="preserve">Capgemini Research Institute. (2026). </w:t>
      </w:r>
      <w:r w:rsidRPr="00432986">
        <w:rPr>
          <w:i/>
          <w:iCs/>
          <w:sz w:val="18"/>
          <w:szCs w:val="18"/>
          <w:lang w:eastAsia="en-GB"/>
        </w:rPr>
        <w:t>Smart bet, only option, or both?: Biopharma R&amp;D turns to AI</w:t>
      </w:r>
      <w:r w:rsidRPr="00432986">
        <w:rPr>
          <w:sz w:val="18"/>
          <w:szCs w:val="18"/>
          <w:lang w:eastAsia="en-GB"/>
        </w:rPr>
        <w:t xml:space="preserve">. </w:t>
      </w:r>
      <w:r w:rsidRPr="0024473A">
        <w:rPr>
          <w:sz w:val="18"/>
          <w:szCs w:val="18"/>
          <w:lang w:val="fr-FR" w:eastAsia="en-GB"/>
        </w:rPr>
        <w:t>Capgemini.</w:t>
      </w:r>
      <w:r w:rsidRPr="0024473A">
        <w:rPr>
          <w:sz w:val="18"/>
          <w:szCs w:val="18"/>
          <w:lang w:val="fr-FR"/>
        </w:rPr>
        <w:t xml:space="preserve"> </w:t>
      </w:r>
      <w:hyperlink r:id="rId186" w:history="1">
        <w:r w:rsidRPr="0024473A">
          <w:rPr>
            <w:rStyle w:val="Hyperlink"/>
            <w:sz w:val="18"/>
            <w:szCs w:val="18"/>
            <w:lang w:eastAsia="en-GB"/>
          </w:rPr>
          <w:t>https://www.capgemini.com/wp-content/uploads/2026/01/120126CRI_Gen-AI-in-Lifesciences-_Final-interactive.pdf</w:t>
        </w:r>
      </w:hyperlink>
      <w:r w:rsidRPr="0024473A">
        <w:rPr>
          <w:sz w:val="18"/>
          <w:szCs w:val="18"/>
          <w:lang w:eastAsia="en-GB"/>
        </w:rPr>
        <w:t xml:space="preserve"> </w:t>
      </w:r>
    </w:p>
  </w:footnote>
  <w:footnote w:id="399">
    <w:p w14:paraId="43C25837"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European Medicines Agency. (2025, June 30). Real-world evidence framework to support EU regulatory decision-making: 3rd report on the experience gained with regulator-led studies from February 2024 to February 2025. European Medicines Agency. </w:t>
      </w:r>
      <w:hyperlink r:id="rId187" w:history="1">
        <w:r w:rsidRPr="00432986">
          <w:rPr>
            <w:rStyle w:val="Hyperlink"/>
            <w:sz w:val="18"/>
            <w:szCs w:val="18"/>
          </w:rPr>
          <w:t>https://www.ema.europa.eu/en/documents/report/real-world-evidence-framework-support-eu-regulatory-decision-making-3rd-report-experience-gained-regulator-led-studies-february-2024-february-2025_en.pdf</w:t>
        </w:r>
      </w:hyperlink>
      <w:r w:rsidRPr="00432986">
        <w:rPr>
          <w:sz w:val="18"/>
          <w:szCs w:val="18"/>
        </w:rPr>
        <w:t xml:space="preserve"> </w:t>
      </w:r>
    </w:p>
  </w:footnote>
  <w:footnote w:id="400">
    <w:p w14:paraId="11BF18BD" w14:textId="275F2E20" w:rsidR="00071C29" w:rsidRPr="00E5568D" w:rsidRDefault="00071C29" w:rsidP="00885795">
      <w:pPr>
        <w:pStyle w:val="FootnoteText"/>
        <w:rPr>
          <w:sz w:val="18"/>
          <w:szCs w:val="18"/>
          <w:lang w:val="sv-SE"/>
        </w:rPr>
      </w:pPr>
      <w:r w:rsidRPr="00432986">
        <w:rPr>
          <w:rStyle w:val="FootnoteReference"/>
          <w:sz w:val="18"/>
          <w:szCs w:val="18"/>
        </w:rPr>
        <w:footnoteRef/>
      </w:r>
      <w:r w:rsidRPr="00E5568D">
        <w:rPr>
          <w:sz w:val="18"/>
          <w:szCs w:val="18"/>
          <w:lang w:val="sv-SE"/>
        </w:rPr>
        <w:t xml:space="preserve"> EMA Infosheet: </w:t>
      </w:r>
      <w:hyperlink r:id="rId188" w:history="1">
        <w:r w:rsidR="00D40585" w:rsidRPr="00E5568D">
          <w:rPr>
            <w:rStyle w:val="Hyperlink"/>
            <w:sz w:val="18"/>
            <w:szCs w:val="18"/>
            <w:lang w:val="sv-SE"/>
          </w:rPr>
          <w:t>https://www.ema.europa.eu/en/documents/other/infosheet-ema-review-real-world-data-studies-september-2021-february-2025_en.pdf</w:t>
        </w:r>
      </w:hyperlink>
      <w:r w:rsidR="00D40585" w:rsidRPr="00E5568D">
        <w:rPr>
          <w:sz w:val="18"/>
          <w:szCs w:val="18"/>
          <w:lang w:val="sv-SE"/>
        </w:rPr>
        <w:t xml:space="preserve"> </w:t>
      </w:r>
    </w:p>
  </w:footnote>
  <w:footnote w:id="401">
    <w:p w14:paraId="6B24CD92" w14:textId="0E77A443" w:rsidR="00071C29" w:rsidRPr="00432986" w:rsidRDefault="00071C29" w:rsidP="00885795">
      <w:pPr>
        <w:pStyle w:val="FootnoteText"/>
        <w:rPr>
          <w:sz w:val="18"/>
          <w:szCs w:val="18"/>
          <w:lang w:val="lt-LT"/>
        </w:rPr>
      </w:pPr>
      <w:r w:rsidRPr="00432986">
        <w:rPr>
          <w:rStyle w:val="FootnoteReference"/>
          <w:sz w:val="18"/>
          <w:szCs w:val="18"/>
        </w:rPr>
        <w:footnoteRef/>
      </w:r>
      <w:r w:rsidRPr="00432986">
        <w:rPr>
          <w:sz w:val="18"/>
          <w:szCs w:val="18"/>
        </w:rPr>
        <w:t xml:space="preserve"> There is no database for these figures available, a</w:t>
      </w:r>
      <w:r w:rsidR="00CA4AE6" w:rsidRPr="00432986">
        <w:rPr>
          <w:sz w:val="18"/>
          <w:szCs w:val="18"/>
        </w:rPr>
        <w:t xml:space="preserve">n assumption </w:t>
      </w:r>
      <w:r w:rsidRPr="00432986">
        <w:rPr>
          <w:sz w:val="18"/>
          <w:szCs w:val="18"/>
        </w:rPr>
        <w:t>was made given the expected amount of work per project</w:t>
      </w:r>
      <w:r w:rsidR="00CA4AE6" w:rsidRPr="00432986">
        <w:rPr>
          <w:sz w:val="18"/>
          <w:szCs w:val="18"/>
        </w:rPr>
        <w:t xml:space="preserve"> (see Rapid Assessment Study – forthcoming)</w:t>
      </w:r>
      <w:r w:rsidRPr="00432986">
        <w:rPr>
          <w:sz w:val="18"/>
          <w:szCs w:val="18"/>
        </w:rPr>
        <w:t>.</w:t>
      </w:r>
      <w:r w:rsidRPr="00432986">
        <w:rPr>
          <w:sz w:val="18"/>
          <w:szCs w:val="18"/>
          <w:lang w:val="lt-LT"/>
        </w:rPr>
        <w:t xml:space="preserve"> </w:t>
      </w:r>
    </w:p>
  </w:footnote>
  <w:footnote w:id="402">
    <w:p w14:paraId="7DEF3BBE"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In the current Chips JU, 18 FTE supervise a budget of around EUR 4.175 billion in EU funding. The Chips Act strategic project oversight model provides the closest available proxy for the administrative supervision function envisaged under Articles 32 and 33 of the proposed Biotech Act. </w:t>
      </w:r>
    </w:p>
  </w:footnote>
  <w:footnote w:id="403">
    <w:p w14:paraId="5DD3E2D4"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Organisation for Economic Co‑operation and Development. (2018). OECD science, technology and innovation outlook 2018: Adapting to technological and societal disruption. </w:t>
      </w:r>
      <w:hyperlink r:id="rId189" w:history="1">
        <w:r w:rsidRPr="00432986">
          <w:rPr>
            <w:rStyle w:val="Hyperlink"/>
            <w:sz w:val="18"/>
            <w:szCs w:val="18"/>
          </w:rPr>
          <w:t>https://www.oecd.org/content/dam/oecd/en/publications/reports/2018/11/oecd-science-technology-and-innovation-outlook-2018_g1g98de3/sti_in_outlook-2018-en.pdf</w:t>
        </w:r>
      </w:hyperlink>
      <w:r w:rsidRPr="00432986">
        <w:rPr>
          <w:sz w:val="18"/>
          <w:szCs w:val="18"/>
        </w:rPr>
        <w:t xml:space="preserve"> </w:t>
      </w:r>
    </w:p>
  </w:footnote>
  <w:footnote w:id="404">
    <w:p w14:paraId="24B1D421" w14:textId="77777777" w:rsidR="00071C29" w:rsidRPr="00432986" w:rsidRDefault="00071C29" w:rsidP="00885795">
      <w:pPr>
        <w:pStyle w:val="FootnoteText"/>
        <w:rPr>
          <w:sz w:val="18"/>
          <w:szCs w:val="18"/>
          <w:lang w:val="lt-LT"/>
        </w:rPr>
      </w:pPr>
      <w:r w:rsidRPr="00432986">
        <w:rPr>
          <w:rStyle w:val="FootnoteReference"/>
          <w:sz w:val="18"/>
          <w:szCs w:val="18"/>
        </w:rPr>
        <w:footnoteRef/>
      </w:r>
      <w:r w:rsidRPr="00432986">
        <w:rPr>
          <w:sz w:val="18"/>
          <w:szCs w:val="18"/>
        </w:rPr>
        <w:t xml:space="preserve"> Santos, F. M., &amp; Mendonça, S. (2025), Innovation Intermediaries in the Digital Transformation Process, Technovation. https://doi.org/10.1016/j.technovation.2025.102902</w:t>
      </w:r>
    </w:p>
  </w:footnote>
  <w:footnote w:id="405">
    <w:p w14:paraId="5523CC28" w14:textId="77777777" w:rsidR="00071C29" w:rsidRPr="00432986" w:rsidRDefault="00071C29" w:rsidP="00885795">
      <w:pPr>
        <w:pStyle w:val="FootnoteText"/>
        <w:rPr>
          <w:sz w:val="18"/>
          <w:szCs w:val="18"/>
          <w:lang w:val="es-ES"/>
        </w:rPr>
      </w:pPr>
      <w:r w:rsidRPr="00432986">
        <w:rPr>
          <w:rStyle w:val="FootnoteReference"/>
          <w:sz w:val="18"/>
          <w:szCs w:val="18"/>
        </w:rPr>
        <w:footnoteRef/>
      </w:r>
      <w:r w:rsidRPr="00432986">
        <w:rPr>
          <w:sz w:val="18"/>
          <w:szCs w:val="18"/>
        </w:rPr>
        <w:t xml:space="preserve"> European Court of Auditors. (2026, February 24). Opinion No 10/2026 (pursuant to Article 322(1) TFEU) on the proposal for a regulation establishing a budget expenditure tracking and performance framework. </w:t>
      </w:r>
      <w:hyperlink r:id="rId190" w:history="1">
        <w:r w:rsidRPr="00432986">
          <w:rPr>
            <w:rStyle w:val="Hyperlink"/>
            <w:sz w:val="18"/>
            <w:szCs w:val="18"/>
            <w:lang w:val="es-ES"/>
          </w:rPr>
          <w:t>https://www.eca.europa.eu/en/publications/OP-2026-10</w:t>
        </w:r>
      </w:hyperlink>
      <w:r w:rsidRPr="00432986">
        <w:rPr>
          <w:sz w:val="18"/>
          <w:szCs w:val="18"/>
          <w:lang w:val="es-ES"/>
        </w:rPr>
        <w:t xml:space="preserve"> </w:t>
      </w:r>
    </w:p>
  </w:footnote>
  <w:footnote w:id="406">
    <w:p w14:paraId="595BF006"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lang w:val="es-ES"/>
        </w:rPr>
        <w:t xml:space="preserve"> Santos, F. M., &amp; Mendonça, S. (2025). </w:t>
      </w:r>
      <w:r w:rsidRPr="00432986">
        <w:rPr>
          <w:sz w:val="18"/>
          <w:szCs w:val="18"/>
        </w:rPr>
        <w:t xml:space="preserve">Innovation intermediaries in the digital transformation process. Technovation. </w:t>
      </w:r>
      <w:hyperlink r:id="rId191" w:history="1">
        <w:r w:rsidRPr="00432986">
          <w:rPr>
            <w:rStyle w:val="Hyperlink"/>
            <w:sz w:val="18"/>
            <w:szCs w:val="18"/>
          </w:rPr>
          <w:t>https://doi.org/10.1016/j.technovation.2025.102902</w:t>
        </w:r>
      </w:hyperlink>
      <w:r w:rsidRPr="00432986">
        <w:rPr>
          <w:sz w:val="18"/>
          <w:szCs w:val="18"/>
        </w:rPr>
        <w:t xml:space="preserve"> </w:t>
      </w:r>
    </w:p>
  </w:footnote>
  <w:footnote w:id="407">
    <w:p w14:paraId="3713F9AF" w14:textId="77777777" w:rsidR="00071C29" w:rsidRPr="00432986" w:rsidRDefault="00071C29" w:rsidP="00885795">
      <w:pPr>
        <w:pStyle w:val="FootnoteText"/>
        <w:rPr>
          <w:sz w:val="18"/>
          <w:szCs w:val="18"/>
          <w:lang w:val="lt-LT"/>
        </w:rPr>
      </w:pPr>
      <w:r w:rsidRPr="00432986">
        <w:rPr>
          <w:rStyle w:val="FootnoteReference"/>
          <w:sz w:val="18"/>
          <w:szCs w:val="18"/>
        </w:rPr>
        <w:footnoteRef/>
      </w:r>
      <w:r w:rsidRPr="00432986">
        <w:rPr>
          <w:sz w:val="18"/>
          <w:szCs w:val="18"/>
        </w:rPr>
        <w:t xml:space="preserve"> Technopolis Group (2018), Hartree Centre Phase 1 &amp; 2 Baseline Evaluation. </w:t>
      </w:r>
      <w:hyperlink r:id="rId192" w:history="1">
        <w:r w:rsidRPr="00432986">
          <w:rPr>
            <w:rStyle w:val="Hyperlink"/>
            <w:sz w:val="18"/>
            <w:szCs w:val="18"/>
          </w:rPr>
          <w:t>https://www.technopolis-group.com/wp-content/uploads/2020/02/Hartree-Centre-Phase-12-Baseline-Evaluation.pdf</w:t>
        </w:r>
      </w:hyperlink>
    </w:p>
  </w:footnote>
  <w:footnote w:id="408">
    <w:p w14:paraId="145E90CF"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Organisation for Economic Co-operation and Development. (2026). Progress in implementing the European Union coordinated plan on artificial intelligence (Volume 2): Uptake in high-impact sectors. OECD Publishing. https://doi.org/10.1787/3ac96d41-en</w:t>
      </w:r>
    </w:p>
  </w:footnote>
  <w:footnote w:id="409">
    <w:p w14:paraId="0AE60DB3"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BBMRI-ERIC. (2025). BBMRI-ERIC work programme 2025–2027. </w:t>
      </w:r>
      <w:hyperlink r:id="rId193" w:history="1">
        <w:r w:rsidRPr="00432986">
          <w:rPr>
            <w:rStyle w:val="Hyperlink"/>
            <w:sz w:val="18"/>
            <w:szCs w:val="18"/>
          </w:rPr>
          <w:t>https://www.bbmri-eric.eu/wp-content/uploads/Work_programme_2025-2027_WEB.pdf</w:t>
        </w:r>
      </w:hyperlink>
      <w:r w:rsidRPr="00432986">
        <w:rPr>
          <w:sz w:val="18"/>
          <w:szCs w:val="18"/>
        </w:rPr>
        <w:t xml:space="preserve"> </w:t>
      </w:r>
    </w:p>
  </w:footnote>
  <w:footnote w:id="410">
    <w:p w14:paraId="36A83DDB"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European Commission, Directorate-General for Research and Innovation, &amp; PwC EU Services. (2018). Cost-benefit analysis for FAIR research data: Cost of not having FAIR research data. Publications Office of the European Union. </w:t>
      </w:r>
      <w:hyperlink r:id="rId194" w:history="1">
        <w:r w:rsidRPr="00432986">
          <w:rPr>
            <w:rStyle w:val="Hyperlink"/>
            <w:sz w:val="18"/>
            <w:szCs w:val="18"/>
          </w:rPr>
          <w:t>https://doi.org/10.2777/02999</w:t>
        </w:r>
      </w:hyperlink>
      <w:r w:rsidRPr="00432986">
        <w:rPr>
          <w:sz w:val="18"/>
          <w:szCs w:val="18"/>
        </w:rPr>
        <w:t xml:space="preserve"> </w:t>
      </w:r>
    </w:p>
  </w:footnote>
  <w:footnote w:id="411">
    <w:p w14:paraId="6F59CC61" w14:textId="77777777" w:rsidR="00071C29" w:rsidRPr="00432986" w:rsidRDefault="00071C29" w:rsidP="00885795">
      <w:pPr>
        <w:pStyle w:val="FootnoteText"/>
        <w:rPr>
          <w:sz w:val="18"/>
          <w:szCs w:val="18"/>
          <w:lang w:val="lt-LT"/>
        </w:rPr>
      </w:pPr>
      <w:r w:rsidRPr="00432986">
        <w:rPr>
          <w:rStyle w:val="FootnoteReference"/>
          <w:sz w:val="18"/>
          <w:szCs w:val="18"/>
        </w:rPr>
        <w:footnoteRef/>
      </w:r>
      <w:r w:rsidRPr="00432986">
        <w:rPr>
          <w:sz w:val="18"/>
          <w:szCs w:val="18"/>
        </w:rPr>
        <w:t xml:space="preserve"> Organisation for Economic Co-operation and Development. (2023). Artificial intelligence in science: Challenges, opportunities and the future of research. OECD Publishing. </w:t>
      </w:r>
      <w:hyperlink r:id="rId195" w:history="1">
        <w:r w:rsidRPr="00432986">
          <w:rPr>
            <w:rStyle w:val="Hyperlink"/>
            <w:sz w:val="18"/>
            <w:szCs w:val="18"/>
          </w:rPr>
          <w:t>https://doi.org/10.1787/a8d820bd-en</w:t>
        </w:r>
      </w:hyperlink>
      <w:r w:rsidRPr="00432986">
        <w:rPr>
          <w:sz w:val="18"/>
          <w:szCs w:val="18"/>
        </w:rPr>
        <w:t xml:space="preserve"> </w:t>
      </w:r>
    </w:p>
  </w:footnote>
  <w:footnote w:id="412">
    <w:p w14:paraId="63028C90"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EIT Health. (n.d.). Costs and agreements. </w:t>
      </w:r>
      <w:hyperlink r:id="rId196" w:history="1">
        <w:r w:rsidRPr="00432986">
          <w:rPr>
            <w:rStyle w:val="Hyperlink"/>
            <w:sz w:val="18"/>
            <w:szCs w:val="18"/>
          </w:rPr>
          <w:t>https://biobankshealthdata.eithealth.eu/guide/costs-and-agreements/</w:t>
        </w:r>
      </w:hyperlink>
      <w:r w:rsidRPr="00432986">
        <w:rPr>
          <w:sz w:val="18"/>
          <w:szCs w:val="18"/>
        </w:rPr>
        <w:t xml:space="preserve"> </w:t>
      </w:r>
    </w:p>
  </w:footnote>
  <w:footnote w:id="413">
    <w:p w14:paraId="73D75CBB"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Pilgram, L.,et. al.., &amp; GCKD Investigators. (2024). The costs of anonymization: Case study using clinical data. Journal of Medical Internet Research, 26, e49445. </w:t>
      </w:r>
      <w:hyperlink r:id="rId197" w:history="1">
        <w:r w:rsidRPr="00432986">
          <w:rPr>
            <w:rStyle w:val="Hyperlink"/>
            <w:sz w:val="18"/>
            <w:szCs w:val="18"/>
          </w:rPr>
          <w:t>https://doi.org/10.2196/49445</w:t>
        </w:r>
      </w:hyperlink>
      <w:r w:rsidRPr="00432986">
        <w:rPr>
          <w:sz w:val="18"/>
          <w:szCs w:val="18"/>
        </w:rPr>
        <w:t xml:space="preserve"> </w:t>
      </w:r>
    </w:p>
  </w:footnote>
  <w:footnote w:id="414">
    <w:p w14:paraId="280D6BC5"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BBMRI-ERIC. (2025). BBMRI-ERIC work programme 2025–2027. </w:t>
      </w:r>
      <w:hyperlink r:id="rId198" w:history="1">
        <w:r w:rsidRPr="00432986">
          <w:rPr>
            <w:rStyle w:val="Hyperlink"/>
            <w:sz w:val="18"/>
            <w:szCs w:val="18"/>
          </w:rPr>
          <w:t>https://www.bbmri-eric.eu/wp-content/uploads/Work_programme_2025-2027_WEB.pdf</w:t>
        </w:r>
      </w:hyperlink>
      <w:r w:rsidRPr="00432986">
        <w:rPr>
          <w:sz w:val="18"/>
          <w:szCs w:val="18"/>
        </w:rPr>
        <w:t xml:space="preserve"> </w:t>
      </w:r>
    </w:p>
  </w:footnote>
  <w:footnote w:id="415">
    <w:p w14:paraId="25EC2588"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Towards the European Health Data Space (TEHDAS). (2022, April 1). TEHDAS identifies funding options for secondary use of health data. </w:t>
      </w:r>
      <w:hyperlink r:id="rId199" w:history="1">
        <w:r w:rsidRPr="00432986">
          <w:rPr>
            <w:rStyle w:val="Hyperlink"/>
            <w:sz w:val="18"/>
            <w:szCs w:val="18"/>
          </w:rPr>
          <w:t>https://tehdas.eu/tehdas1/results/tehdas-identifies-funding-options-for-secondary-use-of-health-data/</w:t>
        </w:r>
      </w:hyperlink>
      <w:r w:rsidRPr="00432986">
        <w:rPr>
          <w:sz w:val="18"/>
          <w:szCs w:val="18"/>
        </w:rPr>
        <w:t xml:space="preserve"> </w:t>
      </w:r>
    </w:p>
  </w:footnote>
  <w:footnote w:id="416">
    <w:p w14:paraId="6F689863" w14:textId="77777777" w:rsidR="00071C29" w:rsidRPr="00432986" w:rsidRDefault="00071C29" w:rsidP="00885795">
      <w:pPr>
        <w:pStyle w:val="FootnoteText"/>
        <w:rPr>
          <w:sz w:val="18"/>
          <w:szCs w:val="18"/>
          <w:lang w:val="it-IT"/>
        </w:rPr>
      </w:pPr>
      <w:r w:rsidRPr="00432986">
        <w:rPr>
          <w:rStyle w:val="FootnoteReference"/>
          <w:sz w:val="18"/>
          <w:szCs w:val="18"/>
        </w:rPr>
        <w:footnoteRef/>
      </w:r>
      <w:r w:rsidRPr="00432986">
        <w:rPr>
          <w:sz w:val="18"/>
          <w:szCs w:val="18"/>
        </w:rPr>
        <w:t xml:space="preserve"> Li, Y., et. al. (2025). Reducing misdiagnosis in AI-driven medical diagnostics: A multidimensional framework for technical, ethical, and policy solutions. </w:t>
      </w:r>
      <w:r w:rsidRPr="00432986">
        <w:rPr>
          <w:sz w:val="18"/>
          <w:szCs w:val="18"/>
          <w:lang w:val="it-IT"/>
        </w:rPr>
        <w:t>Frontiers in Medicine. https://doi.org/10.3389/fmed.2025.1594450</w:t>
      </w:r>
    </w:p>
  </w:footnote>
  <w:footnote w:id="417">
    <w:p w14:paraId="1AAB00D5"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lang w:val="it-IT"/>
        </w:rPr>
        <w:t xml:space="preserve"> Li, Y., et. al. </w:t>
      </w:r>
      <w:r w:rsidRPr="00432986">
        <w:rPr>
          <w:sz w:val="18"/>
          <w:szCs w:val="18"/>
        </w:rPr>
        <w:t>(2025). Reducing misdiagnosis in AI-driven medical diagnostics: A multidimensional framework for technical, ethical, and policy solutions. Frontiers in Medicine. https://doi.org/10.3389/fmed.2025.1594450</w:t>
      </w:r>
    </w:p>
  </w:footnote>
  <w:footnote w:id="418">
    <w:p w14:paraId="2D4BB064" w14:textId="77777777" w:rsidR="00071C29" w:rsidRPr="00C65D85" w:rsidRDefault="00071C29" w:rsidP="00885795">
      <w:pPr>
        <w:pStyle w:val="FootnoteText"/>
        <w:rPr>
          <w:sz w:val="18"/>
          <w:szCs w:val="18"/>
          <w:lang w:val="en-IE"/>
        </w:rPr>
      </w:pPr>
      <w:r w:rsidRPr="00432986">
        <w:rPr>
          <w:rStyle w:val="FootnoteReference"/>
          <w:sz w:val="18"/>
          <w:szCs w:val="18"/>
        </w:rPr>
        <w:footnoteRef/>
      </w:r>
      <w:r w:rsidRPr="00432986">
        <w:rPr>
          <w:sz w:val="18"/>
          <w:szCs w:val="18"/>
        </w:rPr>
        <w:t xml:space="preserve"> Goh, E. (2025). New Stanford–Harvard study: Widely used AI models can cause severe clinical harm in up to 22% of cases [LinkedIn post]. </w:t>
      </w:r>
      <w:r w:rsidRPr="00C65D85">
        <w:rPr>
          <w:sz w:val="18"/>
          <w:szCs w:val="18"/>
          <w:lang w:val="en-IE"/>
        </w:rPr>
        <w:t xml:space="preserve">LinkedIn. </w:t>
      </w:r>
      <w:hyperlink r:id="rId200" w:history="1">
        <w:r w:rsidRPr="00C65D85">
          <w:rPr>
            <w:rStyle w:val="Hyperlink"/>
            <w:sz w:val="18"/>
            <w:szCs w:val="18"/>
            <w:lang w:val="en-IE"/>
          </w:rPr>
          <w:t>https://www.linkedin.com/posts/ethan-goh_new-stanfordharvard-study-widely-used-activity-7402030275485962240-ywkw</w:t>
        </w:r>
      </w:hyperlink>
      <w:r w:rsidRPr="00C65D85">
        <w:rPr>
          <w:sz w:val="18"/>
          <w:szCs w:val="18"/>
          <w:lang w:val="en-IE"/>
        </w:rPr>
        <w:t xml:space="preserve"> </w:t>
      </w:r>
    </w:p>
  </w:footnote>
  <w:footnote w:id="419">
    <w:p w14:paraId="4BBAAAF8" w14:textId="77777777" w:rsidR="00071C29" w:rsidRPr="00432986" w:rsidRDefault="00071C29" w:rsidP="00885795">
      <w:pPr>
        <w:pStyle w:val="FootnoteText"/>
        <w:rPr>
          <w:sz w:val="18"/>
          <w:szCs w:val="18"/>
          <w:lang w:val="de-DE"/>
        </w:rPr>
      </w:pPr>
      <w:r w:rsidRPr="00432986">
        <w:rPr>
          <w:rStyle w:val="FootnoteReference"/>
          <w:sz w:val="18"/>
          <w:szCs w:val="18"/>
        </w:rPr>
        <w:footnoteRef/>
      </w:r>
      <w:r w:rsidRPr="00432986">
        <w:rPr>
          <w:sz w:val="18"/>
          <w:szCs w:val="18"/>
        </w:rPr>
        <w:t xml:space="preserve"> Goh, E. (2025). New Stanford–Harvard study: Widely used AI models can cause severe clinical harm in up to 22% of cases [LinkedIn post]. </w:t>
      </w:r>
      <w:r w:rsidRPr="00432986">
        <w:rPr>
          <w:sz w:val="18"/>
          <w:szCs w:val="18"/>
          <w:lang w:val="de-DE"/>
        </w:rPr>
        <w:t xml:space="preserve">LinkedIn. </w:t>
      </w:r>
      <w:hyperlink r:id="rId201" w:history="1">
        <w:r w:rsidRPr="00432986">
          <w:rPr>
            <w:rStyle w:val="Hyperlink"/>
            <w:sz w:val="18"/>
            <w:szCs w:val="18"/>
            <w:lang w:val="de-DE"/>
          </w:rPr>
          <w:t>https://www.linkedin.com/posts/ethan-goh_new-stanfordharvard-study-widely-used-activity-7402030275485962240-ywkw</w:t>
        </w:r>
      </w:hyperlink>
      <w:r w:rsidRPr="00432986">
        <w:rPr>
          <w:sz w:val="18"/>
          <w:szCs w:val="18"/>
          <w:lang w:val="de-DE"/>
        </w:rPr>
        <w:t xml:space="preserve"> </w:t>
      </w:r>
    </w:p>
  </w:footnote>
  <w:footnote w:id="420">
    <w:p w14:paraId="533DC03D" w14:textId="77777777" w:rsidR="00071C29" w:rsidRPr="00432986" w:rsidRDefault="00071C29" w:rsidP="00885795">
      <w:pPr>
        <w:pStyle w:val="FootnoteText"/>
        <w:rPr>
          <w:sz w:val="18"/>
          <w:szCs w:val="18"/>
        </w:rPr>
      </w:pPr>
      <w:r w:rsidRPr="00432986">
        <w:rPr>
          <w:rStyle w:val="FootnoteReference"/>
          <w:sz w:val="18"/>
          <w:szCs w:val="18"/>
        </w:rPr>
        <w:footnoteRef/>
      </w:r>
      <w:r w:rsidRPr="00C65D85">
        <w:rPr>
          <w:sz w:val="18"/>
          <w:szCs w:val="18"/>
          <w:lang w:val="de-DE"/>
        </w:rPr>
        <w:t xml:space="preserve"> Abu-Mahfouz, N. (2026). </w:t>
      </w:r>
      <w:r w:rsidRPr="00432986">
        <w:rPr>
          <w:sz w:val="18"/>
          <w:szCs w:val="18"/>
        </w:rPr>
        <w:t xml:space="preserve">Bias in medical AI: Algorithmic fairness and ethics challenges. Journal of Young Investigators, 29(1), 1–3. </w:t>
      </w:r>
      <w:hyperlink r:id="rId202" w:history="1">
        <w:r w:rsidRPr="00432986">
          <w:rPr>
            <w:rStyle w:val="Hyperlink"/>
            <w:sz w:val="18"/>
            <w:szCs w:val="18"/>
          </w:rPr>
          <w:t>https://www.jyi.org/2026-january-1/2026/1/8/bias-in-medical-ai-algorithmic-fairness-and-ethics-challenges</w:t>
        </w:r>
      </w:hyperlink>
      <w:r w:rsidRPr="00432986">
        <w:rPr>
          <w:sz w:val="18"/>
          <w:szCs w:val="18"/>
        </w:rPr>
        <w:t xml:space="preserve"> </w:t>
      </w:r>
    </w:p>
  </w:footnote>
  <w:footnote w:id="421">
    <w:p w14:paraId="0304BD54" w14:textId="77777777" w:rsidR="00071C29" w:rsidRPr="00432986" w:rsidRDefault="00071C29" w:rsidP="00885795">
      <w:pPr>
        <w:pStyle w:val="FootnoteText"/>
        <w:rPr>
          <w:sz w:val="18"/>
          <w:szCs w:val="18"/>
        </w:rPr>
      </w:pPr>
      <w:r w:rsidRPr="00432986">
        <w:rPr>
          <w:rStyle w:val="FootnoteReference"/>
          <w:sz w:val="18"/>
          <w:szCs w:val="18"/>
        </w:rPr>
        <w:footnoteRef/>
      </w:r>
      <w:r w:rsidRPr="00432986">
        <w:rPr>
          <w:sz w:val="18"/>
          <w:szCs w:val="18"/>
        </w:rPr>
        <w:t xml:space="preserve"> Abu-Mahfouz, N. (2026). Bias in medical AI: Algorithmic fairness and ethics challenges. Journal of Young Investigators, 29(1). </w:t>
      </w:r>
      <w:hyperlink r:id="rId203" w:history="1">
        <w:r w:rsidRPr="00432986">
          <w:rPr>
            <w:rStyle w:val="Hyperlink"/>
            <w:sz w:val="18"/>
            <w:szCs w:val="18"/>
          </w:rPr>
          <w:t>https://www.jyi.org/s/202601-RA-Abu-Mahfouz-Bias-Medical-AI.pdf</w:t>
        </w:r>
      </w:hyperlink>
      <w:r w:rsidRPr="00432986">
        <w:rPr>
          <w:sz w:val="18"/>
          <w:szCs w:val="18"/>
        </w:rPr>
        <w:t xml:space="preserve"> </w:t>
      </w:r>
    </w:p>
  </w:footnote>
  <w:footnote w:id="422">
    <w:p w14:paraId="6A0C56CE" w14:textId="33FB5EB2" w:rsidR="00F33584" w:rsidRPr="00432986" w:rsidRDefault="00F33584">
      <w:pPr>
        <w:pStyle w:val="FootnoteText"/>
        <w:rPr>
          <w:sz w:val="18"/>
          <w:szCs w:val="18"/>
        </w:rPr>
      </w:pPr>
      <w:r w:rsidRPr="00432986">
        <w:rPr>
          <w:rStyle w:val="FootnoteReference"/>
          <w:sz w:val="18"/>
          <w:szCs w:val="18"/>
        </w:rPr>
        <w:footnoteRef/>
      </w:r>
      <w:r w:rsidRPr="00432986">
        <w:rPr>
          <w:sz w:val="18"/>
          <w:szCs w:val="18"/>
        </w:rPr>
        <w:t xml:space="preserve"> </w:t>
      </w:r>
      <w:r w:rsidR="009A48F8" w:rsidRPr="00432986">
        <w:rPr>
          <w:sz w:val="18"/>
          <w:szCs w:val="18"/>
        </w:rPr>
        <w:t>The structural characterisation of the SME population in the EU biotechnology sector, including firm size distribution, sector composition, startup ecosystem data, and employment figures, is drawn from the Market Analysis (Technopolis Group, Orbis IP dataset, 2025) and the Final Report of the Landscape analysis study (forthcoming).</w:t>
      </w:r>
    </w:p>
  </w:footnote>
  <w:footnote w:id="423">
    <w:p w14:paraId="4C09D866" w14:textId="4B0CA431" w:rsidR="006220FA" w:rsidRPr="00432986" w:rsidRDefault="006220FA">
      <w:pPr>
        <w:pStyle w:val="FootnoteText"/>
        <w:rPr>
          <w:sz w:val="18"/>
          <w:szCs w:val="18"/>
        </w:rPr>
      </w:pPr>
      <w:r w:rsidRPr="00432986">
        <w:rPr>
          <w:rStyle w:val="FootnoteReference"/>
          <w:sz w:val="18"/>
          <w:szCs w:val="18"/>
        </w:rPr>
        <w:footnoteRef/>
      </w:r>
      <w:r w:rsidRPr="00432986">
        <w:rPr>
          <w:sz w:val="18"/>
          <w:szCs w:val="18"/>
        </w:rPr>
        <w:t xml:space="preserve"> Figures estimated by PPMI (see Rapid Assessment Study – forthcoming) based </w:t>
      </w:r>
      <w:r w:rsidR="00A714D0" w:rsidRPr="00432986">
        <w:rPr>
          <w:sz w:val="18"/>
          <w:szCs w:val="18"/>
        </w:rPr>
        <w:t xml:space="preserve">total number of companies </w:t>
      </w:r>
      <w:r w:rsidR="000534A8" w:rsidRPr="00432986">
        <w:rPr>
          <w:sz w:val="18"/>
          <w:szCs w:val="18"/>
        </w:rPr>
        <w:t>according to the Technopolis and Wifor reports,</w:t>
      </w:r>
      <w:r w:rsidRPr="00432986">
        <w:rPr>
          <w:sz w:val="18"/>
          <w:szCs w:val="18"/>
        </w:rPr>
        <w:t xml:space="preserve">applying an assumed 40 to 50% SME employment share to the two total employment figures from those sources. </w:t>
      </w:r>
    </w:p>
  </w:footnote>
  <w:footnote w:id="424">
    <w:p w14:paraId="23D31F45" w14:textId="08CC1EA5" w:rsidR="00BD68E8" w:rsidRPr="00432986" w:rsidRDefault="00BD68E8" w:rsidP="00885795">
      <w:pPr>
        <w:pStyle w:val="FootnoteText"/>
        <w:rPr>
          <w:sz w:val="18"/>
          <w:szCs w:val="18"/>
        </w:rPr>
      </w:pPr>
      <w:r w:rsidRPr="00432986">
        <w:rPr>
          <w:rStyle w:val="FootnoteReference"/>
          <w:sz w:val="18"/>
          <w:szCs w:val="18"/>
        </w:rPr>
        <w:footnoteRef/>
      </w:r>
      <w:r w:rsidRPr="00432986">
        <w:rPr>
          <w:sz w:val="18"/>
          <w:szCs w:val="18"/>
        </w:rPr>
        <w:t xml:space="preserve"> The costs and benefits data in this annex are consistent with the data in annex 3. </w:t>
      </w:r>
      <w:r w:rsidR="00491114" w:rsidRPr="00432986">
        <w:rPr>
          <w:sz w:val="18"/>
          <w:szCs w:val="18"/>
        </w:rPr>
        <w:t>The measure</w:t>
      </w:r>
      <w:r w:rsidRPr="00432986">
        <w:rPr>
          <w:sz w:val="18"/>
          <w:szCs w:val="18"/>
        </w:rPr>
        <w:t xml:space="preserve"> include the mitigating measures listed in section 4</w:t>
      </w:r>
      <w:r w:rsidR="00491114" w:rsidRPr="00432986">
        <w:rPr>
          <w:sz w:val="18"/>
          <w:szCs w:val="18"/>
        </w:rPr>
        <w:t xml:space="preserve"> of this annex</w:t>
      </w:r>
      <w:r w:rsidRPr="00432986">
        <w:rPr>
          <w:sz w:val="18"/>
          <w:szCs w:val="18"/>
        </w:rPr>
        <w:t xml:space="preserve">. </w:t>
      </w:r>
    </w:p>
  </w:footnote>
  <w:footnote w:id="425">
    <w:p w14:paraId="48AB993F" w14:textId="4B2A835A" w:rsidR="00C73B77" w:rsidRPr="00432986" w:rsidRDefault="00C73B77" w:rsidP="004608EB">
      <w:pPr>
        <w:pStyle w:val="FootnoteText"/>
        <w:rPr>
          <w:sz w:val="18"/>
          <w:szCs w:val="18"/>
        </w:rPr>
      </w:pPr>
      <w:r w:rsidRPr="00432986">
        <w:rPr>
          <w:rStyle w:val="FootnoteReference"/>
          <w:sz w:val="18"/>
          <w:szCs w:val="18"/>
        </w:rPr>
        <w:footnoteRef/>
      </w:r>
      <w:r w:rsidR="00C65D85">
        <w:rPr>
          <w:sz w:val="18"/>
          <w:szCs w:val="18"/>
        </w:rPr>
        <w:t xml:space="preserve"> </w:t>
      </w:r>
      <w:r w:rsidR="004608EB" w:rsidRPr="00432986">
        <w:rPr>
          <w:sz w:val="18"/>
          <w:szCs w:val="18"/>
        </w:rPr>
        <w:t xml:space="preserve">Direct costs </w:t>
      </w:r>
      <w:r w:rsidR="0067064B" w:rsidRPr="00432986">
        <w:rPr>
          <w:sz w:val="18"/>
          <w:szCs w:val="18"/>
        </w:rPr>
        <w:t xml:space="preserve">as well as direct benefits and cost savings </w:t>
      </w:r>
      <w:r w:rsidR="004608EB" w:rsidRPr="00432986">
        <w:rPr>
          <w:sz w:val="18"/>
          <w:szCs w:val="18"/>
        </w:rPr>
        <w:t>for SMEs</w:t>
      </w:r>
      <w:r w:rsidR="004F5A6C" w:rsidRPr="00432986">
        <w:rPr>
          <w:sz w:val="18"/>
          <w:szCs w:val="18"/>
        </w:rPr>
        <w:t xml:space="preserve"> resulting from the </w:t>
      </w:r>
      <w:r w:rsidR="00BC41C8" w:rsidRPr="00432986">
        <w:rPr>
          <w:sz w:val="18"/>
          <w:szCs w:val="18"/>
        </w:rPr>
        <w:t>different interventions</w:t>
      </w:r>
      <w:r w:rsidR="008659A4" w:rsidRPr="00432986">
        <w:rPr>
          <w:sz w:val="18"/>
          <w:szCs w:val="18"/>
        </w:rPr>
        <w:t xml:space="preserve"> </w:t>
      </w:r>
      <w:r w:rsidR="004608EB" w:rsidRPr="00432986">
        <w:rPr>
          <w:sz w:val="18"/>
          <w:szCs w:val="18"/>
        </w:rPr>
        <w:t>are quantified in Annex 3 (Who is affected and how) and in the sections assessing the impact of</w:t>
      </w:r>
      <w:r w:rsidR="0047401F" w:rsidRPr="00432986">
        <w:rPr>
          <w:sz w:val="18"/>
          <w:szCs w:val="18"/>
        </w:rPr>
        <w:t xml:space="preserve"> respective</w:t>
      </w:r>
      <w:r w:rsidR="004608EB" w:rsidRPr="00432986">
        <w:rPr>
          <w:sz w:val="18"/>
          <w:szCs w:val="18"/>
        </w:rPr>
        <w:t xml:space="preserve"> </w:t>
      </w:r>
      <w:r w:rsidR="00FA5629" w:rsidRPr="00432986">
        <w:rPr>
          <w:sz w:val="18"/>
          <w:szCs w:val="18"/>
        </w:rPr>
        <w:t>interventions</w:t>
      </w:r>
      <w:r w:rsidR="0047401F" w:rsidRPr="00432986">
        <w:rPr>
          <w:sz w:val="18"/>
          <w:szCs w:val="18"/>
        </w:rPr>
        <w:t xml:space="preserve"> (see also the </w:t>
      </w:r>
      <w:r w:rsidR="00A453B3" w:rsidRPr="00432986">
        <w:rPr>
          <w:sz w:val="18"/>
          <w:szCs w:val="18"/>
        </w:rPr>
        <w:t>sections analysing impact per policy measure in the Rapid Assessment Study – forthcoming)</w:t>
      </w:r>
      <w:r w:rsidR="004608EB" w:rsidRPr="00432986">
        <w:rPr>
          <w:sz w:val="18"/>
          <w:szCs w:val="18"/>
        </w:rPr>
        <w:t>.</w:t>
      </w:r>
    </w:p>
  </w:footnote>
  <w:footnote w:id="426">
    <w:p w14:paraId="756360B9" w14:textId="77777777" w:rsidR="00BD68E8" w:rsidRPr="00432986" w:rsidRDefault="00BD68E8" w:rsidP="00885795">
      <w:pPr>
        <w:pStyle w:val="FootnoteText"/>
        <w:rPr>
          <w:sz w:val="18"/>
          <w:szCs w:val="18"/>
        </w:rPr>
      </w:pPr>
      <w:r w:rsidRPr="00432986">
        <w:rPr>
          <w:rStyle w:val="FootnoteReference"/>
          <w:sz w:val="18"/>
          <w:szCs w:val="18"/>
        </w:rPr>
        <w:footnoteRef/>
      </w:r>
      <w:r w:rsidRPr="00432986">
        <w:rPr>
          <w:sz w:val="18"/>
          <w:szCs w:val="18"/>
        </w:rPr>
        <w:t xml:space="preserve"> The direct benefits for SMEs can also be cost savings.</w:t>
      </w:r>
    </w:p>
  </w:footnote>
  <w:footnote w:id="427">
    <w:p w14:paraId="3AC004EF" w14:textId="6176E977" w:rsidR="00FA5629" w:rsidRPr="00432986" w:rsidRDefault="0067064B" w:rsidP="00FA5629">
      <w:pPr>
        <w:pStyle w:val="FootnoteText"/>
        <w:rPr>
          <w:sz w:val="18"/>
          <w:szCs w:val="18"/>
        </w:rPr>
      </w:pPr>
      <w:r w:rsidRPr="00432986">
        <w:rPr>
          <w:rStyle w:val="FootnoteReference"/>
          <w:sz w:val="18"/>
          <w:szCs w:val="18"/>
        </w:rPr>
        <w:footnoteRef/>
      </w:r>
      <w:r w:rsidRPr="00432986">
        <w:rPr>
          <w:sz w:val="18"/>
          <w:szCs w:val="18"/>
        </w:rPr>
        <w:t xml:space="preserve"> Indirect impacts on SMEs</w:t>
      </w:r>
      <w:r w:rsidR="00FA5629" w:rsidRPr="00432986">
        <w:rPr>
          <w:sz w:val="18"/>
          <w:szCs w:val="18"/>
        </w:rPr>
        <w:t xml:space="preserve"> are based on the sections assessing the impact of respective interventions (including Strategic Projects, High Impact Projects, Biosimilars, SPC Extension, and Data and AI, as well as in the Access to Funding IA). See also the sections analysing impact per policy measure in the Rapid Assessment Study – forthcoming.</w:t>
      </w:r>
    </w:p>
    <w:p w14:paraId="3C12FECE" w14:textId="72452DD4" w:rsidR="0067064B" w:rsidRPr="00432986" w:rsidRDefault="0067064B">
      <w:pPr>
        <w:pStyle w:val="FootnoteText"/>
        <w:rPr>
          <w:sz w:val="18"/>
          <w:szCs w:val="18"/>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FF5B" w14:textId="77777777" w:rsidR="00931D81" w:rsidRPr="0027580C" w:rsidRDefault="00931D81" w:rsidP="0027580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574A" w14:textId="77777777" w:rsidR="00931D81" w:rsidRPr="0027580C" w:rsidRDefault="00931D81" w:rsidP="0027580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A3D15" w14:textId="77777777" w:rsidR="00931D81" w:rsidRPr="0027580C" w:rsidRDefault="00931D81" w:rsidP="0027580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603E" w14:textId="6C3F08F4" w:rsidR="00C77248" w:rsidRDefault="00C772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DBBA" w14:textId="77777777" w:rsidR="00C77248" w:rsidRDefault="00C772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C3FC" w14:textId="77777777" w:rsidR="00C77248" w:rsidRDefault="00C7724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5A2D5" w14:textId="01EA6774" w:rsidR="00C77248" w:rsidRDefault="00C7724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27DD" w14:textId="2005F0F4" w:rsidR="00C77248" w:rsidRDefault="00C7724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E61D9" w14:textId="77777777" w:rsidR="00C77248" w:rsidRDefault="00C7724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F5607" w14:textId="77777777" w:rsidR="00C77248" w:rsidRDefault="00C7724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3917" w14:textId="394C0BB6" w:rsidR="00C77248" w:rsidRPr="004F0F44" w:rsidRDefault="00C77248" w:rsidP="004F0F4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9F7F7" w14:textId="71576182" w:rsidR="00C77248" w:rsidRDefault="00C7724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CEB07" w14:textId="4044BE59" w:rsidR="00C77248" w:rsidRDefault="00C7724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974A" w14:textId="535E598C" w:rsidR="00C77248" w:rsidRDefault="00C7724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BC93E" w14:textId="77777777" w:rsidR="00F826B9" w:rsidRDefault="00F826B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1DF20" w14:textId="77777777" w:rsidR="00F826B9" w:rsidRDefault="00F826B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3C652" w14:textId="659E390F" w:rsidR="00C77248" w:rsidRDefault="00C7724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39A46" w14:textId="497D1DAA" w:rsidR="00C77248" w:rsidRDefault="00C7724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F691" w14:textId="5FE7EC7B" w:rsidR="00C77248" w:rsidRDefault="00C7724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1BF4B" w14:textId="13597D94" w:rsidR="00C77248" w:rsidRDefault="00C7724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650F" w14:textId="4C211FF4" w:rsidR="00CB14B2" w:rsidRDefault="00CB14B2" w:rsidP="000E308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C1C3" w14:textId="2DD39E6C" w:rsidR="00CB14B2" w:rsidRDefault="00CB14B2" w:rsidP="000E308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D8A40" w14:textId="5C588CDF" w:rsidR="00CB14B2" w:rsidRDefault="00CB14B2" w:rsidP="000E3086">
    <w:pPr>
      <w:pStyle w:val="Header"/>
    </w:pPr>
  </w:p>
</w:hdr>
</file>

<file path=word/intelligence2.xml><?xml version="1.0" encoding="utf-8"?>
<int2:intelligence xmlns:int2="http://schemas.microsoft.com/office/intelligence/2020/intelligence" xmlns:oel="http://schemas.microsoft.com/office/2019/extlst">
  <int2:observations>
    <int2:textHash int2:hashCode="znIsrZe3Fd2WDU" int2:id="WH1LxKC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C7265F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52CE298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1606F4"/>
    <w:multiLevelType w:val="hybridMultilevel"/>
    <w:tmpl w:val="F796B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524D16"/>
    <w:multiLevelType w:val="multilevel"/>
    <w:tmpl w:val="11A6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7A59C8"/>
    <w:multiLevelType w:val="multilevel"/>
    <w:tmpl w:val="124C4E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18D2369"/>
    <w:multiLevelType w:val="hybridMultilevel"/>
    <w:tmpl w:val="7D302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1CC1538"/>
    <w:multiLevelType w:val="hybridMultilevel"/>
    <w:tmpl w:val="999A1E20"/>
    <w:lvl w:ilvl="0" w:tplc="AB4880AE">
      <w:start w:val="1"/>
      <w:numFmt w:val="bullet"/>
      <w:lvlText w:val=""/>
      <w:lvlJc w:val="left"/>
      <w:pPr>
        <w:ind w:left="720" w:hanging="360"/>
      </w:pPr>
      <w:rPr>
        <w:rFonts w:ascii="Symbol" w:hAnsi="Symbol" w:hint="default"/>
      </w:rPr>
    </w:lvl>
    <w:lvl w:ilvl="1" w:tplc="0B40F03E" w:tentative="1">
      <w:start w:val="1"/>
      <w:numFmt w:val="bullet"/>
      <w:lvlText w:val="o"/>
      <w:lvlJc w:val="left"/>
      <w:pPr>
        <w:ind w:left="1440" w:hanging="360"/>
      </w:pPr>
      <w:rPr>
        <w:rFonts w:ascii="Courier New" w:hAnsi="Courier New" w:hint="default"/>
      </w:rPr>
    </w:lvl>
    <w:lvl w:ilvl="2" w:tplc="25FE041A" w:tentative="1">
      <w:start w:val="1"/>
      <w:numFmt w:val="bullet"/>
      <w:lvlText w:val=""/>
      <w:lvlJc w:val="left"/>
      <w:pPr>
        <w:ind w:left="2160" w:hanging="360"/>
      </w:pPr>
      <w:rPr>
        <w:rFonts w:ascii="Wingdings" w:hAnsi="Wingdings" w:hint="default"/>
      </w:rPr>
    </w:lvl>
    <w:lvl w:ilvl="3" w:tplc="99D646D0" w:tentative="1">
      <w:start w:val="1"/>
      <w:numFmt w:val="bullet"/>
      <w:lvlText w:val=""/>
      <w:lvlJc w:val="left"/>
      <w:pPr>
        <w:ind w:left="2880" w:hanging="360"/>
      </w:pPr>
      <w:rPr>
        <w:rFonts w:ascii="Symbol" w:hAnsi="Symbol" w:hint="default"/>
      </w:rPr>
    </w:lvl>
    <w:lvl w:ilvl="4" w:tplc="06C2B4EE" w:tentative="1">
      <w:start w:val="1"/>
      <w:numFmt w:val="bullet"/>
      <w:lvlText w:val="o"/>
      <w:lvlJc w:val="left"/>
      <w:pPr>
        <w:ind w:left="3600" w:hanging="360"/>
      </w:pPr>
      <w:rPr>
        <w:rFonts w:ascii="Courier New" w:hAnsi="Courier New" w:hint="default"/>
      </w:rPr>
    </w:lvl>
    <w:lvl w:ilvl="5" w:tplc="B6F45780" w:tentative="1">
      <w:start w:val="1"/>
      <w:numFmt w:val="bullet"/>
      <w:lvlText w:val=""/>
      <w:lvlJc w:val="left"/>
      <w:pPr>
        <w:ind w:left="4320" w:hanging="360"/>
      </w:pPr>
      <w:rPr>
        <w:rFonts w:ascii="Wingdings" w:hAnsi="Wingdings" w:hint="default"/>
      </w:rPr>
    </w:lvl>
    <w:lvl w:ilvl="6" w:tplc="39BE8D24" w:tentative="1">
      <w:start w:val="1"/>
      <w:numFmt w:val="bullet"/>
      <w:lvlText w:val=""/>
      <w:lvlJc w:val="left"/>
      <w:pPr>
        <w:ind w:left="5040" w:hanging="360"/>
      </w:pPr>
      <w:rPr>
        <w:rFonts w:ascii="Symbol" w:hAnsi="Symbol" w:hint="default"/>
      </w:rPr>
    </w:lvl>
    <w:lvl w:ilvl="7" w:tplc="3A705A98" w:tentative="1">
      <w:start w:val="1"/>
      <w:numFmt w:val="bullet"/>
      <w:lvlText w:val="o"/>
      <w:lvlJc w:val="left"/>
      <w:pPr>
        <w:ind w:left="5760" w:hanging="360"/>
      </w:pPr>
      <w:rPr>
        <w:rFonts w:ascii="Courier New" w:hAnsi="Courier New" w:hint="default"/>
      </w:rPr>
    </w:lvl>
    <w:lvl w:ilvl="8" w:tplc="E12CCF40" w:tentative="1">
      <w:start w:val="1"/>
      <w:numFmt w:val="bullet"/>
      <w:lvlText w:val=""/>
      <w:lvlJc w:val="left"/>
      <w:pPr>
        <w:ind w:left="6480" w:hanging="360"/>
      </w:pPr>
      <w:rPr>
        <w:rFonts w:ascii="Wingdings" w:hAnsi="Wingdings" w:hint="default"/>
      </w:rPr>
    </w:lvl>
  </w:abstractNum>
  <w:abstractNum w:abstractNumId="7" w15:restartNumberingAfterBreak="0">
    <w:nsid w:val="01DB58E7"/>
    <w:multiLevelType w:val="multilevel"/>
    <w:tmpl w:val="BA26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0638FB"/>
    <w:multiLevelType w:val="hybridMultilevel"/>
    <w:tmpl w:val="FFFFFFFF"/>
    <w:lvl w:ilvl="0" w:tplc="9EB4E356">
      <w:start w:val="1"/>
      <w:numFmt w:val="decimal"/>
      <w:lvlText w:val="%1."/>
      <w:lvlJc w:val="left"/>
      <w:pPr>
        <w:ind w:left="720" w:hanging="360"/>
      </w:pPr>
    </w:lvl>
    <w:lvl w:ilvl="1" w:tplc="0A6AC7FE">
      <w:start w:val="1"/>
      <w:numFmt w:val="lowerLetter"/>
      <w:lvlText w:val="%2."/>
      <w:lvlJc w:val="left"/>
      <w:pPr>
        <w:ind w:left="1440" w:hanging="360"/>
      </w:pPr>
    </w:lvl>
    <w:lvl w:ilvl="2" w:tplc="D548BDB6">
      <w:start w:val="1"/>
      <w:numFmt w:val="lowerRoman"/>
      <w:lvlText w:val="%3."/>
      <w:lvlJc w:val="right"/>
      <w:pPr>
        <w:ind w:left="2160" w:hanging="180"/>
      </w:pPr>
    </w:lvl>
    <w:lvl w:ilvl="3" w:tplc="9CA4C238">
      <w:start w:val="1"/>
      <w:numFmt w:val="decimal"/>
      <w:lvlText w:val="%4."/>
      <w:lvlJc w:val="left"/>
      <w:pPr>
        <w:ind w:left="2880" w:hanging="360"/>
      </w:pPr>
    </w:lvl>
    <w:lvl w:ilvl="4" w:tplc="83CEE7E4">
      <w:start w:val="1"/>
      <w:numFmt w:val="lowerLetter"/>
      <w:lvlText w:val="%5."/>
      <w:lvlJc w:val="left"/>
      <w:pPr>
        <w:ind w:left="3600" w:hanging="360"/>
      </w:pPr>
    </w:lvl>
    <w:lvl w:ilvl="5" w:tplc="D6284FDC">
      <w:start w:val="1"/>
      <w:numFmt w:val="lowerRoman"/>
      <w:lvlText w:val="%6."/>
      <w:lvlJc w:val="right"/>
      <w:pPr>
        <w:ind w:left="4320" w:hanging="180"/>
      </w:pPr>
    </w:lvl>
    <w:lvl w:ilvl="6" w:tplc="35E04DB0">
      <w:start w:val="1"/>
      <w:numFmt w:val="decimal"/>
      <w:lvlText w:val="%7."/>
      <w:lvlJc w:val="left"/>
      <w:pPr>
        <w:ind w:left="5040" w:hanging="360"/>
      </w:pPr>
    </w:lvl>
    <w:lvl w:ilvl="7" w:tplc="DD58F2DE">
      <w:start w:val="1"/>
      <w:numFmt w:val="lowerLetter"/>
      <w:lvlText w:val="%8."/>
      <w:lvlJc w:val="left"/>
      <w:pPr>
        <w:ind w:left="5760" w:hanging="360"/>
      </w:pPr>
    </w:lvl>
    <w:lvl w:ilvl="8" w:tplc="BFC8CB7E">
      <w:start w:val="1"/>
      <w:numFmt w:val="lowerRoman"/>
      <w:lvlText w:val="%9."/>
      <w:lvlJc w:val="right"/>
      <w:pPr>
        <w:ind w:left="6480" w:hanging="180"/>
      </w:pPr>
    </w:lvl>
  </w:abstractNum>
  <w:abstractNum w:abstractNumId="9" w15:restartNumberingAfterBreak="0">
    <w:nsid w:val="0254734D"/>
    <w:multiLevelType w:val="hybridMultilevel"/>
    <w:tmpl w:val="1C74E830"/>
    <w:lvl w:ilvl="0" w:tplc="417A499A">
      <w:start w:val="1"/>
      <w:numFmt w:val="bullet"/>
      <w:lvlText w:val=""/>
      <w:lvlJc w:val="left"/>
      <w:pPr>
        <w:ind w:left="786" w:hanging="360"/>
      </w:pPr>
      <w:rPr>
        <w:rFonts w:ascii="Symbol" w:hAnsi="Symbol" w:hint="default"/>
      </w:rPr>
    </w:lvl>
    <w:lvl w:ilvl="1" w:tplc="1276813A">
      <w:start w:val="1"/>
      <w:numFmt w:val="bullet"/>
      <w:lvlText w:val="o"/>
      <w:lvlJc w:val="left"/>
      <w:pPr>
        <w:ind w:left="1440" w:hanging="360"/>
      </w:pPr>
      <w:rPr>
        <w:rFonts w:ascii="Courier New" w:hAnsi="Courier New" w:hint="default"/>
      </w:rPr>
    </w:lvl>
    <w:lvl w:ilvl="2" w:tplc="FAE8179A" w:tentative="1">
      <w:start w:val="1"/>
      <w:numFmt w:val="bullet"/>
      <w:lvlText w:val=""/>
      <w:lvlJc w:val="left"/>
      <w:pPr>
        <w:ind w:left="2160" w:hanging="360"/>
      </w:pPr>
      <w:rPr>
        <w:rFonts w:ascii="Wingdings" w:hAnsi="Wingdings" w:hint="default"/>
      </w:rPr>
    </w:lvl>
    <w:lvl w:ilvl="3" w:tplc="C94CE4E2" w:tentative="1">
      <w:start w:val="1"/>
      <w:numFmt w:val="bullet"/>
      <w:lvlText w:val=""/>
      <w:lvlJc w:val="left"/>
      <w:pPr>
        <w:ind w:left="2880" w:hanging="360"/>
      </w:pPr>
      <w:rPr>
        <w:rFonts w:ascii="Symbol" w:hAnsi="Symbol" w:hint="default"/>
      </w:rPr>
    </w:lvl>
    <w:lvl w:ilvl="4" w:tplc="2E7A48E8" w:tentative="1">
      <w:start w:val="1"/>
      <w:numFmt w:val="bullet"/>
      <w:lvlText w:val="o"/>
      <w:lvlJc w:val="left"/>
      <w:pPr>
        <w:ind w:left="3600" w:hanging="360"/>
      </w:pPr>
      <w:rPr>
        <w:rFonts w:ascii="Courier New" w:hAnsi="Courier New" w:hint="default"/>
      </w:rPr>
    </w:lvl>
    <w:lvl w:ilvl="5" w:tplc="74CE81BC" w:tentative="1">
      <w:start w:val="1"/>
      <w:numFmt w:val="bullet"/>
      <w:lvlText w:val=""/>
      <w:lvlJc w:val="left"/>
      <w:pPr>
        <w:ind w:left="4320" w:hanging="360"/>
      </w:pPr>
      <w:rPr>
        <w:rFonts w:ascii="Wingdings" w:hAnsi="Wingdings" w:hint="default"/>
      </w:rPr>
    </w:lvl>
    <w:lvl w:ilvl="6" w:tplc="93C0CD8C" w:tentative="1">
      <w:start w:val="1"/>
      <w:numFmt w:val="bullet"/>
      <w:lvlText w:val=""/>
      <w:lvlJc w:val="left"/>
      <w:pPr>
        <w:ind w:left="5040" w:hanging="360"/>
      </w:pPr>
      <w:rPr>
        <w:rFonts w:ascii="Symbol" w:hAnsi="Symbol" w:hint="default"/>
      </w:rPr>
    </w:lvl>
    <w:lvl w:ilvl="7" w:tplc="3174AA0A" w:tentative="1">
      <w:start w:val="1"/>
      <w:numFmt w:val="bullet"/>
      <w:lvlText w:val="o"/>
      <w:lvlJc w:val="left"/>
      <w:pPr>
        <w:ind w:left="5760" w:hanging="360"/>
      </w:pPr>
      <w:rPr>
        <w:rFonts w:ascii="Courier New" w:hAnsi="Courier New" w:hint="default"/>
      </w:rPr>
    </w:lvl>
    <w:lvl w:ilvl="8" w:tplc="C4B4EB02" w:tentative="1">
      <w:start w:val="1"/>
      <w:numFmt w:val="bullet"/>
      <w:lvlText w:val=""/>
      <w:lvlJc w:val="left"/>
      <w:pPr>
        <w:ind w:left="6480" w:hanging="360"/>
      </w:pPr>
      <w:rPr>
        <w:rFonts w:ascii="Wingdings" w:hAnsi="Wingdings" w:hint="default"/>
      </w:rPr>
    </w:lvl>
  </w:abstractNum>
  <w:abstractNum w:abstractNumId="10" w15:restartNumberingAfterBreak="0">
    <w:nsid w:val="028B3084"/>
    <w:multiLevelType w:val="hybridMultilevel"/>
    <w:tmpl w:val="DB1423C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28E422B"/>
    <w:multiLevelType w:val="multilevel"/>
    <w:tmpl w:val="7856D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30A38F1"/>
    <w:multiLevelType w:val="multilevel"/>
    <w:tmpl w:val="7598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31C7040"/>
    <w:multiLevelType w:val="multilevel"/>
    <w:tmpl w:val="32B4B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349BA42"/>
    <w:multiLevelType w:val="hybridMultilevel"/>
    <w:tmpl w:val="FFFFFFFF"/>
    <w:lvl w:ilvl="0" w:tplc="D7B4B576">
      <w:start w:val="1"/>
      <w:numFmt w:val="bullet"/>
      <w:lvlText w:val="-"/>
      <w:lvlJc w:val="left"/>
      <w:pPr>
        <w:ind w:left="720" w:hanging="360"/>
      </w:pPr>
      <w:rPr>
        <w:rFonts w:ascii="Aptos" w:hAnsi="Aptos" w:hint="default"/>
      </w:rPr>
    </w:lvl>
    <w:lvl w:ilvl="1" w:tplc="0F98AC74">
      <w:start w:val="1"/>
      <w:numFmt w:val="bullet"/>
      <w:lvlText w:val="o"/>
      <w:lvlJc w:val="left"/>
      <w:pPr>
        <w:ind w:left="1440" w:hanging="360"/>
      </w:pPr>
      <w:rPr>
        <w:rFonts w:ascii="Courier New" w:hAnsi="Courier New" w:hint="default"/>
      </w:rPr>
    </w:lvl>
    <w:lvl w:ilvl="2" w:tplc="51E076DE">
      <w:start w:val="1"/>
      <w:numFmt w:val="bullet"/>
      <w:lvlText w:val=""/>
      <w:lvlJc w:val="left"/>
      <w:pPr>
        <w:ind w:left="2160" w:hanging="360"/>
      </w:pPr>
      <w:rPr>
        <w:rFonts w:ascii="Wingdings" w:hAnsi="Wingdings" w:hint="default"/>
      </w:rPr>
    </w:lvl>
    <w:lvl w:ilvl="3" w:tplc="7E84F462">
      <w:start w:val="1"/>
      <w:numFmt w:val="bullet"/>
      <w:lvlText w:val=""/>
      <w:lvlJc w:val="left"/>
      <w:pPr>
        <w:ind w:left="2880" w:hanging="360"/>
      </w:pPr>
      <w:rPr>
        <w:rFonts w:ascii="Symbol" w:hAnsi="Symbol" w:hint="default"/>
      </w:rPr>
    </w:lvl>
    <w:lvl w:ilvl="4" w:tplc="01B6DB9A">
      <w:start w:val="1"/>
      <w:numFmt w:val="bullet"/>
      <w:lvlText w:val="o"/>
      <w:lvlJc w:val="left"/>
      <w:pPr>
        <w:ind w:left="3600" w:hanging="360"/>
      </w:pPr>
      <w:rPr>
        <w:rFonts w:ascii="Courier New" w:hAnsi="Courier New" w:hint="default"/>
      </w:rPr>
    </w:lvl>
    <w:lvl w:ilvl="5" w:tplc="62C808E2">
      <w:start w:val="1"/>
      <w:numFmt w:val="bullet"/>
      <w:lvlText w:val=""/>
      <w:lvlJc w:val="left"/>
      <w:pPr>
        <w:ind w:left="4320" w:hanging="360"/>
      </w:pPr>
      <w:rPr>
        <w:rFonts w:ascii="Wingdings" w:hAnsi="Wingdings" w:hint="default"/>
      </w:rPr>
    </w:lvl>
    <w:lvl w:ilvl="6" w:tplc="12AEF10C">
      <w:start w:val="1"/>
      <w:numFmt w:val="bullet"/>
      <w:lvlText w:val=""/>
      <w:lvlJc w:val="left"/>
      <w:pPr>
        <w:ind w:left="5040" w:hanging="360"/>
      </w:pPr>
      <w:rPr>
        <w:rFonts w:ascii="Symbol" w:hAnsi="Symbol" w:hint="default"/>
      </w:rPr>
    </w:lvl>
    <w:lvl w:ilvl="7" w:tplc="E62CD0FE">
      <w:start w:val="1"/>
      <w:numFmt w:val="bullet"/>
      <w:lvlText w:val="o"/>
      <w:lvlJc w:val="left"/>
      <w:pPr>
        <w:ind w:left="5760" w:hanging="360"/>
      </w:pPr>
      <w:rPr>
        <w:rFonts w:ascii="Courier New" w:hAnsi="Courier New" w:hint="default"/>
      </w:rPr>
    </w:lvl>
    <w:lvl w:ilvl="8" w:tplc="5F6C472C">
      <w:start w:val="1"/>
      <w:numFmt w:val="bullet"/>
      <w:lvlText w:val=""/>
      <w:lvlJc w:val="left"/>
      <w:pPr>
        <w:ind w:left="6480" w:hanging="360"/>
      </w:pPr>
      <w:rPr>
        <w:rFonts w:ascii="Wingdings" w:hAnsi="Wingdings" w:hint="default"/>
      </w:rPr>
    </w:lvl>
  </w:abstractNum>
  <w:abstractNum w:abstractNumId="15" w15:restartNumberingAfterBreak="0">
    <w:nsid w:val="036431C2"/>
    <w:multiLevelType w:val="hybridMultilevel"/>
    <w:tmpl w:val="6ECAA154"/>
    <w:lvl w:ilvl="0" w:tplc="2BC45A46">
      <w:start w:val="1"/>
      <w:numFmt w:val="bullet"/>
      <w:lvlText w:val="–"/>
      <w:lvlJc w:val="left"/>
      <w:pPr>
        <w:ind w:left="720" w:hanging="360"/>
      </w:pPr>
      <w:rPr>
        <w:rFonts w:ascii="Calibri" w:hAnsi="Calibri" w:hint="default"/>
      </w:rPr>
    </w:lvl>
    <w:lvl w:ilvl="1" w:tplc="9A00A27A" w:tentative="1">
      <w:start w:val="1"/>
      <w:numFmt w:val="bullet"/>
      <w:lvlText w:val="o"/>
      <w:lvlJc w:val="left"/>
      <w:pPr>
        <w:ind w:left="1440" w:hanging="360"/>
      </w:pPr>
      <w:rPr>
        <w:rFonts w:ascii="Courier New" w:hAnsi="Courier New" w:hint="default"/>
      </w:rPr>
    </w:lvl>
    <w:lvl w:ilvl="2" w:tplc="B48252C0" w:tentative="1">
      <w:start w:val="1"/>
      <w:numFmt w:val="bullet"/>
      <w:lvlText w:val=""/>
      <w:lvlJc w:val="left"/>
      <w:pPr>
        <w:ind w:left="2160" w:hanging="360"/>
      </w:pPr>
      <w:rPr>
        <w:rFonts w:ascii="Wingdings" w:hAnsi="Wingdings" w:hint="default"/>
      </w:rPr>
    </w:lvl>
    <w:lvl w:ilvl="3" w:tplc="032C083E" w:tentative="1">
      <w:start w:val="1"/>
      <w:numFmt w:val="bullet"/>
      <w:lvlText w:val=""/>
      <w:lvlJc w:val="left"/>
      <w:pPr>
        <w:ind w:left="2880" w:hanging="360"/>
      </w:pPr>
      <w:rPr>
        <w:rFonts w:ascii="Symbol" w:hAnsi="Symbol" w:hint="default"/>
      </w:rPr>
    </w:lvl>
    <w:lvl w:ilvl="4" w:tplc="710A1E60" w:tentative="1">
      <w:start w:val="1"/>
      <w:numFmt w:val="bullet"/>
      <w:lvlText w:val="o"/>
      <w:lvlJc w:val="left"/>
      <w:pPr>
        <w:ind w:left="3600" w:hanging="360"/>
      </w:pPr>
      <w:rPr>
        <w:rFonts w:ascii="Courier New" w:hAnsi="Courier New" w:hint="default"/>
      </w:rPr>
    </w:lvl>
    <w:lvl w:ilvl="5" w:tplc="D162433C" w:tentative="1">
      <w:start w:val="1"/>
      <w:numFmt w:val="bullet"/>
      <w:lvlText w:val=""/>
      <w:lvlJc w:val="left"/>
      <w:pPr>
        <w:ind w:left="4320" w:hanging="360"/>
      </w:pPr>
      <w:rPr>
        <w:rFonts w:ascii="Wingdings" w:hAnsi="Wingdings" w:hint="default"/>
      </w:rPr>
    </w:lvl>
    <w:lvl w:ilvl="6" w:tplc="BD5CE160" w:tentative="1">
      <w:start w:val="1"/>
      <w:numFmt w:val="bullet"/>
      <w:lvlText w:val=""/>
      <w:lvlJc w:val="left"/>
      <w:pPr>
        <w:ind w:left="5040" w:hanging="360"/>
      </w:pPr>
      <w:rPr>
        <w:rFonts w:ascii="Symbol" w:hAnsi="Symbol" w:hint="default"/>
      </w:rPr>
    </w:lvl>
    <w:lvl w:ilvl="7" w:tplc="B642B50A" w:tentative="1">
      <w:start w:val="1"/>
      <w:numFmt w:val="bullet"/>
      <w:lvlText w:val="o"/>
      <w:lvlJc w:val="left"/>
      <w:pPr>
        <w:ind w:left="5760" w:hanging="360"/>
      </w:pPr>
      <w:rPr>
        <w:rFonts w:ascii="Courier New" w:hAnsi="Courier New" w:hint="default"/>
      </w:rPr>
    </w:lvl>
    <w:lvl w:ilvl="8" w:tplc="EA9ACF52" w:tentative="1">
      <w:start w:val="1"/>
      <w:numFmt w:val="bullet"/>
      <w:lvlText w:val=""/>
      <w:lvlJc w:val="left"/>
      <w:pPr>
        <w:ind w:left="6480" w:hanging="360"/>
      </w:pPr>
      <w:rPr>
        <w:rFonts w:ascii="Wingdings" w:hAnsi="Wingdings" w:hint="default"/>
      </w:rPr>
    </w:lvl>
  </w:abstractNum>
  <w:abstractNum w:abstractNumId="16" w15:restartNumberingAfterBreak="0">
    <w:nsid w:val="038A0528"/>
    <w:multiLevelType w:val="hybridMultilevel"/>
    <w:tmpl w:val="BBCE82D8"/>
    <w:lvl w:ilvl="0" w:tplc="CB76EFB0">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039A4F62"/>
    <w:multiLevelType w:val="hybridMultilevel"/>
    <w:tmpl w:val="A5008E04"/>
    <w:lvl w:ilvl="0" w:tplc="6122B214">
      <w:start w:val="1"/>
      <w:numFmt w:val="bullet"/>
      <w:lvlText w:val="–"/>
      <w:lvlJc w:val="left"/>
      <w:pPr>
        <w:ind w:left="9009" w:hanging="360"/>
      </w:pPr>
      <w:rPr>
        <w:rFonts w:ascii="Calibri" w:hAnsi="Calibri" w:hint="default"/>
      </w:rPr>
    </w:lvl>
    <w:lvl w:ilvl="1" w:tplc="208E583A">
      <w:start w:val="1"/>
      <w:numFmt w:val="bullet"/>
      <w:lvlText w:val="o"/>
      <w:lvlJc w:val="left"/>
      <w:pPr>
        <w:ind w:left="2008" w:hanging="360"/>
      </w:pPr>
      <w:rPr>
        <w:rFonts w:ascii="Courier New" w:hAnsi="Courier New" w:hint="default"/>
      </w:rPr>
    </w:lvl>
    <w:lvl w:ilvl="2" w:tplc="FE2213AE" w:tentative="1">
      <w:start w:val="1"/>
      <w:numFmt w:val="bullet"/>
      <w:lvlText w:val=""/>
      <w:lvlJc w:val="left"/>
      <w:pPr>
        <w:ind w:left="2728" w:hanging="360"/>
      </w:pPr>
      <w:rPr>
        <w:rFonts w:ascii="Wingdings" w:hAnsi="Wingdings" w:hint="default"/>
      </w:rPr>
    </w:lvl>
    <w:lvl w:ilvl="3" w:tplc="4D923630" w:tentative="1">
      <w:start w:val="1"/>
      <w:numFmt w:val="bullet"/>
      <w:lvlText w:val=""/>
      <w:lvlJc w:val="left"/>
      <w:pPr>
        <w:ind w:left="3448" w:hanging="360"/>
      </w:pPr>
      <w:rPr>
        <w:rFonts w:ascii="Symbol" w:hAnsi="Symbol" w:hint="default"/>
      </w:rPr>
    </w:lvl>
    <w:lvl w:ilvl="4" w:tplc="24924D18" w:tentative="1">
      <w:start w:val="1"/>
      <w:numFmt w:val="bullet"/>
      <w:lvlText w:val="o"/>
      <w:lvlJc w:val="left"/>
      <w:pPr>
        <w:ind w:left="4168" w:hanging="360"/>
      </w:pPr>
      <w:rPr>
        <w:rFonts w:ascii="Courier New" w:hAnsi="Courier New" w:hint="default"/>
      </w:rPr>
    </w:lvl>
    <w:lvl w:ilvl="5" w:tplc="EA00AE7E" w:tentative="1">
      <w:start w:val="1"/>
      <w:numFmt w:val="bullet"/>
      <w:lvlText w:val=""/>
      <w:lvlJc w:val="left"/>
      <w:pPr>
        <w:ind w:left="4888" w:hanging="360"/>
      </w:pPr>
      <w:rPr>
        <w:rFonts w:ascii="Wingdings" w:hAnsi="Wingdings" w:hint="default"/>
      </w:rPr>
    </w:lvl>
    <w:lvl w:ilvl="6" w:tplc="851C1A28" w:tentative="1">
      <w:start w:val="1"/>
      <w:numFmt w:val="bullet"/>
      <w:lvlText w:val=""/>
      <w:lvlJc w:val="left"/>
      <w:pPr>
        <w:ind w:left="5608" w:hanging="360"/>
      </w:pPr>
      <w:rPr>
        <w:rFonts w:ascii="Symbol" w:hAnsi="Symbol" w:hint="default"/>
      </w:rPr>
    </w:lvl>
    <w:lvl w:ilvl="7" w:tplc="B1DE3478" w:tentative="1">
      <w:start w:val="1"/>
      <w:numFmt w:val="bullet"/>
      <w:lvlText w:val="o"/>
      <w:lvlJc w:val="left"/>
      <w:pPr>
        <w:ind w:left="6328" w:hanging="360"/>
      </w:pPr>
      <w:rPr>
        <w:rFonts w:ascii="Courier New" w:hAnsi="Courier New" w:hint="default"/>
      </w:rPr>
    </w:lvl>
    <w:lvl w:ilvl="8" w:tplc="372285A8" w:tentative="1">
      <w:start w:val="1"/>
      <w:numFmt w:val="bullet"/>
      <w:lvlText w:val=""/>
      <w:lvlJc w:val="left"/>
      <w:pPr>
        <w:ind w:left="7048" w:hanging="360"/>
      </w:pPr>
      <w:rPr>
        <w:rFonts w:ascii="Wingdings" w:hAnsi="Wingdings" w:hint="default"/>
      </w:rPr>
    </w:lvl>
  </w:abstractNum>
  <w:abstractNum w:abstractNumId="18" w15:restartNumberingAfterBreak="0">
    <w:nsid w:val="03DF283D"/>
    <w:multiLevelType w:val="hybridMultilevel"/>
    <w:tmpl w:val="4978F9F0"/>
    <w:lvl w:ilvl="0" w:tplc="04070003">
      <w:start w:val="1"/>
      <w:numFmt w:val="bullet"/>
      <w:lvlText w:val="o"/>
      <w:lvlJc w:val="left"/>
      <w:pPr>
        <w:ind w:left="567" w:hanging="567"/>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40D0E83"/>
    <w:multiLevelType w:val="hybridMultilevel"/>
    <w:tmpl w:val="2E0858D2"/>
    <w:lvl w:ilvl="0" w:tplc="5626701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04D876A4"/>
    <w:multiLevelType w:val="hybridMultilevel"/>
    <w:tmpl w:val="94DADF7A"/>
    <w:lvl w:ilvl="0" w:tplc="C652BBA0">
      <w:numFmt w:val="bullet"/>
      <w:lvlText w:val="-"/>
      <w:lvlJc w:val="left"/>
      <w:pPr>
        <w:ind w:left="720" w:hanging="360"/>
      </w:pPr>
      <w:rPr>
        <w:rFonts w:ascii="Times New Roman" w:hAnsi="Times New Roman" w:hint="default"/>
      </w:rPr>
    </w:lvl>
    <w:lvl w:ilvl="1" w:tplc="8D44CE86" w:tentative="1">
      <w:start w:val="1"/>
      <w:numFmt w:val="bullet"/>
      <w:lvlText w:val="o"/>
      <w:lvlJc w:val="left"/>
      <w:pPr>
        <w:ind w:left="1440" w:hanging="360"/>
      </w:pPr>
      <w:rPr>
        <w:rFonts w:ascii="Courier New" w:hAnsi="Courier New" w:hint="default"/>
      </w:rPr>
    </w:lvl>
    <w:lvl w:ilvl="2" w:tplc="7A5EEC88" w:tentative="1">
      <w:start w:val="1"/>
      <w:numFmt w:val="bullet"/>
      <w:lvlText w:val=""/>
      <w:lvlJc w:val="left"/>
      <w:pPr>
        <w:ind w:left="2160" w:hanging="360"/>
      </w:pPr>
      <w:rPr>
        <w:rFonts w:ascii="Wingdings" w:hAnsi="Wingdings" w:hint="default"/>
      </w:rPr>
    </w:lvl>
    <w:lvl w:ilvl="3" w:tplc="E27675CA" w:tentative="1">
      <w:start w:val="1"/>
      <w:numFmt w:val="bullet"/>
      <w:lvlText w:val=""/>
      <w:lvlJc w:val="left"/>
      <w:pPr>
        <w:ind w:left="2880" w:hanging="360"/>
      </w:pPr>
      <w:rPr>
        <w:rFonts w:ascii="Symbol" w:hAnsi="Symbol" w:hint="default"/>
      </w:rPr>
    </w:lvl>
    <w:lvl w:ilvl="4" w:tplc="6A06D6C2" w:tentative="1">
      <w:start w:val="1"/>
      <w:numFmt w:val="bullet"/>
      <w:lvlText w:val="o"/>
      <w:lvlJc w:val="left"/>
      <w:pPr>
        <w:ind w:left="3600" w:hanging="360"/>
      </w:pPr>
      <w:rPr>
        <w:rFonts w:ascii="Courier New" w:hAnsi="Courier New" w:hint="default"/>
      </w:rPr>
    </w:lvl>
    <w:lvl w:ilvl="5" w:tplc="4C8ADBD0" w:tentative="1">
      <w:start w:val="1"/>
      <w:numFmt w:val="bullet"/>
      <w:lvlText w:val=""/>
      <w:lvlJc w:val="left"/>
      <w:pPr>
        <w:ind w:left="4320" w:hanging="360"/>
      </w:pPr>
      <w:rPr>
        <w:rFonts w:ascii="Wingdings" w:hAnsi="Wingdings" w:hint="default"/>
      </w:rPr>
    </w:lvl>
    <w:lvl w:ilvl="6" w:tplc="780E566C" w:tentative="1">
      <w:start w:val="1"/>
      <w:numFmt w:val="bullet"/>
      <w:lvlText w:val=""/>
      <w:lvlJc w:val="left"/>
      <w:pPr>
        <w:ind w:left="5040" w:hanging="360"/>
      </w:pPr>
      <w:rPr>
        <w:rFonts w:ascii="Symbol" w:hAnsi="Symbol" w:hint="default"/>
      </w:rPr>
    </w:lvl>
    <w:lvl w:ilvl="7" w:tplc="0242E7BA" w:tentative="1">
      <w:start w:val="1"/>
      <w:numFmt w:val="bullet"/>
      <w:lvlText w:val="o"/>
      <w:lvlJc w:val="left"/>
      <w:pPr>
        <w:ind w:left="5760" w:hanging="360"/>
      </w:pPr>
      <w:rPr>
        <w:rFonts w:ascii="Courier New" w:hAnsi="Courier New" w:hint="default"/>
      </w:rPr>
    </w:lvl>
    <w:lvl w:ilvl="8" w:tplc="701E89A2" w:tentative="1">
      <w:start w:val="1"/>
      <w:numFmt w:val="bullet"/>
      <w:lvlText w:val=""/>
      <w:lvlJc w:val="left"/>
      <w:pPr>
        <w:ind w:left="6480" w:hanging="360"/>
      </w:pPr>
      <w:rPr>
        <w:rFonts w:ascii="Wingdings" w:hAnsi="Wingdings" w:hint="default"/>
      </w:rPr>
    </w:lvl>
  </w:abstractNum>
  <w:abstractNum w:abstractNumId="21" w15:restartNumberingAfterBreak="0">
    <w:nsid w:val="05135102"/>
    <w:multiLevelType w:val="multilevel"/>
    <w:tmpl w:val="314EC828"/>
    <w:lvl w:ilvl="0">
      <w:start w:val="1"/>
      <w:numFmt w:val="decimal"/>
      <w:lvlText w:val="%1"/>
      <w:lvlJc w:val="left"/>
      <w:pPr>
        <w:ind w:left="432" w:hanging="432"/>
      </w:pPr>
      <w:rPr>
        <w:rFonts w:hint="default"/>
        <w:i w:val="0"/>
        <w:iCs/>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051A4374"/>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618157A"/>
    <w:multiLevelType w:val="multilevel"/>
    <w:tmpl w:val="FFFFFFFF"/>
    <w:lvl w:ilvl="0">
      <w:numFmt w:val="none"/>
      <w:lvlText w:val=""/>
      <w:lvlJc w:val="left"/>
      <w:pPr>
        <w:tabs>
          <w:tab w:val="num" w:pos="-792"/>
        </w:tabs>
      </w:pPr>
    </w:lvl>
    <w:lvl w:ilvl="1">
      <w:start w:val="1"/>
      <w:numFmt w:val="lowerLetter"/>
      <w:lvlText w:val="%2."/>
      <w:lvlJc w:val="left"/>
      <w:pPr>
        <w:ind w:left="504" w:hanging="360"/>
      </w:pPr>
    </w:lvl>
    <w:lvl w:ilvl="2">
      <w:start w:val="1"/>
      <w:numFmt w:val="lowerRoman"/>
      <w:lvlText w:val="%3."/>
      <w:lvlJc w:val="right"/>
      <w:pPr>
        <w:ind w:left="1224" w:hanging="180"/>
      </w:pPr>
    </w:lvl>
    <w:lvl w:ilvl="3">
      <w:start w:val="1"/>
      <w:numFmt w:val="decimal"/>
      <w:lvlText w:val="%4."/>
      <w:lvlJc w:val="left"/>
      <w:pPr>
        <w:ind w:left="1944" w:hanging="360"/>
      </w:pPr>
    </w:lvl>
    <w:lvl w:ilvl="4">
      <w:start w:val="1"/>
      <w:numFmt w:val="lowerLetter"/>
      <w:lvlText w:val="%5."/>
      <w:lvlJc w:val="left"/>
      <w:pPr>
        <w:ind w:left="2664" w:hanging="360"/>
      </w:pPr>
    </w:lvl>
    <w:lvl w:ilvl="5">
      <w:start w:val="1"/>
      <w:numFmt w:val="lowerRoman"/>
      <w:lvlText w:val="%6."/>
      <w:lvlJc w:val="right"/>
      <w:pPr>
        <w:ind w:left="3384" w:hanging="180"/>
      </w:pPr>
    </w:lvl>
    <w:lvl w:ilvl="6">
      <w:start w:val="1"/>
      <w:numFmt w:val="decimal"/>
      <w:lvlText w:val="%7."/>
      <w:lvlJc w:val="left"/>
      <w:pPr>
        <w:ind w:left="4104" w:hanging="360"/>
      </w:pPr>
    </w:lvl>
    <w:lvl w:ilvl="7">
      <w:start w:val="1"/>
      <w:numFmt w:val="lowerLetter"/>
      <w:lvlText w:val="%8."/>
      <w:lvlJc w:val="left"/>
      <w:pPr>
        <w:ind w:left="4824" w:hanging="360"/>
      </w:pPr>
    </w:lvl>
    <w:lvl w:ilvl="8">
      <w:start w:val="1"/>
      <w:numFmt w:val="lowerRoman"/>
      <w:lvlText w:val="%9."/>
      <w:lvlJc w:val="right"/>
      <w:pPr>
        <w:ind w:left="5544" w:hanging="180"/>
      </w:pPr>
    </w:lvl>
  </w:abstractNum>
  <w:abstractNum w:abstractNumId="24" w15:restartNumberingAfterBreak="0">
    <w:nsid w:val="067C753B"/>
    <w:multiLevelType w:val="hybridMultilevel"/>
    <w:tmpl w:val="07827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72C41A4"/>
    <w:multiLevelType w:val="hybridMultilevel"/>
    <w:tmpl w:val="AAF878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073D6386"/>
    <w:multiLevelType w:val="hybridMultilevel"/>
    <w:tmpl w:val="C5DAD850"/>
    <w:lvl w:ilvl="0" w:tplc="FC562AFC">
      <w:start w:val="1"/>
      <w:numFmt w:val="lowerRoman"/>
      <w:lvlText w:val="(%1)"/>
      <w:lvlJc w:val="left"/>
      <w:pPr>
        <w:ind w:left="144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076B4B06"/>
    <w:multiLevelType w:val="hybridMultilevel"/>
    <w:tmpl w:val="C1243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7C5D545"/>
    <w:multiLevelType w:val="hybridMultilevel"/>
    <w:tmpl w:val="FFFFFFFF"/>
    <w:lvl w:ilvl="0" w:tplc="B7142A1E">
      <w:start w:val="1"/>
      <w:numFmt w:val="decimal"/>
      <w:lvlText w:val="•"/>
      <w:lvlJc w:val="left"/>
      <w:pPr>
        <w:ind w:left="720" w:hanging="360"/>
      </w:pPr>
    </w:lvl>
    <w:lvl w:ilvl="1" w:tplc="12E2D3DE">
      <w:start w:val="1"/>
      <w:numFmt w:val="lowerLetter"/>
      <w:lvlText w:val="%2."/>
      <w:lvlJc w:val="left"/>
      <w:pPr>
        <w:ind w:left="1440" w:hanging="360"/>
      </w:pPr>
    </w:lvl>
    <w:lvl w:ilvl="2" w:tplc="7478B6C0">
      <w:start w:val="1"/>
      <w:numFmt w:val="lowerRoman"/>
      <w:lvlText w:val="%3."/>
      <w:lvlJc w:val="right"/>
      <w:pPr>
        <w:ind w:left="2160" w:hanging="180"/>
      </w:pPr>
    </w:lvl>
    <w:lvl w:ilvl="3" w:tplc="6D8E5536">
      <w:start w:val="1"/>
      <w:numFmt w:val="decimal"/>
      <w:lvlText w:val="%4."/>
      <w:lvlJc w:val="left"/>
      <w:pPr>
        <w:ind w:left="2880" w:hanging="360"/>
      </w:pPr>
    </w:lvl>
    <w:lvl w:ilvl="4" w:tplc="865C1710">
      <w:start w:val="1"/>
      <w:numFmt w:val="lowerLetter"/>
      <w:lvlText w:val="%5."/>
      <w:lvlJc w:val="left"/>
      <w:pPr>
        <w:ind w:left="3600" w:hanging="360"/>
      </w:pPr>
    </w:lvl>
    <w:lvl w:ilvl="5" w:tplc="456829B4">
      <w:start w:val="1"/>
      <w:numFmt w:val="lowerRoman"/>
      <w:lvlText w:val="%6."/>
      <w:lvlJc w:val="right"/>
      <w:pPr>
        <w:ind w:left="4320" w:hanging="180"/>
      </w:pPr>
    </w:lvl>
    <w:lvl w:ilvl="6" w:tplc="3F70F98C">
      <w:start w:val="1"/>
      <w:numFmt w:val="decimal"/>
      <w:lvlText w:val="%7."/>
      <w:lvlJc w:val="left"/>
      <w:pPr>
        <w:ind w:left="5040" w:hanging="360"/>
      </w:pPr>
    </w:lvl>
    <w:lvl w:ilvl="7" w:tplc="2EACF872">
      <w:start w:val="1"/>
      <w:numFmt w:val="lowerLetter"/>
      <w:lvlText w:val="%8."/>
      <w:lvlJc w:val="left"/>
      <w:pPr>
        <w:ind w:left="5760" w:hanging="360"/>
      </w:pPr>
    </w:lvl>
    <w:lvl w:ilvl="8" w:tplc="B7DC24F2">
      <w:start w:val="1"/>
      <w:numFmt w:val="lowerRoman"/>
      <w:lvlText w:val="%9."/>
      <w:lvlJc w:val="right"/>
      <w:pPr>
        <w:ind w:left="6480" w:hanging="180"/>
      </w:pPr>
    </w:lvl>
  </w:abstractNum>
  <w:abstractNum w:abstractNumId="29" w15:restartNumberingAfterBreak="0">
    <w:nsid w:val="07D519B4"/>
    <w:multiLevelType w:val="multilevel"/>
    <w:tmpl w:val="851ABD5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08084339"/>
    <w:multiLevelType w:val="hybridMultilevel"/>
    <w:tmpl w:val="278A216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082A76E1"/>
    <w:multiLevelType w:val="hybridMultilevel"/>
    <w:tmpl w:val="D64A5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84E53BE"/>
    <w:multiLevelType w:val="hybridMultilevel"/>
    <w:tmpl w:val="79D6795A"/>
    <w:lvl w:ilvl="0" w:tplc="F616419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0882200C"/>
    <w:multiLevelType w:val="hybridMultilevel"/>
    <w:tmpl w:val="B1DE1BFE"/>
    <w:lvl w:ilvl="0" w:tplc="CEDC7E8E">
      <w:numFmt w:val="bullet"/>
      <w:lvlText w:val="-"/>
      <w:lvlJc w:val="left"/>
      <w:pPr>
        <w:ind w:left="720" w:hanging="360"/>
      </w:pPr>
      <w:rPr>
        <w:rFonts w:ascii="Times New Roman" w:hAnsi="Times New Roman" w:hint="default"/>
      </w:rPr>
    </w:lvl>
    <w:lvl w:ilvl="1" w:tplc="88BCF482">
      <w:start w:val="1"/>
      <w:numFmt w:val="bullet"/>
      <w:lvlText w:val="o"/>
      <w:lvlJc w:val="left"/>
      <w:pPr>
        <w:ind w:left="1440" w:hanging="360"/>
      </w:pPr>
      <w:rPr>
        <w:rFonts w:ascii="Courier New" w:hAnsi="Courier New" w:hint="default"/>
      </w:rPr>
    </w:lvl>
    <w:lvl w:ilvl="2" w:tplc="EA72DEC6" w:tentative="1">
      <w:start w:val="1"/>
      <w:numFmt w:val="bullet"/>
      <w:lvlText w:val=""/>
      <w:lvlJc w:val="left"/>
      <w:pPr>
        <w:ind w:left="2160" w:hanging="360"/>
      </w:pPr>
      <w:rPr>
        <w:rFonts w:ascii="Wingdings" w:hAnsi="Wingdings" w:hint="default"/>
      </w:rPr>
    </w:lvl>
    <w:lvl w:ilvl="3" w:tplc="066CD3B2" w:tentative="1">
      <w:start w:val="1"/>
      <w:numFmt w:val="bullet"/>
      <w:lvlText w:val=""/>
      <w:lvlJc w:val="left"/>
      <w:pPr>
        <w:ind w:left="2880" w:hanging="360"/>
      </w:pPr>
      <w:rPr>
        <w:rFonts w:ascii="Symbol" w:hAnsi="Symbol" w:hint="default"/>
      </w:rPr>
    </w:lvl>
    <w:lvl w:ilvl="4" w:tplc="D77A1556" w:tentative="1">
      <w:start w:val="1"/>
      <w:numFmt w:val="bullet"/>
      <w:lvlText w:val="o"/>
      <w:lvlJc w:val="left"/>
      <w:pPr>
        <w:ind w:left="3600" w:hanging="360"/>
      </w:pPr>
      <w:rPr>
        <w:rFonts w:ascii="Courier New" w:hAnsi="Courier New" w:hint="default"/>
      </w:rPr>
    </w:lvl>
    <w:lvl w:ilvl="5" w:tplc="E5AA540E" w:tentative="1">
      <w:start w:val="1"/>
      <w:numFmt w:val="bullet"/>
      <w:lvlText w:val=""/>
      <w:lvlJc w:val="left"/>
      <w:pPr>
        <w:ind w:left="4320" w:hanging="360"/>
      </w:pPr>
      <w:rPr>
        <w:rFonts w:ascii="Wingdings" w:hAnsi="Wingdings" w:hint="default"/>
      </w:rPr>
    </w:lvl>
    <w:lvl w:ilvl="6" w:tplc="F022077E" w:tentative="1">
      <w:start w:val="1"/>
      <w:numFmt w:val="bullet"/>
      <w:lvlText w:val=""/>
      <w:lvlJc w:val="left"/>
      <w:pPr>
        <w:ind w:left="5040" w:hanging="360"/>
      </w:pPr>
      <w:rPr>
        <w:rFonts w:ascii="Symbol" w:hAnsi="Symbol" w:hint="default"/>
      </w:rPr>
    </w:lvl>
    <w:lvl w:ilvl="7" w:tplc="B38CB8CC" w:tentative="1">
      <w:start w:val="1"/>
      <w:numFmt w:val="bullet"/>
      <w:lvlText w:val="o"/>
      <w:lvlJc w:val="left"/>
      <w:pPr>
        <w:ind w:left="5760" w:hanging="360"/>
      </w:pPr>
      <w:rPr>
        <w:rFonts w:ascii="Courier New" w:hAnsi="Courier New" w:hint="default"/>
      </w:rPr>
    </w:lvl>
    <w:lvl w:ilvl="8" w:tplc="0EBA4784" w:tentative="1">
      <w:start w:val="1"/>
      <w:numFmt w:val="bullet"/>
      <w:lvlText w:val=""/>
      <w:lvlJc w:val="left"/>
      <w:pPr>
        <w:ind w:left="6480" w:hanging="360"/>
      </w:pPr>
      <w:rPr>
        <w:rFonts w:ascii="Wingdings" w:hAnsi="Wingdings" w:hint="default"/>
      </w:rPr>
    </w:lvl>
  </w:abstractNum>
  <w:abstractNum w:abstractNumId="34" w15:restartNumberingAfterBreak="0">
    <w:nsid w:val="09687F6E"/>
    <w:multiLevelType w:val="multilevel"/>
    <w:tmpl w:val="96281630"/>
    <w:name w:val="ListNumberNumbering"/>
    <w:lvl w:ilvl="0">
      <w:start w:val="1"/>
      <w:numFmt w:val="decimal"/>
      <w:pStyle w:val="ListNumber"/>
      <w:lvlText w:val="%1."/>
      <w:lvlJc w:val="left"/>
      <w:pPr>
        <w:ind w:left="1134" w:hanging="567"/>
      </w:pPr>
      <w:rPr>
        <w:rFonts w:hint="default"/>
        <w:color w:val="003399"/>
      </w:rPr>
    </w:lvl>
    <w:lvl w:ilvl="1">
      <w:start w:val="1"/>
      <w:numFmt w:val="decimal"/>
      <w:pStyle w:val="ListNumberLevel2"/>
      <w:lvlText w:val="%1.%2."/>
      <w:lvlJc w:val="left"/>
      <w:pPr>
        <w:ind w:left="1701" w:hanging="567"/>
      </w:pPr>
      <w:rPr>
        <w:rFonts w:hint="default"/>
        <w:color w:val="003399"/>
      </w:rPr>
    </w:lvl>
    <w:lvl w:ilvl="2">
      <w:start w:val="1"/>
      <w:numFmt w:val="decimal"/>
      <w:pStyle w:val="ListNumberLevel3"/>
      <w:lvlText w:val="%1.%2.%3."/>
      <w:lvlJc w:val="left"/>
      <w:pPr>
        <w:ind w:left="2268" w:hanging="851"/>
      </w:pPr>
      <w:rPr>
        <w:rFonts w:hint="default"/>
        <w:color w:val="003399"/>
      </w:rPr>
    </w:lvl>
    <w:lvl w:ilvl="3">
      <w:start w:val="1"/>
      <w:numFmt w:val="decimal"/>
      <w:pStyle w:val="ListNumberLevel4"/>
      <w:lvlText w:val="%1.%2.%3.%4."/>
      <w:lvlJc w:val="left"/>
      <w:pPr>
        <w:ind w:left="3118" w:hanging="1134"/>
      </w:pPr>
      <w:rPr>
        <w:rFonts w:ascii="Arial" w:hAnsi="Arial" w:hint="default"/>
        <w:color w:val="003399"/>
      </w:rPr>
    </w:lvl>
    <w:lvl w:ilvl="4">
      <w:start w:val="1"/>
      <w:numFmt w:val="decimal"/>
      <w:pStyle w:val="ListNumberLevel5"/>
      <w:lvlText w:val="%1.%2.%3.%4.%5."/>
      <w:lvlJc w:val="left"/>
      <w:pPr>
        <w:ind w:left="3969" w:hanging="1134"/>
      </w:pPr>
      <w:rPr>
        <w:rFonts w:ascii="Arial" w:hAnsi="Arial" w:hint="default"/>
        <w:color w:val="1F497D" w:themeColor="text2"/>
      </w:rPr>
    </w:lvl>
    <w:lvl w:ilvl="5">
      <w:start w:val="1"/>
      <w:numFmt w:val="decimal"/>
      <w:lvlText w:val="%1.%2.%3.%4.%5."/>
      <w:lvlJc w:val="left"/>
      <w:pPr>
        <w:ind w:left="3969" w:hanging="1134"/>
      </w:pPr>
      <w:rPr>
        <w:rFonts w:ascii="Arial" w:hAnsi="Arial" w:hint="default"/>
        <w:color w:val="1F497D" w:themeColor="text2"/>
      </w:rPr>
    </w:lvl>
    <w:lvl w:ilvl="6">
      <w:start w:val="1"/>
      <w:numFmt w:val="decimal"/>
      <w:lvlText w:val="%1.%2.%3.%4.%5."/>
      <w:lvlJc w:val="left"/>
      <w:pPr>
        <w:ind w:left="3969" w:hanging="1134"/>
      </w:pPr>
      <w:rPr>
        <w:rFonts w:ascii="Arial" w:hAnsi="Arial" w:hint="default"/>
        <w:color w:val="1F497D" w:themeColor="text2"/>
      </w:rPr>
    </w:lvl>
    <w:lvl w:ilvl="7">
      <w:start w:val="1"/>
      <w:numFmt w:val="decimal"/>
      <w:lvlText w:val="%1.%2.%3.%4.%5."/>
      <w:lvlJc w:val="left"/>
      <w:pPr>
        <w:ind w:left="3969" w:hanging="1134"/>
      </w:pPr>
      <w:rPr>
        <w:rFonts w:ascii="Arial" w:hAnsi="Arial" w:hint="default"/>
        <w:color w:val="1F497D" w:themeColor="text2"/>
      </w:rPr>
    </w:lvl>
    <w:lvl w:ilvl="8">
      <w:start w:val="1"/>
      <w:numFmt w:val="decimal"/>
      <w:lvlText w:val="%1.%2.%3.%4.%5."/>
      <w:lvlJc w:val="left"/>
      <w:pPr>
        <w:ind w:left="3969" w:hanging="1134"/>
      </w:pPr>
      <w:rPr>
        <w:rFonts w:ascii="Arial" w:hAnsi="Arial" w:hint="default"/>
        <w:color w:val="1F497D" w:themeColor="text2"/>
      </w:rPr>
    </w:lvl>
  </w:abstractNum>
  <w:abstractNum w:abstractNumId="35" w15:restartNumberingAfterBreak="0">
    <w:nsid w:val="0A12734A"/>
    <w:multiLevelType w:val="multilevel"/>
    <w:tmpl w:val="3A28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A71FDC2"/>
    <w:multiLevelType w:val="hybridMultilevel"/>
    <w:tmpl w:val="02724CFA"/>
    <w:lvl w:ilvl="0" w:tplc="78327BD8">
      <w:start w:val="1"/>
      <w:numFmt w:val="bullet"/>
      <w:lvlText w:val=""/>
      <w:lvlJc w:val="left"/>
      <w:pPr>
        <w:ind w:left="720" w:hanging="360"/>
      </w:pPr>
      <w:rPr>
        <w:rFonts w:ascii="Symbol" w:hAnsi="Symbol" w:hint="default"/>
      </w:rPr>
    </w:lvl>
    <w:lvl w:ilvl="1" w:tplc="8D940C0A">
      <w:start w:val="1"/>
      <w:numFmt w:val="bullet"/>
      <w:lvlText w:val="o"/>
      <w:lvlJc w:val="left"/>
      <w:pPr>
        <w:ind w:left="1440" w:hanging="360"/>
      </w:pPr>
      <w:rPr>
        <w:rFonts w:ascii="Courier New" w:hAnsi="Courier New" w:hint="default"/>
      </w:rPr>
    </w:lvl>
    <w:lvl w:ilvl="2" w:tplc="2F24EAA0">
      <w:start w:val="1"/>
      <w:numFmt w:val="bullet"/>
      <w:lvlText w:val=""/>
      <w:lvlJc w:val="left"/>
      <w:pPr>
        <w:ind w:left="2160" w:hanging="360"/>
      </w:pPr>
      <w:rPr>
        <w:rFonts w:ascii="Wingdings" w:hAnsi="Wingdings" w:hint="default"/>
      </w:rPr>
    </w:lvl>
    <w:lvl w:ilvl="3" w:tplc="7D886B60">
      <w:start w:val="1"/>
      <w:numFmt w:val="bullet"/>
      <w:lvlText w:val=""/>
      <w:lvlJc w:val="left"/>
      <w:pPr>
        <w:ind w:left="2880" w:hanging="360"/>
      </w:pPr>
      <w:rPr>
        <w:rFonts w:ascii="Symbol" w:hAnsi="Symbol" w:hint="default"/>
      </w:rPr>
    </w:lvl>
    <w:lvl w:ilvl="4" w:tplc="9BB02B94">
      <w:start w:val="1"/>
      <w:numFmt w:val="bullet"/>
      <w:lvlText w:val="o"/>
      <w:lvlJc w:val="left"/>
      <w:pPr>
        <w:ind w:left="3600" w:hanging="360"/>
      </w:pPr>
      <w:rPr>
        <w:rFonts w:ascii="Courier New" w:hAnsi="Courier New" w:hint="default"/>
      </w:rPr>
    </w:lvl>
    <w:lvl w:ilvl="5" w:tplc="5948747E">
      <w:start w:val="1"/>
      <w:numFmt w:val="bullet"/>
      <w:lvlText w:val=""/>
      <w:lvlJc w:val="left"/>
      <w:pPr>
        <w:ind w:left="4320" w:hanging="360"/>
      </w:pPr>
      <w:rPr>
        <w:rFonts w:ascii="Wingdings" w:hAnsi="Wingdings" w:hint="default"/>
      </w:rPr>
    </w:lvl>
    <w:lvl w:ilvl="6" w:tplc="8C807BA8">
      <w:start w:val="1"/>
      <w:numFmt w:val="bullet"/>
      <w:lvlText w:val=""/>
      <w:lvlJc w:val="left"/>
      <w:pPr>
        <w:ind w:left="5040" w:hanging="360"/>
      </w:pPr>
      <w:rPr>
        <w:rFonts w:ascii="Symbol" w:hAnsi="Symbol" w:hint="default"/>
      </w:rPr>
    </w:lvl>
    <w:lvl w:ilvl="7" w:tplc="69684558">
      <w:start w:val="1"/>
      <w:numFmt w:val="bullet"/>
      <w:lvlText w:val="o"/>
      <w:lvlJc w:val="left"/>
      <w:pPr>
        <w:ind w:left="5760" w:hanging="360"/>
      </w:pPr>
      <w:rPr>
        <w:rFonts w:ascii="Courier New" w:hAnsi="Courier New" w:hint="default"/>
      </w:rPr>
    </w:lvl>
    <w:lvl w:ilvl="8" w:tplc="9CFAA788">
      <w:start w:val="1"/>
      <w:numFmt w:val="bullet"/>
      <w:lvlText w:val=""/>
      <w:lvlJc w:val="left"/>
      <w:pPr>
        <w:ind w:left="6480" w:hanging="360"/>
      </w:pPr>
      <w:rPr>
        <w:rFonts w:ascii="Wingdings" w:hAnsi="Wingdings" w:hint="default"/>
      </w:rPr>
    </w:lvl>
  </w:abstractNum>
  <w:abstractNum w:abstractNumId="37" w15:restartNumberingAfterBreak="0">
    <w:nsid w:val="0BB136D4"/>
    <w:multiLevelType w:val="multilevel"/>
    <w:tmpl w:val="3A68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BC10CDD"/>
    <w:multiLevelType w:val="hybridMultilevel"/>
    <w:tmpl w:val="DEECA4DA"/>
    <w:lvl w:ilvl="0" w:tplc="035E7C58">
      <w:start w:val="1"/>
      <w:numFmt w:val="lowerRoman"/>
      <w:lvlText w:val="(%1)"/>
      <w:lvlJc w:val="left"/>
      <w:pPr>
        <w:ind w:left="144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0C4EB5C7"/>
    <w:multiLevelType w:val="hybridMultilevel"/>
    <w:tmpl w:val="FFFFFFFF"/>
    <w:lvl w:ilvl="0" w:tplc="D1DA4306">
      <w:start w:val="1"/>
      <w:numFmt w:val="decimal"/>
      <w:lvlText w:val="%1."/>
      <w:lvlJc w:val="left"/>
      <w:pPr>
        <w:ind w:left="720" w:hanging="360"/>
      </w:pPr>
    </w:lvl>
    <w:lvl w:ilvl="1" w:tplc="C42EBDD0">
      <w:start w:val="1"/>
      <w:numFmt w:val="lowerLetter"/>
      <w:lvlText w:val="%2."/>
      <w:lvlJc w:val="left"/>
      <w:pPr>
        <w:ind w:left="1440" w:hanging="360"/>
      </w:pPr>
    </w:lvl>
    <w:lvl w:ilvl="2" w:tplc="48C05F48">
      <w:start w:val="1"/>
      <w:numFmt w:val="lowerRoman"/>
      <w:lvlText w:val="%3."/>
      <w:lvlJc w:val="right"/>
      <w:pPr>
        <w:ind w:left="2160" w:hanging="180"/>
      </w:pPr>
    </w:lvl>
    <w:lvl w:ilvl="3" w:tplc="C98819FC">
      <w:start w:val="1"/>
      <w:numFmt w:val="decimal"/>
      <w:lvlText w:val="%4."/>
      <w:lvlJc w:val="left"/>
      <w:pPr>
        <w:ind w:left="2880" w:hanging="360"/>
      </w:pPr>
    </w:lvl>
    <w:lvl w:ilvl="4" w:tplc="288611B0">
      <w:start w:val="1"/>
      <w:numFmt w:val="lowerLetter"/>
      <w:lvlText w:val="%5."/>
      <w:lvlJc w:val="left"/>
      <w:pPr>
        <w:ind w:left="3600" w:hanging="360"/>
      </w:pPr>
    </w:lvl>
    <w:lvl w:ilvl="5" w:tplc="DC10DB30">
      <w:start w:val="1"/>
      <w:numFmt w:val="lowerRoman"/>
      <w:lvlText w:val="%6."/>
      <w:lvlJc w:val="right"/>
      <w:pPr>
        <w:ind w:left="4320" w:hanging="180"/>
      </w:pPr>
    </w:lvl>
    <w:lvl w:ilvl="6" w:tplc="7CE83C92">
      <w:start w:val="1"/>
      <w:numFmt w:val="decimal"/>
      <w:lvlText w:val="%7."/>
      <w:lvlJc w:val="left"/>
      <w:pPr>
        <w:ind w:left="5040" w:hanging="360"/>
      </w:pPr>
    </w:lvl>
    <w:lvl w:ilvl="7" w:tplc="2FE85114">
      <w:start w:val="1"/>
      <w:numFmt w:val="lowerLetter"/>
      <w:lvlText w:val="%8."/>
      <w:lvlJc w:val="left"/>
      <w:pPr>
        <w:ind w:left="5760" w:hanging="360"/>
      </w:pPr>
    </w:lvl>
    <w:lvl w:ilvl="8" w:tplc="CF3E0850">
      <w:start w:val="1"/>
      <w:numFmt w:val="lowerRoman"/>
      <w:lvlText w:val="%9."/>
      <w:lvlJc w:val="right"/>
      <w:pPr>
        <w:ind w:left="6480" w:hanging="180"/>
      </w:pPr>
    </w:lvl>
  </w:abstractNum>
  <w:abstractNum w:abstractNumId="40" w15:restartNumberingAfterBreak="0">
    <w:nsid w:val="0CD91C75"/>
    <w:multiLevelType w:val="hybridMultilevel"/>
    <w:tmpl w:val="8826A5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0DD8C6E0"/>
    <w:multiLevelType w:val="hybridMultilevel"/>
    <w:tmpl w:val="FFFFFFFF"/>
    <w:lvl w:ilvl="0" w:tplc="81F87964">
      <w:start w:val="1"/>
      <w:numFmt w:val="decimal"/>
      <w:lvlText w:val="%1."/>
      <w:lvlJc w:val="left"/>
      <w:pPr>
        <w:ind w:left="720" w:hanging="360"/>
      </w:pPr>
    </w:lvl>
    <w:lvl w:ilvl="1" w:tplc="78109430">
      <w:start w:val="1"/>
      <w:numFmt w:val="lowerLetter"/>
      <w:lvlText w:val="%2."/>
      <w:lvlJc w:val="left"/>
      <w:pPr>
        <w:ind w:left="1440" w:hanging="360"/>
      </w:pPr>
    </w:lvl>
    <w:lvl w:ilvl="2" w:tplc="91248C38">
      <w:start w:val="1"/>
      <w:numFmt w:val="lowerRoman"/>
      <w:lvlText w:val="%3."/>
      <w:lvlJc w:val="right"/>
      <w:pPr>
        <w:ind w:left="2160" w:hanging="180"/>
      </w:pPr>
    </w:lvl>
    <w:lvl w:ilvl="3" w:tplc="CDC0F7B2">
      <w:start w:val="1"/>
      <w:numFmt w:val="decimal"/>
      <w:lvlText w:val="%4."/>
      <w:lvlJc w:val="left"/>
      <w:pPr>
        <w:ind w:left="2880" w:hanging="360"/>
      </w:pPr>
    </w:lvl>
    <w:lvl w:ilvl="4" w:tplc="EE10787A">
      <w:start w:val="1"/>
      <w:numFmt w:val="lowerLetter"/>
      <w:lvlText w:val="%5."/>
      <w:lvlJc w:val="left"/>
      <w:pPr>
        <w:ind w:left="3600" w:hanging="360"/>
      </w:pPr>
    </w:lvl>
    <w:lvl w:ilvl="5" w:tplc="48648A30">
      <w:start w:val="1"/>
      <w:numFmt w:val="lowerRoman"/>
      <w:lvlText w:val="%6."/>
      <w:lvlJc w:val="right"/>
      <w:pPr>
        <w:ind w:left="4320" w:hanging="180"/>
      </w:pPr>
    </w:lvl>
    <w:lvl w:ilvl="6" w:tplc="B574920E">
      <w:start w:val="1"/>
      <w:numFmt w:val="decimal"/>
      <w:lvlText w:val="%7."/>
      <w:lvlJc w:val="left"/>
      <w:pPr>
        <w:ind w:left="5040" w:hanging="360"/>
      </w:pPr>
    </w:lvl>
    <w:lvl w:ilvl="7" w:tplc="93E2B32A">
      <w:start w:val="1"/>
      <w:numFmt w:val="lowerLetter"/>
      <w:lvlText w:val="%8."/>
      <w:lvlJc w:val="left"/>
      <w:pPr>
        <w:ind w:left="5760" w:hanging="360"/>
      </w:pPr>
    </w:lvl>
    <w:lvl w:ilvl="8" w:tplc="D152D002">
      <w:start w:val="1"/>
      <w:numFmt w:val="lowerRoman"/>
      <w:lvlText w:val="%9."/>
      <w:lvlJc w:val="right"/>
      <w:pPr>
        <w:ind w:left="6480" w:hanging="180"/>
      </w:pPr>
    </w:lvl>
  </w:abstractNum>
  <w:abstractNum w:abstractNumId="42" w15:restartNumberingAfterBreak="0">
    <w:nsid w:val="0E3E15EC"/>
    <w:multiLevelType w:val="multilevel"/>
    <w:tmpl w:val="221ABCBC"/>
    <w:lvl w:ilvl="0">
      <w:start w:val="1"/>
      <w:numFmt w:val="decimal"/>
      <w:pStyle w:val="Heading1"/>
      <w:lvlText w:val="%1"/>
      <w:lvlJc w:val="left"/>
      <w:pPr>
        <w:ind w:left="432" w:hanging="432"/>
      </w:pPr>
      <w:rPr>
        <w:rFonts w:hint="default"/>
        <w:i w:val="0"/>
        <w:iCs/>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3" w15:restartNumberingAfterBreak="0">
    <w:nsid w:val="0E4A6C2D"/>
    <w:multiLevelType w:val="hybridMultilevel"/>
    <w:tmpl w:val="BBB8076C"/>
    <w:lvl w:ilvl="0" w:tplc="D7C2E18E">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F43424A"/>
    <w:multiLevelType w:val="hybridMultilevel"/>
    <w:tmpl w:val="C11E12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0F753A2D"/>
    <w:multiLevelType w:val="multilevel"/>
    <w:tmpl w:val="224C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04F5A03"/>
    <w:multiLevelType w:val="hybridMultilevel"/>
    <w:tmpl w:val="FE021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191813A"/>
    <w:multiLevelType w:val="hybridMultilevel"/>
    <w:tmpl w:val="FFFFFFFF"/>
    <w:lvl w:ilvl="0" w:tplc="55668BB6">
      <w:start w:val="1"/>
      <w:numFmt w:val="decimal"/>
      <w:lvlText w:val="%1."/>
      <w:lvlJc w:val="left"/>
      <w:pPr>
        <w:ind w:left="720" w:hanging="360"/>
      </w:pPr>
    </w:lvl>
    <w:lvl w:ilvl="1" w:tplc="60A40C0E">
      <w:start w:val="1"/>
      <w:numFmt w:val="lowerLetter"/>
      <w:lvlText w:val="%2."/>
      <w:lvlJc w:val="left"/>
      <w:pPr>
        <w:ind w:left="1440" w:hanging="360"/>
      </w:pPr>
    </w:lvl>
    <w:lvl w:ilvl="2" w:tplc="FA18FF28">
      <w:start w:val="1"/>
      <w:numFmt w:val="lowerRoman"/>
      <w:lvlText w:val="%3."/>
      <w:lvlJc w:val="right"/>
      <w:pPr>
        <w:ind w:left="2160" w:hanging="180"/>
      </w:pPr>
    </w:lvl>
    <w:lvl w:ilvl="3" w:tplc="32C40F6C">
      <w:start w:val="1"/>
      <w:numFmt w:val="decimal"/>
      <w:lvlText w:val="%4."/>
      <w:lvlJc w:val="left"/>
      <w:pPr>
        <w:ind w:left="2880" w:hanging="360"/>
      </w:pPr>
    </w:lvl>
    <w:lvl w:ilvl="4" w:tplc="DE20ECD0">
      <w:start w:val="1"/>
      <w:numFmt w:val="lowerLetter"/>
      <w:lvlText w:val="%5."/>
      <w:lvlJc w:val="left"/>
      <w:pPr>
        <w:ind w:left="3600" w:hanging="360"/>
      </w:pPr>
    </w:lvl>
    <w:lvl w:ilvl="5" w:tplc="7B5850D8">
      <w:start w:val="1"/>
      <w:numFmt w:val="lowerRoman"/>
      <w:lvlText w:val="%6."/>
      <w:lvlJc w:val="right"/>
      <w:pPr>
        <w:ind w:left="4320" w:hanging="180"/>
      </w:pPr>
    </w:lvl>
    <w:lvl w:ilvl="6" w:tplc="D3421EDA">
      <w:start w:val="1"/>
      <w:numFmt w:val="decimal"/>
      <w:lvlText w:val="%7."/>
      <w:lvlJc w:val="left"/>
      <w:pPr>
        <w:ind w:left="5040" w:hanging="360"/>
      </w:pPr>
    </w:lvl>
    <w:lvl w:ilvl="7" w:tplc="0700C58C">
      <w:start w:val="1"/>
      <w:numFmt w:val="lowerLetter"/>
      <w:lvlText w:val="%8."/>
      <w:lvlJc w:val="left"/>
      <w:pPr>
        <w:ind w:left="5760" w:hanging="360"/>
      </w:pPr>
    </w:lvl>
    <w:lvl w:ilvl="8" w:tplc="2B36320E">
      <w:start w:val="1"/>
      <w:numFmt w:val="lowerRoman"/>
      <w:lvlText w:val="%9."/>
      <w:lvlJc w:val="right"/>
      <w:pPr>
        <w:ind w:left="6480" w:hanging="180"/>
      </w:pPr>
    </w:lvl>
  </w:abstractNum>
  <w:abstractNum w:abstractNumId="48" w15:restartNumberingAfterBreak="0">
    <w:nsid w:val="11C44105"/>
    <w:multiLevelType w:val="multilevel"/>
    <w:tmpl w:val="7144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1D2BB5C"/>
    <w:multiLevelType w:val="hybridMultilevel"/>
    <w:tmpl w:val="FFFFFFFF"/>
    <w:lvl w:ilvl="0" w:tplc="F94C9C4A">
      <w:start w:val="1"/>
      <w:numFmt w:val="bullet"/>
      <w:lvlText w:val=""/>
      <w:lvlJc w:val="left"/>
      <w:pPr>
        <w:ind w:left="720" w:hanging="360"/>
      </w:pPr>
      <w:rPr>
        <w:rFonts w:ascii="Symbol" w:hAnsi="Symbol" w:hint="default"/>
      </w:rPr>
    </w:lvl>
    <w:lvl w:ilvl="1" w:tplc="510E1DA0">
      <w:start w:val="1"/>
      <w:numFmt w:val="bullet"/>
      <w:lvlText w:val="o"/>
      <w:lvlJc w:val="left"/>
      <w:pPr>
        <w:ind w:left="1440" w:hanging="360"/>
      </w:pPr>
      <w:rPr>
        <w:rFonts w:ascii="Courier New" w:hAnsi="Courier New" w:hint="default"/>
      </w:rPr>
    </w:lvl>
    <w:lvl w:ilvl="2" w:tplc="CE60C714">
      <w:start w:val="1"/>
      <w:numFmt w:val="bullet"/>
      <w:lvlText w:val=""/>
      <w:lvlJc w:val="left"/>
      <w:pPr>
        <w:ind w:left="2160" w:hanging="360"/>
      </w:pPr>
      <w:rPr>
        <w:rFonts w:ascii="Wingdings" w:hAnsi="Wingdings" w:hint="default"/>
      </w:rPr>
    </w:lvl>
    <w:lvl w:ilvl="3" w:tplc="D5A478F4">
      <w:start w:val="1"/>
      <w:numFmt w:val="bullet"/>
      <w:lvlText w:val=""/>
      <w:lvlJc w:val="left"/>
      <w:pPr>
        <w:ind w:left="2880" w:hanging="360"/>
      </w:pPr>
      <w:rPr>
        <w:rFonts w:ascii="Symbol" w:hAnsi="Symbol" w:hint="default"/>
      </w:rPr>
    </w:lvl>
    <w:lvl w:ilvl="4" w:tplc="B4220492">
      <w:start w:val="1"/>
      <w:numFmt w:val="bullet"/>
      <w:lvlText w:val="o"/>
      <w:lvlJc w:val="left"/>
      <w:pPr>
        <w:ind w:left="3600" w:hanging="360"/>
      </w:pPr>
      <w:rPr>
        <w:rFonts w:ascii="Courier New" w:hAnsi="Courier New" w:hint="default"/>
      </w:rPr>
    </w:lvl>
    <w:lvl w:ilvl="5" w:tplc="BBFC44E2">
      <w:start w:val="1"/>
      <w:numFmt w:val="bullet"/>
      <w:lvlText w:val=""/>
      <w:lvlJc w:val="left"/>
      <w:pPr>
        <w:ind w:left="4320" w:hanging="360"/>
      </w:pPr>
      <w:rPr>
        <w:rFonts w:ascii="Wingdings" w:hAnsi="Wingdings" w:hint="default"/>
      </w:rPr>
    </w:lvl>
    <w:lvl w:ilvl="6" w:tplc="E438D5C2">
      <w:start w:val="1"/>
      <w:numFmt w:val="bullet"/>
      <w:lvlText w:val=""/>
      <w:lvlJc w:val="left"/>
      <w:pPr>
        <w:ind w:left="5040" w:hanging="360"/>
      </w:pPr>
      <w:rPr>
        <w:rFonts w:ascii="Symbol" w:hAnsi="Symbol" w:hint="default"/>
      </w:rPr>
    </w:lvl>
    <w:lvl w:ilvl="7" w:tplc="F5DEF554">
      <w:start w:val="1"/>
      <w:numFmt w:val="bullet"/>
      <w:lvlText w:val="o"/>
      <w:lvlJc w:val="left"/>
      <w:pPr>
        <w:ind w:left="5760" w:hanging="360"/>
      </w:pPr>
      <w:rPr>
        <w:rFonts w:ascii="Courier New" w:hAnsi="Courier New" w:hint="default"/>
      </w:rPr>
    </w:lvl>
    <w:lvl w:ilvl="8" w:tplc="301C0E9E">
      <w:start w:val="1"/>
      <w:numFmt w:val="bullet"/>
      <w:lvlText w:val=""/>
      <w:lvlJc w:val="left"/>
      <w:pPr>
        <w:ind w:left="6480" w:hanging="360"/>
      </w:pPr>
      <w:rPr>
        <w:rFonts w:ascii="Wingdings" w:hAnsi="Wingdings" w:hint="default"/>
      </w:rPr>
    </w:lvl>
  </w:abstractNum>
  <w:abstractNum w:abstractNumId="50" w15:restartNumberingAfterBreak="0">
    <w:nsid w:val="12630F6D"/>
    <w:multiLevelType w:val="hybridMultilevel"/>
    <w:tmpl w:val="341A4356"/>
    <w:lvl w:ilvl="0" w:tplc="9A0C518A">
      <w:start w:val="1"/>
      <w:numFmt w:val="decimal"/>
      <w:lvlText w:val="%1."/>
      <w:lvlJc w:val="left"/>
      <w:pPr>
        <w:ind w:left="1069" w:hanging="360"/>
      </w:pPr>
      <w:rPr>
        <w:i w:val="0"/>
        <w:iCs/>
      </w:rPr>
    </w:lvl>
    <w:lvl w:ilvl="1" w:tplc="6E809ACC">
      <w:start w:val="1"/>
      <w:numFmt w:val="lowerLetter"/>
      <w:lvlText w:val="%2."/>
      <w:lvlJc w:val="left"/>
      <w:pPr>
        <w:ind w:left="1440" w:hanging="360"/>
      </w:pPr>
    </w:lvl>
    <w:lvl w:ilvl="2" w:tplc="0A4E9670">
      <w:start w:val="1"/>
      <w:numFmt w:val="lowerRoman"/>
      <w:lvlText w:val="%3."/>
      <w:lvlJc w:val="right"/>
      <w:pPr>
        <w:ind w:left="2160" w:hanging="180"/>
      </w:pPr>
    </w:lvl>
    <w:lvl w:ilvl="3" w:tplc="E7B6F50E">
      <w:start w:val="1"/>
      <w:numFmt w:val="decimal"/>
      <w:lvlText w:val="%4."/>
      <w:lvlJc w:val="left"/>
      <w:pPr>
        <w:ind w:left="2880" w:hanging="360"/>
      </w:pPr>
    </w:lvl>
    <w:lvl w:ilvl="4" w:tplc="AC4206FA">
      <w:start w:val="1"/>
      <w:numFmt w:val="lowerLetter"/>
      <w:lvlText w:val="%5."/>
      <w:lvlJc w:val="left"/>
      <w:pPr>
        <w:ind w:left="3600" w:hanging="360"/>
      </w:pPr>
    </w:lvl>
    <w:lvl w:ilvl="5" w:tplc="120CDA48">
      <w:start w:val="1"/>
      <w:numFmt w:val="lowerRoman"/>
      <w:lvlText w:val="%6."/>
      <w:lvlJc w:val="right"/>
      <w:pPr>
        <w:ind w:left="4320" w:hanging="180"/>
      </w:pPr>
    </w:lvl>
    <w:lvl w:ilvl="6" w:tplc="748E0036">
      <w:start w:val="1"/>
      <w:numFmt w:val="decimal"/>
      <w:lvlText w:val="%7."/>
      <w:lvlJc w:val="left"/>
      <w:pPr>
        <w:ind w:left="5040" w:hanging="360"/>
      </w:pPr>
    </w:lvl>
    <w:lvl w:ilvl="7" w:tplc="52B8EDB2">
      <w:start w:val="1"/>
      <w:numFmt w:val="lowerLetter"/>
      <w:lvlText w:val="%8."/>
      <w:lvlJc w:val="left"/>
      <w:pPr>
        <w:ind w:left="5760" w:hanging="360"/>
      </w:pPr>
    </w:lvl>
    <w:lvl w:ilvl="8" w:tplc="4D08A94C">
      <w:start w:val="1"/>
      <w:numFmt w:val="lowerRoman"/>
      <w:lvlText w:val="%9."/>
      <w:lvlJc w:val="right"/>
      <w:pPr>
        <w:ind w:left="6480" w:hanging="180"/>
      </w:pPr>
    </w:lvl>
  </w:abstractNum>
  <w:abstractNum w:abstractNumId="51" w15:restartNumberingAfterBreak="0">
    <w:nsid w:val="128240FB"/>
    <w:multiLevelType w:val="hybridMultilevel"/>
    <w:tmpl w:val="615EBC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138D2B2E"/>
    <w:multiLevelType w:val="multilevel"/>
    <w:tmpl w:val="5C5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13B70424"/>
    <w:multiLevelType w:val="multilevel"/>
    <w:tmpl w:val="0234E6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3C63CD5"/>
    <w:multiLevelType w:val="multilevel"/>
    <w:tmpl w:val="179862F0"/>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55" w15:restartNumberingAfterBreak="0">
    <w:nsid w:val="13DD41FF"/>
    <w:multiLevelType w:val="hybridMultilevel"/>
    <w:tmpl w:val="9B688D8E"/>
    <w:lvl w:ilvl="0" w:tplc="2C8A1BE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14C03DFF"/>
    <w:multiLevelType w:val="hybridMultilevel"/>
    <w:tmpl w:val="2C82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52F58B5"/>
    <w:multiLevelType w:val="hybridMultilevel"/>
    <w:tmpl w:val="577EE662"/>
    <w:lvl w:ilvl="0" w:tplc="0EAC43D6">
      <w:start w:val="3"/>
      <w:numFmt w:val="bullet"/>
      <w:lvlText w:val=""/>
      <w:lvlJc w:val="left"/>
      <w:pPr>
        <w:ind w:left="720" w:hanging="360"/>
      </w:pPr>
      <w:rPr>
        <w:rFonts w:ascii="Wingdings" w:hAnsi="Wingdings" w:hint="default"/>
      </w:rPr>
    </w:lvl>
    <w:lvl w:ilvl="1" w:tplc="BEEE2720" w:tentative="1">
      <w:start w:val="1"/>
      <w:numFmt w:val="bullet"/>
      <w:lvlText w:val="o"/>
      <w:lvlJc w:val="left"/>
      <w:pPr>
        <w:ind w:left="1440" w:hanging="360"/>
      </w:pPr>
      <w:rPr>
        <w:rFonts w:ascii="Courier New" w:hAnsi="Courier New" w:hint="default"/>
      </w:rPr>
    </w:lvl>
    <w:lvl w:ilvl="2" w:tplc="3FBA4068" w:tentative="1">
      <w:start w:val="1"/>
      <w:numFmt w:val="bullet"/>
      <w:lvlText w:val=""/>
      <w:lvlJc w:val="left"/>
      <w:pPr>
        <w:ind w:left="2160" w:hanging="360"/>
      </w:pPr>
      <w:rPr>
        <w:rFonts w:ascii="Wingdings" w:hAnsi="Wingdings" w:hint="default"/>
      </w:rPr>
    </w:lvl>
    <w:lvl w:ilvl="3" w:tplc="4F46BD6E" w:tentative="1">
      <w:start w:val="1"/>
      <w:numFmt w:val="bullet"/>
      <w:lvlText w:val=""/>
      <w:lvlJc w:val="left"/>
      <w:pPr>
        <w:ind w:left="2880" w:hanging="360"/>
      </w:pPr>
      <w:rPr>
        <w:rFonts w:ascii="Symbol" w:hAnsi="Symbol" w:hint="default"/>
      </w:rPr>
    </w:lvl>
    <w:lvl w:ilvl="4" w:tplc="CC022154" w:tentative="1">
      <w:start w:val="1"/>
      <w:numFmt w:val="bullet"/>
      <w:lvlText w:val="o"/>
      <w:lvlJc w:val="left"/>
      <w:pPr>
        <w:ind w:left="3600" w:hanging="360"/>
      </w:pPr>
      <w:rPr>
        <w:rFonts w:ascii="Courier New" w:hAnsi="Courier New" w:hint="default"/>
      </w:rPr>
    </w:lvl>
    <w:lvl w:ilvl="5" w:tplc="137CDC5E" w:tentative="1">
      <w:start w:val="1"/>
      <w:numFmt w:val="bullet"/>
      <w:lvlText w:val=""/>
      <w:lvlJc w:val="left"/>
      <w:pPr>
        <w:ind w:left="4320" w:hanging="360"/>
      </w:pPr>
      <w:rPr>
        <w:rFonts w:ascii="Wingdings" w:hAnsi="Wingdings" w:hint="default"/>
      </w:rPr>
    </w:lvl>
    <w:lvl w:ilvl="6" w:tplc="8EBC32FA" w:tentative="1">
      <w:start w:val="1"/>
      <w:numFmt w:val="bullet"/>
      <w:lvlText w:val=""/>
      <w:lvlJc w:val="left"/>
      <w:pPr>
        <w:ind w:left="5040" w:hanging="360"/>
      </w:pPr>
      <w:rPr>
        <w:rFonts w:ascii="Symbol" w:hAnsi="Symbol" w:hint="default"/>
      </w:rPr>
    </w:lvl>
    <w:lvl w:ilvl="7" w:tplc="25BA9FC4" w:tentative="1">
      <w:start w:val="1"/>
      <w:numFmt w:val="bullet"/>
      <w:lvlText w:val="o"/>
      <w:lvlJc w:val="left"/>
      <w:pPr>
        <w:ind w:left="5760" w:hanging="360"/>
      </w:pPr>
      <w:rPr>
        <w:rFonts w:ascii="Courier New" w:hAnsi="Courier New" w:hint="default"/>
      </w:rPr>
    </w:lvl>
    <w:lvl w:ilvl="8" w:tplc="CFDCE94C" w:tentative="1">
      <w:start w:val="1"/>
      <w:numFmt w:val="bullet"/>
      <w:lvlText w:val=""/>
      <w:lvlJc w:val="left"/>
      <w:pPr>
        <w:ind w:left="6480" w:hanging="360"/>
      </w:pPr>
      <w:rPr>
        <w:rFonts w:ascii="Wingdings" w:hAnsi="Wingdings" w:hint="default"/>
      </w:rPr>
    </w:lvl>
  </w:abstractNum>
  <w:abstractNum w:abstractNumId="58" w15:restartNumberingAfterBreak="0">
    <w:nsid w:val="155D4455"/>
    <w:multiLevelType w:val="hybridMultilevel"/>
    <w:tmpl w:val="9BB86834"/>
    <w:lvl w:ilvl="0" w:tplc="D2B631B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15AC12E9"/>
    <w:multiLevelType w:val="hybridMultilevel"/>
    <w:tmpl w:val="696CE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63B10E7"/>
    <w:multiLevelType w:val="multilevel"/>
    <w:tmpl w:val="495231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17F73844"/>
    <w:multiLevelType w:val="hybridMultilevel"/>
    <w:tmpl w:val="46024D5C"/>
    <w:lvl w:ilvl="0" w:tplc="18083B22">
      <w:start w:val="1"/>
      <w:numFmt w:val="bullet"/>
      <w:lvlText w:val=""/>
      <w:lvlJc w:val="left"/>
      <w:pPr>
        <w:ind w:left="720" w:hanging="360"/>
      </w:pPr>
      <w:rPr>
        <w:rFonts w:ascii="Symbol" w:hAnsi="Symbol" w:hint="default"/>
      </w:rPr>
    </w:lvl>
    <w:lvl w:ilvl="1" w:tplc="D73A5CAC">
      <w:start w:val="1"/>
      <w:numFmt w:val="bullet"/>
      <w:lvlText w:val=""/>
      <w:lvlJc w:val="left"/>
      <w:pPr>
        <w:ind w:left="1440" w:hanging="360"/>
      </w:pPr>
      <w:rPr>
        <w:rFonts w:ascii="Symbol" w:hAnsi="Symbol" w:hint="default"/>
      </w:rPr>
    </w:lvl>
    <w:lvl w:ilvl="2" w:tplc="905A6F46">
      <w:start w:val="1"/>
      <w:numFmt w:val="bullet"/>
      <w:lvlText w:val=""/>
      <w:lvlJc w:val="left"/>
      <w:pPr>
        <w:ind w:left="2160" w:hanging="360"/>
      </w:pPr>
      <w:rPr>
        <w:rFonts w:ascii="Wingdings" w:hAnsi="Wingdings" w:hint="default"/>
      </w:rPr>
    </w:lvl>
    <w:lvl w:ilvl="3" w:tplc="6E96EFA0">
      <w:start w:val="1"/>
      <w:numFmt w:val="bullet"/>
      <w:lvlText w:val=""/>
      <w:lvlJc w:val="left"/>
      <w:pPr>
        <w:ind w:left="2880" w:hanging="360"/>
      </w:pPr>
      <w:rPr>
        <w:rFonts w:ascii="Symbol" w:hAnsi="Symbol" w:hint="default"/>
      </w:rPr>
    </w:lvl>
    <w:lvl w:ilvl="4" w:tplc="84BEED8A">
      <w:start w:val="1"/>
      <w:numFmt w:val="bullet"/>
      <w:lvlText w:val="o"/>
      <w:lvlJc w:val="left"/>
      <w:pPr>
        <w:ind w:left="3600" w:hanging="360"/>
      </w:pPr>
      <w:rPr>
        <w:rFonts w:ascii="Courier New" w:hAnsi="Courier New" w:hint="default"/>
      </w:rPr>
    </w:lvl>
    <w:lvl w:ilvl="5" w:tplc="67C67BE2">
      <w:start w:val="1"/>
      <w:numFmt w:val="bullet"/>
      <w:lvlText w:val=""/>
      <w:lvlJc w:val="left"/>
      <w:pPr>
        <w:ind w:left="4320" w:hanging="360"/>
      </w:pPr>
      <w:rPr>
        <w:rFonts w:ascii="Wingdings" w:hAnsi="Wingdings" w:hint="default"/>
      </w:rPr>
    </w:lvl>
    <w:lvl w:ilvl="6" w:tplc="25E2B328">
      <w:start w:val="1"/>
      <w:numFmt w:val="bullet"/>
      <w:lvlText w:val=""/>
      <w:lvlJc w:val="left"/>
      <w:pPr>
        <w:ind w:left="5040" w:hanging="360"/>
      </w:pPr>
      <w:rPr>
        <w:rFonts w:ascii="Symbol" w:hAnsi="Symbol" w:hint="default"/>
      </w:rPr>
    </w:lvl>
    <w:lvl w:ilvl="7" w:tplc="9468E14C">
      <w:start w:val="1"/>
      <w:numFmt w:val="bullet"/>
      <w:lvlText w:val="o"/>
      <w:lvlJc w:val="left"/>
      <w:pPr>
        <w:ind w:left="5760" w:hanging="360"/>
      </w:pPr>
      <w:rPr>
        <w:rFonts w:ascii="Courier New" w:hAnsi="Courier New" w:hint="default"/>
      </w:rPr>
    </w:lvl>
    <w:lvl w:ilvl="8" w:tplc="D6F0686A">
      <w:start w:val="1"/>
      <w:numFmt w:val="bullet"/>
      <w:lvlText w:val=""/>
      <w:lvlJc w:val="left"/>
      <w:pPr>
        <w:ind w:left="6480" w:hanging="360"/>
      </w:pPr>
      <w:rPr>
        <w:rFonts w:ascii="Wingdings" w:hAnsi="Wingdings" w:hint="default"/>
      </w:rPr>
    </w:lvl>
  </w:abstractNum>
  <w:abstractNum w:abstractNumId="62" w15:restartNumberingAfterBreak="0">
    <w:nsid w:val="18163B55"/>
    <w:multiLevelType w:val="multilevel"/>
    <w:tmpl w:val="F576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1829065A"/>
    <w:multiLevelType w:val="hybridMultilevel"/>
    <w:tmpl w:val="01961B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18467D45"/>
    <w:multiLevelType w:val="hybridMultilevel"/>
    <w:tmpl w:val="1F66E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8D433F5"/>
    <w:multiLevelType w:val="hybridMultilevel"/>
    <w:tmpl w:val="AAF878C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6" w15:restartNumberingAfterBreak="0">
    <w:nsid w:val="18F77105"/>
    <w:multiLevelType w:val="hybridMultilevel"/>
    <w:tmpl w:val="9EA499C0"/>
    <w:lvl w:ilvl="0" w:tplc="08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18F818E6"/>
    <w:multiLevelType w:val="hybridMultilevel"/>
    <w:tmpl w:val="87DA465A"/>
    <w:lvl w:ilvl="0" w:tplc="6438187E">
      <w:start w:val="1"/>
      <w:numFmt w:val="decimal"/>
      <w:pStyle w:val="HTABLES"/>
      <w:lvlText w:val="TABLE %1:"/>
      <w:lvlJc w:val="left"/>
      <w:pPr>
        <w:tabs>
          <w:tab w:val="num" w:pos="851"/>
        </w:tabs>
        <w:ind w:left="0" w:firstLine="0"/>
      </w:pPr>
      <w:rPr>
        <w:rFonts w:ascii="Corbel" w:hAnsi="Corbel" w:hint="default"/>
        <w:b/>
        <w:i w:val="0"/>
        <w:caps/>
        <w:strike w:val="0"/>
        <w:dstrike w:val="0"/>
        <w:vanish w:val="0"/>
        <w:color w:val="353332"/>
        <w:spacing w:val="0"/>
        <w:position w:val="0"/>
        <w:sz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192A22B9"/>
    <w:multiLevelType w:val="hybridMultilevel"/>
    <w:tmpl w:val="96BADE12"/>
    <w:lvl w:ilvl="0" w:tplc="FFFFFFFF">
      <w:start w:val="2"/>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196F6A18"/>
    <w:multiLevelType w:val="multilevel"/>
    <w:tmpl w:val="DF262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9F33FEA"/>
    <w:multiLevelType w:val="multilevel"/>
    <w:tmpl w:val="9F180B3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1" w15:restartNumberingAfterBreak="0">
    <w:nsid w:val="1AA326BA"/>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1B57CCD1"/>
    <w:multiLevelType w:val="multilevel"/>
    <w:tmpl w:val="FFFFFFFF"/>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1C1F14B1"/>
    <w:multiLevelType w:val="multilevel"/>
    <w:tmpl w:val="F424D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D58815E"/>
    <w:multiLevelType w:val="hybridMultilevel"/>
    <w:tmpl w:val="FFFFFFFF"/>
    <w:lvl w:ilvl="0" w:tplc="649AF210">
      <w:start w:val="1"/>
      <w:numFmt w:val="decimal"/>
      <w:lvlText w:val="%1."/>
      <w:lvlJc w:val="left"/>
      <w:pPr>
        <w:ind w:left="720" w:hanging="360"/>
      </w:pPr>
    </w:lvl>
    <w:lvl w:ilvl="1" w:tplc="EA964202">
      <w:start w:val="1"/>
      <w:numFmt w:val="lowerLetter"/>
      <w:lvlText w:val="%2."/>
      <w:lvlJc w:val="left"/>
      <w:pPr>
        <w:ind w:left="1440" w:hanging="360"/>
      </w:pPr>
    </w:lvl>
    <w:lvl w:ilvl="2" w:tplc="D9C017F2">
      <w:start w:val="1"/>
      <w:numFmt w:val="lowerRoman"/>
      <w:lvlText w:val="%3."/>
      <w:lvlJc w:val="right"/>
      <w:pPr>
        <w:ind w:left="2160" w:hanging="180"/>
      </w:pPr>
    </w:lvl>
    <w:lvl w:ilvl="3" w:tplc="23AAACCE">
      <w:start w:val="1"/>
      <w:numFmt w:val="decimal"/>
      <w:lvlText w:val="%4."/>
      <w:lvlJc w:val="left"/>
      <w:pPr>
        <w:ind w:left="2880" w:hanging="360"/>
      </w:pPr>
    </w:lvl>
    <w:lvl w:ilvl="4" w:tplc="D9646900">
      <w:start w:val="1"/>
      <w:numFmt w:val="lowerLetter"/>
      <w:lvlText w:val="%5."/>
      <w:lvlJc w:val="left"/>
      <w:pPr>
        <w:ind w:left="3600" w:hanging="360"/>
      </w:pPr>
    </w:lvl>
    <w:lvl w:ilvl="5" w:tplc="978099A2">
      <w:start w:val="1"/>
      <w:numFmt w:val="lowerRoman"/>
      <w:lvlText w:val="%6."/>
      <w:lvlJc w:val="right"/>
      <w:pPr>
        <w:ind w:left="4320" w:hanging="180"/>
      </w:pPr>
    </w:lvl>
    <w:lvl w:ilvl="6" w:tplc="585A0D50">
      <w:start w:val="1"/>
      <w:numFmt w:val="decimal"/>
      <w:lvlText w:val="%7."/>
      <w:lvlJc w:val="left"/>
      <w:pPr>
        <w:ind w:left="5040" w:hanging="360"/>
      </w:pPr>
    </w:lvl>
    <w:lvl w:ilvl="7" w:tplc="FBB884DC">
      <w:start w:val="1"/>
      <w:numFmt w:val="lowerLetter"/>
      <w:lvlText w:val="%8."/>
      <w:lvlJc w:val="left"/>
      <w:pPr>
        <w:ind w:left="5760" w:hanging="360"/>
      </w:pPr>
    </w:lvl>
    <w:lvl w:ilvl="8" w:tplc="9408981E">
      <w:start w:val="1"/>
      <w:numFmt w:val="lowerRoman"/>
      <w:lvlText w:val="%9."/>
      <w:lvlJc w:val="right"/>
      <w:pPr>
        <w:ind w:left="6480" w:hanging="180"/>
      </w:pPr>
    </w:lvl>
  </w:abstractNum>
  <w:abstractNum w:abstractNumId="75" w15:restartNumberingAfterBreak="0">
    <w:nsid w:val="1D9A4D51"/>
    <w:multiLevelType w:val="hybridMultilevel"/>
    <w:tmpl w:val="ABD82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1DA7A1EF"/>
    <w:multiLevelType w:val="hybridMultilevel"/>
    <w:tmpl w:val="FFFFFFFF"/>
    <w:lvl w:ilvl="0" w:tplc="81EA81C4">
      <w:start w:val="1"/>
      <w:numFmt w:val="decimal"/>
      <w:lvlText w:val="%1."/>
      <w:lvlJc w:val="left"/>
      <w:pPr>
        <w:ind w:left="720" w:hanging="360"/>
      </w:pPr>
    </w:lvl>
    <w:lvl w:ilvl="1" w:tplc="AC523F8E">
      <w:start w:val="1"/>
      <w:numFmt w:val="lowerLetter"/>
      <w:lvlText w:val="%2."/>
      <w:lvlJc w:val="left"/>
      <w:pPr>
        <w:ind w:left="1440" w:hanging="360"/>
      </w:pPr>
    </w:lvl>
    <w:lvl w:ilvl="2" w:tplc="BE9E420E">
      <w:start w:val="1"/>
      <w:numFmt w:val="lowerRoman"/>
      <w:lvlText w:val="%3."/>
      <w:lvlJc w:val="right"/>
      <w:pPr>
        <w:ind w:left="2160" w:hanging="180"/>
      </w:pPr>
    </w:lvl>
    <w:lvl w:ilvl="3" w:tplc="9DE25AA0">
      <w:start w:val="1"/>
      <w:numFmt w:val="decimal"/>
      <w:lvlText w:val="%4."/>
      <w:lvlJc w:val="left"/>
      <w:pPr>
        <w:ind w:left="2880" w:hanging="360"/>
      </w:pPr>
    </w:lvl>
    <w:lvl w:ilvl="4" w:tplc="0F8E2F70">
      <w:start w:val="1"/>
      <w:numFmt w:val="lowerLetter"/>
      <w:lvlText w:val="%5."/>
      <w:lvlJc w:val="left"/>
      <w:pPr>
        <w:ind w:left="3600" w:hanging="360"/>
      </w:pPr>
    </w:lvl>
    <w:lvl w:ilvl="5" w:tplc="3FECCD92">
      <w:start w:val="1"/>
      <w:numFmt w:val="lowerRoman"/>
      <w:lvlText w:val="%6."/>
      <w:lvlJc w:val="right"/>
      <w:pPr>
        <w:ind w:left="4320" w:hanging="180"/>
      </w:pPr>
    </w:lvl>
    <w:lvl w:ilvl="6" w:tplc="DF7C3406">
      <w:start w:val="1"/>
      <w:numFmt w:val="decimal"/>
      <w:lvlText w:val="%7."/>
      <w:lvlJc w:val="left"/>
      <w:pPr>
        <w:ind w:left="5040" w:hanging="360"/>
      </w:pPr>
    </w:lvl>
    <w:lvl w:ilvl="7" w:tplc="1284AC6A">
      <w:start w:val="1"/>
      <w:numFmt w:val="lowerLetter"/>
      <w:lvlText w:val="%8."/>
      <w:lvlJc w:val="left"/>
      <w:pPr>
        <w:ind w:left="5760" w:hanging="360"/>
      </w:pPr>
    </w:lvl>
    <w:lvl w:ilvl="8" w:tplc="E6D4F124">
      <w:start w:val="1"/>
      <w:numFmt w:val="lowerRoman"/>
      <w:lvlText w:val="%9."/>
      <w:lvlJc w:val="right"/>
      <w:pPr>
        <w:ind w:left="6480" w:hanging="180"/>
      </w:pPr>
    </w:lvl>
  </w:abstractNum>
  <w:abstractNum w:abstractNumId="77" w15:restartNumberingAfterBreak="0">
    <w:nsid w:val="1DD65710"/>
    <w:multiLevelType w:val="hybridMultilevel"/>
    <w:tmpl w:val="90EE7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1E333523"/>
    <w:multiLevelType w:val="hybridMultilevel"/>
    <w:tmpl w:val="96804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1F2F0B87"/>
    <w:multiLevelType w:val="hybridMultilevel"/>
    <w:tmpl w:val="2CB442BC"/>
    <w:lvl w:ilvl="0" w:tplc="127A3A6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1F302E88"/>
    <w:multiLevelType w:val="hybridMultilevel"/>
    <w:tmpl w:val="8570B152"/>
    <w:lvl w:ilvl="0" w:tplc="B37E5B4C">
      <w:start w:val="1"/>
      <w:numFmt w:val="lowerRoman"/>
      <w:lvlText w:val="(%1)"/>
      <w:lvlJc w:val="left"/>
      <w:pPr>
        <w:ind w:left="144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1F6068B3"/>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1F734306"/>
    <w:multiLevelType w:val="multilevel"/>
    <w:tmpl w:val="E7F43504"/>
    <w:lvl w:ilvl="0">
      <w:start w:val="1"/>
      <w:numFmt w:val="decimal"/>
      <w:lvlText w:val="%1"/>
      <w:lvlJc w:val="left"/>
      <w:pPr>
        <w:ind w:left="432" w:hanging="432"/>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vertAlign w:val="base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4" w15:restartNumberingAfterBreak="0">
    <w:nsid w:val="1FB815ED"/>
    <w:multiLevelType w:val="hybridMultilevel"/>
    <w:tmpl w:val="D4EAA33A"/>
    <w:lvl w:ilvl="0" w:tplc="E1E22254">
      <w:start w:val="1"/>
      <w:numFmt w:val="lowerRoman"/>
      <w:lvlText w:val="(%1)"/>
      <w:lvlJc w:val="left"/>
      <w:pPr>
        <w:ind w:left="144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20DC5A1A"/>
    <w:multiLevelType w:val="hybridMultilevel"/>
    <w:tmpl w:val="54049F36"/>
    <w:lvl w:ilvl="0" w:tplc="676E44D8">
      <w:start w:val="1"/>
      <w:numFmt w:val="bullet"/>
      <w:lvlText w:val=""/>
      <w:lvlJc w:val="left"/>
      <w:pPr>
        <w:ind w:left="720" w:hanging="360"/>
      </w:pPr>
      <w:rPr>
        <w:rFonts w:ascii="Symbol" w:hAnsi="Symbol" w:hint="default"/>
      </w:rPr>
    </w:lvl>
    <w:lvl w:ilvl="1" w:tplc="9A645E46" w:tentative="1">
      <w:start w:val="1"/>
      <w:numFmt w:val="bullet"/>
      <w:lvlText w:val="o"/>
      <w:lvlJc w:val="left"/>
      <w:pPr>
        <w:ind w:left="1440" w:hanging="360"/>
      </w:pPr>
      <w:rPr>
        <w:rFonts w:ascii="Courier New" w:hAnsi="Courier New" w:hint="default"/>
      </w:rPr>
    </w:lvl>
    <w:lvl w:ilvl="2" w:tplc="402650F4" w:tentative="1">
      <w:start w:val="1"/>
      <w:numFmt w:val="bullet"/>
      <w:lvlText w:val=""/>
      <w:lvlJc w:val="left"/>
      <w:pPr>
        <w:ind w:left="2160" w:hanging="360"/>
      </w:pPr>
      <w:rPr>
        <w:rFonts w:ascii="Wingdings" w:hAnsi="Wingdings" w:hint="default"/>
      </w:rPr>
    </w:lvl>
    <w:lvl w:ilvl="3" w:tplc="192C2EF6" w:tentative="1">
      <w:start w:val="1"/>
      <w:numFmt w:val="bullet"/>
      <w:lvlText w:val=""/>
      <w:lvlJc w:val="left"/>
      <w:pPr>
        <w:ind w:left="2880" w:hanging="360"/>
      </w:pPr>
      <w:rPr>
        <w:rFonts w:ascii="Symbol" w:hAnsi="Symbol" w:hint="default"/>
      </w:rPr>
    </w:lvl>
    <w:lvl w:ilvl="4" w:tplc="FAC631A0" w:tentative="1">
      <w:start w:val="1"/>
      <w:numFmt w:val="bullet"/>
      <w:lvlText w:val="o"/>
      <w:lvlJc w:val="left"/>
      <w:pPr>
        <w:ind w:left="3600" w:hanging="360"/>
      </w:pPr>
      <w:rPr>
        <w:rFonts w:ascii="Courier New" w:hAnsi="Courier New" w:hint="default"/>
      </w:rPr>
    </w:lvl>
    <w:lvl w:ilvl="5" w:tplc="2F8EE764" w:tentative="1">
      <w:start w:val="1"/>
      <w:numFmt w:val="bullet"/>
      <w:lvlText w:val=""/>
      <w:lvlJc w:val="left"/>
      <w:pPr>
        <w:ind w:left="4320" w:hanging="360"/>
      </w:pPr>
      <w:rPr>
        <w:rFonts w:ascii="Wingdings" w:hAnsi="Wingdings" w:hint="default"/>
      </w:rPr>
    </w:lvl>
    <w:lvl w:ilvl="6" w:tplc="6E063EB0" w:tentative="1">
      <w:start w:val="1"/>
      <w:numFmt w:val="bullet"/>
      <w:lvlText w:val=""/>
      <w:lvlJc w:val="left"/>
      <w:pPr>
        <w:ind w:left="5040" w:hanging="360"/>
      </w:pPr>
      <w:rPr>
        <w:rFonts w:ascii="Symbol" w:hAnsi="Symbol" w:hint="default"/>
      </w:rPr>
    </w:lvl>
    <w:lvl w:ilvl="7" w:tplc="2EF286B6" w:tentative="1">
      <w:start w:val="1"/>
      <w:numFmt w:val="bullet"/>
      <w:lvlText w:val="o"/>
      <w:lvlJc w:val="left"/>
      <w:pPr>
        <w:ind w:left="5760" w:hanging="360"/>
      </w:pPr>
      <w:rPr>
        <w:rFonts w:ascii="Courier New" w:hAnsi="Courier New" w:hint="default"/>
      </w:rPr>
    </w:lvl>
    <w:lvl w:ilvl="8" w:tplc="6DA4AD8E" w:tentative="1">
      <w:start w:val="1"/>
      <w:numFmt w:val="bullet"/>
      <w:lvlText w:val=""/>
      <w:lvlJc w:val="left"/>
      <w:pPr>
        <w:ind w:left="6480" w:hanging="360"/>
      </w:pPr>
      <w:rPr>
        <w:rFonts w:ascii="Wingdings" w:hAnsi="Wingdings" w:hint="default"/>
      </w:rPr>
    </w:lvl>
  </w:abstractNum>
  <w:abstractNum w:abstractNumId="86" w15:restartNumberingAfterBreak="0">
    <w:nsid w:val="214762B2"/>
    <w:multiLevelType w:val="multilevel"/>
    <w:tmpl w:val="38BC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21656A91"/>
    <w:multiLevelType w:val="hybridMultilevel"/>
    <w:tmpl w:val="2B6671B2"/>
    <w:lvl w:ilvl="0" w:tplc="C7DA741E">
      <w:start w:val="1"/>
      <w:numFmt w:val="bullet"/>
      <w:lvlText w:val=""/>
      <w:lvlJc w:val="left"/>
      <w:pPr>
        <w:ind w:left="1200" w:hanging="360"/>
      </w:pPr>
      <w:rPr>
        <w:rFonts w:ascii="Symbol" w:hAnsi="Symbol" w:hint="default"/>
      </w:rPr>
    </w:lvl>
    <w:lvl w:ilvl="1" w:tplc="13C8397A" w:tentative="1">
      <w:start w:val="1"/>
      <w:numFmt w:val="bullet"/>
      <w:lvlText w:val="o"/>
      <w:lvlJc w:val="left"/>
      <w:pPr>
        <w:ind w:left="1920" w:hanging="360"/>
      </w:pPr>
      <w:rPr>
        <w:rFonts w:ascii="Courier New" w:hAnsi="Courier New" w:hint="default"/>
      </w:rPr>
    </w:lvl>
    <w:lvl w:ilvl="2" w:tplc="4A18F230" w:tentative="1">
      <w:start w:val="1"/>
      <w:numFmt w:val="bullet"/>
      <w:lvlText w:val=""/>
      <w:lvlJc w:val="left"/>
      <w:pPr>
        <w:ind w:left="2640" w:hanging="360"/>
      </w:pPr>
      <w:rPr>
        <w:rFonts w:ascii="Wingdings" w:hAnsi="Wingdings" w:hint="default"/>
      </w:rPr>
    </w:lvl>
    <w:lvl w:ilvl="3" w:tplc="E5825F7A" w:tentative="1">
      <w:start w:val="1"/>
      <w:numFmt w:val="bullet"/>
      <w:lvlText w:val=""/>
      <w:lvlJc w:val="left"/>
      <w:pPr>
        <w:ind w:left="3360" w:hanging="360"/>
      </w:pPr>
      <w:rPr>
        <w:rFonts w:ascii="Symbol" w:hAnsi="Symbol" w:hint="default"/>
      </w:rPr>
    </w:lvl>
    <w:lvl w:ilvl="4" w:tplc="406CF046" w:tentative="1">
      <w:start w:val="1"/>
      <w:numFmt w:val="bullet"/>
      <w:lvlText w:val="o"/>
      <w:lvlJc w:val="left"/>
      <w:pPr>
        <w:ind w:left="4080" w:hanging="360"/>
      </w:pPr>
      <w:rPr>
        <w:rFonts w:ascii="Courier New" w:hAnsi="Courier New" w:hint="default"/>
      </w:rPr>
    </w:lvl>
    <w:lvl w:ilvl="5" w:tplc="56AA32F6" w:tentative="1">
      <w:start w:val="1"/>
      <w:numFmt w:val="bullet"/>
      <w:lvlText w:val=""/>
      <w:lvlJc w:val="left"/>
      <w:pPr>
        <w:ind w:left="4800" w:hanging="360"/>
      </w:pPr>
      <w:rPr>
        <w:rFonts w:ascii="Wingdings" w:hAnsi="Wingdings" w:hint="default"/>
      </w:rPr>
    </w:lvl>
    <w:lvl w:ilvl="6" w:tplc="7C0A1080" w:tentative="1">
      <w:start w:val="1"/>
      <w:numFmt w:val="bullet"/>
      <w:lvlText w:val=""/>
      <w:lvlJc w:val="left"/>
      <w:pPr>
        <w:ind w:left="5520" w:hanging="360"/>
      </w:pPr>
      <w:rPr>
        <w:rFonts w:ascii="Symbol" w:hAnsi="Symbol" w:hint="default"/>
      </w:rPr>
    </w:lvl>
    <w:lvl w:ilvl="7" w:tplc="45704946" w:tentative="1">
      <w:start w:val="1"/>
      <w:numFmt w:val="bullet"/>
      <w:lvlText w:val="o"/>
      <w:lvlJc w:val="left"/>
      <w:pPr>
        <w:ind w:left="6240" w:hanging="360"/>
      </w:pPr>
      <w:rPr>
        <w:rFonts w:ascii="Courier New" w:hAnsi="Courier New" w:hint="default"/>
      </w:rPr>
    </w:lvl>
    <w:lvl w:ilvl="8" w:tplc="591E4404" w:tentative="1">
      <w:start w:val="1"/>
      <w:numFmt w:val="bullet"/>
      <w:lvlText w:val=""/>
      <w:lvlJc w:val="left"/>
      <w:pPr>
        <w:ind w:left="6960" w:hanging="360"/>
      </w:pPr>
      <w:rPr>
        <w:rFonts w:ascii="Wingdings" w:hAnsi="Wingdings" w:hint="default"/>
      </w:rPr>
    </w:lvl>
  </w:abstractNum>
  <w:abstractNum w:abstractNumId="88" w15:restartNumberingAfterBreak="0">
    <w:nsid w:val="219B5F85"/>
    <w:multiLevelType w:val="hybridMultilevel"/>
    <w:tmpl w:val="9D3A2A06"/>
    <w:lvl w:ilvl="0" w:tplc="4E06C686">
      <w:numFmt w:val="bullet"/>
      <w:lvlText w:val="-"/>
      <w:lvlJc w:val="left"/>
      <w:pPr>
        <w:ind w:left="720" w:hanging="360"/>
      </w:pPr>
      <w:rPr>
        <w:rFonts w:ascii="Corbel" w:eastAsia="Times New Roman" w:hAnsi="Corbe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21CE04F9"/>
    <w:multiLevelType w:val="hybridMultilevel"/>
    <w:tmpl w:val="D758D02E"/>
    <w:lvl w:ilvl="0" w:tplc="878A4202">
      <w:start w:val="1"/>
      <w:numFmt w:val="upperLetter"/>
      <w:lvlText w:val="%1."/>
      <w:lvlJc w:val="left"/>
      <w:pPr>
        <w:ind w:left="720" w:hanging="360"/>
      </w:pPr>
      <w:rPr>
        <w:rFonts w:eastAsia="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0" w15:restartNumberingAfterBreak="0">
    <w:nsid w:val="22460425"/>
    <w:multiLevelType w:val="multilevel"/>
    <w:tmpl w:val="735C13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4520568"/>
    <w:multiLevelType w:val="hybridMultilevel"/>
    <w:tmpl w:val="2668DB08"/>
    <w:lvl w:ilvl="0" w:tplc="9AF671A4">
      <w:start w:val="1"/>
      <w:numFmt w:val="bullet"/>
      <w:lvlText w:val="–"/>
      <w:lvlJc w:val="left"/>
      <w:pPr>
        <w:ind w:left="720" w:hanging="360"/>
      </w:pPr>
      <w:rPr>
        <w:rFonts w:ascii="Calibri" w:hAnsi="Calibri" w:hint="default"/>
      </w:rPr>
    </w:lvl>
    <w:lvl w:ilvl="1" w:tplc="F9364582" w:tentative="1">
      <w:start w:val="1"/>
      <w:numFmt w:val="bullet"/>
      <w:lvlText w:val="o"/>
      <w:lvlJc w:val="left"/>
      <w:pPr>
        <w:ind w:left="1440" w:hanging="360"/>
      </w:pPr>
      <w:rPr>
        <w:rFonts w:ascii="Courier New" w:hAnsi="Courier New" w:hint="default"/>
      </w:rPr>
    </w:lvl>
    <w:lvl w:ilvl="2" w:tplc="E0BAFF1C" w:tentative="1">
      <w:start w:val="1"/>
      <w:numFmt w:val="bullet"/>
      <w:lvlText w:val=""/>
      <w:lvlJc w:val="left"/>
      <w:pPr>
        <w:ind w:left="2160" w:hanging="360"/>
      </w:pPr>
      <w:rPr>
        <w:rFonts w:ascii="Wingdings" w:hAnsi="Wingdings" w:hint="default"/>
      </w:rPr>
    </w:lvl>
    <w:lvl w:ilvl="3" w:tplc="9ED0379C" w:tentative="1">
      <w:start w:val="1"/>
      <w:numFmt w:val="bullet"/>
      <w:lvlText w:val=""/>
      <w:lvlJc w:val="left"/>
      <w:pPr>
        <w:ind w:left="2880" w:hanging="360"/>
      </w:pPr>
      <w:rPr>
        <w:rFonts w:ascii="Symbol" w:hAnsi="Symbol" w:hint="default"/>
      </w:rPr>
    </w:lvl>
    <w:lvl w:ilvl="4" w:tplc="C56C4FA2" w:tentative="1">
      <w:start w:val="1"/>
      <w:numFmt w:val="bullet"/>
      <w:lvlText w:val="o"/>
      <w:lvlJc w:val="left"/>
      <w:pPr>
        <w:ind w:left="3600" w:hanging="360"/>
      </w:pPr>
      <w:rPr>
        <w:rFonts w:ascii="Courier New" w:hAnsi="Courier New" w:hint="default"/>
      </w:rPr>
    </w:lvl>
    <w:lvl w:ilvl="5" w:tplc="8A04280C" w:tentative="1">
      <w:start w:val="1"/>
      <w:numFmt w:val="bullet"/>
      <w:lvlText w:val=""/>
      <w:lvlJc w:val="left"/>
      <w:pPr>
        <w:ind w:left="4320" w:hanging="360"/>
      </w:pPr>
      <w:rPr>
        <w:rFonts w:ascii="Wingdings" w:hAnsi="Wingdings" w:hint="default"/>
      </w:rPr>
    </w:lvl>
    <w:lvl w:ilvl="6" w:tplc="D640DF02" w:tentative="1">
      <w:start w:val="1"/>
      <w:numFmt w:val="bullet"/>
      <w:lvlText w:val=""/>
      <w:lvlJc w:val="left"/>
      <w:pPr>
        <w:ind w:left="5040" w:hanging="360"/>
      </w:pPr>
      <w:rPr>
        <w:rFonts w:ascii="Symbol" w:hAnsi="Symbol" w:hint="default"/>
      </w:rPr>
    </w:lvl>
    <w:lvl w:ilvl="7" w:tplc="F7007FBE" w:tentative="1">
      <w:start w:val="1"/>
      <w:numFmt w:val="bullet"/>
      <w:lvlText w:val="o"/>
      <w:lvlJc w:val="left"/>
      <w:pPr>
        <w:ind w:left="5760" w:hanging="360"/>
      </w:pPr>
      <w:rPr>
        <w:rFonts w:ascii="Courier New" w:hAnsi="Courier New" w:hint="default"/>
      </w:rPr>
    </w:lvl>
    <w:lvl w:ilvl="8" w:tplc="161C952A" w:tentative="1">
      <w:start w:val="1"/>
      <w:numFmt w:val="bullet"/>
      <w:lvlText w:val=""/>
      <w:lvlJc w:val="left"/>
      <w:pPr>
        <w:ind w:left="6480" w:hanging="360"/>
      </w:pPr>
      <w:rPr>
        <w:rFonts w:ascii="Wingdings" w:hAnsi="Wingdings" w:hint="default"/>
      </w:rPr>
    </w:lvl>
  </w:abstractNum>
  <w:abstractNum w:abstractNumId="92" w15:restartNumberingAfterBreak="0">
    <w:nsid w:val="248A7432"/>
    <w:multiLevelType w:val="hybridMultilevel"/>
    <w:tmpl w:val="D8CE02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3" w15:restartNumberingAfterBreak="0">
    <w:nsid w:val="24A345B3"/>
    <w:multiLevelType w:val="multilevel"/>
    <w:tmpl w:val="454A9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4AE727E"/>
    <w:multiLevelType w:val="hybridMultilevel"/>
    <w:tmpl w:val="6A20E714"/>
    <w:lvl w:ilvl="0" w:tplc="0409000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24DA0531"/>
    <w:multiLevelType w:val="hybridMultilevel"/>
    <w:tmpl w:val="8CAA0184"/>
    <w:lvl w:ilvl="0" w:tplc="91725A50">
      <w:start w:val="1"/>
      <w:numFmt w:val="bullet"/>
      <w:lvlText w:val="•"/>
      <w:lvlJc w:val="left"/>
      <w:pPr>
        <w:ind w:left="360" w:hanging="180"/>
      </w:pPr>
    </w:lvl>
    <w:lvl w:ilvl="1" w:tplc="0E16D980">
      <w:numFmt w:val="decimal"/>
      <w:lvlText w:val=""/>
      <w:lvlJc w:val="left"/>
    </w:lvl>
    <w:lvl w:ilvl="2" w:tplc="ACE68880">
      <w:numFmt w:val="decimal"/>
      <w:lvlText w:val=""/>
      <w:lvlJc w:val="left"/>
    </w:lvl>
    <w:lvl w:ilvl="3" w:tplc="222A3020">
      <w:numFmt w:val="decimal"/>
      <w:lvlText w:val=""/>
      <w:lvlJc w:val="left"/>
    </w:lvl>
    <w:lvl w:ilvl="4" w:tplc="83640FB8">
      <w:numFmt w:val="decimal"/>
      <w:lvlText w:val=""/>
      <w:lvlJc w:val="left"/>
    </w:lvl>
    <w:lvl w:ilvl="5" w:tplc="8362B464">
      <w:numFmt w:val="decimal"/>
      <w:lvlText w:val=""/>
      <w:lvlJc w:val="left"/>
    </w:lvl>
    <w:lvl w:ilvl="6" w:tplc="E1E818D6">
      <w:numFmt w:val="decimal"/>
      <w:lvlText w:val=""/>
      <w:lvlJc w:val="left"/>
    </w:lvl>
    <w:lvl w:ilvl="7" w:tplc="22BCF6E6">
      <w:numFmt w:val="decimal"/>
      <w:lvlText w:val=""/>
      <w:lvlJc w:val="left"/>
    </w:lvl>
    <w:lvl w:ilvl="8" w:tplc="7EDC388E">
      <w:numFmt w:val="decimal"/>
      <w:lvlText w:val=""/>
      <w:lvlJc w:val="left"/>
    </w:lvl>
  </w:abstractNum>
  <w:abstractNum w:abstractNumId="96" w15:restartNumberingAfterBreak="0">
    <w:nsid w:val="24EB15C3"/>
    <w:multiLevelType w:val="hybridMultilevel"/>
    <w:tmpl w:val="0532C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2551520A"/>
    <w:multiLevelType w:val="hybridMultilevel"/>
    <w:tmpl w:val="1240A36E"/>
    <w:lvl w:ilvl="0" w:tplc="2996D27E">
      <w:start w:val="1"/>
      <w:numFmt w:val="bullet"/>
      <w:lvlText w:val="●"/>
      <w:lvlJc w:val="left"/>
      <w:pPr>
        <w:ind w:left="720" w:hanging="360"/>
      </w:pPr>
    </w:lvl>
    <w:lvl w:ilvl="1" w:tplc="E7EE4570">
      <w:start w:val="1"/>
      <w:numFmt w:val="bullet"/>
      <w:lvlText w:val="○"/>
      <w:lvlJc w:val="left"/>
      <w:pPr>
        <w:ind w:left="1440" w:hanging="360"/>
      </w:pPr>
    </w:lvl>
    <w:lvl w:ilvl="2" w:tplc="4AAC0F66">
      <w:start w:val="1"/>
      <w:numFmt w:val="bullet"/>
      <w:lvlText w:val="■"/>
      <w:lvlJc w:val="left"/>
      <w:pPr>
        <w:ind w:left="2160" w:hanging="360"/>
      </w:pPr>
    </w:lvl>
    <w:lvl w:ilvl="3" w:tplc="26F04A70">
      <w:start w:val="1"/>
      <w:numFmt w:val="bullet"/>
      <w:lvlText w:val="●"/>
      <w:lvlJc w:val="left"/>
      <w:pPr>
        <w:ind w:left="2880" w:hanging="360"/>
      </w:pPr>
    </w:lvl>
    <w:lvl w:ilvl="4" w:tplc="1AF0CEF0">
      <w:start w:val="1"/>
      <w:numFmt w:val="bullet"/>
      <w:lvlText w:val="○"/>
      <w:lvlJc w:val="left"/>
      <w:pPr>
        <w:ind w:left="3600" w:hanging="360"/>
      </w:pPr>
    </w:lvl>
    <w:lvl w:ilvl="5" w:tplc="731EE59C">
      <w:start w:val="1"/>
      <w:numFmt w:val="bullet"/>
      <w:lvlText w:val="■"/>
      <w:lvlJc w:val="left"/>
      <w:pPr>
        <w:ind w:left="4320" w:hanging="360"/>
      </w:pPr>
    </w:lvl>
    <w:lvl w:ilvl="6" w:tplc="41C21E46">
      <w:start w:val="1"/>
      <w:numFmt w:val="bullet"/>
      <w:lvlText w:val="●"/>
      <w:lvlJc w:val="left"/>
      <w:pPr>
        <w:ind w:left="5040" w:hanging="360"/>
      </w:pPr>
    </w:lvl>
    <w:lvl w:ilvl="7" w:tplc="CB26160A">
      <w:start w:val="1"/>
      <w:numFmt w:val="bullet"/>
      <w:lvlText w:val="●"/>
      <w:lvlJc w:val="left"/>
      <w:pPr>
        <w:ind w:left="5760" w:hanging="360"/>
      </w:pPr>
    </w:lvl>
    <w:lvl w:ilvl="8" w:tplc="D59A367A">
      <w:start w:val="1"/>
      <w:numFmt w:val="bullet"/>
      <w:lvlText w:val="●"/>
      <w:lvlJc w:val="left"/>
      <w:pPr>
        <w:ind w:left="6480" w:hanging="360"/>
      </w:pPr>
    </w:lvl>
  </w:abstractNum>
  <w:abstractNum w:abstractNumId="98" w15:restartNumberingAfterBreak="0">
    <w:nsid w:val="25BE3601"/>
    <w:multiLevelType w:val="hybridMultilevel"/>
    <w:tmpl w:val="5914DB10"/>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9" w15:restartNumberingAfterBreak="0">
    <w:nsid w:val="25CE0E2E"/>
    <w:multiLevelType w:val="multilevel"/>
    <w:tmpl w:val="56D461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26C22CCE"/>
    <w:multiLevelType w:val="multilevel"/>
    <w:tmpl w:val="7144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77857E1"/>
    <w:multiLevelType w:val="hybridMultilevel"/>
    <w:tmpl w:val="8826A5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27924A27"/>
    <w:multiLevelType w:val="hybridMultilevel"/>
    <w:tmpl w:val="FD4AB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27FE036B"/>
    <w:multiLevelType w:val="multilevel"/>
    <w:tmpl w:val="A016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28003FD6"/>
    <w:multiLevelType w:val="multilevel"/>
    <w:tmpl w:val="7144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8C71556"/>
    <w:multiLevelType w:val="hybridMultilevel"/>
    <w:tmpl w:val="FC44878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298A554D"/>
    <w:multiLevelType w:val="hybridMultilevel"/>
    <w:tmpl w:val="9420F48E"/>
    <w:lvl w:ilvl="0" w:tplc="88E05A84">
      <w:numFmt w:val="bullet"/>
      <w:lvlText w:val="-"/>
      <w:lvlJc w:val="left"/>
      <w:pPr>
        <w:ind w:left="720" w:hanging="360"/>
      </w:pPr>
      <w:rPr>
        <w:rFonts w:ascii="Times New Roman" w:hAnsi="Times New Roman" w:hint="default"/>
      </w:rPr>
    </w:lvl>
    <w:lvl w:ilvl="1" w:tplc="EDCEBB20" w:tentative="1">
      <w:start w:val="1"/>
      <w:numFmt w:val="bullet"/>
      <w:lvlText w:val="o"/>
      <w:lvlJc w:val="left"/>
      <w:pPr>
        <w:ind w:left="1440" w:hanging="360"/>
      </w:pPr>
      <w:rPr>
        <w:rFonts w:ascii="Courier New" w:hAnsi="Courier New" w:hint="default"/>
      </w:rPr>
    </w:lvl>
    <w:lvl w:ilvl="2" w:tplc="5DA4D3EA" w:tentative="1">
      <w:start w:val="1"/>
      <w:numFmt w:val="bullet"/>
      <w:lvlText w:val=""/>
      <w:lvlJc w:val="left"/>
      <w:pPr>
        <w:ind w:left="2160" w:hanging="360"/>
      </w:pPr>
      <w:rPr>
        <w:rFonts w:ascii="Wingdings" w:hAnsi="Wingdings" w:hint="default"/>
      </w:rPr>
    </w:lvl>
    <w:lvl w:ilvl="3" w:tplc="3E40700E" w:tentative="1">
      <w:start w:val="1"/>
      <w:numFmt w:val="bullet"/>
      <w:lvlText w:val=""/>
      <w:lvlJc w:val="left"/>
      <w:pPr>
        <w:ind w:left="2880" w:hanging="360"/>
      </w:pPr>
      <w:rPr>
        <w:rFonts w:ascii="Symbol" w:hAnsi="Symbol" w:hint="default"/>
      </w:rPr>
    </w:lvl>
    <w:lvl w:ilvl="4" w:tplc="2242B882" w:tentative="1">
      <w:start w:val="1"/>
      <w:numFmt w:val="bullet"/>
      <w:lvlText w:val="o"/>
      <w:lvlJc w:val="left"/>
      <w:pPr>
        <w:ind w:left="3600" w:hanging="360"/>
      </w:pPr>
      <w:rPr>
        <w:rFonts w:ascii="Courier New" w:hAnsi="Courier New" w:hint="default"/>
      </w:rPr>
    </w:lvl>
    <w:lvl w:ilvl="5" w:tplc="02941F32" w:tentative="1">
      <w:start w:val="1"/>
      <w:numFmt w:val="bullet"/>
      <w:lvlText w:val=""/>
      <w:lvlJc w:val="left"/>
      <w:pPr>
        <w:ind w:left="4320" w:hanging="360"/>
      </w:pPr>
      <w:rPr>
        <w:rFonts w:ascii="Wingdings" w:hAnsi="Wingdings" w:hint="default"/>
      </w:rPr>
    </w:lvl>
    <w:lvl w:ilvl="6" w:tplc="14DA4438" w:tentative="1">
      <w:start w:val="1"/>
      <w:numFmt w:val="bullet"/>
      <w:lvlText w:val=""/>
      <w:lvlJc w:val="left"/>
      <w:pPr>
        <w:ind w:left="5040" w:hanging="360"/>
      </w:pPr>
      <w:rPr>
        <w:rFonts w:ascii="Symbol" w:hAnsi="Symbol" w:hint="default"/>
      </w:rPr>
    </w:lvl>
    <w:lvl w:ilvl="7" w:tplc="7DD849DE" w:tentative="1">
      <w:start w:val="1"/>
      <w:numFmt w:val="bullet"/>
      <w:lvlText w:val="o"/>
      <w:lvlJc w:val="left"/>
      <w:pPr>
        <w:ind w:left="5760" w:hanging="360"/>
      </w:pPr>
      <w:rPr>
        <w:rFonts w:ascii="Courier New" w:hAnsi="Courier New" w:hint="default"/>
      </w:rPr>
    </w:lvl>
    <w:lvl w:ilvl="8" w:tplc="53C8962A" w:tentative="1">
      <w:start w:val="1"/>
      <w:numFmt w:val="bullet"/>
      <w:lvlText w:val=""/>
      <w:lvlJc w:val="left"/>
      <w:pPr>
        <w:ind w:left="6480" w:hanging="360"/>
      </w:pPr>
      <w:rPr>
        <w:rFonts w:ascii="Wingdings" w:hAnsi="Wingdings" w:hint="default"/>
      </w:rPr>
    </w:lvl>
  </w:abstractNum>
  <w:abstractNum w:abstractNumId="107" w15:restartNumberingAfterBreak="0">
    <w:nsid w:val="2B7A1249"/>
    <w:multiLevelType w:val="hybridMultilevel"/>
    <w:tmpl w:val="6CEE5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2BE4020D"/>
    <w:multiLevelType w:val="hybridMultilevel"/>
    <w:tmpl w:val="9E58296A"/>
    <w:lvl w:ilvl="0" w:tplc="A01E4CE8">
      <w:start w:val="1"/>
      <w:numFmt w:val="bullet"/>
      <w:lvlText w:val=""/>
      <w:lvlJc w:val="left"/>
      <w:pPr>
        <w:ind w:left="720" w:hanging="360"/>
      </w:pPr>
      <w:rPr>
        <w:rFonts w:ascii="Wingdings" w:hAnsi="Wingdings" w:hint="default"/>
        <w:i w:val="0"/>
      </w:rPr>
    </w:lvl>
    <w:lvl w:ilvl="1" w:tplc="DD64FD06" w:tentative="1">
      <w:start w:val="1"/>
      <w:numFmt w:val="bullet"/>
      <w:lvlText w:val="o"/>
      <w:lvlJc w:val="left"/>
      <w:pPr>
        <w:ind w:left="1440" w:hanging="360"/>
      </w:pPr>
      <w:rPr>
        <w:rFonts w:ascii="Courier New" w:hAnsi="Courier New" w:hint="default"/>
      </w:rPr>
    </w:lvl>
    <w:lvl w:ilvl="2" w:tplc="521451DA" w:tentative="1">
      <w:start w:val="1"/>
      <w:numFmt w:val="bullet"/>
      <w:lvlText w:val=""/>
      <w:lvlJc w:val="left"/>
      <w:pPr>
        <w:ind w:left="2160" w:hanging="360"/>
      </w:pPr>
      <w:rPr>
        <w:rFonts w:ascii="Wingdings" w:hAnsi="Wingdings" w:hint="default"/>
      </w:rPr>
    </w:lvl>
    <w:lvl w:ilvl="3" w:tplc="85CECA16" w:tentative="1">
      <w:start w:val="1"/>
      <w:numFmt w:val="bullet"/>
      <w:lvlText w:val=""/>
      <w:lvlJc w:val="left"/>
      <w:pPr>
        <w:ind w:left="2880" w:hanging="360"/>
      </w:pPr>
      <w:rPr>
        <w:rFonts w:ascii="Symbol" w:hAnsi="Symbol" w:hint="default"/>
      </w:rPr>
    </w:lvl>
    <w:lvl w:ilvl="4" w:tplc="6D468586" w:tentative="1">
      <w:start w:val="1"/>
      <w:numFmt w:val="bullet"/>
      <w:lvlText w:val="o"/>
      <w:lvlJc w:val="left"/>
      <w:pPr>
        <w:ind w:left="3600" w:hanging="360"/>
      </w:pPr>
      <w:rPr>
        <w:rFonts w:ascii="Courier New" w:hAnsi="Courier New" w:hint="default"/>
      </w:rPr>
    </w:lvl>
    <w:lvl w:ilvl="5" w:tplc="E4F64D8E" w:tentative="1">
      <w:start w:val="1"/>
      <w:numFmt w:val="bullet"/>
      <w:lvlText w:val=""/>
      <w:lvlJc w:val="left"/>
      <w:pPr>
        <w:ind w:left="4320" w:hanging="360"/>
      </w:pPr>
      <w:rPr>
        <w:rFonts w:ascii="Wingdings" w:hAnsi="Wingdings" w:hint="default"/>
      </w:rPr>
    </w:lvl>
    <w:lvl w:ilvl="6" w:tplc="C6B6DBEA" w:tentative="1">
      <w:start w:val="1"/>
      <w:numFmt w:val="bullet"/>
      <w:lvlText w:val=""/>
      <w:lvlJc w:val="left"/>
      <w:pPr>
        <w:ind w:left="5040" w:hanging="360"/>
      </w:pPr>
      <w:rPr>
        <w:rFonts w:ascii="Symbol" w:hAnsi="Symbol" w:hint="default"/>
      </w:rPr>
    </w:lvl>
    <w:lvl w:ilvl="7" w:tplc="4434097C" w:tentative="1">
      <w:start w:val="1"/>
      <w:numFmt w:val="bullet"/>
      <w:lvlText w:val="o"/>
      <w:lvlJc w:val="left"/>
      <w:pPr>
        <w:ind w:left="5760" w:hanging="360"/>
      </w:pPr>
      <w:rPr>
        <w:rFonts w:ascii="Courier New" w:hAnsi="Courier New" w:hint="default"/>
      </w:rPr>
    </w:lvl>
    <w:lvl w:ilvl="8" w:tplc="35767CF8" w:tentative="1">
      <w:start w:val="1"/>
      <w:numFmt w:val="bullet"/>
      <w:lvlText w:val=""/>
      <w:lvlJc w:val="left"/>
      <w:pPr>
        <w:ind w:left="6480" w:hanging="360"/>
      </w:pPr>
      <w:rPr>
        <w:rFonts w:ascii="Wingdings" w:hAnsi="Wingdings" w:hint="default"/>
      </w:rPr>
    </w:lvl>
  </w:abstractNum>
  <w:abstractNum w:abstractNumId="109" w15:restartNumberingAfterBreak="0">
    <w:nsid w:val="2E121D75"/>
    <w:multiLevelType w:val="hybridMultilevel"/>
    <w:tmpl w:val="EAAA10B8"/>
    <w:lvl w:ilvl="0" w:tplc="08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2E5244B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1" w15:restartNumberingAfterBreak="0">
    <w:nsid w:val="2E7904D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2" w15:restartNumberingAfterBreak="0">
    <w:nsid w:val="2EBB4259"/>
    <w:multiLevelType w:val="hybridMultilevel"/>
    <w:tmpl w:val="FFFFFFFF"/>
    <w:lvl w:ilvl="0" w:tplc="6FF23222">
      <w:start w:val="1"/>
      <w:numFmt w:val="decimal"/>
      <w:lvlText w:val="%1."/>
      <w:lvlJc w:val="left"/>
      <w:pPr>
        <w:ind w:left="720" w:hanging="360"/>
      </w:pPr>
    </w:lvl>
    <w:lvl w:ilvl="1" w:tplc="A3C085D0">
      <w:start w:val="1"/>
      <w:numFmt w:val="lowerLetter"/>
      <w:lvlText w:val="%2."/>
      <w:lvlJc w:val="left"/>
      <w:pPr>
        <w:ind w:left="1440" w:hanging="360"/>
      </w:pPr>
    </w:lvl>
    <w:lvl w:ilvl="2" w:tplc="F820896C">
      <w:start w:val="1"/>
      <w:numFmt w:val="lowerRoman"/>
      <w:lvlText w:val="%3."/>
      <w:lvlJc w:val="right"/>
      <w:pPr>
        <w:ind w:left="2160" w:hanging="180"/>
      </w:pPr>
    </w:lvl>
    <w:lvl w:ilvl="3" w:tplc="5C44F42A">
      <w:start w:val="1"/>
      <w:numFmt w:val="decimal"/>
      <w:lvlText w:val="%4."/>
      <w:lvlJc w:val="left"/>
      <w:pPr>
        <w:ind w:left="2880" w:hanging="360"/>
      </w:pPr>
    </w:lvl>
    <w:lvl w:ilvl="4" w:tplc="7418169E">
      <w:start w:val="1"/>
      <w:numFmt w:val="lowerLetter"/>
      <w:lvlText w:val="%5."/>
      <w:lvlJc w:val="left"/>
      <w:pPr>
        <w:ind w:left="3600" w:hanging="360"/>
      </w:pPr>
    </w:lvl>
    <w:lvl w:ilvl="5" w:tplc="2C74C758">
      <w:start w:val="1"/>
      <w:numFmt w:val="lowerRoman"/>
      <w:lvlText w:val="%6."/>
      <w:lvlJc w:val="right"/>
      <w:pPr>
        <w:ind w:left="4320" w:hanging="180"/>
      </w:pPr>
    </w:lvl>
    <w:lvl w:ilvl="6" w:tplc="087612E6">
      <w:start w:val="1"/>
      <w:numFmt w:val="decimal"/>
      <w:lvlText w:val="%7."/>
      <w:lvlJc w:val="left"/>
      <w:pPr>
        <w:ind w:left="5040" w:hanging="360"/>
      </w:pPr>
    </w:lvl>
    <w:lvl w:ilvl="7" w:tplc="6BE81704">
      <w:start w:val="1"/>
      <w:numFmt w:val="lowerLetter"/>
      <w:lvlText w:val="%8."/>
      <w:lvlJc w:val="left"/>
      <w:pPr>
        <w:ind w:left="5760" w:hanging="360"/>
      </w:pPr>
    </w:lvl>
    <w:lvl w:ilvl="8" w:tplc="35A8C96A">
      <w:start w:val="1"/>
      <w:numFmt w:val="lowerRoman"/>
      <w:lvlText w:val="%9."/>
      <w:lvlJc w:val="right"/>
      <w:pPr>
        <w:ind w:left="6480" w:hanging="180"/>
      </w:pPr>
    </w:lvl>
  </w:abstractNum>
  <w:abstractNum w:abstractNumId="113" w15:restartNumberingAfterBreak="0">
    <w:nsid w:val="2F0917FD"/>
    <w:multiLevelType w:val="hybridMultilevel"/>
    <w:tmpl w:val="D9A6684C"/>
    <w:lvl w:ilvl="0" w:tplc="C0AAC1BC">
      <w:numFmt w:val="bullet"/>
      <w:lvlText w:val=""/>
      <w:lvlJc w:val="left"/>
      <w:pPr>
        <w:ind w:left="720" w:hanging="360"/>
      </w:pPr>
      <w:rPr>
        <w:rFonts w:ascii="Symbol" w:hAnsi="Symbol" w:hint="default"/>
      </w:rPr>
    </w:lvl>
    <w:lvl w:ilvl="1" w:tplc="E5BA9D5A" w:tentative="1">
      <w:start w:val="1"/>
      <w:numFmt w:val="bullet"/>
      <w:lvlText w:val="o"/>
      <w:lvlJc w:val="left"/>
      <w:pPr>
        <w:ind w:left="1440" w:hanging="360"/>
      </w:pPr>
      <w:rPr>
        <w:rFonts w:ascii="Courier New" w:hAnsi="Courier New" w:hint="default"/>
      </w:rPr>
    </w:lvl>
    <w:lvl w:ilvl="2" w:tplc="2B22FC10" w:tentative="1">
      <w:start w:val="1"/>
      <w:numFmt w:val="bullet"/>
      <w:lvlText w:val=""/>
      <w:lvlJc w:val="left"/>
      <w:pPr>
        <w:ind w:left="2160" w:hanging="360"/>
      </w:pPr>
      <w:rPr>
        <w:rFonts w:ascii="Wingdings" w:hAnsi="Wingdings" w:hint="default"/>
      </w:rPr>
    </w:lvl>
    <w:lvl w:ilvl="3" w:tplc="A490C3DE" w:tentative="1">
      <w:start w:val="1"/>
      <w:numFmt w:val="bullet"/>
      <w:lvlText w:val=""/>
      <w:lvlJc w:val="left"/>
      <w:pPr>
        <w:ind w:left="2880" w:hanging="360"/>
      </w:pPr>
      <w:rPr>
        <w:rFonts w:ascii="Symbol" w:hAnsi="Symbol" w:hint="default"/>
      </w:rPr>
    </w:lvl>
    <w:lvl w:ilvl="4" w:tplc="B770DD86" w:tentative="1">
      <w:start w:val="1"/>
      <w:numFmt w:val="bullet"/>
      <w:lvlText w:val="o"/>
      <w:lvlJc w:val="left"/>
      <w:pPr>
        <w:ind w:left="3600" w:hanging="360"/>
      </w:pPr>
      <w:rPr>
        <w:rFonts w:ascii="Courier New" w:hAnsi="Courier New" w:hint="default"/>
      </w:rPr>
    </w:lvl>
    <w:lvl w:ilvl="5" w:tplc="EF02A2E0" w:tentative="1">
      <w:start w:val="1"/>
      <w:numFmt w:val="bullet"/>
      <w:lvlText w:val=""/>
      <w:lvlJc w:val="left"/>
      <w:pPr>
        <w:ind w:left="4320" w:hanging="360"/>
      </w:pPr>
      <w:rPr>
        <w:rFonts w:ascii="Wingdings" w:hAnsi="Wingdings" w:hint="default"/>
      </w:rPr>
    </w:lvl>
    <w:lvl w:ilvl="6" w:tplc="18FE0A8E" w:tentative="1">
      <w:start w:val="1"/>
      <w:numFmt w:val="bullet"/>
      <w:lvlText w:val=""/>
      <w:lvlJc w:val="left"/>
      <w:pPr>
        <w:ind w:left="5040" w:hanging="360"/>
      </w:pPr>
      <w:rPr>
        <w:rFonts w:ascii="Symbol" w:hAnsi="Symbol" w:hint="default"/>
      </w:rPr>
    </w:lvl>
    <w:lvl w:ilvl="7" w:tplc="4AD671FE" w:tentative="1">
      <w:start w:val="1"/>
      <w:numFmt w:val="bullet"/>
      <w:lvlText w:val="o"/>
      <w:lvlJc w:val="left"/>
      <w:pPr>
        <w:ind w:left="5760" w:hanging="360"/>
      </w:pPr>
      <w:rPr>
        <w:rFonts w:ascii="Courier New" w:hAnsi="Courier New" w:hint="default"/>
      </w:rPr>
    </w:lvl>
    <w:lvl w:ilvl="8" w:tplc="7EECA20E" w:tentative="1">
      <w:start w:val="1"/>
      <w:numFmt w:val="bullet"/>
      <w:lvlText w:val=""/>
      <w:lvlJc w:val="left"/>
      <w:pPr>
        <w:ind w:left="6480" w:hanging="360"/>
      </w:pPr>
      <w:rPr>
        <w:rFonts w:ascii="Wingdings" w:hAnsi="Wingdings" w:hint="default"/>
      </w:rPr>
    </w:lvl>
  </w:abstractNum>
  <w:abstractNum w:abstractNumId="114" w15:restartNumberingAfterBreak="0">
    <w:nsid w:val="2F1D1AD0"/>
    <w:multiLevelType w:val="hybridMultilevel"/>
    <w:tmpl w:val="B6963FA8"/>
    <w:lvl w:ilvl="0" w:tplc="127A3A6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2F4A6E4A"/>
    <w:multiLevelType w:val="hybridMultilevel"/>
    <w:tmpl w:val="7B7EF45E"/>
    <w:lvl w:ilvl="0" w:tplc="D4A0751E">
      <w:start w:val="3"/>
      <w:numFmt w:val="bullet"/>
      <w:lvlText w:val=""/>
      <w:lvlJc w:val="left"/>
      <w:pPr>
        <w:ind w:left="720" w:hanging="360"/>
      </w:pPr>
      <w:rPr>
        <w:rFonts w:ascii="Wingdings" w:hAnsi="Wingdings" w:hint="default"/>
      </w:rPr>
    </w:lvl>
    <w:lvl w:ilvl="1" w:tplc="9536D694" w:tentative="1">
      <w:start w:val="1"/>
      <w:numFmt w:val="bullet"/>
      <w:lvlText w:val="o"/>
      <w:lvlJc w:val="left"/>
      <w:pPr>
        <w:ind w:left="1440" w:hanging="360"/>
      </w:pPr>
      <w:rPr>
        <w:rFonts w:ascii="Courier New" w:hAnsi="Courier New" w:hint="default"/>
      </w:rPr>
    </w:lvl>
    <w:lvl w:ilvl="2" w:tplc="7DA8126C" w:tentative="1">
      <w:start w:val="1"/>
      <w:numFmt w:val="bullet"/>
      <w:lvlText w:val=""/>
      <w:lvlJc w:val="left"/>
      <w:pPr>
        <w:ind w:left="2160" w:hanging="360"/>
      </w:pPr>
      <w:rPr>
        <w:rFonts w:ascii="Wingdings" w:hAnsi="Wingdings" w:hint="default"/>
      </w:rPr>
    </w:lvl>
    <w:lvl w:ilvl="3" w:tplc="2418EE06" w:tentative="1">
      <w:start w:val="1"/>
      <w:numFmt w:val="bullet"/>
      <w:lvlText w:val=""/>
      <w:lvlJc w:val="left"/>
      <w:pPr>
        <w:ind w:left="2880" w:hanging="360"/>
      </w:pPr>
      <w:rPr>
        <w:rFonts w:ascii="Symbol" w:hAnsi="Symbol" w:hint="default"/>
      </w:rPr>
    </w:lvl>
    <w:lvl w:ilvl="4" w:tplc="1F64A450" w:tentative="1">
      <w:start w:val="1"/>
      <w:numFmt w:val="bullet"/>
      <w:lvlText w:val="o"/>
      <w:lvlJc w:val="left"/>
      <w:pPr>
        <w:ind w:left="3600" w:hanging="360"/>
      </w:pPr>
      <w:rPr>
        <w:rFonts w:ascii="Courier New" w:hAnsi="Courier New" w:hint="default"/>
      </w:rPr>
    </w:lvl>
    <w:lvl w:ilvl="5" w:tplc="3AAE7394" w:tentative="1">
      <w:start w:val="1"/>
      <w:numFmt w:val="bullet"/>
      <w:lvlText w:val=""/>
      <w:lvlJc w:val="left"/>
      <w:pPr>
        <w:ind w:left="4320" w:hanging="360"/>
      </w:pPr>
      <w:rPr>
        <w:rFonts w:ascii="Wingdings" w:hAnsi="Wingdings" w:hint="default"/>
      </w:rPr>
    </w:lvl>
    <w:lvl w:ilvl="6" w:tplc="812E6954" w:tentative="1">
      <w:start w:val="1"/>
      <w:numFmt w:val="bullet"/>
      <w:lvlText w:val=""/>
      <w:lvlJc w:val="left"/>
      <w:pPr>
        <w:ind w:left="5040" w:hanging="360"/>
      </w:pPr>
      <w:rPr>
        <w:rFonts w:ascii="Symbol" w:hAnsi="Symbol" w:hint="default"/>
      </w:rPr>
    </w:lvl>
    <w:lvl w:ilvl="7" w:tplc="22903B6A" w:tentative="1">
      <w:start w:val="1"/>
      <w:numFmt w:val="bullet"/>
      <w:lvlText w:val="o"/>
      <w:lvlJc w:val="left"/>
      <w:pPr>
        <w:ind w:left="5760" w:hanging="360"/>
      </w:pPr>
      <w:rPr>
        <w:rFonts w:ascii="Courier New" w:hAnsi="Courier New" w:hint="default"/>
      </w:rPr>
    </w:lvl>
    <w:lvl w:ilvl="8" w:tplc="C9901FE2" w:tentative="1">
      <w:start w:val="1"/>
      <w:numFmt w:val="bullet"/>
      <w:lvlText w:val=""/>
      <w:lvlJc w:val="left"/>
      <w:pPr>
        <w:ind w:left="6480" w:hanging="360"/>
      </w:pPr>
      <w:rPr>
        <w:rFonts w:ascii="Wingdings" w:hAnsi="Wingdings" w:hint="default"/>
      </w:rPr>
    </w:lvl>
  </w:abstractNum>
  <w:abstractNum w:abstractNumId="116" w15:restartNumberingAfterBreak="0">
    <w:nsid w:val="2FB16055"/>
    <w:multiLevelType w:val="multilevel"/>
    <w:tmpl w:val="45D8F2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7" w15:restartNumberingAfterBreak="0">
    <w:nsid w:val="300753AF"/>
    <w:multiLevelType w:val="multilevel"/>
    <w:tmpl w:val="C12C3E7E"/>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30EB5A6E"/>
    <w:multiLevelType w:val="hybridMultilevel"/>
    <w:tmpl w:val="50F2D9F8"/>
    <w:lvl w:ilvl="0" w:tplc="2A58E804">
      <w:start w:val="1"/>
      <w:numFmt w:val="bullet"/>
      <w:lvlText w:val="-"/>
      <w:lvlJc w:val="left"/>
      <w:pPr>
        <w:ind w:left="720" w:hanging="360"/>
      </w:pPr>
      <w:rPr>
        <w:rFonts w:ascii="Times New Roman" w:hAnsi="Times New Roman" w:hint="default"/>
      </w:rPr>
    </w:lvl>
    <w:lvl w:ilvl="1" w:tplc="7DB4C22A" w:tentative="1">
      <w:start w:val="1"/>
      <w:numFmt w:val="bullet"/>
      <w:lvlText w:val="o"/>
      <w:lvlJc w:val="left"/>
      <w:pPr>
        <w:ind w:left="1440" w:hanging="360"/>
      </w:pPr>
      <w:rPr>
        <w:rFonts w:ascii="Courier New" w:hAnsi="Courier New" w:hint="default"/>
      </w:rPr>
    </w:lvl>
    <w:lvl w:ilvl="2" w:tplc="67B284C0" w:tentative="1">
      <w:start w:val="1"/>
      <w:numFmt w:val="bullet"/>
      <w:lvlText w:val=""/>
      <w:lvlJc w:val="left"/>
      <w:pPr>
        <w:ind w:left="2160" w:hanging="360"/>
      </w:pPr>
      <w:rPr>
        <w:rFonts w:ascii="Wingdings" w:hAnsi="Wingdings" w:hint="default"/>
      </w:rPr>
    </w:lvl>
    <w:lvl w:ilvl="3" w:tplc="1FB6F74E" w:tentative="1">
      <w:start w:val="1"/>
      <w:numFmt w:val="bullet"/>
      <w:lvlText w:val=""/>
      <w:lvlJc w:val="left"/>
      <w:pPr>
        <w:ind w:left="2880" w:hanging="360"/>
      </w:pPr>
      <w:rPr>
        <w:rFonts w:ascii="Symbol" w:hAnsi="Symbol" w:hint="default"/>
      </w:rPr>
    </w:lvl>
    <w:lvl w:ilvl="4" w:tplc="038A46D8" w:tentative="1">
      <w:start w:val="1"/>
      <w:numFmt w:val="bullet"/>
      <w:lvlText w:val="o"/>
      <w:lvlJc w:val="left"/>
      <w:pPr>
        <w:ind w:left="3600" w:hanging="360"/>
      </w:pPr>
      <w:rPr>
        <w:rFonts w:ascii="Courier New" w:hAnsi="Courier New" w:hint="default"/>
      </w:rPr>
    </w:lvl>
    <w:lvl w:ilvl="5" w:tplc="395E5D1C" w:tentative="1">
      <w:start w:val="1"/>
      <w:numFmt w:val="bullet"/>
      <w:lvlText w:val=""/>
      <w:lvlJc w:val="left"/>
      <w:pPr>
        <w:ind w:left="4320" w:hanging="360"/>
      </w:pPr>
      <w:rPr>
        <w:rFonts w:ascii="Wingdings" w:hAnsi="Wingdings" w:hint="default"/>
      </w:rPr>
    </w:lvl>
    <w:lvl w:ilvl="6" w:tplc="87F8A762" w:tentative="1">
      <w:start w:val="1"/>
      <w:numFmt w:val="bullet"/>
      <w:lvlText w:val=""/>
      <w:lvlJc w:val="left"/>
      <w:pPr>
        <w:ind w:left="5040" w:hanging="360"/>
      </w:pPr>
      <w:rPr>
        <w:rFonts w:ascii="Symbol" w:hAnsi="Symbol" w:hint="default"/>
      </w:rPr>
    </w:lvl>
    <w:lvl w:ilvl="7" w:tplc="FB3E114E" w:tentative="1">
      <w:start w:val="1"/>
      <w:numFmt w:val="bullet"/>
      <w:lvlText w:val="o"/>
      <w:lvlJc w:val="left"/>
      <w:pPr>
        <w:ind w:left="5760" w:hanging="360"/>
      </w:pPr>
      <w:rPr>
        <w:rFonts w:ascii="Courier New" w:hAnsi="Courier New" w:hint="default"/>
      </w:rPr>
    </w:lvl>
    <w:lvl w:ilvl="8" w:tplc="27F2EA98" w:tentative="1">
      <w:start w:val="1"/>
      <w:numFmt w:val="bullet"/>
      <w:lvlText w:val=""/>
      <w:lvlJc w:val="left"/>
      <w:pPr>
        <w:ind w:left="6480" w:hanging="360"/>
      </w:pPr>
      <w:rPr>
        <w:rFonts w:ascii="Wingdings" w:hAnsi="Wingdings" w:hint="default"/>
      </w:rPr>
    </w:lvl>
  </w:abstractNum>
  <w:abstractNum w:abstractNumId="119" w15:restartNumberingAfterBreak="0">
    <w:nsid w:val="3176D9AC"/>
    <w:multiLevelType w:val="hybridMultilevel"/>
    <w:tmpl w:val="993E767E"/>
    <w:lvl w:ilvl="0" w:tplc="5CDAB170">
      <w:start w:val="1"/>
      <w:numFmt w:val="bullet"/>
      <w:lvlText w:val=""/>
      <w:lvlJc w:val="left"/>
      <w:pPr>
        <w:ind w:left="720" w:hanging="360"/>
      </w:pPr>
      <w:rPr>
        <w:rFonts w:ascii="Symbol" w:hAnsi="Symbol" w:hint="default"/>
      </w:rPr>
    </w:lvl>
    <w:lvl w:ilvl="1" w:tplc="868AD412">
      <w:start w:val="1"/>
      <w:numFmt w:val="bullet"/>
      <w:lvlText w:val="o"/>
      <w:lvlJc w:val="left"/>
      <w:pPr>
        <w:ind w:left="1440" w:hanging="360"/>
      </w:pPr>
      <w:rPr>
        <w:rFonts w:ascii="Courier New" w:hAnsi="Courier New" w:hint="default"/>
      </w:rPr>
    </w:lvl>
    <w:lvl w:ilvl="2" w:tplc="44A26E02">
      <w:start w:val="1"/>
      <w:numFmt w:val="bullet"/>
      <w:lvlText w:val=""/>
      <w:lvlJc w:val="left"/>
      <w:pPr>
        <w:ind w:left="2160" w:hanging="360"/>
      </w:pPr>
      <w:rPr>
        <w:rFonts w:ascii="Wingdings" w:hAnsi="Wingdings" w:hint="default"/>
      </w:rPr>
    </w:lvl>
    <w:lvl w:ilvl="3" w:tplc="A72CB5D4">
      <w:start w:val="1"/>
      <w:numFmt w:val="bullet"/>
      <w:lvlText w:val=""/>
      <w:lvlJc w:val="left"/>
      <w:pPr>
        <w:ind w:left="2880" w:hanging="360"/>
      </w:pPr>
      <w:rPr>
        <w:rFonts w:ascii="Symbol" w:hAnsi="Symbol" w:hint="default"/>
      </w:rPr>
    </w:lvl>
    <w:lvl w:ilvl="4" w:tplc="3A181D74">
      <w:start w:val="1"/>
      <w:numFmt w:val="bullet"/>
      <w:lvlText w:val="o"/>
      <w:lvlJc w:val="left"/>
      <w:pPr>
        <w:ind w:left="3600" w:hanging="360"/>
      </w:pPr>
      <w:rPr>
        <w:rFonts w:ascii="Courier New" w:hAnsi="Courier New" w:hint="default"/>
      </w:rPr>
    </w:lvl>
    <w:lvl w:ilvl="5" w:tplc="3A205EC8">
      <w:start w:val="1"/>
      <w:numFmt w:val="bullet"/>
      <w:lvlText w:val=""/>
      <w:lvlJc w:val="left"/>
      <w:pPr>
        <w:ind w:left="4320" w:hanging="360"/>
      </w:pPr>
      <w:rPr>
        <w:rFonts w:ascii="Wingdings" w:hAnsi="Wingdings" w:hint="default"/>
      </w:rPr>
    </w:lvl>
    <w:lvl w:ilvl="6" w:tplc="AB64A9CC">
      <w:start w:val="1"/>
      <w:numFmt w:val="bullet"/>
      <w:lvlText w:val=""/>
      <w:lvlJc w:val="left"/>
      <w:pPr>
        <w:ind w:left="5040" w:hanging="360"/>
      </w:pPr>
      <w:rPr>
        <w:rFonts w:ascii="Symbol" w:hAnsi="Symbol" w:hint="default"/>
      </w:rPr>
    </w:lvl>
    <w:lvl w:ilvl="7" w:tplc="91ECB314">
      <w:start w:val="1"/>
      <w:numFmt w:val="bullet"/>
      <w:lvlText w:val="o"/>
      <w:lvlJc w:val="left"/>
      <w:pPr>
        <w:ind w:left="5760" w:hanging="360"/>
      </w:pPr>
      <w:rPr>
        <w:rFonts w:ascii="Courier New" w:hAnsi="Courier New" w:hint="default"/>
      </w:rPr>
    </w:lvl>
    <w:lvl w:ilvl="8" w:tplc="9B48923E">
      <w:start w:val="1"/>
      <w:numFmt w:val="bullet"/>
      <w:lvlText w:val=""/>
      <w:lvlJc w:val="left"/>
      <w:pPr>
        <w:ind w:left="6480" w:hanging="360"/>
      </w:pPr>
      <w:rPr>
        <w:rFonts w:ascii="Wingdings" w:hAnsi="Wingdings" w:hint="default"/>
      </w:rPr>
    </w:lvl>
  </w:abstractNum>
  <w:abstractNum w:abstractNumId="120" w15:restartNumberingAfterBreak="0">
    <w:nsid w:val="31A712EA"/>
    <w:multiLevelType w:val="hybridMultilevel"/>
    <w:tmpl w:val="7C369880"/>
    <w:lvl w:ilvl="0" w:tplc="5284295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1" w15:restartNumberingAfterBreak="0">
    <w:nsid w:val="31BE767D"/>
    <w:multiLevelType w:val="multilevel"/>
    <w:tmpl w:val="F468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328A1102"/>
    <w:multiLevelType w:val="hybridMultilevel"/>
    <w:tmpl w:val="3D287F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3" w15:restartNumberingAfterBreak="0">
    <w:nsid w:val="32EC3231"/>
    <w:multiLevelType w:val="multilevel"/>
    <w:tmpl w:val="C4D4836C"/>
    <w:lvl w:ilvl="0">
      <w:start w:val="1"/>
      <w:numFmt w:val="decimal"/>
      <w:lvlText w:val="%1."/>
      <w:lvlJc w:val="left"/>
      <w:pPr>
        <w:ind w:left="720" w:hanging="360"/>
      </w:pPr>
    </w:lvl>
    <w:lvl w:ilvl="1">
      <w:start w:val="7"/>
      <w:numFmt w:val="decimal"/>
      <w:isLgl/>
      <w:lvlText w:val="%1.%2"/>
      <w:lvlJc w:val="left"/>
      <w:pPr>
        <w:ind w:left="720" w:hanging="360"/>
      </w:pPr>
      <w:rPr>
        <w:rFonts w:hint="default"/>
        <w:color w:val="008080"/>
        <w:u w:val="single"/>
      </w:rPr>
    </w:lvl>
    <w:lvl w:ilvl="2">
      <w:start w:val="1"/>
      <w:numFmt w:val="decimal"/>
      <w:isLgl/>
      <w:lvlText w:val="%1.%2.%3"/>
      <w:lvlJc w:val="left"/>
      <w:pPr>
        <w:ind w:left="1080" w:hanging="720"/>
      </w:pPr>
      <w:rPr>
        <w:rFonts w:hint="default"/>
        <w:color w:val="008080"/>
        <w:u w:val="single"/>
      </w:rPr>
    </w:lvl>
    <w:lvl w:ilvl="3">
      <w:start w:val="1"/>
      <w:numFmt w:val="decimal"/>
      <w:isLgl/>
      <w:lvlText w:val="%1.%2.%3.%4"/>
      <w:lvlJc w:val="left"/>
      <w:pPr>
        <w:ind w:left="1080" w:hanging="720"/>
      </w:pPr>
      <w:rPr>
        <w:rFonts w:hint="default"/>
        <w:color w:val="008080"/>
        <w:u w:val="single"/>
      </w:rPr>
    </w:lvl>
    <w:lvl w:ilvl="4">
      <w:start w:val="1"/>
      <w:numFmt w:val="decimal"/>
      <w:isLgl/>
      <w:lvlText w:val="%1.%2.%3.%4.%5"/>
      <w:lvlJc w:val="left"/>
      <w:pPr>
        <w:ind w:left="1080" w:hanging="720"/>
      </w:pPr>
      <w:rPr>
        <w:rFonts w:hint="default"/>
        <w:color w:val="008080"/>
        <w:u w:val="single"/>
      </w:rPr>
    </w:lvl>
    <w:lvl w:ilvl="5">
      <w:start w:val="1"/>
      <w:numFmt w:val="decimal"/>
      <w:isLgl/>
      <w:lvlText w:val="%1.%2.%3.%4.%5.%6"/>
      <w:lvlJc w:val="left"/>
      <w:pPr>
        <w:ind w:left="1440" w:hanging="1080"/>
      </w:pPr>
      <w:rPr>
        <w:rFonts w:hint="default"/>
        <w:color w:val="008080"/>
        <w:u w:val="single"/>
      </w:rPr>
    </w:lvl>
    <w:lvl w:ilvl="6">
      <w:start w:val="1"/>
      <w:numFmt w:val="decimal"/>
      <w:isLgl/>
      <w:lvlText w:val="%1.%2.%3.%4.%5.%6.%7"/>
      <w:lvlJc w:val="left"/>
      <w:pPr>
        <w:ind w:left="1440" w:hanging="1080"/>
      </w:pPr>
      <w:rPr>
        <w:rFonts w:hint="default"/>
        <w:color w:val="008080"/>
        <w:u w:val="single"/>
      </w:rPr>
    </w:lvl>
    <w:lvl w:ilvl="7">
      <w:start w:val="1"/>
      <w:numFmt w:val="decimal"/>
      <w:isLgl/>
      <w:lvlText w:val="%1.%2.%3.%4.%5.%6.%7.%8"/>
      <w:lvlJc w:val="left"/>
      <w:pPr>
        <w:ind w:left="1800" w:hanging="1440"/>
      </w:pPr>
      <w:rPr>
        <w:rFonts w:hint="default"/>
        <w:color w:val="008080"/>
        <w:u w:val="single"/>
      </w:rPr>
    </w:lvl>
    <w:lvl w:ilvl="8">
      <w:start w:val="1"/>
      <w:numFmt w:val="decimal"/>
      <w:isLgl/>
      <w:lvlText w:val="%1.%2.%3.%4.%5.%6.%7.%8.%9"/>
      <w:lvlJc w:val="left"/>
      <w:pPr>
        <w:ind w:left="1800" w:hanging="1440"/>
      </w:pPr>
      <w:rPr>
        <w:rFonts w:hint="default"/>
        <w:color w:val="008080"/>
        <w:u w:val="single"/>
      </w:rPr>
    </w:lvl>
  </w:abstractNum>
  <w:abstractNum w:abstractNumId="124" w15:restartNumberingAfterBreak="0">
    <w:nsid w:val="33383B8D"/>
    <w:multiLevelType w:val="multilevel"/>
    <w:tmpl w:val="B37E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3813992"/>
    <w:multiLevelType w:val="hybridMultilevel"/>
    <w:tmpl w:val="18221C5E"/>
    <w:lvl w:ilvl="0" w:tplc="957AD250">
      <w:start w:val="1"/>
      <w:numFmt w:val="bullet"/>
      <w:lvlText w:val="·"/>
      <w:lvlJc w:val="left"/>
      <w:pPr>
        <w:ind w:left="720" w:hanging="360"/>
      </w:pPr>
      <w:rPr>
        <w:rFonts w:ascii="Symbol" w:hAnsi="Symbol" w:hint="default"/>
      </w:rPr>
    </w:lvl>
    <w:lvl w:ilvl="1" w:tplc="04EAD22A">
      <w:start w:val="1"/>
      <w:numFmt w:val="bullet"/>
      <w:lvlText w:val="o"/>
      <w:lvlJc w:val="left"/>
      <w:pPr>
        <w:ind w:left="1440" w:hanging="360"/>
      </w:pPr>
      <w:rPr>
        <w:rFonts w:ascii="Courier New" w:hAnsi="Courier New" w:hint="default"/>
      </w:rPr>
    </w:lvl>
    <w:lvl w:ilvl="2" w:tplc="27624AAA">
      <w:start w:val="1"/>
      <w:numFmt w:val="bullet"/>
      <w:lvlText w:val=""/>
      <w:lvlJc w:val="left"/>
      <w:pPr>
        <w:ind w:left="2160" w:hanging="360"/>
      </w:pPr>
      <w:rPr>
        <w:rFonts w:ascii="Wingdings" w:hAnsi="Wingdings" w:hint="default"/>
      </w:rPr>
    </w:lvl>
    <w:lvl w:ilvl="3" w:tplc="C3B80620">
      <w:start w:val="1"/>
      <w:numFmt w:val="bullet"/>
      <w:lvlText w:val=""/>
      <w:lvlJc w:val="left"/>
      <w:pPr>
        <w:ind w:left="2880" w:hanging="360"/>
      </w:pPr>
      <w:rPr>
        <w:rFonts w:ascii="Symbol" w:hAnsi="Symbol" w:hint="default"/>
      </w:rPr>
    </w:lvl>
    <w:lvl w:ilvl="4" w:tplc="609A7482">
      <w:start w:val="1"/>
      <w:numFmt w:val="bullet"/>
      <w:lvlText w:val="o"/>
      <w:lvlJc w:val="left"/>
      <w:pPr>
        <w:ind w:left="3600" w:hanging="360"/>
      </w:pPr>
      <w:rPr>
        <w:rFonts w:ascii="Courier New" w:hAnsi="Courier New" w:hint="default"/>
      </w:rPr>
    </w:lvl>
    <w:lvl w:ilvl="5" w:tplc="FA9CFABA">
      <w:start w:val="1"/>
      <w:numFmt w:val="bullet"/>
      <w:lvlText w:val=""/>
      <w:lvlJc w:val="left"/>
      <w:pPr>
        <w:ind w:left="4320" w:hanging="360"/>
      </w:pPr>
      <w:rPr>
        <w:rFonts w:ascii="Wingdings" w:hAnsi="Wingdings" w:hint="default"/>
      </w:rPr>
    </w:lvl>
    <w:lvl w:ilvl="6" w:tplc="64B4DA3A">
      <w:start w:val="1"/>
      <w:numFmt w:val="bullet"/>
      <w:lvlText w:val=""/>
      <w:lvlJc w:val="left"/>
      <w:pPr>
        <w:ind w:left="5040" w:hanging="360"/>
      </w:pPr>
      <w:rPr>
        <w:rFonts w:ascii="Symbol" w:hAnsi="Symbol" w:hint="default"/>
      </w:rPr>
    </w:lvl>
    <w:lvl w:ilvl="7" w:tplc="7F6CED08">
      <w:start w:val="1"/>
      <w:numFmt w:val="bullet"/>
      <w:lvlText w:val="o"/>
      <w:lvlJc w:val="left"/>
      <w:pPr>
        <w:ind w:left="5760" w:hanging="360"/>
      </w:pPr>
      <w:rPr>
        <w:rFonts w:ascii="Courier New" w:hAnsi="Courier New" w:hint="default"/>
      </w:rPr>
    </w:lvl>
    <w:lvl w:ilvl="8" w:tplc="D9F4245A">
      <w:start w:val="1"/>
      <w:numFmt w:val="bullet"/>
      <w:lvlText w:val=""/>
      <w:lvlJc w:val="left"/>
      <w:pPr>
        <w:ind w:left="6480" w:hanging="360"/>
      </w:pPr>
      <w:rPr>
        <w:rFonts w:ascii="Wingdings" w:hAnsi="Wingdings" w:hint="default"/>
      </w:rPr>
    </w:lvl>
  </w:abstractNum>
  <w:abstractNum w:abstractNumId="126" w15:restartNumberingAfterBreak="0">
    <w:nsid w:val="34B37867"/>
    <w:multiLevelType w:val="multilevel"/>
    <w:tmpl w:val="C7EA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34BE2552"/>
    <w:multiLevelType w:val="hybridMultilevel"/>
    <w:tmpl w:val="DFB26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34C9BEB3"/>
    <w:multiLevelType w:val="hybridMultilevel"/>
    <w:tmpl w:val="7ADE107C"/>
    <w:lvl w:ilvl="0" w:tplc="D40EDF70">
      <w:start w:val="1"/>
      <w:numFmt w:val="bullet"/>
      <w:lvlText w:val=""/>
      <w:lvlJc w:val="left"/>
      <w:pPr>
        <w:ind w:left="720" w:hanging="360"/>
      </w:pPr>
      <w:rPr>
        <w:rFonts w:ascii="Symbol" w:hAnsi="Symbol" w:hint="default"/>
      </w:rPr>
    </w:lvl>
    <w:lvl w:ilvl="1" w:tplc="662055C0">
      <w:start w:val="1"/>
      <w:numFmt w:val="bullet"/>
      <w:lvlText w:val=""/>
      <w:lvlJc w:val="left"/>
      <w:pPr>
        <w:ind w:left="1440" w:hanging="360"/>
      </w:pPr>
      <w:rPr>
        <w:rFonts w:ascii="Symbol" w:hAnsi="Symbol" w:hint="default"/>
      </w:rPr>
    </w:lvl>
    <w:lvl w:ilvl="2" w:tplc="1C88DD26">
      <w:start w:val="1"/>
      <w:numFmt w:val="bullet"/>
      <w:lvlText w:val=""/>
      <w:lvlJc w:val="left"/>
      <w:pPr>
        <w:ind w:left="2160" w:hanging="360"/>
      </w:pPr>
      <w:rPr>
        <w:rFonts w:ascii="Wingdings" w:hAnsi="Wingdings" w:hint="default"/>
      </w:rPr>
    </w:lvl>
    <w:lvl w:ilvl="3" w:tplc="966AC59C">
      <w:start w:val="1"/>
      <w:numFmt w:val="bullet"/>
      <w:lvlText w:val=""/>
      <w:lvlJc w:val="left"/>
      <w:pPr>
        <w:ind w:left="2880" w:hanging="360"/>
      </w:pPr>
      <w:rPr>
        <w:rFonts w:ascii="Symbol" w:hAnsi="Symbol" w:hint="default"/>
      </w:rPr>
    </w:lvl>
    <w:lvl w:ilvl="4" w:tplc="8D56B17C">
      <w:start w:val="1"/>
      <w:numFmt w:val="bullet"/>
      <w:lvlText w:val="o"/>
      <w:lvlJc w:val="left"/>
      <w:pPr>
        <w:ind w:left="3600" w:hanging="360"/>
      </w:pPr>
      <w:rPr>
        <w:rFonts w:ascii="Courier New" w:hAnsi="Courier New" w:hint="default"/>
      </w:rPr>
    </w:lvl>
    <w:lvl w:ilvl="5" w:tplc="9760B3A2">
      <w:start w:val="1"/>
      <w:numFmt w:val="bullet"/>
      <w:lvlText w:val=""/>
      <w:lvlJc w:val="left"/>
      <w:pPr>
        <w:ind w:left="4320" w:hanging="360"/>
      </w:pPr>
      <w:rPr>
        <w:rFonts w:ascii="Wingdings" w:hAnsi="Wingdings" w:hint="default"/>
      </w:rPr>
    </w:lvl>
    <w:lvl w:ilvl="6" w:tplc="E1B4406C">
      <w:start w:val="1"/>
      <w:numFmt w:val="bullet"/>
      <w:lvlText w:val=""/>
      <w:lvlJc w:val="left"/>
      <w:pPr>
        <w:ind w:left="5040" w:hanging="360"/>
      </w:pPr>
      <w:rPr>
        <w:rFonts w:ascii="Symbol" w:hAnsi="Symbol" w:hint="default"/>
      </w:rPr>
    </w:lvl>
    <w:lvl w:ilvl="7" w:tplc="C47A15C2">
      <w:start w:val="1"/>
      <w:numFmt w:val="bullet"/>
      <w:lvlText w:val="o"/>
      <w:lvlJc w:val="left"/>
      <w:pPr>
        <w:ind w:left="5760" w:hanging="360"/>
      </w:pPr>
      <w:rPr>
        <w:rFonts w:ascii="Courier New" w:hAnsi="Courier New" w:hint="default"/>
      </w:rPr>
    </w:lvl>
    <w:lvl w:ilvl="8" w:tplc="27C8AAEC">
      <w:start w:val="1"/>
      <w:numFmt w:val="bullet"/>
      <w:lvlText w:val=""/>
      <w:lvlJc w:val="left"/>
      <w:pPr>
        <w:ind w:left="6480" w:hanging="360"/>
      </w:pPr>
      <w:rPr>
        <w:rFonts w:ascii="Wingdings" w:hAnsi="Wingdings" w:hint="default"/>
      </w:rPr>
    </w:lvl>
  </w:abstractNum>
  <w:abstractNum w:abstractNumId="129" w15:restartNumberingAfterBreak="0">
    <w:nsid w:val="34F01050"/>
    <w:multiLevelType w:val="hybridMultilevel"/>
    <w:tmpl w:val="1A127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35345A37"/>
    <w:multiLevelType w:val="multilevel"/>
    <w:tmpl w:val="51326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57340DF"/>
    <w:multiLevelType w:val="hybridMultilevel"/>
    <w:tmpl w:val="DC4E34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2" w15:restartNumberingAfterBreak="0">
    <w:nsid w:val="35D4A717"/>
    <w:multiLevelType w:val="hybridMultilevel"/>
    <w:tmpl w:val="FFFFFFFF"/>
    <w:lvl w:ilvl="0" w:tplc="19481E7A">
      <w:start w:val="1"/>
      <w:numFmt w:val="decimal"/>
      <w:lvlText w:val="%1."/>
      <w:lvlJc w:val="left"/>
      <w:pPr>
        <w:ind w:left="720" w:hanging="360"/>
      </w:pPr>
    </w:lvl>
    <w:lvl w:ilvl="1" w:tplc="96FE14FC">
      <w:start w:val="1"/>
      <w:numFmt w:val="lowerLetter"/>
      <w:lvlText w:val="%2."/>
      <w:lvlJc w:val="left"/>
      <w:pPr>
        <w:ind w:left="1440" w:hanging="360"/>
      </w:pPr>
    </w:lvl>
    <w:lvl w:ilvl="2" w:tplc="552E5CC2">
      <w:start w:val="1"/>
      <w:numFmt w:val="lowerRoman"/>
      <w:lvlText w:val="%3."/>
      <w:lvlJc w:val="right"/>
      <w:pPr>
        <w:ind w:left="2160" w:hanging="180"/>
      </w:pPr>
    </w:lvl>
    <w:lvl w:ilvl="3" w:tplc="1CD8CB6A">
      <w:start w:val="1"/>
      <w:numFmt w:val="decimal"/>
      <w:lvlText w:val="%4."/>
      <w:lvlJc w:val="left"/>
      <w:pPr>
        <w:ind w:left="2880" w:hanging="360"/>
      </w:pPr>
    </w:lvl>
    <w:lvl w:ilvl="4" w:tplc="532640F2">
      <w:start w:val="1"/>
      <w:numFmt w:val="lowerLetter"/>
      <w:lvlText w:val="%5."/>
      <w:lvlJc w:val="left"/>
      <w:pPr>
        <w:ind w:left="3600" w:hanging="360"/>
      </w:pPr>
    </w:lvl>
    <w:lvl w:ilvl="5" w:tplc="DC66BEB8">
      <w:start w:val="1"/>
      <w:numFmt w:val="lowerRoman"/>
      <w:lvlText w:val="%6."/>
      <w:lvlJc w:val="right"/>
      <w:pPr>
        <w:ind w:left="4320" w:hanging="180"/>
      </w:pPr>
    </w:lvl>
    <w:lvl w:ilvl="6" w:tplc="4238CFD2">
      <w:start w:val="1"/>
      <w:numFmt w:val="decimal"/>
      <w:lvlText w:val="%7."/>
      <w:lvlJc w:val="left"/>
      <w:pPr>
        <w:ind w:left="5040" w:hanging="360"/>
      </w:pPr>
    </w:lvl>
    <w:lvl w:ilvl="7" w:tplc="650C106C">
      <w:start w:val="1"/>
      <w:numFmt w:val="lowerLetter"/>
      <w:lvlText w:val="%8."/>
      <w:lvlJc w:val="left"/>
      <w:pPr>
        <w:ind w:left="5760" w:hanging="360"/>
      </w:pPr>
    </w:lvl>
    <w:lvl w:ilvl="8" w:tplc="4C3E37CE">
      <w:start w:val="1"/>
      <w:numFmt w:val="lowerRoman"/>
      <w:lvlText w:val="%9."/>
      <w:lvlJc w:val="right"/>
      <w:pPr>
        <w:ind w:left="6480" w:hanging="180"/>
      </w:pPr>
    </w:lvl>
  </w:abstractNum>
  <w:abstractNum w:abstractNumId="133" w15:restartNumberingAfterBreak="0">
    <w:nsid w:val="35D620EE"/>
    <w:multiLevelType w:val="hybridMultilevel"/>
    <w:tmpl w:val="153AC69A"/>
    <w:lvl w:ilvl="0" w:tplc="BAD61C5C">
      <w:start w:val="1"/>
      <w:numFmt w:val="bullet"/>
      <w:lvlText w:val="●"/>
      <w:lvlJc w:val="left"/>
      <w:pPr>
        <w:ind w:left="720" w:hanging="360"/>
      </w:pPr>
    </w:lvl>
    <w:lvl w:ilvl="1" w:tplc="769E1B98">
      <w:start w:val="1"/>
      <w:numFmt w:val="bullet"/>
      <w:lvlText w:val="○"/>
      <w:lvlJc w:val="left"/>
      <w:pPr>
        <w:ind w:left="1440" w:hanging="360"/>
      </w:pPr>
    </w:lvl>
    <w:lvl w:ilvl="2" w:tplc="0B2A8B92">
      <w:start w:val="1"/>
      <w:numFmt w:val="bullet"/>
      <w:lvlText w:val="■"/>
      <w:lvlJc w:val="left"/>
      <w:pPr>
        <w:ind w:left="2160" w:hanging="360"/>
      </w:pPr>
    </w:lvl>
    <w:lvl w:ilvl="3" w:tplc="CC2A0E12">
      <w:start w:val="1"/>
      <w:numFmt w:val="bullet"/>
      <w:lvlText w:val="●"/>
      <w:lvlJc w:val="left"/>
      <w:pPr>
        <w:ind w:left="2880" w:hanging="360"/>
      </w:pPr>
    </w:lvl>
    <w:lvl w:ilvl="4" w:tplc="3D86B7F6">
      <w:start w:val="1"/>
      <w:numFmt w:val="bullet"/>
      <w:lvlText w:val="○"/>
      <w:lvlJc w:val="left"/>
      <w:pPr>
        <w:ind w:left="3600" w:hanging="360"/>
      </w:pPr>
    </w:lvl>
    <w:lvl w:ilvl="5" w:tplc="F1A4A310">
      <w:start w:val="1"/>
      <w:numFmt w:val="bullet"/>
      <w:lvlText w:val="■"/>
      <w:lvlJc w:val="left"/>
      <w:pPr>
        <w:ind w:left="4320" w:hanging="360"/>
      </w:pPr>
    </w:lvl>
    <w:lvl w:ilvl="6" w:tplc="4E6C00A2">
      <w:start w:val="1"/>
      <w:numFmt w:val="bullet"/>
      <w:lvlText w:val="●"/>
      <w:lvlJc w:val="left"/>
      <w:pPr>
        <w:ind w:left="5040" w:hanging="360"/>
      </w:pPr>
    </w:lvl>
    <w:lvl w:ilvl="7" w:tplc="80548C8C">
      <w:start w:val="1"/>
      <w:numFmt w:val="bullet"/>
      <w:lvlText w:val="●"/>
      <w:lvlJc w:val="left"/>
      <w:pPr>
        <w:ind w:left="5760" w:hanging="360"/>
      </w:pPr>
    </w:lvl>
    <w:lvl w:ilvl="8" w:tplc="8376BA00">
      <w:start w:val="1"/>
      <w:numFmt w:val="bullet"/>
      <w:lvlText w:val="●"/>
      <w:lvlJc w:val="left"/>
      <w:pPr>
        <w:ind w:left="6480" w:hanging="360"/>
      </w:pPr>
    </w:lvl>
  </w:abstractNum>
  <w:abstractNum w:abstractNumId="134" w15:restartNumberingAfterBreak="0">
    <w:nsid w:val="35EC525B"/>
    <w:multiLevelType w:val="hybridMultilevel"/>
    <w:tmpl w:val="85A0D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36092F16"/>
    <w:multiLevelType w:val="hybridMultilevel"/>
    <w:tmpl w:val="882EEBC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6" w15:restartNumberingAfterBreak="0">
    <w:nsid w:val="361C0A35"/>
    <w:multiLevelType w:val="hybridMultilevel"/>
    <w:tmpl w:val="2FEE0E60"/>
    <w:lvl w:ilvl="0" w:tplc="EBF225C2">
      <w:start w:val="2"/>
      <w:numFmt w:val="decimal"/>
      <w:lvlText w:val="(%1)"/>
      <w:lvlJc w:val="left"/>
      <w:pPr>
        <w:ind w:left="720" w:hanging="360"/>
      </w:pPr>
    </w:lvl>
    <w:lvl w:ilvl="1" w:tplc="F0BCE29C">
      <w:start w:val="1"/>
      <w:numFmt w:val="lowerLetter"/>
      <w:lvlText w:val="%2."/>
      <w:lvlJc w:val="left"/>
      <w:pPr>
        <w:ind w:left="1440" w:hanging="360"/>
      </w:pPr>
    </w:lvl>
    <w:lvl w:ilvl="2" w:tplc="13167AF6">
      <w:start w:val="1"/>
      <w:numFmt w:val="lowerRoman"/>
      <w:lvlText w:val="%3."/>
      <w:lvlJc w:val="right"/>
      <w:pPr>
        <w:ind w:left="2160" w:hanging="180"/>
      </w:pPr>
    </w:lvl>
    <w:lvl w:ilvl="3" w:tplc="A1C6A474">
      <w:start w:val="1"/>
      <w:numFmt w:val="decimal"/>
      <w:lvlText w:val="%4."/>
      <w:lvlJc w:val="left"/>
      <w:pPr>
        <w:ind w:left="2880" w:hanging="360"/>
      </w:pPr>
    </w:lvl>
    <w:lvl w:ilvl="4" w:tplc="6358A454">
      <w:start w:val="1"/>
      <w:numFmt w:val="lowerLetter"/>
      <w:lvlText w:val="%5."/>
      <w:lvlJc w:val="left"/>
      <w:pPr>
        <w:ind w:left="3600" w:hanging="360"/>
      </w:pPr>
    </w:lvl>
    <w:lvl w:ilvl="5" w:tplc="A8B805B2">
      <w:start w:val="1"/>
      <w:numFmt w:val="lowerRoman"/>
      <w:lvlText w:val="%6."/>
      <w:lvlJc w:val="right"/>
      <w:pPr>
        <w:ind w:left="4320" w:hanging="180"/>
      </w:pPr>
    </w:lvl>
    <w:lvl w:ilvl="6" w:tplc="CDE0A86E">
      <w:start w:val="1"/>
      <w:numFmt w:val="decimal"/>
      <w:lvlText w:val="%7."/>
      <w:lvlJc w:val="left"/>
      <w:pPr>
        <w:ind w:left="5040" w:hanging="360"/>
      </w:pPr>
    </w:lvl>
    <w:lvl w:ilvl="7" w:tplc="FD08A696">
      <w:start w:val="1"/>
      <w:numFmt w:val="lowerLetter"/>
      <w:lvlText w:val="%8."/>
      <w:lvlJc w:val="left"/>
      <w:pPr>
        <w:ind w:left="5760" w:hanging="360"/>
      </w:pPr>
    </w:lvl>
    <w:lvl w:ilvl="8" w:tplc="3678FE26">
      <w:start w:val="1"/>
      <w:numFmt w:val="lowerRoman"/>
      <w:lvlText w:val="%9."/>
      <w:lvlJc w:val="right"/>
      <w:pPr>
        <w:ind w:left="6480" w:hanging="180"/>
      </w:pPr>
    </w:lvl>
  </w:abstractNum>
  <w:abstractNum w:abstractNumId="137" w15:restartNumberingAfterBreak="0">
    <w:nsid w:val="36583A50"/>
    <w:multiLevelType w:val="hybridMultilevel"/>
    <w:tmpl w:val="FFFFFFFF"/>
    <w:lvl w:ilvl="0" w:tplc="4B52007E">
      <w:start w:val="1"/>
      <w:numFmt w:val="bullet"/>
      <w:lvlText w:val=""/>
      <w:lvlJc w:val="left"/>
      <w:pPr>
        <w:ind w:left="720" w:hanging="360"/>
      </w:pPr>
      <w:rPr>
        <w:rFonts w:ascii="Symbol" w:hAnsi="Symbol" w:hint="default"/>
      </w:rPr>
    </w:lvl>
    <w:lvl w:ilvl="1" w:tplc="1BC4A4F2">
      <w:start w:val="1"/>
      <w:numFmt w:val="bullet"/>
      <w:lvlText w:val="o"/>
      <w:lvlJc w:val="left"/>
      <w:pPr>
        <w:ind w:left="1440" w:hanging="360"/>
      </w:pPr>
      <w:rPr>
        <w:rFonts w:ascii="Courier New" w:hAnsi="Courier New" w:hint="default"/>
      </w:rPr>
    </w:lvl>
    <w:lvl w:ilvl="2" w:tplc="46A22544">
      <w:start w:val="1"/>
      <w:numFmt w:val="bullet"/>
      <w:lvlText w:val=""/>
      <w:lvlJc w:val="left"/>
      <w:pPr>
        <w:ind w:left="2160" w:hanging="360"/>
      </w:pPr>
      <w:rPr>
        <w:rFonts w:ascii="Wingdings" w:hAnsi="Wingdings" w:hint="default"/>
      </w:rPr>
    </w:lvl>
    <w:lvl w:ilvl="3" w:tplc="E4CAB852">
      <w:start w:val="1"/>
      <w:numFmt w:val="bullet"/>
      <w:lvlText w:val=""/>
      <w:lvlJc w:val="left"/>
      <w:pPr>
        <w:ind w:left="2880" w:hanging="360"/>
      </w:pPr>
      <w:rPr>
        <w:rFonts w:ascii="Symbol" w:hAnsi="Symbol" w:hint="default"/>
      </w:rPr>
    </w:lvl>
    <w:lvl w:ilvl="4" w:tplc="D67CE9C2">
      <w:start w:val="1"/>
      <w:numFmt w:val="bullet"/>
      <w:lvlText w:val="o"/>
      <w:lvlJc w:val="left"/>
      <w:pPr>
        <w:ind w:left="3600" w:hanging="360"/>
      </w:pPr>
      <w:rPr>
        <w:rFonts w:ascii="Courier New" w:hAnsi="Courier New" w:hint="default"/>
      </w:rPr>
    </w:lvl>
    <w:lvl w:ilvl="5" w:tplc="803609B2">
      <w:start w:val="1"/>
      <w:numFmt w:val="bullet"/>
      <w:lvlText w:val=""/>
      <w:lvlJc w:val="left"/>
      <w:pPr>
        <w:ind w:left="4320" w:hanging="360"/>
      </w:pPr>
      <w:rPr>
        <w:rFonts w:ascii="Wingdings" w:hAnsi="Wingdings" w:hint="default"/>
      </w:rPr>
    </w:lvl>
    <w:lvl w:ilvl="6" w:tplc="2C3426F4">
      <w:start w:val="1"/>
      <w:numFmt w:val="bullet"/>
      <w:lvlText w:val=""/>
      <w:lvlJc w:val="left"/>
      <w:pPr>
        <w:ind w:left="5040" w:hanging="360"/>
      </w:pPr>
      <w:rPr>
        <w:rFonts w:ascii="Symbol" w:hAnsi="Symbol" w:hint="default"/>
      </w:rPr>
    </w:lvl>
    <w:lvl w:ilvl="7" w:tplc="B59EE20E">
      <w:start w:val="1"/>
      <w:numFmt w:val="bullet"/>
      <w:lvlText w:val="o"/>
      <w:lvlJc w:val="left"/>
      <w:pPr>
        <w:ind w:left="5760" w:hanging="360"/>
      </w:pPr>
      <w:rPr>
        <w:rFonts w:ascii="Courier New" w:hAnsi="Courier New" w:hint="default"/>
      </w:rPr>
    </w:lvl>
    <w:lvl w:ilvl="8" w:tplc="BEB4AE16">
      <w:start w:val="1"/>
      <w:numFmt w:val="bullet"/>
      <w:lvlText w:val=""/>
      <w:lvlJc w:val="left"/>
      <w:pPr>
        <w:ind w:left="6480" w:hanging="360"/>
      </w:pPr>
      <w:rPr>
        <w:rFonts w:ascii="Wingdings" w:hAnsi="Wingdings" w:hint="default"/>
      </w:rPr>
    </w:lvl>
  </w:abstractNum>
  <w:abstractNum w:abstractNumId="138" w15:restartNumberingAfterBreak="0">
    <w:nsid w:val="367D10DC"/>
    <w:multiLevelType w:val="hybridMultilevel"/>
    <w:tmpl w:val="074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36940CC4"/>
    <w:multiLevelType w:val="hybridMultilevel"/>
    <w:tmpl w:val="F0C07F5A"/>
    <w:lvl w:ilvl="0" w:tplc="96E0BAC6">
      <w:start w:val="1"/>
      <w:numFmt w:val="decimal"/>
      <w:lvlText w:val="%1."/>
      <w:lvlJc w:val="left"/>
      <w:pPr>
        <w:ind w:left="720" w:hanging="360"/>
      </w:pPr>
      <w:rPr>
        <w:rFonts w:ascii="Arial" w:eastAsia="Arial" w:hAnsi="Arial" w:cs="Arial" w:hint="default"/>
        <w:b/>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36C014D4"/>
    <w:multiLevelType w:val="hybridMultilevel"/>
    <w:tmpl w:val="24D2D25A"/>
    <w:lvl w:ilvl="0" w:tplc="A2F4E7F4">
      <w:start w:val="1"/>
      <w:numFmt w:val="lowerRoman"/>
      <w:lvlText w:val="(%1)"/>
      <w:lvlJc w:val="left"/>
      <w:pPr>
        <w:ind w:left="1080" w:hanging="720"/>
      </w:pPr>
      <w:rPr>
        <w:i/>
        <w:iCs/>
      </w:rPr>
    </w:lvl>
    <w:lvl w:ilvl="1" w:tplc="433A5C4E" w:tentative="1">
      <w:start w:val="1"/>
      <w:numFmt w:val="lowerLetter"/>
      <w:lvlText w:val="%2."/>
      <w:lvlJc w:val="left"/>
      <w:pPr>
        <w:ind w:left="1440" w:hanging="360"/>
      </w:pPr>
    </w:lvl>
    <w:lvl w:ilvl="2" w:tplc="7E9A7FB2" w:tentative="1">
      <w:start w:val="1"/>
      <w:numFmt w:val="lowerRoman"/>
      <w:lvlText w:val="%3."/>
      <w:lvlJc w:val="right"/>
      <w:pPr>
        <w:ind w:left="2160" w:hanging="180"/>
      </w:pPr>
    </w:lvl>
    <w:lvl w:ilvl="3" w:tplc="39864C74" w:tentative="1">
      <w:start w:val="1"/>
      <w:numFmt w:val="decimal"/>
      <w:lvlText w:val="%4."/>
      <w:lvlJc w:val="left"/>
      <w:pPr>
        <w:ind w:left="2880" w:hanging="360"/>
      </w:pPr>
    </w:lvl>
    <w:lvl w:ilvl="4" w:tplc="5DFAD644" w:tentative="1">
      <w:start w:val="1"/>
      <w:numFmt w:val="lowerLetter"/>
      <w:lvlText w:val="%5."/>
      <w:lvlJc w:val="left"/>
      <w:pPr>
        <w:ind w:left="3600" w:hanging="360"/>
      </w:pPr>
    </w:lvl>
    <w:lvl w:ilvl="5" w:tplc="88CEADF4" w:tentative="1">
      <w:start w:val="1"/>
      <w:numFmt w:val="lowerRoman"/>
      <w:lvlText w:val="%6."/>
      <w:lvlJc w:val="right"/>
      <w:pPr>
        <w:ind w:left="4320" w:hanging="180"/>
      </w:pPr>
    </w:lvl>
    <w:lvl w:ilvl="6" w:tplc="1DF24676" w:tentative="1">
      <w:start w:val="1"/>
      <w:numFmt w:val="decimal"/>
      <w:lvlText w:val="%7."/>
      <w:lvlJc w:val="left"/>
      <w:pPr>
        <w:ind w:left="5040" w:hanging="360"/>
      </w:pPr>
    </w:lvl>
    <w:lvl w:ilvl="7" w:tplc="9F169C02" w:tentative="1">
      <w:start w:val="1"/>
      <w:numFmt w:val="lowerLetter"/>
      <w:lvlText w:val="%8."/>
      <w:lvlJc w:val="left"/>
      <w:pPr>
        <w:ind w:left="5760" w:hanging="360"/>
      </w:pPr>
    </w:lvl>
    <w:lvl w:ilvl="8" w:tplc="617A1D46" w:tentative="1">
      <w:start w:val="1"/>
      <w:numFmt w:val="lowerRoman"/>
      <w:lvlText w:val="%9."/>
      <w:lvlJc w:val="right"/>
      <w:pPr>
        <w:ind w:left="6480" w:hanging="180"/>
      </w:pPr>
    </w:lvl>
  </w:abstractNum>
  <w:abstractNum w:abstractNumId="141" w15:restartNumberingAfterBreak="0">
    <w:nsid w:val="36CE3FD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2" w15:restartNumberingAfterBreak="0">
    <w:nsid w:val="36E23D41"/>
    <w:multiLevelType w:val="hybridMultilevel"/>
    <w:tmpl w:val="59D83AC2"/>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3" w15:restartNumberingAfterBreak="0">
    <w:nsid w:val="36ED6813"/>
    <w:multiLevelType w:val="hybridMultilevel"/>
    <w:tmpl w:val="20B0430E"/>
    <w:lvl w:ilvl="0" w:tplc="34DAF30E">
      <w:start w:val="7"/>
      <w:numFmt w:val="bullet"/>
      <w:lvlText w:val=""/>
      <w:lvlJc w:val="left"/>
      <w:pPr>
        <w:ind w:left="720" w:hanging="360"/>
      </w:pPr>
      <w:rPr>
        <w:rFonts w:ascii="Symbol" w:hAnsi="Symbol" w:hint="default"/>
      </w:rPr>
    </w:lvl>
    <w:lvl w:ilvl="1" w:tplc="1A9ACDA6" w:tentative="1">
      <w:start w:val="1"/>
      <w:numFmt w:val="bullet"/>
      <w:lvlText w:val="o"/>
      <w:lvlJc w:val="left"/>
      <w:pPr>
        <w:ind w:left="1440" w:hanging="360"/>
      </w:pPr>
      <w:rPr>
        <w:rFonts w:ascii="Courier New" w:hAnsi="Courier New" w:hint="default"/>
      </w:rPr>
    </w:lvl>
    <w:lvl w:ilvl="2" w:tplc="119CEB62" w:tentative="1">
      <w:start w:val="1"/>
      <w:numFmt w:val="bullet"/>
      <w:lvlText w:val=""/>
      <w:lvlJc w:val="left"/>
      <w:pPr>
        <w:ind w:left="2160" w:hanging="360"/>
      </w:pPr>
      <w:rPr>
        <w:rFonts w:ascii="Wingdings" w:hAnsi="Wingdings" w:hint="default"/>
      </w:rPr>
    </w:lvl>
    <w:lvl w:ilvl="3" w:tplc="B0C64F7E" w:tentative="1">
      <w:start w:val="1"/>
      <w:numFmt w:val="bullet"/>
      <w:lvlText w:val=""/>
      <w:lvlJc w:val="left"/>
      <w:pPr>
        <w:ind w:left="2880" w:hanging="360"/>
      </w:pPr>
      <w:rPr>
        <w:rFonts w:ascii="Symbol" w:hAnsi="Symbol" w:hint="default"/>
      </w:rPr>
    </w:lvl>
    <w:lvl w:ilvl="4" w:tplc="1578E032" w:tentative="1">
      <w:start w:val="1"/>
      <w:numFmt w:val="bullet"/>
      <w:lvlText w:val="o"/>
      <w:lvlJc w:val="left"/>
      <w:pPr>
        <w:ind w:left="3600" w:hanging="360"/>
      </w:pPr>
      <w:rPr>
        <w:rFonts w:ascii="Courier New" w:hAnsi="Courier New" w:hint="default"/>
      </w:rPr>
    </w:lvl>
    <w:lvl w:ilvl="5" w:tplc="6B04F2F0" w:tentative="1">
      <w:start w:val="1"/>
      <w:numFmt w:val="bullet"/>
      <w:lvlText w:val=""/>
      <w:lvlJc w:val="left"/>
      <w:pPr>
        <w:ind w:left="4320" w:hanging="360"/>
      </w:pPr>
      <w:rPr>
        <w:rFonts w:ascii="Wingdings" w:hAnsi="Wingdings" w:hint="default"/>
      </w:rPr>
    </w:lvl>
    <w:lvl w:ilvl="6" w:tplc="63D09288" w:tentative="1">
      <w:start w:val="1"/>
      <w:numFmt w:val="bullet"/>
      <w:lvlText w:val=""/>
      <w:lvlJc w:val="left"/>
      <w:pPr>
        <w:ind w:left="5040" w:hanging="360"/>
      </w:pPr>
      <w:rPr>
        <w:rFonts w:ascii="Symbol" w:hAnsi="Symbol" w:hint="default"/>
      </w:rPr>
    </w:lvl>
    <w:lvl w:ilvl="7" w:tplc="06322758" w:tentative="1">
      <w:start w:val="1"/>
      <w:numFmt w:val="bullet"/>
      <w:lvlText w:val="o"/>
      <w:lvlJc w:val="left"/>
      <w:pPr>
        <w:ind w:left="5760" w:hanging="360"/>
      </w:pPr>
      <w:rPr>
        <w:rFonts w:ascii="Courier New" w:hAnsi="Courier New" w:hint="default"/>
      </w:rPr>
    </w:lvl>
    <w:lvl w:ilvl="8" w:tplc="E2184BC0" w:tentative="1">
      <w:start w:val="1"/>
      <w:numFmt w:val="bullet"/>
      <w:lvlText w:val=""/>
      <w:lvlJc w:val="left"/>
      <w:pPr>
        <w:ind w:left="6480" w:hanging="360"/>
      </w:pPr>
      <w:rPr>
        <w:rFonts w:ascii="Wingdings" w:hAnsi="Wingdings" w:hint="default"/>
      </w:rPr>
    </w:lvl>
  </w:abstractNum>
  <w:abstractNum w:abstractNumId="144" w15:restartNumberingAfterBreak="0">
    <w:nsid w:val="37212E7A"/>
    <w:multiLevelType w:val="multilevel"/>
    <w:tmpl w:val="85349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374062DE"/>
    <w:multiLevelType w:val="multilevel"/>
    <w:tmpl w:val="6B22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376737B1"/>
    <w:multiLevelType w:val="multilevel"/>
    <w:tmpl w:val="749C1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7974B10"/>
    <w:multiLevelType w:val="hybridMultilevel"/>
    <w:tmpl w:val="5C2C80C6"/>
    <w:lvl w:ilvl="0" w:tplc="D11808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8" w15:restartNumberingAfterBreak="0">
    <w:nsid w:val="37B7D87B"/>
    <w:multiLevelType w:val="multilevel"/>
    <w:tmpl w:val="FFFFFFFF"/>
    <w:lvl w:ilvl="0">
      <w:numFmt w:val="none"/>
      <w:lvlText w:val=""/>
      <w:lvlJc w:val="left"/>
      <w:pPr>
        <w:tabs>
          <w:tab w:val="num" w:pos="360"/>
        </w:tabs>
      </w:pPr>
    </w:lvl>
    <w:lvl w:ilvl="1">
      <w:start w:val="1"/>
      <w:numFmt w:val="lowerLetter"/>
      <w:lvlText w:val="%2."/>
      <w:lvlJc w:val="left"/>
      <w:pPr>
        <w:ind w:left="1656" w:hanging="360"/>
      </w:pPr>
    </w:lvl>
    <w:lvl w:ilvl="2">
      <w:start w:val="1"/>
      <w:numFmt w:val="lowerRoman"/>
      <w:lvlText w:val="%3."/>
      <w:lvlJc w:val="right"/>
      <w:pPr>
        <w:ind w:left="2376" w:hanging="180"/>
      </w:pPr>
    </w:lvl>
    <w:lvl w:ilvl="3">
      <w:start w:val="1"/>
      <w:numFmt w:val="decimal"/>
      <w:lvlText w:val="%4."/>
      <w:lvlJc w:val="left"/>
      <w:pPr>
        <w:ind w:left="3096" w:hanging="360"/>
      </w:pPr>
    </w:lvl>
    <w:lvl w:ilvl="4">
      <w:start w:val="1"/>
      <w:numFmt w:val="lowerLetter"/>
      <w:lvlText w:val="%5."/>
      <w:lvlJc w:val="left"/>
      <w:pPr>
        <w:ind w:left="3816" w:hanging="360"/>
      </w:pPr>
    </w:lvl>
    <w:lvl w:ilvl="5">
      <w:start w:val="1"/>
      <w:numFmt w:val="lowerRoman"/>
      <w:lvlText w:val="%6."/>
      <w:lvlJc w:val="right"/>
      <w:pPr>
        <w:ind w:left="4536" w:hanging="180"/>
      </w:pPr>
    </w:lvl>
    <w:lvl w:ilvl="6">
      <w:start w:val="1"/>
      <w:numFmt w:val="decimal"/>
      <w:lvlText w:val="%7."/>
      <w:lvlJc w:val="left"/>
      <w:pPr>
        <w:ind w:left="5256" w:hanging="360"/>
      </w:pPr>
    </w:lvl>
    <w:lvl w:ilvl="7">
      <w:start w:val="1"/>
      <w:numFmt w:val="lowerLetter"/>
      <w:lvlText w:val="%8."/>
      <w:lvlJc w:val="left"/>
      <w:pPr>
        <w:ind w:left="5976" w:hanging="360"/>
      </w:pPr>
    </w:lvl>
    <w:lvl w:ilvl="8">
      <w:start w:val="1"/>
      <w:numFmt w:val="lowerRoman"/>
      <w:lvlText w:val="%9."/>
      <w:lvlJc w:val="right"/>
      <w:pPr>
        <w:ind w:left="6696" w:hanging="180"/>
      </w:pPr>
    </w:lvl>
  </w:abstractNum>
  <w:abstractNum w:abstractNumId="149" w15:restartNumberingAfterBreak="0">
    <w:nsid w:val="37D1063A"/>
    <w:multiLevelType w:val="hybridMultilevel"/>
    <w:tmpl w:val="2CB0A416"/>
    <w:lvl w:ilvl="0" w:tplc="5284295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0" w15:restartNumberingAfterBreak="0">
    <w:nsid w:val="37EA1805"/>
    <w:multiLevelType w:val="multilevel"/>
    <w:tmpl w:val="FFFFFFFF"/>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381E0349"/>
    <w:multiLevelType w:val="hybridMultilevel"/>
    <w:tmpl w:val="AD66A47C"/>
    <w:lvl w:ilvl="0" w:tplc="97E0DB0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2" w15:restartNumberingAfterBreak="0">
    <w:nsid w:val="382D65BB"/>
    <w:multiLevelType w:val="hybridMultilevel"/>
    <w:tmpl w:val="A4967F2A"/>
    <w:lvl w:ilvl="0" w:tplc="DF22D61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3" w15:restartNumberingAfterBreak="0">
    <w:nsid w:val="38763BA7"/>
    <w:multiLevelType w:val="hybridMultilevel"/>
    <w:tmpl w:val="7C540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387C3798"/>
    <w:multiLevelType w:val="hybridMultilevel"/>
    <w:tmpl w:val="FFFFFFFF"/>
    <w:lvl w:ilvl="0" w:tplc="F7F0636A">
      <w:start w:val="1"/>
      <w:numFmt w:val="decimal"/>
      <w:lvlText w:val="%1."/>
      <w:lvlJc w:val="left"/>
      <w:pPr>
        <w:ind w:left="720" w:hanging="360"/>
      </w:pPr>
    </w:lvl>
    <w:lvl w:ilvl="1" w:tplc="65C00258">
      <w:start w:val="1"/>
      <w:numFmt w:val="lowerLetter"/>
      <w:lvlText w:val="%2."/>
      <w:lvlJc w:val="left"/>
      <w:pPr>
        <w:ind w:left="1440" w:hanging="360"/>
      </w:pPr>
    </w:lvl>
    <w:lvl w:ilvl="2" w:tplc="62723FE2">
      <w:start w:val="1"/>
      <w:numFmt w:val="lowerRoman"/>
      <w:lvlText w:val="%3."/>
      <w:lvlJc w:val="right"/>
      <w:pPr>
        <w:ind w:left="2160" w:hanging="180"/>
      </w:pPr>
    </w:lvl>
    <w:lvl w:ilvl="3" w:tplc="0C34A798">
      <w:start w:val="1"/>
      <w:numFmt w:val="decimal"/>
      <w:lvlText w:val="%4."/>
      <w:lvlJc w:val="left"/>
      <w:pPr>
        <w:ind w:left="2880" w:hanging="360"/>
      </w:pPr>
    </w:lvl>
    <w:lvl w:ilvl="4" w:tplc="09E25F0E">
      <w:start w:val="1"/>
      <w:numFmt w:val="lowerLetter"/>
      <w:lvlText w:val="%5."/>
      <w:lvlJc w:val="left"/>
      <w:pPr>
        <w:ind w:left="3600" w:hanging="360"/>
      </w:pPr>
    </w:lvl>
    <w:lvl w:ilvl="5" w:tplc="3704ED02">
      <w:start w:val="1"/>
      <w:numFmt w:val="lowerRoman"/>
      <w:lvlText w:val="%6."/>
      <w:lvlJc w:val="right"/>
      <w:pPr>
        <w:ind w:left="4320" w:hanging="180"/>
      </w:pPr>
    </w:lvl>
    <w:lvl w:ilvl="6" w:tplc="F3720F5E">
      <w:start w:val="1"/>
      <w:numFmt w:val="decimal"/>
      <w:lvlText w:val="%7."/>
      <w:lvlJc w:val="left"/>
      <w:pPr>
        <w:ind w:left="5040" w:hanging="360"/>
      </w:pPr>
    </w:lvl>
    <w:lvl w:ilvl="7" w:tplc="E6E81586">
      <w:start w:val="1"/>
      <w:numFmt w:val="lowerLetter"/>
      <w:lvlText w:val="%8."/>
      <w:lvlJc w:val="left"/>
      <w:pPr>
        <w:ind w:left="5760" w:hanging="360"/>
      </w:pPr>
    </w:lvl>
    <w:lvl w:ilvl="8" w:tplc="3B3A7280">
      <w:start w:val="1"/>
      <w:numFmt w:val="lowerRoman"/>
      <w:lvlText w:val="%9."/>
      <w:lvlJc w:val="right"/>
      <w:pPr>
        <w:ind w:left="6480" w:hanging="180"/>
      </w:pPr>
    </w:lvl>
  </w:abstractNum>
  <w:abstractNum w:abstractNumId="155" w15:restartNumberingAfterBreak="0">
    <w:nsid w:val="38B65D6D"/>
    <w:multiLevelType w:val="hybridMultilevel"/>
    <w:tmpl w:val="CFA8070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6" w15:restartNumberingAfterBreak="0">
    <w:nsid w:val="38C46A4E"/>
    <w:multiLevelType w:val="multilevel"/>
    <w:tmpl w:val="EED4C8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39082C33"/>
    <w:multiLevelType w:val="hybridMultilevel"/>
    <w:tmpl w:val="FFFFFFFF"/>
    <w:lvl w:ilvl="0" w:tplc="192AA688">
      <w:start w:val="1"/>
      <w:numFmt w:val="decimal"/>
      <w:lvlText w:val="%1."/>
      <w:lvlJc w:val="left"/>
      <w:pPr>
        <w:ind w:left="720" w:hanging="360"/>
      </w:pPr>
    </w:lvl>
    <w:lvl w:ilvl="1" w:tplc="3AC02B62">
      <w:start w:val="1"/>
      <w:numFmt w:val="lowerLetter"/>
      <w:lvlText w:val="%2."/>
      <w:lvlJc w:val="left"/>
      <w:pPr>
        <w:ind w:left="1440" w:hanging="360"/>
      </w:pPr>
    </w:lvl>
    <w:lvl w:ilvl="2" w:tplc="BD5C0E40">
      <w:start w:val="1"/>
      <w:numFmt w:val="lowerRoman"/>
      <w:lvlText w:val="%3."/>
      <w:lvlJc w:val="right"/>
      <w:pPr>
        <w:ind w:left="2160" w:hanging="180"/>
      </w:pPr>
    </w:lvl>
    <w:lvl w:ilvl="3" w:tplc="F8EE8D92">
      <w:start w:val="1"/>
      <w:numFmt w:val="decimal"/>
      <w:lvlText w:val="%4."/>
      <w:lvlJc w:val="left"/>
      <w:pPr>
        <w:ind w:left="2880" w:hanging="360"/>
      </w:pPr>
    </w:lvl>
    <w:lvl w:ilvl="4" w:tplc="84D203C6">
      <w:start w:val="1"/>
      <w:numFmt w:val="lowerLetter"/>
      <w:lvlText w:val="%5."/>
      <w:lvlJc w:val="left"/>
      <w:pPr>
        <w:ind w:left="3600" w:hanging="360"/>
      </w:pPr>
    </w:lvl>
    <w:lvl w:ilvl="5" w:tplc="0EF40044">
      <w:start w:val="1"/>
      <w:numFmt w:val="lowerRoman"/>
      <w:lvlText w:val="%6."/>
      <w:lvlJc w:val="right"/>
      <w:pPr>
        <w:ind w:left="4320" w:hanging="180"/>
      </w:pPr>
    </w:lvl>
    <w:lvl w:ilvl="6" w:tplc="9A44AAD4">
      <w:start w:val="1"/>
      <w:numFmt w:val="decimal"/>
      <w:lvlText w:val="%7."/>
      <w:lvlJc w:val="left"/>
      <w:pPr>
        <w:ind w:left="5040" w:hanging="360"/>
      </w:pPr>
    </w:lvl>
    <w:lvl w:ilvl="7" w:tplc="3BDCD084">
      <w:start w:val="1"/>
      <w:numFmt w:val="lowerLetter"/>
      <w:lvlText w:val="%8."/>
      <w:lvlJc w:val="left"/>
      <w:pPr>
        <w:ind w:left="5760" w:hanging="360"/>
      </w:pPr>
    </w:lvl>
    <w:lvl w:ilvl="8" w:tplc="D1C03030">
      <w:start w:val="1"/>
      <w:numFmt w:val="lowerRoman"/>
      <w:lvlText w:val="%9."/>
      <w:lvlJc w:val="right"/>
      <w:pPr>
        <w:ind w:left="6480" w:hanging="180"/>
      </w:pPr>
    </w:lvl>
  </w:abstractNum>
  <w:abstractNum w:abstractNumId="158" w15:restartNumberingAfterBreak="0">
    <w:nsid w:val="390C44EE"/>
    <w:multiLevelType w:val="multilevel"/>
    <w:tmpl w:val="3EBA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391D56B5"/>
    <w:multiLevelType w:val="hybridMultilevel"/>
    <w:tmpl w:val="A39C1718"/>
    <w:lvl w:ilvl="0" w:tplc="56660B54">
      <w:start w:val="1"/>
      <w:numFmt w:val="decimal"/>
      <w:lvlText w:val="%1."/>
      <w:lvlJc w:val="left"/>
      <w:pPr>
        <w:ind w:left="720" w:hanging="360"/>
      </w:pPr>
    </w:lvl>
    <w:lvl w:ilvl="1" w:tplc="E48C6DE4">
      <w:start w:val="1"/>
      <w:numFmt w:val="lowerLetter"/>
      <w:lvlText w:val="%2."/>
      <w:lvlJc w:val="left"/>
      <w:pPr>
        <w:ind w:left="1440" w:hanging="360"/>
      </w:pPr>
    </w:lvl>
    <w:lvl w:ilvl="2" w:tplc="619878AC">
      <w:start w:val="1"/>
      <w:numFmt w:val="lowerRoman"/>
      <w:lvlText w:val="%3."/>
      <w:lvlJc w:val="right"/>
      <w:pPr>
        <w:ind w:left="2160" w:hanging="180"/>
      </w:pPr>
    </w:lvl>
    <w:lvl w:ilvl="3" w:tplc="B9486E50">
      <w:start w:val="1"/>
      <w:numFmt w:val="decimal"/>
      <w:lvlText w:val="%4."/>
      <w:lvlJc w:val="left"/>
      <w:pPr>
        <w:ind w:left="2880" w:hanging="360"/>
      </w:pPr>
    </w:lvl>
    <w:lvl w:ilvl="4" w:tplc="559CA184">
      <w:start w:val="1"/>
      <w:numFmt w:val="lowerLetter"/>
      <w:lvlText w:val="%5."/>
      <w:lvlJc w:val="left"/>
      <w:pPr>
        <w:ind w:left="3600" w:hanging="360"/>
      </w:pPr>
    </w:lvl>
    <w:lvl w:ilvl="5" w:tplc="ED14CF3A">
      <w:start w:val="1"/>
      <w:numFmt w:val="lowerRoman"/>
      <w:lvlText w:val="%6."/>
      <w:lvlJc w:val="right"/>
      <w:pPr>
        <w:ind w:left="4320" w:hanging="180"/>
      </w:pPr>
    </w:lvl>
    <w:lvl w:ilvl="6" w:tplc="9208AA9A">
      <w:start w:val="1"/>
      <w:numFmt w:val="decimal"/>
      <w:lvlText w:val="%7."/>
      <w:lvlJc w:val="left"/>
      <w:pPr>
        <w:ind w:left="5040" w:hanging="360"/>
      </w:pPr>
    </w:lvl>
    <w:lvl w:ilvl="7" w:tplc="8A0428E6">
      <w:start w:val="1"/>
      <w:numFmt w:val="lowerLetter"/>
      <w:lvlText w:val="%8."/>
      <w:lvlJc w:val="left"/>
      <w:pPr>
        <w:ind w:left="5760" w:hanging="360"/>
      </w:pPr>
    </w:lvl>
    <w:lvl w:ilvl="8" w:tplc="6900C51E">
      <w:start w:val="1"/>
      <w:numFmt w:val="lowerRoman"/>
      <w:lvlText w:val="%9."/>
      <w:lvlJc w:val="right"/>
      <w:pPr>
        <w:ind w:left="6480" w:hanging="180"/>
      </w:pPr>
    </w:lvl>
  </w:abstractNum>
  <w:abstractNum w:abstractNumId="160" w15:restartNumberingAfterBreak="0">
    <w:nsid w:val="39280606"/>
    <w:multiLevelType w:val="multilevel"/>
    <w:tmpl w:val="968C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2" w15:restartNumberingAfterBreak="0">
    <w:nsid w:val="3A1B30D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3" w15:restartNumberingAfterBreak="0">
    <w:nsid w:val="3A587CDA"/>
    <w:multiLevelType w:val="hybridMultilevel"/>
    <w:tmpl w:val="C6ECE310"/>
    <w:lvl w:ilvl="0" w:tplc="02DC1220">
      <w:start w:val="1"/>
      <w:numFmt w:val="decimal"/>
      <w:lvlText w:val="(%1)"/>
      <w:lvlJc w:val="left"/>
      <w:pPr>
        <w:ind w:left="-207" w:hanging="360"/>
      </w:pPr>
      <w:rPr>
        <w:rFonts w:hint="default"/>
      </w:rPr>
    </w:lvl>
    <w:lvl w:ilvl="1" w:tplc="18090019" w:tentative="1">
      <w:start w:val="1"/>
      <w:numFmt w:val="lowerLetter"/>
      <w:lvlText w:val="%2."/>
      <w:lvlJc w:val="left"/>
      <w:pPr>
        <w:ind w:left="513" w:hanging="360"/>
      </w:pPr>
    </w:lvl>
    <w:lvl w:ilvl="2" w:tplc="1809001B" w:tentative="1">
      <w:start w:val="1"/>
      <w:numFmt w:val="lowerRoman"/>
      <w:lvlText w:val="%3."/>
      <w:lvlJc w:val="right"/>
      <w:pPr>
        <w:ind w:left="1233" w:hanging="180"/>
      </w:pPr>
    </w:lvl>
    <w:lvl w:ilvl="3" w:tplc="1809000F" w:tentative="1">
      <w:start w:val="1"/>
      <w:numFmt w:val="decimal"/>
      <w:lvlText w:val="%4."/>
      <w:lvlJc w:val="left"/>
      <w:pPr>
        <w:ind w:left="1953" w:hanging="360"/>
      </w:pPr>
    </w:lvl>
    <w:lvl w:ilvl="4" w:tplc="18090019" w:tentative="1">
      <w:start w:val="1"/>
      <w:numFmt w:val="lowerLetter"/>
      <w:lvlText w:val="%5."/>
      <w:lvlJc w:val="left"/>
      <w:pPr>
        <w:ind w:left="2673" w:hanging="360"/>
      </w:pPr>
    </w:lvl>
    <w:lvl w:ilvl="5" w:tplc="1809001B" w:tentative="1">
      <w:start w:val="1"/>
      <w:numFmt w:val="lowerRoman"/>
      <w:lvlText w:val="%6."/>
      <w:lvlJc w:val="right"/>
      <w:pPr>
        <w:ind w:left="3393" w:hanging="180"/>
      </w:pPr>
    </w:lvl>
    <w:lvl w:ilvl="6" w:tplc="1809000F" w:tentative="1">
      <w:start w:val="1"/>
      <w:numFmt w:val="decimal"/>
      <w:lvlText w:val="%7."/>
      <w:lvlJc w:val="left"/>
      <w:pPr>
        <w:ind w:left="4113" w:hanging="360"/>
      </w:pPr>
    </w:lvl>
    <w:lvl w:ilvl="7" w:tplc="18090019" w:tentative="1">
      <w:start w:val="1"/>
      <w:numFmt w:val="lowerLetter"/>
      <w:lvlText w:val="%8."/>
      <w:lvlJc w:val="left"/>
      <w:pPr>
        <w:ind w:left="4833" w:hanging="360"/>
      </w:pPr>
    </w:lvl>
    <w:lvl w:ilvl="8" w:tplc="1809001B" w:tentative="1">
      <w:start w:val="1"/>
      <w:numFmt w:val="lowerRoman"/>
      <w:lvlText w:val="%9."/>
      <w:lvlJc w:val="right"/>
      <w:pPr>
        <w:ind w:left="5553" w:hanging="180"/>
      </w:pPr>
    </w:lvl>
  </w:abstractNum>
  <w:abstractNum w:abstractNumId="164" w15:restartNumberingAfterBreak="0">
    <w:nsid w:val="3A895203"/>
    <w:multiLevelType w:val="hybridMultilevel"/>
    <w:tmpl w:val="A560F468"/>
    <w:lvl w:ilvl="0" w:tplc="4E06C686">
      <w:numFmt w:val="bullet"/>
      <w:lvlText w:val="-"/>
      <w:lvlJc w:val="left"/>
      <w:pPr>
        <w:ind w:left="720" w:hanging="360"/>
      </w:pPr>
      <w:rPr>
        <w:rFonts w:ascii="Corbel" w:eastAsia="Times New Roman" w:hAnsi="Corbe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3ABE5453"/>
    <w:multiLevelType w:val="hybridMultilevel"/>
    <w:tmpl w:val="AF282088"/>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6" w15:restartNumberingAfterBreak="0">
    <w:nsid w:val="3B0B5363"/>
    <w:multiLevelType w:val="hybridMultilevel"/>
    <w:tmpl w:val="96E2E6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7" w15:restartNumberingAfterBreak="0">
    <w:nsid w:val="3BCD5633"/>
    <w:multiLevelType w:val="hybridMultilevel"/>
    <w:tmpl w:val="48F2C0BE"/>
    <w:lvl w:ilvl="0" w:tplc="F4DC23CC">
      <w:start w:val="1"/>
      <w:numFmt w:val="bullet"/>
      <w:lvlText w:val=""/>
      <w:lvlJc w:val="left"/>
      <w:pPr>
        <w:ind w:left="720" w:hanging="360"/>
      </w:pPr>
      <w:rPr>
        <w:rFonts w:ascii="Wingdings" w:hAnsi="Wingdings" w:hint="default"/>
      </w:rPr>
    </w:lvl>
    <w:lvl w:ilvl="1" w:tplc="8D4876E8" w:tentative="1">
      <w:start w:val="1"/>
      <w:numFmt w:val="bullet"/>
      <w:lvlText w:val="o"/>
      <w:lvlJc w:val="left"/>
      <w:pPr>
        <w:ind w:left="1440" w:hanging="360"/>
      </w:pPr>
      <w:rPr>
        <w:rFonts w:ascii="Courier New" w:hAnsi="Courier New" w:hint="default"/>
      </w:rPr>
    </w:lvl>
    <w:lvl w:ilvl="2" w:tplc="0EBC86AC" w:tentative="1">
      <w:start w:val="1"/>
      <w:numFmt w:val="bullet"/>
      <w:lvlText w:val=""/>
      <w:lvlJc w:val="left"/>
      <w:pPr>
        <w:ind w:left="2160" w:hanging="360"/>
      </w:pPr>
      <w:rPr>
        <w:rFonts w:ascii="Wingdings" w:hAnsi="Wingdings" w:hint="default"/>
      </w:rPr>
    </w:lvl>
    <w:lvl w:ilvl="3" w:tplc="0DBAEA9A" w:tentative="1">
      <w:start w:val="1"/>
      <w:numFmt w:val="bullet"/>
      <w:lvlText w:val=""/>
      <w:lvlJc w:val="left"/>
      <w:pPr>
        <w:ind w:left="2880" w:hanging="360"/>
      </w:pPr>
      <w:rPr>
        <w:rFonts w:ascii="Symbol" w:hAnsi="Symbol" w:hint="default"/>
      </w:rPr>
    </w:lvl>
    <w:lvl w:ilvl="4" w:tplc="C71642FC" w:tentative="1">
      <w:start w:val="1"/>
      <w:numFmt w:val="bullet"/>
      <w:lvlText w:val="o"/>
      <w:lvlJc w:val="left"/>
      <w:pPr>
        <w:ind w:left="3600" w:hanging="360"/>
      </w:pPr>
      <w:rPr>
        <w:rFonts w:ascii="Courier New" w:hAnsi="Courier New" w:hint="default"/>
      </w:rPr>
    </w:lvl>
    <w:lvl w:ilvl="5" w:tplc="1AD816D2" w:tentative="1">
      <w:start w:val="1"/>
      <w:numFmt w:val="bullet"/>
      <w:lvlText w:val=""/>
      <w:lvlJc w:val="left"/>
      <w:pPr>
        <w:ind w:left="4320" w:hanging="360"/>
      </w:pPr>
      <w:rPr>
        <w:rFonts w:ascii="Wingdings" w:hAnsi="Wingdings" w:hint="default"/>
      </w:rPr>
    </w:lvl>
    <w:lvl w:ilvl="6" w:tplc="C3B0E186" w:tentative="1">
      <w:start w:val="1"/>
      <w:numFmt w:val="bullet"/>
      <w:lvlText w:val=""/>
      <w:lvlJc w:val="left"/>
      <w:pPr>
        <w:ind w:left="5040" w:hanging="360"/>
      </w:pPr>
      <w:rPr>
        <w:rFonts w:ascii="Symbol" w:hAnsi="Symbol" w:hint="default"/>
      </w:rPr>
    </w:lvl>
    <w:lvl w:ilvl="7" w:tplc="63CACEC2" w:tentative="1">
      <w:start w:val="1"/>
      <w:numFmt w:val="bullet"/>
      <w:lvlText w:val="o"/>
      <w:lvlJc w:val="left"/>
      <w:pPr>
        <w:ind w:left="5760" w:hanging="360"/>
      </w:pPr>
      <w:rPr>
        <w:rFonts w:ascii="Courier New" w:hAnsi="Courier New" w:hint="default"/>
      </w:rPr>
    </w:lvl>
    <w:lvl w:ilvl="8" w:tplc="874E6686" w:tentative="1">
      <w:start w:val="1"/>
      <w:numFmt w:val="bullet"/>
      <w:lvlText w:val=""/>
      <w:lvlJc w:val="left"/>
      <w:pPr>
        <w:ind w:left="6480" w:hanging="360"/>
      </w:pPr>
      <w:rPr>
        <w:rFonts w:ascii="Wingdings" w:hAnsi="Wingdings" w:hint="default"/>
      </w:rPr>
    </w:lvl>
  </w:abstractNum>
  <w:abstractNum w:abstractNumId="168" w15:restartNumberingAfterBreak="0">
    <w:nsid w:val="3BFF7892"/>
    <w:multiLevelType w:val="hybridMultilevel"/>
    <w:tmpl w:val="BC2EC77C"/>
    <w:lvl w:ilvl="0" w:tplc="8C82F598">
      <w:start w:val="1"/>
      <w:numFmt w:val="lowerRoman"/>
      <w:lvlText w:val="(%1)"/>
      <w:lvlJc w:val="left"/>
      <w:pPr>
        <w:ind w:left="720" w:hanging="720"/>
      </w:pPr>
      <w:rPr>
        <w:rFonts w:hint="default"/>
        <w:i/>
        <w:i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9" w15:restartNumberingAfterBreak="0">
    <w:nsid w:val="3C816414"/>
    <w:multiLevelType w:val="multilevel"/>
    <w:tmpl w:val="63B4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3CDC75F1"/>
    <w:multiLevelType w:val="hybridMultilevel"/>
    <w:tmpl w:val="1C92715E"/>
    <w:lvl w:ilvl="0" w:tplc="52842952">
      <w:start w:val="1"/>
      <w:numFmt w:val="bullet"/>
      <w:lvlText w:val=""/>
      <w:lvlJc w:val="left"/>
      <w:pPr>
        <w:ind w:left="786"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1" w15:restartNumberingAfterBreak="0">
    <w:nsid w:val="3CEE3320"/>
    <w:multiLevelType w:val="hybridMultilevel"/>
    <w:tmpl w:val="22F45F10"/>
    <w:lvl w:ilvl="0" w:tplc="D7B4B576">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2" w15:restartNumberingAfterBreak="0">
    <w:nsid w:val="3CF00E18"/>
    <w:multiLevelType w:val="singleLevel"/>
    <w:tmpl w:val="40BCC854"/>
    <w:lvl w:ilvl="0">
      <w:start w:val="1"/>
      <w:numFmt w:val="bullet"/>
      <w:pStyle w:val="ListBullet"/>
      <w:lvlText w:val=""/>
      <w:lvlJc w:val="left"/>
      <w:pPr>
        <w:tabs>
          <w:tab w:val="num" w:pos="283"/>
        </w:tabs>
        <w:ind w:left="283" w:hanging="283"/>
      </w:pPr>
      <w:rPr>
        <w:rFonts w:ascii="Symbol" w:hAnsi="Symbol"/>
      </w:rPr>
    </w:lvl>
  </w:abstractNum>
  <w:abstractNum w:abstractNumId="173" w15:restartNumberingAfterBreak="0">
    <w:nsid w:val="3D8315E0"/>
    <w:multiLevelType w:val="multilevel"/>
    <w:tmpl w:val="B328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3D9F3EFC"/>
    <w:multiLevelType w:val="hybridMultilevel"/>
    <w:tmpl w:val="3C8EA3D2"/>
    <w:lvl w:ilvl="0" w:tplc="1012D3D6">
      <w:start w:val="2"/>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5" w15:restartNumberingAfterBreak="0">
    <w:nsid w:val="3DBE60B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6" w15:restartNumberingAfterBreak="0">
    <w:nsid w:val="3DE409C0"/>
    <w:multiLevelType w:val="hybridMultilevel"/>
    <w:tmpl w:val="553C6D66"/>
    <w:lvl w:ilvl="0" w:tplc="69425FDA">
      <w:numFmt w:val="bullet"/>
      <w:lvlText w:val="-"/>
      <w:lvlJc w:val="left"/>
      <w:pPr>
        <w:ind w:left="720" w:hanging="360"/>
      </w:pPr>
      <w:rPr>
        <w:rFonts w:ascii="Times New Roman" w:hAnsi="Times New Roman" w:hint="default"/>
      </w:rPr>
    </w:lvl>
    <w:lvl w:ilvl="1" w:tplc="A0CA0ADA" w:tentative="1">
      <w:start w:val="1"/>
      <w:numFmt w:val="bullet"/>
      <w:lvlText w:val="o"/>
      <w:lvlJc w:val="left"/>
      <w:pPr>
        <w:ind w:left="1440" w:hanging="360"/>
      </w:pPr>
      <w:rPr>
        <w:rFonts w:ascii="Courier New" w:hAnsi="Courier New" w:hint="default"/>
      </w:rPr>
    </w:lvl>
    <w:lvl w:ilvl="2" w:tplc="8B082B2E" w:tentative="1">
      <w:start w:val="1"/>
      <w:numFmt w:val="bullet"/>
      <w:lvlText w:val=""/>
      <w:lvlJc w:val="left"/>
      <w:pPr>
        <w:ind w:left="2160" w:hanging="360"/>
      </w:pPr>
      <w:rPr>
        <w:rFonts w:ascii="Wingdings" w:hAnsi="Wingdings" w:hint="default"/>
      </w:rPr>
    </w:lvl>
    <w:lvl w:ilvl="3" w:tplc="DF82F9EA" w:tentative="1">
      <w:start w:val="1"/>
      <w:numFmt w:val="bullet"/>
      <w:lvlText w:val=""/>
      <w:lvlJc w:val="left"/>
      <w:pPr>
        <w:ind w:left="2880" w:hanging="360"/>
      </w:pPr>
      <w:rPr>
        <w:rFonts w:ascii="Symbol" w:hAnsi="Symbol" w:hint="default"/>
      </w:rPr>
    </w:lvl>
    <w:lvl w:ilvl="4" w:tplc="08725678" w:tentative="1">
      <w:start w:val="1"/>
      <w:numFmt w:val="bullet"/>
      <w:lvlText w:val="o"/>
      <w:lvlJc w:val="left"/>
      <w:pPr>
        <w:ind w:left="3600" w:hanging="360"/>
      </w:pPr>
      <w:rPr>
        <w:rFonts w:ascii="Courier New" w:hAnsi="Courier New" w:hint="default"/>
      </w:rPr>
    </w:lvl>
    <w:lvl w:ilvl="5" w:tplc="9FC2792A" w:tentative="1">
      <w:start w:val="1"/>
      <w:numFmt w:val="bullet"/>
      <w:lvlText w:val=""/>
      <w:lvlJc w:val="left"/>
      <w:pPr>
        <w:ind w:left="4320" w:hanging="360"/>
      </w:pPr>
      <w:rPr>
        <w:rFonts w:ascii="Wingdings" w:hAnsi="Wingdings" w:hint="default"/>
      </w:rPr>
    </w:lvl>
    <w:lvl w:ilvl="6" w:tplc="E58CC7A0" w:tentative="1">
      <w:start w:val="1"/>
      <w:numFmt w:val="bullet"/>
      <w:lvlText w:val=""/>
      <w:lvlJc w:val="left"/>
      <w:pPr>
        <w:ind w:left="5040" w:hanging="360"/>
      </w:pPr>
      <w:rPr>
        <w:rFonts w:ascii="Symbol" w:hAnsi="Symbol" w:hint="default"/>
      </w:rPr>
    </w:lvl>
    <w:lvl w:ilvl="7" w:tplc="E1AC2768" w:tentative="1">
      <w:start w:val="1"/>
      <w:numFmt w:val="bullet"/>
      <w:lvlText w:val="o"/>
      <w:lvlJc w:val="left"/>
      <w:pPr>
        <w:ind w:left="5760" w:hanging="360"/>
      </w:pPr>
      <w:rPr>
        <w:rFonts w:ascii="Courier New" w:hAnsi="Courier New" w:hint="default"/>
      </w:rPr>
    </w:lvl>
    <w:lvl w:ilvl="8" w:tplc="039A91D8" w:tentative="1">
      <w:start w:val="1"/>
      <w:numFmt w:val="bullet"/>
      <w:lvlText w:val=""/>
      <w:lvlJc w:val="left"/>
      <w:pPr>
        <w:ind w:left="6480" w:hanging="360"/>
      </w:pPr>
      <w:rPr>
        <w:rFonts w:ascii="Wingdings" w:hAnsi="Wingdings" w:hint="default"/>
      </w:rPr>
    </w:lvl>
  </w:abstractNum>
  <w:abstractNum w:abstractNumId="177" w15:restartNumberingAfterBreak="0">
    <w:nsid w:val="3DE82CA8"/>
    <w:multiLevelType w:val="multilevel"/>
    <w:tmpl w:val="C964A9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3DFF12C2"/>
    <w:multiLevelType w:val="hybridMultilevel"/>
    <w:tmpl w:val="B6EAC7EC"/>
    <w:lvl w:ilvl="0" w:tplc="4E06C686">
      <w:numFmt w:val="bullet"/>
      <w:lvlText w:val="-"/>
      <w:lvlJc w:val="left"/>
      <w:pPr>
        <w:ind w:left="720" w:hanging="360"/>
      </w:pPr>
      <w:rPr>
        <w:rFonts w:ascii="Corbel" w:eastAsia="Times New Roman" w:hAnsi="Corbe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3E197D3C"/>
    <w:multiLevelType w:val="hybridMultilevel"/>
    <w:tmpl w:val="980A4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3EED4743"/>
    <w:multiLevelType w:val="hybridMultilevel"/>
    <w:tmpl w:val="E1E84264"/>
    <w:lvl w:ilvl="0" w:tplc="0F50F476">
      <w:start w:val="1"/>
      <w:numFmt w:val="decimal"/>
      <w:pStyle w:val="BOXHEADING"/>
      <w:lvlText w:val="BOX %1."/>
      <w:lvlJc w:val="left"/>
      <w:pPr>
        <w:tabs>
          <w:tab w:val="num" w:pos="624"/>
        </w:tabs>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3F5C7EC8"/>
    <w:multiLevelType w:val="hybridMultilevel"/>
    <w:tmpl w:val="08388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15:restartNumberingAfterBreak="0">
    <w:nsid w:val="3F79539A"/>
    <w:multiLevelType w:val="hybridMultilevel"/>
    <w:tmpl w:val="F23C7AD6"/>
    <w:lvl w:ilvl="0" w:tplc="69425FDA">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3" w15:restartNumberingAfterBreak="0">
    <w:nsid w:val="3F83418F"/>
    <w:multiLevelType w:val="hybridMultilevel"/>
    <w:tmpl w:val="26841BA6"/>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3FE15762"/>
    <w:multiLevelType w:val="hybridMultilevel"/>
    <w:tmpl w:val="4C664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3FF301A7"/>
    <w:multiLevelType w:val="hybridMultilevel"/>
    <w:tmpl w:val="14600A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6" w15:restartNumberingAfterBreak="0">
    <w:nsid w:val="40136402"/>
    <w:multiLevelType w:val="multilevel"/>
    <w:tmpl w:val="7FA0B1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87" w15:restartNumberingAfterBreak="0">
    <w:nsid w:val="409710B8"/>
    <w:multiLevelType w:val="multilevel"/>
    <w:tmpl w:val="3056A2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41633BDD"/>
    <w:multiLevelType w:val="hybridMultilevel"/>
    <w:tmpl w:val="999C9C28"/>
    <w:lvl w:ilvl="0" w:tplc="53101088">
      <w:start w:val="1"/>
      <w:numFmt w:val="lowerRoman"/>
      <w:lvlText w:val="(%1)"/>
      <w:lvlJc w:val="left"/>
      <w:pPr>
        <w:ind w:left="144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9" w15:restartNumberingAfterBreak="0">
    <w:nsid w:val="41701CF7"/>
    <w:multiLevelType w:val="multilevel"/>
    <w:tmpl w:val="F2006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421E2D57"/>
    <w:multiLevelType w:val="hybridMultilevel"/>
    <w:tmpl w:val="2B1AEB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1" w15:restartNumberingAfterBreak="0">
    <w:nsid w:val="426B41A3"/>
    <w:multiLevelType w:val="multilevel"/>
    <w:tmpl w:val="05002764"/>
    <w:lvl w:ilvl="0">
      <w:start w:val="1"/>
      <w:numFmt w:val="decimal"/>
      <w:lvlText w:val="%1"/>
      <w:lvlJc w:val="left"/>
      <w:pPr>
        <w:ind w:left="432" w:hanging="432"/>
      </w:pPr>
      <w:rPr>
        <w:rFonts w:hint="default"/>
        <w:i w:val="0"/>
        <w:iCs/>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2" w15:restartNumberingAfterBreak="0">
    <w:nsid w:val="42DA7A96"/>
    <w:multiLevelType w:val="multilevel"/>
    <w:tmpl w:val="4748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42E05B7E"/>
    <w:multiLevelType w:val="hybridMultilevel"/>
    <w:tmpl w:val="4A2E1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430A2AC0"/>
    <w:multiLevelType w:val="hybridMultilevel"/>
    <w:tmpl w:val="89E469E6"/>
    <w:lvl w:ilvl="0" w:tplc="E52A26C8">
      <w:start w:val="1"/>
      <w:numFmt w:val="lowerRoman"/>
      <w:lvlText w:val="(%1)"/>
      <w:lvlJc w:val="left"/>
      <w:pPr>
        <w:ind w:left="144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5" w15:restartNumberingAfterBreak="0">
    <w:nsid w:val="4327635A"/>
    <w:multiLevelType w:val="hybridMultilevel"/>
    <w:tmpl w:val="72325066"/>
    <w:lvl w:ilvl="0" w:tplc="E6607E9E">
      <w:start w:val="1"/>
      <w:numFmt w:val="lowerRoman"/>
      <w:lvlText w:val="(%1)"/>
      <w:lvlJc w:val="left"/>
      <w:pPr>
        <w:ind w:left="720" w:hanging="72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96" w15:restartNumberingAfterBreak="0">
    <w:nsid w:val="43C471C5"/>
    <w:multiLevelType w:val="multilevel"/>
    <w:tmpl w:val="B6405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3E97AF6"/>
    <w:multiLevelType w:val="hybridMultilevel"/>
    <w:tmpl w:val="C5E8F026"/>
    <w:lvl w:ilvl="0" w:tplc="3C3ACEFC">
      <w:start w:val="1"/>
      <w:numFmt w:val="bullet"/>
      <w:lvlText w:val="–"/>
      <w:lvlJc w:val="left"/>
      <w:pPr>
        <w:ind w:left="720"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44554166"/>
    <w:multiLevelType w:val="multilevel"/>
    <w:tmpl w:val="31E22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44B066FF"/>
    <w:multiLevelType w:val="multilevel"/>
    <w:tmpl w:val="248A0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44CD3D7A"/>
    <w:multiLevelType w:val="multilevel"/>
    <w:tmpl w:val="887EE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453C5574"/>
    <w:multiLevelType w:val="hybridMultilevel"/>
    <w:tmpl w:val="EDF21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462703FD"/>
    <w:multiLevelType w:val="hybridMultilevel"/>
    <w:tmpl w:val="4E7C5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46310359"/>
    <w:multiLevelType w:val="hybridMultilevel"/>
    <w:tmpl w:val="EF227052"/>
    <w:lvl w:ilvl="0" w:tplc="7DB8A062">
      <w:start w:val="1"/>
      <w:numFmt w:val="bullet"/>
      <w:lvlText w:val=""/>
      <w:lvlJc w:val="left"/>
      <w:pPr>
        <w:ind w:left="720" w:hanging="360"/>
      </w:pPr>
      <w:rPr>
        <w:rFonts w:ascii="Symbol" w:hAnsi="Symbol" w:hint="default"/>
      </w:rPr>
    </w:lvl>
    <w:lvl w:ilvl="1" w:tplc="4040209C">
      <w:start w:val="1"/>
      <w:numFmt w:val="bullet"/>
      <w:lvlText w:val="o"/>
      <w:lvlJc w:val="left"/>
      <w:pPr>
        <w:ind w:left="1440" w:hanging="360"/>
      </w:pPr>
      <w:rPr>
        <w:rFonts w:ascii="Courier New" w:hAnsi="Courier New" w:hint="default"/>
      </w:rPr>
    </w:lvl>
    <w:lvl w:ilvl="2" w:tplc="4F608DA2">
      <w:start w:val="1"/>
      <w:numFmt w:val="bullet"/>
      <w:lvlText w:val=""/>
      <w:lvlJc w:val="left"/>
      <w:pPr>
        <w:ind w:left="2160" w:hanging="360"/>
      </w:pPr>
      <w:rPr>
        <w:rFonts w:ascii="Wingdings" w:hAnsi="Wingdings" w:hint="default"/>
      </w:rPr>
    </w:lvl>
    <w:lvl w:ilvl="3" w:tplc="273A5922">
      <w:start w:val="1"/>
      <w:numFmt w:val="bullet"/>
      <w:lvlText w:val=""/>
      <w:lvlJc w:val="left"/>
      <w:pPr>
        <w:ind w:left="2880" w:hanging="360"/>
      </w:pPr>
      <w:rPr>
        <w:rFonts w:ascii="Symbol" w:hAnsi="Symbol" w:hint="default"/>
      </w:rPr>
    </w:lvl>
    <w:lvl w:ilvl="4" w:tplc="F4CCDADE">
      <w:start w:val="1"/>
      <w:numFmt w:val="bullet"/>
      <w:lvlText w:val="o"/>
      <w:lvlJc w:val="left"/>
      <w:pPr>
        <w:ind w:left="3600" w:hanging="360"/>
      </w:pPr>
      <w:rPr>
        <w:rFonts w:ascii="Courier New" w:hAnsi="Courier New" w:hint="default"/>
      </w:rPr>
    </w:lvl>
    <w:lvl w:ilvl="5" w:tplc="FE163458">
      <w:start w:val="1"/>
      <w:numFmt w:val="bullet"/>
      <w:lvlText w:val=""/>
      <w:lvlJc w:val="left"/>
      <w:pPr>
        <w:ind w:left="4320" w:hanging="360"/>
      </w:pPr>
      <w:rPr>
        <w:rFonts w:ascii="Wingdings" w:hAnsi="Wingdings" w:hint="default"/>
      </w:rPr>
    </w:lvl>
    <w:lvl w:ilvl="6" w:tplc="6436D25A">
      <w:start w:val="1"/>
      <w:numFmt w:val="bullet"/>
      <w:lvlText w:val=""/>
      <w:lvlJc w:val="left"/>
      <w:pPr>
        <w:ind w:left="5040" w:hanging="360"/>
      </w:pPr>
      <w:rPr>
        <w:rFonts w:ascii="Symbol" w:hAnsi="Symbol" w:hint="default"/>
      </w:rPr>
    </w:lvl>
    <w:lvl w:ilvl="7" w:tplc="3D1E286A">
      <w:start w:val="1"/>
      <w:numFmt w:val="bullet"/>
      <w:lvlText w:val="o"/>
      <w:lvlJc w:val="left"/>
      <w:pPr>
        <w:ind w:left="5760" w:hanging="360"/>
      </w:pPr>
      <w:rPr>
        <w:rFonts w:ascii="Courier New" w:hAnsi="Courier New" w:hint="default"/>
      </w:rPr>
    </w:lvl>
    <w:lvl w:ilvl="8" w:tplc="F2A42998">
      <w:start w:val="1"/>
      <w:numFmt w:val="bullet"/>
      <w:lvlText w:val=""/>
      <w:lvlJc w:val="left"/>
      <w:pPr>
        <w:ind w:left="6480" w:hanging="360"/>
      </w:pPr>
      <w:rPr>
        <w:rFonts w:ascii="Wingdings" w:hAnsi="Wingdings" w:hint="default"/>
      </w:rPr>
    </w:lvl>
  </w:abstractNum>
  <w:abstractNum w:abstractNumId="204" w15:restartNumberingAfterBreak="0">
    <w:nsid w:val="46CC3BCD"/>
    <w:multiLevelType w:val="hybridMultilevel"/>
    <w:tmpl w:val="C9881B80"/>
    <w:lvl w:ilvl="0" w:tplc="52842952">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5" w15:restartNumberingAfterBreak="0">
    <w:nsid w:val="474B3A96"/>
    <w:multiLevelType w:val="hybridMultilevel"/>
    <w:tmpl w:val="EDF21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4765365B"/>
    <w:multiLevelType w:val="multilevel"/>
    <w:tmpl w:val="1F1E4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477524A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8" w15:restartNumberingAfterBreak="0">
    <w:nsid w:val="479B3DF8"/>
    <w:multiLevelType w:val="hybridMultilevel"/>
    <w:tmpl w:val="1F184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47A01310"/>
    <w:multiLevelType w:val="hybridMultilevel"/>
    <w:tmpl w:val="1C6E32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0" w15:restartNumberingAfterBreak="0">
    <w:nsid w:val="481803A9"/>
    <w:multiLevelType w:val="hybridMultilevel"/>
    <w:tmpl w:val="27066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48260820"/>
    <w:multiLevelType w:val="hybridMultilevel"/>
    <w:tmpl w:val="0778FF0E"/>
    <w:lvl w:ilvl="0" w:tplc="86F2513A">
      <w:start w:val="1"/>
      <w:numFmt w:val="bullet"/>
      <w:lvlText w:val=""/>
      <w:lvlJc w:val="left"/>
      <w:pPr>
        <w:ind w:left="720" w:hanging="360"/>
      </w:pPr>
      <w:rPr>
        <w:rFonts w:ascii="Symbol" w:hAnsi="Symbol" w:hint="default"/>
      </w:rPr>
    </w:lvl>
    <w:lvl w:ilvl="1" w:tplc="A198B38A">
      <w:start w:val="1"/>
      <w:numFmt w:val="bullet"/>
      <w:lvlText w:val="o"/>
      <w:lvlJc w:val="left"/>
      <w:pPr>
        <w:ind w:left="1440" w:hanging="360"/>
      </w:pPr>
      <w:rPr>
        <w:rFonts w:ascii="Courier New" w:hAnsi="Courier New" w:hint="default"/>
      </w:rPr>
    </w:lvl>
    <w:lvl w:ilvl="2" w:tplc="2B7448C6">
      <w:start w:val="1"/>
      <w:numFmt w:val="bullet"/>
      <w:lvlText w:val=""/>
      <w:lvlJc w:val="left"/>
      <w:pPr>
        <w:ind w:left="2160" w:hanging="360"/>
      </w:pPr>
      <w:rPr>
        <w:rFonts w:ascii="Wingdings" w:hAnsi="Wingdings" w:hint="default"/>
      </w:rPr>
    </w:lvl>
    <w:lvl w:ilvl="3" w:tplc="29A29CE6">
      <w:start w:val="1"/>
      <w:numFmt w:val="bullet"/>
      <w:lvlText w:val=""/>
      <w:lvlJc w:val="left"/>
      <w:pPr>
        <w:ind w:left="2880" w:hanging="360"/>
      </w:pPr>
      <w:rPr>
        <w:rFonts w:ascii="Symbol" w:hAnsi="Symbol" w:hint="default"/>
      </w:rPr>
    </w:lvl>
    <w:lvl w:ilvl="4" w:tplc="BA5E555A">
      <w:start w:val="1"/>
      <w:numFmt w:val="bullet"/>
      <w:lvlText w:val="o"/>
      <w:lvlJc w:val="left"/>
      <w:pPr>
        <w:ind w:left="3600" w:hanging="360"/>
      </w:pPr>
      <w:rPr>
        <w:rFonts w:ascii="Courier New" w:hAnsi="Courier New" w:hint="default"/>
      </w:rPr>
    </w:lvl>
    <w:lvl w:ilvl="5" w:tplc="F0D0EF62">
      <w:start w:val="1"/>
      <w:numFmt w:val="bullet"/>
      <w:lvlText w:val=""/>
      <w:lvlJc w:val="left"/>
      <w:pPr>
        <w:ind w:left="4320" w:hanging="360"/>
      </w:pPr>
      <w:rPr>
        <w:rFonts w:ascii="Wingdings" w:hAnsi="Wingdings" w:hint="default"/>
      </w:rPr>
    </w:lvl>
    <w:lvl w:ilvl="6" w:tplc="4CB63E1A">
      <w:start w:val="1"/>
      <w:numFmt w:val="bullet"/>
      <w:lvlText w:val=""/>
      <w:lvlJc w:val="left"/>
      <w:pPr>
        <w:ind w:left="5040" w:hanging="360"/>
      </w:pPr>
      <w:rPr>
        <w:rFonts w:ascii="Symbol" w:hAnsi="Symbol" w:hint="default"/>
      </w:rPr>
    </w:lvl>
    <w:lvl w:ilvl="7" w:tplc="CA2CAAA4">
      <w:start w:val="1"/>
      <w:numFmt w:val="bullet"/>
      <w:lvlText w:val="o"/>
      <w:lvlJc w:val="left"/>
      <w:pPr>
        <w:ind w:left="5760" w:hanging="360"/>
      </w:pPr>
      <w:rPr>
        <w:rFonts w:ascii="Courier New" w:hAnsi="Courier New" w:hint="default"/>
      </w:rPr>
    </w:lvl>
    <w:lvl w:ilvl="8" w:tplc="02FE12D0">
      <w:start w:val="1"/>
      <w:numFmt w:val="bullet"/>
      <w:lvlText w:val=""/>
      <w:lvlJc w:val="left"/>
      <w:pPr>
        <w:ind w:left="6480" w:hanging="360"/>
      </w:pPr>
      <w:rPr>
        <w:rFonts w:ascii="Wingdings" w:hAnsi="Wingdings" w:hint="default"/>
      </w:rPr>
    </w:lvl>
  </w:abstractNum>
  <w:abstractNum w:abstractNumId="212" w15:restartNumberingAfterBreak="0">
    <w:nsid w:val="485765A0"/>
    <w:multiLevelType w:val="hybridMultilevel"/>
    <w:tmpl w:val="C50009C0"/>
    <w:lvl w:ilvl="0" w:tplc="C4103544">
      <w:numFmt w:val="bullet"/>
      <w:lvlText w:val="-"/>
      <w:lvlJc w:val="left"/>
      <w:pPr>
        <w:ind w:left="720" w:hanging="360"/>
      </w:pPr>
      <w:rPr>
        <w:rFonts w:ascii="Arial" w:eastAsia="Arial" w:hAnsi="Arial" w:cs="Arial" w:hint="default"/>
        <w:sz w:val="13"/>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15:restartNumberingAfterBreak="0">
    <w:nsid w:val="48604582"/>
    <w:multiLevelType w:val="hybridMultilevel"/>
    <w:tmpl w:val="B650CC6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4" w15:restartNumberingAfterBreak="0">
    <w:nsid w:val="48953C2A"/>
    <w:multiLevelType w:val="multilevel"/>
    <w:tmpl w:val="C4A227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5" w15:restartNumberingAfterBreak="0">
    <w:nsid w:val="48A2207D"/>
    <w:multiLevelType w:val="hybridMultilevel"/>
    <w:tmpl w:val="16507C18"/>
    <w:lvl w:ilvl="0" w:tplc="69425FDA">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6" w15:restartNumberingAfterBreak="0">
    <w:nsid w:val="49962DB3"/>
    <w:multiLevelType w:val="hybridMultilevel"/>
    <w:tmpl w:val="FFFFFFFF"/>
    <w:lvl w:ilvl="0" w:tplc="43D2659E">
      <w:start w:val="1"/>
      <w:numFmt w:val="decimal"/>
      <w:lvlText w:val="%1."/>
      <w:lvlJc w:val="left"/>
      <w:pPr>
        <w:ind w:left="720" w:hanging="360"/>
      </w:pPr>
    </w:lvl>
    <w:lvl w:ilvl="1" w:tplc="B4B89A8C">
      <w:start w:val="1"/>
      <w:numFmt w:val="lowerLetter"/>
      <w:lvlText w:val="%2."/>
      <w:lvlJc w:val="left"/>
      <w:pPr>
        <w:ind w:left="1440" w:hanging="360"/>
      </w:pPr>
    </w:lvl>
    <w:lvl w:ilvl="2" w:tplc="67708D02">
      <w:start w:val="1"/>
      <w:numFmt w:val="lowerRoman"/>
      <w:lvlText w:val="%3."/>
      <w:lvlJc w:val="right"/>
      <w:pPr>
        <w:ind w:left="2160" w:hanging="180"/>
      </w:pPr>
    </w:lvl>
    <w:lvl w:ilvl="3" w:tplc="065E8F48">
      <w:start w:val="1"/>
      <w:numFmt w:val="decimal"/>
      <w:lvlText w:val="%4."/>
      <w:lvlJc w:val="left"/>
      <w:pPr>
        <w:ind w:left="2880" w:hanging="360"/>
      </w:pPr>
    </w:lvl>
    <w:lvl w:ilvl="4" w:tplc="2688AEC4">
      <w:start w:val="1"/>
      <w:numFmt w:val="lowerLetter"/>
      <w:lvlText w:val="%5."/>
      <w:lvlJc w:val="left"/>
      <w:pPr>
        <w:ind w:left="3600" w:hanging="360"/>
      </w:pPr>
    </w:lvl>
    <w:lvl w:ilvl="5" w:tplc="32AC6A0C">
      <w:start w:val="1"/>
      <w:numFmt w:val="lowerRoman"/>
      <w:lvlText w:val="%6."/>
      <w:lvlJc w:val="right"/>
      <w:pPr>
        <w:ind w:left="4320" w:hanging="180"/>
      </w:pPr>
    </w:lvl>
    <w:lvl w:ilvl="6" w:tplc="EA321E30">
      <w:start w:val="1"/>
      <w:numFmt w:val="decimal"/>
      <w:lvlText w:val="%7."/>
      <w:lvlJc w:val="left"/>
      <w:pPr>
        <w:ind w:left="5040" w:hanging="360"/>
      </w:pPr>
    </w:lvl>
    <w:lvl w:ilvl="7" w:tplc="9968D166">
      <w:start w:val="1"/>
      <w:numFmt w:val="lowerLetter"/>
      <w:lvlText w:val="%8."/>
      <w:lvlJc w:val="left"/>
      <w:pPr>
        <w:ind w:left="5760" w:hanging="360"/>
      </w:pPr>
    </w:lvl>
    <w:lvl w:ilvl="8" w:tplc="C78860EA">
      <w:start w:val="1"/>
      <w:numFmt w:val="lowerRoman"/>
      <w:lvlText w:val="%9."/>
      <w:lvlJc w:val="right"/>
      <w:pPr>
        <w:ind w:left="6480" w:hanging="180"/>
      </w:pPr>
    </w:lvl>
  </w:abstractNum>
  <w:abstractNum w:abstractNumId="217" w15:restartNumberingAfterBreak="0">
    <w:nsid w:val="49AA369C"/>
    <w:multiLevelType w:val="hybridMultilevel"/>
    <w:tmpl w:val="2A1280FE"/>
    <w:lvl w:ilvl="0" w:tplc="FC9EFCC0">
      <w:start w:val="1"/>
      <w:numFmt w:val="bullet"/>
      <w:lvlText w:val=""/>
      <w:lvlJc w:val="left"/>
      <w:pPr>
        <w:ind w:left="720" w:hanging="360"/>
      </w:pPr>
      <w:rPr>
        <w:rFonts w:ascii="Symbol" w:hAnsi="Symbol" w:hint="default"/>
      </w:rPr>
    </w:lvl>
    <w:lvl w:ilvl="1" w:tplc="15C23A32">
      <w:start w:val="1"/>
      <w:numFmt w:val="bullet"/>
      <w:lvlText w:val="o"/>
      <w:lvlJc w:val="left"/>
      <w:pPr>
        <w:ind w:left="1440" w:hanging="360"/>
      </w:pPr>
      <w:rPr>
        <w:rFonts w:ascii="Courier New" w:hAnsi="Courier New" w:hint="default"/>
      </w:rPr>
    </w:lvl>
    <w:lvl w:ilvl="2" w:tplc="DEDC4828">
      <w:start w:val="1"/>
      <w:numFmt w:val="bullet"/>
      <w:lvlText w:val=""/>
      <w:lvlJc w:val="left"/>
      <w:pPr>
        <w:ind w:left="2160" w:hanging="360"/>
      </w:pPr>
      <w:rPr>
        <w:rFonts w:ascii="Wingdings" w:hAnsi="Wingdings" w:hint="default"/>
      </w:rPr>
    </w:lvl>
    <w:lvl w:ilvl="3" w:tplc="B81477AA">
      <w:start w:val="1"/>
      <w:numFmt w:val="bullet"/>
      <w:lvlText w:val=""/>
      <w:lvlJc w:val="left"/>
      <w:pPr>
        <w:ind w:left="2880" w:hanging="360"/>
      </w:pPr>
      <w:rPr>
        <w:rFonts w:ascii="Symbol" w:hAnsi="Symbol" w:hint="default"/>
      </w:rPr>
    </w:lvl>
    <w:lvl w:ilvl="4" w:tplc="204A0B2E">
      <w:start w:val="1"/>
      <w:numFmt w:val="bullet"/>
      <w:lvlText w:val="o"/>
      <w:lvlJc w:val="left"/>
      <w:pPr>
        <w:ind w:left="3600" w:hanging="360"/>
      </w:pPr>
      <w:rPr>
        <w:rFonts w:ascii="Courier New" w:hAnsi="Courier New" w:hint="default"/>
      </w:rPr>
    </w:lvl>
    <w:lvl w:ilvl="5" w:tplc="5B24E744">
      <w:start w:val="1"/>
      <w:numFmt w:val="bullet"/>
      <w:lvlText w:val=""/>
      <w:lvlJc w:val="left"/>
      <w:pPr>
        <w:ind w:left="4320" w:hanging="360"/>
      </w:pPr>
      <w:rPr>
        <w:rFonts w:ascii="Wingdings" w:hAnsi="Wingdings" w:hint="default"/>
      </w:rPr>
    </w:lvl>
    <w:lvl w:ilvl="6" w:tplc="AF12E1D8">
      <w:start w:val="1"/>
      <w:numFmt w:val="bullet"/>
      <w:lvlText w:val=""/>
      <w:lvlJc w:val="left"/>
      <w:pPr>
        <w:ind w:left="5040" w:hanging="360"/>
      </w:pPr>
      <w:rPr>
        <w:rFonts w:ascii="Symbol" w:hAnsi="Symbol" w:hint="default"/>
      </w:rPr>
    </w:lvl>
    <w:lvl w:ilvl="7" w:tplc="E1F02EE8">
      <w:start w:val="1"/>
      <w:numFmt w:val="bullet"/>
      <w:lvlText w:val="o"/>
      <w:lvlJc w:val="left"/>
      <w:pPr>
        <w:ind w:left="5760" w:hanging="360"/>
      </w:pPr>
      <w:rPr>
        <w:rFonts w:ascii="Courier New" w:hAnsi="Courier New" w:hint="default"/>
      </w:rPr>
    </w:lvl>
    <w:lvl w:ilvl="8" w:tplc="FF309E18">
      <w:start w:val="1"/>
      <w:numFmt w:val="bullet"/>
      <w:lvlText w:val=""/>
      <w:lvlJc w:val="left"/>
      <w:pPr>
        <w:ind w:left="6480" w:hanging="360"/>
      </w:pPr>
      <w:rPr>
        <w:rFonts w:ascii="Wingdings" w:hAnsi="Wingdings" w:hint="default"/>
      </w:rPr>
    </w:lvl>
  </w:abstractNum>
  <w:abstractNum w:abstractNumId="218" w15:restartNumberingAfterBreak="0">
    <w:nsid w:val="4AD04CDE"/>
    <w:multiLevelType w:val="hybridMultilevel"/>
    <w:tmpl w:val="238E75DA"/>
    <w:lvl w:ilvl="0" w:tplc="C0AC2BE6">
      <w:start w:val="1"/>
      <w:numFmt w:val="bullet"/>
      <w:lvlText w:val="–"/>
      <w:lvlJc w:val="left"/>
      <w:pPr>
        <w:ind w:left="720" w:hanging="360"/>
      </w:pPr>
      <w:rPr>
        <w:rFonts w:ascii="Calibri" w:hAnsi="Calibri" w:hint="default"/>
      </w:rPr>
    </w:lvl>
    <w:lvl w:ilvl="1" w:tplc="A2ECE5F6" w:tentative="1">
      <w:start w:val="1"/>
      <w:numFmt w:val="bullet"/>
      <w:lvlText w:val="o"/>
      <w:lvlJc w:val="left"/>
      <w:pPr>
        <w:ind w:left="1440" w:hanging="360"/>
      </w:pPr>
      <w:rPr>
        <w:rFonts w:ascii="Courier New" w:hAnsi="Courier New" w:hint="default"/>
      </w:rPr>
    </w:lvl>
    <w:lvl w:ilvl="2" w:tplc="B5421830" w:tentative="1">
      <w:start w:val="1"/>
      <w:numFmt w:val="bullet"/>
      <w:lvlText w:val=""/>
      <w:lvlJc w:val="left"/>
      <w:pPr>
        <w:ind w:left="2160" w:hanging="360"/>
      </w:pPr>
      <w:rPr>
        <w:rFonts w:ascii="Wingdings" w:hAnsi="Wingdings" w:hint="default"/>
      </w:rPr>
    </w:lvl>
    <w:lvl w:ilvl="3" w:tplc="5C743E54" w:tentative="1">
      <w:start w:val="1"/>
      <w:numFmt w:val="bullet"/>
      <w:lvlText w:val=""/>
      <w:lvlJc w:val="left"/>
      <w:pPr>
        <w:ind w:left="2880" w:hanging="360"/>
      </w:pPr>
      <w:rPr>
        <w:rFonts w:ascii="Symbol" w:hAnsi="Symbol" w:hint="default"/>
      </w:rPr>
    </w:lvl>
    <w:lvl w:ilvl="4" w:tplc="8050F146" w:tentative="1">
      <w:start w:val="1"/>
      <w:numFmt w:val="bullet"/>
      <w:lvlText w:val="o"/>
      <w:lvlJc w:val="left"/>
      <w:pPr>
        <w:ind w:left="3600" w:hanging="360"/>
      </w:pPr>
      <w:rPr>
        <w:rFonts w:ascii="Courier New" w:hAnsi="Courier New" w:hint="default"/>
      </w:rPr>
    </w:lvl>
    <w:lvl w:ilvl="5" w:tplc="B324F83C" w:tentative="1">
      <w:start w:val="1"/>
      <w:numFmt w:val="bullet"/>
      <w:lvlText w:val=""/>
      <w:lvlJc w:val="left"/>
      <w:pPr>
        <w:ind w:left="4320" w:hanging="360"/>
      </w:pPr>
      <w:rPr>
        <w:rFonts w:ascii="Wingdings" w:hAnsi="Wingdings" w:hint="default"/>
      </w:rPr>
    </w:lvl>
    <w:lvl w:ilvl="6" w:tplc="CE5C3C4A" w:tentative="1">
      <w:start w:val="1"/>
      <w:numFmt w:val="bullet"/>
      <w:lvlText w:val=""/>
      <w:lvlJc w:val="left"/>
      <w:pPr>
        <w:ind w:left="5040" w:hanging="360"/>
      </w:pPr>
      <w:rPr>
        <w:rFonts w:ascii="Symbol" w:hAnsi="Symbol" w:hint="default"/>
      </w:rPr>
    </w:lvl>
    <w:lvl w:ilvl="7" w:tplc="6810B7A6" w:tentative="1">
      <w:start w:val="1"/>
      <w:numFmt w:val="bullet"/>
      <w:lvlText w:val="o"/>
      <w:lvlJc w:val="left"/>
      <w:pPr>
        <w:ind w:left="5760" w:hanging="360"/>
      </w:pPr>
      <w:rPr>
        <w:rFonts w:ascii="Courier New" w:hAnsi="Courier New" w:hint="default"/>
      </w:rPr>
    </w:lvl>
    <w:lvl w:ilvl="8" w:tplc="D10A2630" w:tentative="1">
      <w:start w:val="1"/>
      <w:numFmt w:val="bullet"/>
      <w:lvlText w:val=""/>
      <w:lvlJc w:val="left"/>
      <w:pPr>
        <w:ind w:left="6480" w:hanging="360"/>
      </w:pPr>
      <w:rPr>
        <w:rFonts w:ascii="Wingdings" w:hAnsi="Wingdings" w:hint="default"/>
      </w:rPr>
    </w:lvl>
  </w:abstractNum>
  <w:abstractNum w:abstractNumId="219" w15:restartNumberingAfterBreak="0">
    <w:nsid w:val="4AD93847"/>
    <w:multiLevelType w:val="hybridMultilevel"/>
    <w:tmpl w:val="8AF0B182"/>
    <w:lvl w:ilvl="0" w:tplc="67722216">
      <w:start w:val="1"/>
      <w:numFmt w:val="lowerRoman"/>
      <w:lvlText w:val="(%1)"/>
      <w:lvlJc w:val="left"/>
      <w:pPr>
        <w:ind w:left="720" w:hanging="720"/>
      </w:pPr>
      <w:rPr>
        <w:rFonts w:hint="default"/>
        <w:i/>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0" w15:restartNumberingAfterBreak="0">
    <w:nsid w:val="4BA249C2"/>
    <w:multiLevelType w:val="multilevel"/>
    <w:tmpl w:val="C73E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4BC05738"/>
    <w:multiLevelType w:val="hybridMultilevel"/>
    <w:tmpl w:val="26841BA6"/>
    <w:lvl w:ilvl="0" w:tplc="798EB916">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2" w15:restartNumberingAfterBreak="0">
    <w:nsid w:val="4C1E8CCA"/>
    <w:multiLevelType w:val="hybridMultilevel"/>
    <w:tmpl w:val="109C8EA4"/>
    <w:lvl w:ilvl="0" w:tplc="A67A40BA">
      <w:start w:val="1"/>
      <w:numFmt w:val="bullet"/>
      <w:lvlText w:val="·"/>
      <w:lvlJc w:val="left"/>
      <w:pPr>
        <w:ind w:left="720" w:hanging="360"/>
      </w:pPr>
      <w:rPr>
        <w:rFonts w:ascii="Symbol" w:hAnsi="Symbol" w:hint="default"/>
      </w:rPr>
    </w:lvl>
    <w:lvl w:ilvl="1" w:tplc="9ADC7954">
      <w:start w:val="1"/>
      <w:numFmt w:val="bullet"/>
      <w:lvlText w:val="o"/>
      <w:lvlJc w:val="left"/>
      <w:pPr>
        <w:ind w:left="1440" w:hanging="360"/>
      </w:pPr>
      <w:rPr>
        <w:rFonts w:ascii="Courier New" w:hAnsi="Courier New" w:hint="default"/>
      </w:rPr>
    </w:lvl>
    <w:lvl w:ilvl="2" w:tplc="0018D6DE">
      <w:start w:val="1"/>
      <w:numFmt w:val="bullet"/>
      <w:lvlText w:val=""/>
      <w:lvlJc w:val="left"/>
      <w:pPr>
        <w:ind w:left="2160" w:hanging="360"/>
      </w:pPr>
      <w:rPr>
        <w:rFonts w:ascii="Wingdings" w:hAnsi="Wingdings" w:hint="default"/>
      </w:rPr>
    </w:lvl>
    <w:lvl w:ilvl="3" w:tplc="872C0516">
      <w:start w:val="1"/>
      <w:numFmt w:val="bullet"/>
      <w:lvlText w:val=""/>
      <w:lvlJc w:val="left"/>
      <w:pPr>
        <w:ind w:left="2880" w:hanging="360"/>
      </w:pPr>
      <w:rPr>
        <w:rFonts w:ascii="Symbol" w:hAnsi="Symbol" w:hint="default"/>
      </w:rPr>
    </w:lvl>
    <w:lvl w:ilvl="4" w:tplc="671C01D6">
      <w:start w:val="1"/>
      <w:numFmt w:val="bullet"/>
      <w:lvlText w:val="o"/>
      <w:lvlJc w:val="left"/>
      <w:pPr>
        <w:ind w:left="3600" w:hanging="360"/>
      </w:pPr>
      <w:rPr>
        <w:rFonts w:ascii="Courier New" w:hAnsi="Courier New" w:hint="default"/>
      </w:rPr>
    </w:lvl>
    <w:lvl w:ilvl="5" w:tplc="C6A06BC2">
      <w:start w:val="1"/>
      <w:numFmt w:val="bullet"/>
      <w:lvlText w:val=""/>
      <w:lvlJc w:val="left"/>
      <w:pPr>
        <w:ind w:left="4320" w:hanging="360"/>
      </w:pPr>
      <w:rPr>
        <w:rFonts w:ascii="Wingdings" w:hAnsi="Wingdings" w:hint="default"/>
      </w:rPr>
    </w:lvl>
    <w:lvl w:ilvl="6" w:tplc="6DC48888">
      <w:start w:val="1"/>
      <w:numFmt w:val="bullet"/>
      <w:lvlText w:val=""/>
      <w:lvlJc w:val="left"/>
      <w:pPr>
        <w:ind w:left="5040" w:hanging="360"/>
      </w:pPr>
      <w:rPr>
        <w:rFonts w:ascii="Symbol" w:hAnsi="Symbol" w:hint="default"/>
      </w:rPr>
    </w:lvl>
    <w:lvl w:ilvl="7" w:tplc="552288F4">
      <w:start w:val="1"/>
      <w:numFmt w:val="bullet"/>
      <w:lvlText w:val="o"/>
      <w:lvlJc w:val="left"/>
      <w:pPr>
        <w:ind w:left="5760" w:hanging="360"/>
      </w:pPr>
      <w:rPr>
        <w:rFonts w:ascii="Courier New" w:hAnsi="Courier New" w:hint="default"/>
      </w:rPr>
    </w:lvl>
    <w:lvl w:ilvl="8" w:tplc="93AE03EC">
      <w:start w:val="1"/>
      <w:numFmt w:val="bullet"/>
      <w:lvlText w:val=""/>
      <w:lvlJc w:val="left"/>
      <w:pPr>
        <w:ind w:left="6480" w:hanging="360"/>
      </w:pPr>
      <w:rPr>
        <w:rFonts w:ascii="Wingdings" w:hAnsi="Wingdings" w:hint="default"/>
      </w:rPr>
    </w:lvl>
  </w:abstractNum>
  <w:abstractNum w:abstractNumId="223" w15:restartNumberingAfterBreak="0">
    <w:nsid w:val="4C1FAB6C"/>
    <w:multiLevelType w:val="hybridMultilevel"/>
    <w:tmpl w:val="FFFFFFFF"/>
    <w:lvl w:ilvl="0" w:tplc="99886800">
      <w:start w:val="1"/>
      <w:numFmt w:val="decimal"/>
      <w:lvlText w:val="%1."/>
      <w:lvlJc w:val="left"/>
      <w:pPr>
        <w:ind w:left="720" w:hanging="360"/>
      </w:pPr>
    </w:lvl>
    <w:lvl w:ilvl="1" w:tplc="593A7472">
      <w:start w:val="1"/>
      <w:numFmt w:val="lowerLetter"/>
      <w:lvlText w:val="%2."/>
      <w:lvlJc w:val="left"/>
      <w:pPr>
        <w:ind w:left="1440" w:hanging="360"/>
      </w:pPr>
    </w:lvl>
    <w:lvl w:ilvl="2" w:tplc="C2F22ED6">
      <w:start w:val="1"/>
      <w:numFmt w:val="lowerRoman"/>
      <w:lvlText w:val="%3."/>
      <w:lvlJc w:val="right"/>
      <w:pPr>
        <w:ind w:left="2160" w:hanging="180"/>
      </w:pPr>
    </w:lvl>
    <w:lvl w:ilvl="3" w:tplc="41C8271C">
      <w:start w:val="1"/>
      <w:numFmt w:val="decimal"/>
      <w:lvlText w:val="%4."/>
      <w:lvlJc w:val="left"/>
      <w:pPr>
        <w:ind w:left="2880" w:hanging="360"/>
      </w:pPr>
    </w:lvl>
    <w:lvl w:ilvl="4" w:tplc="BDA87CFE">
      <w:start w:val="1"/>
      <w:numFmt w:val="lowerLetter"/>
      <w:lvlText w:val="%5."/>
      <w:lvlJc w:val="left"/>
      <w:pPr>
        <w:ind w:left="3600" w:hanging="360"/>
      </w:pPr>
    </w:lvl>
    <w:lvl w:ilvl="5" w:tplc="7C8681D8">
      <w:start w:val="1"/>
      <w:numFmt w:val="lowerRoman"/>
      <w:lvlText w:val="%6."/>
      <w:lvlJc w:val="right"/>
      <w:pPr>
        <w:ind w:left="4320" w:hanging="180"/>
      </w:pPr>
    </w:lvl>
    <w:lvl w:ilvl="6" w:tplc="A362774E">
      <w:start w:val="1"/>
      <w:numFmt w:val="decimal"/>
      <w:lvlText w:val="%7."/>
      <w:lvlJc w:val="left"/>
      <w:pPr>
        <w:ind w:left="5040" w:hanging="360"/>
      </w:pPr>
    </w:lvl>
    <w:lvl w:ilvl="7" w:tplc="780287F8">
      <w:start w:val="1"/>
      <w:numFmt w:val="lowerLetter"/>
      <w:lvlText w:val="%8."/>
      <w:lvlJc w:val="left"/>
      <w:pPr>
        <w:ind w:left="5760" w:hanging="360"/>
      </w:pPr>
    </w:lvl>
    <w:lvl w:ilvl="8" w:tplc="9D543218">
      <w:start w:val="1"/>
      <w:numFmt w:val="lowerRoman"/>
      <w:lvlText w:val="%9."/>
      <w:lvlJc w:val="right"/>
      <w:pPr>
        <w:ind w:left="6480" w:hanging="180"/>
      </w:pPr>
    </w:lvl>
  </w:abstractNum>
  <w:abstractNum w:abstractNumId="224" w15:restartNumberingAfterBreak="0">
    <w:nsid w:val="4C291218"/>
    <w:multiLevelType w:val="hybridMultilevel"/>
    <w:tmpl w:val="3BF8EB1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5" w15:restartNumberingAfterBreak="0">
    <w:nsid w:val="4C4707D3"/>
    <w:multiLevelType w:val="multilevel"/>
    <w:tmpl w:val="7144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4C593749"/>
    <w:multiLevelType w:val="hybridMultilevel"/>
    <w:tmpl w:val="6EBA4856"/>
    <w:lvl w:ilvl="0" w:tplc="950203E2">
      <w:start w:val="1"/>
      <w:numFmt w:val="bullet"/>
      <w:lvlText w:val="●"/>
      <w:lvlJc w:val="left"/>
      <w:pPr>
        <w:ind w:left="720" w:hanging="360"/>
      </w:pPr>
    </w:lvl>
    <w:lvl w:ilvl="1" w:tplc="662299CE">
      <w:start w:val="1"/>
      <w:numFmt w:val="bullet"/>
      <w:lvlText w:val="○"/>
      <w:lvlJc w:val="left"/>
      <w:pPr>
        <w:ind w:left="1440" w:hanging="360"/>
      </w:pPr>
    </w:lvl>
    <w:lvl w:ilvl="2" w:tplc="E74E4122">
      <w:start w:val="1"/>
      <w:numFmt w:val="bullet"/>
      <w:lvlText w:val="■"/>
      <w:lvlJc w:val="left"/>
      <w:pPr>
        <w:ind w:left="2160" w:hanging="360"/>
      </w:pPr>
    </w:lvl>
    <w:lvl w:ilvl="3" w:tplc="1444C8B8">
      <w:start w:val="1"/>
      <w:numFmt w:val="bullet"/>
      <w:lvlText w:val="●"/>
      <w:lvlJc w:val="left"/>
      <w:pPr>
        <w:ind w:left="2880" w:hanging="360"/>
      </w:pPr>
    </w:lvl>
    <w:lvl w:ilvl="4" w:tplc="C496460A">
      <w:start w:val="1"/>
      <w:numFmt w:val="bullet"/>
      <w:lvlText w:val="○"/>
      <w:lvlJc w:val="left"/>
      <w:pPr>
        <w:ind w:left="3600" w:hanging="360"/>
      </w:pPr>
    </w:lvl>
    <w:lvl w:ilvl="5" w:tplc="439055C0">
      <w:start w:val="1"/>
      <w:numFmt w:val="bullet"/>
      <w:lvlText w:val="■"/>
      <w:lvlJc w:val="left"/>
      <w:pPr>
        <w:ind w:left="4320" w:hanging="360"/>
      </w:pPr>
    </w:lvl>
    <w:lvl w:ilvl="6" w:tplc="2814D870">
      <w:start w:val="1"/>
      <w:numFmt w:val="bullet"/>
      <w:lvlText w:val="●"/>
      <w:lvlJc w:val="left"/>
      <w:pPr>
        <w:ind w:left="5040" w:hanging="360"/>
      </w:pPr>
    </w:lvl>
    <w:lvl w:ilvl="7" w:tplc="E1CCE5A0">
      <w:start w:val="1"/>
      <w:numFmt w:val="bullet"/>
      <w:lvlText w:val="●"/>
      <w:lvlJc w:val="left"/>
      <w:pPr>
        <w:ind w:left="5760" w:hanging="360"/>
      </w:pPr>
    </w:lvl>
    <w:lvl w:ilvl="8" w:tplc="C0120656">
      <w:start w:val="1"/>
      <w:numFmt w:val="bullet"/>
      <w:lvlText w:val="●"/>
      <w:lvlJc w:val="left"/>
      <w:pPr>
        <w:ind w:left="6480" w:hanging="360"/>
      </w:pPr>
    </w:lvl>
  </w:abstractNum>
  <w:abstractNum w:abstractNumId="227" w15:restartNumberingAfterBreak="0">
    <w:nsid w:val="4C6870E7"/>
    <w:multiLevelType w:val="hybridMultilevel"/>
    <w:tmpl w:val="384AF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4D7D0A79"/>
    <w:multiLevelType w:val="multilevel"/>
    <w:tmpl w:val="E20EC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4D83E7DE"/>
    <w:multiLevelType w:val="hybridMultilevel"/>
    <w:tmpl w:val="FFFFFFFF"/>
    <w:lvl w:ilvl="0" w:tplc="7DBC1ABE">
      <w:start w:val="1"/>
      <w:numFmt w:val="bullet"/>
      <w:lvlText w:val=""/>
      <w:lvlJc w:val="left"/>
      <w:pPr>
        <w:ind w:left="720" w:hanging="360"/>
      </w:pPr>
      <w:rPr>
        <w:rFonts w:ascii="Symbol" w:hAnsi="Symbol" w:hint="default"/>
      </w:rPr>
    </w:lvl>
    <w:lvl w:ilvl="1" w:tplc="625E2E1C">
      <w:start w:val="1"/>
      <w:numFmt w:val="bullet"/>
      <w:lvlText w:val="o"/>
      <w:lvlJc w:val="left"/>
      <w:pPr>
        <w:ind w:left="1440" w:hanging="360"/>
      </w:pPr>
      <w:rPr>
        <w:rFonts w:ascii="Courier New" w:hAnsi="Courier New" w:hint="default"/>
      </w:rPr>
    </w:lvl>
    <w:lvl w:ilvl="2" w:tplc="5E4883B2">
      <w:start w:val="1"/>
      <w:numFmt w:val="bullet"/>
      <w:lvlText w:val=""/>
      <w:lvlJc w:val="left"/>
      <w:pPr>
        <w:ind w:left="2160" w:hanging="360"/>
      </w:pPr>
      <w:rPr>
        <w:rFonts w:ascii="Wingdings" w:hAnsi="Wingdings" w:hint="default"/>
      </w:rPr>
    </w:lvl>
    <w:lvl w:ilvl="3" w:tplc="B79E9D36">
      <w:start w:val="1"/>
      <w:numFmt w:val="bullet"/>
      <w:lvlText w:val=""/>
      <w:lvlJc w:val="left"/>
      <w:pPr>
        <w:ind w:left="2880" w:hanging="360"/>
      </w:pPr>
      <w:rPr>
        <w:rFonts w:ascii="Symbol" w:hAnsi="Symbol" w:hint="default"/>
      </w:rPr>
    </w:lvl>
    <w:lvl w:ilvl="4" w:tplc="86725778">
      <w:start w:val="1"/>
      <w:numFmt w:val="bullet"/>
      <w:lvlText w:val="o"/>
      <w:lvlJc w:val="left"/>
      <w:pPr>
        <w:ind w:left="3600" w:hanging="360"/>
      </w:pPr>
      <w:rPr>
        <w:rFonts w:ascii="Courier New" w:hAnsi="Courier New" w:hint="default"/>
      </w:rPr>
    </w:lvl>
    <w:lvl w:ilvl="5" w:tplc="2E0A9A04">
      <w:start w:val="1"/>
      <w:numFmt w:val="bullet"/>
      <w:lvlText w:val=""/>
      <w:lvlJc w:val="left"/>
      <w:pPr>
        <w:ind w:left="4320" w:hanging="360"/>
      </w:pPr>
      <w:rPr>
        <w:rFonts w:ascii="Wingdings" w:hAnsi="Wingdings" w:hint="default"/>
      </w:rPr>
    </w:lvl>
    <w:lvl w:ilvl="6" w:tplc="24E827D2">
      <w:start w:val="1"/>
      <w:numFmt w:val="bullet"/>
      <w:lvlText w:val=""/>
      <w:lvlJc w:val="left"/>
      <w:pPr>
        <w:ind w:left="5040" w:hanging="360"/>
      </w:pPr>
      <w:rPr>
        <w:rFonts w:ascii="Symbol" w:hAnsi="Symbol" w:hint="default"/>
      </w:rPr>
    </w:lvl>
    <w:lvl w:ilvl="7" w:tplc="20FA7FAE">
      <w:start w:val="1"/>
      <w:numFmt w:val="bullet"/>
      <w:lvlText w:val="o"/>
      <w:lvlJc w:val="left"/>
      <w:pPr>
        <w:ind w:left="5760" w:hanging="360"/>
      </w:pPr>
      <w:rPr>
        <w:rFonts w:ascii="Courier New" w:hAnsi="Courier New" w:hint="default"/>
      </w:rPr>
    </w:lvl>
    <w:lvl w:ilvl="8" w:tplc="D01C37A8">
      <w:start w:val="1"/>
      <w:numFmt w:val="bullet"/>
      <w:lvlText w:val=""/>
      <w:lvlJc w:val="left"/>
      <w:pPr>
        <w:ind w:left="6480" w:hanging="360"/>
      </w:pPr>
      <w:rPr>
        <w:rFonts w:ascii="Wingdings" w:hAnsi="Wingdings" w:hint="default"/>
      </w:rPr>
    </w:lvl>
  </w:abstractNum>
  <w:abstractNum w:abstractNumId="230" w15:restartNumberingAfterBreak="0">
    <w:nsid w:val="4DC01776"/>
    <w:multiLevelType w:val="multilevel"/>
    <w:tmpl w:val="60E0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4DE814E0"/>
    <w:multiLevelType w:val="hybridMultilevel"/>
    <w:tmpl w:val="D00E5A9E"/>
    <w:lvl w:ilvl="0" w:tplc="A4782428">
      <w:numFmt w:val="bullet"/>
      <w:lvlText w:val="-"/>
      <w:lvlJc w:val="left"/>
      <w:pPr>
        <w:ind w:left="720" w:hanging="360"/>
      </w:pPr>
      <w:rPr>
        <w:rFonts w:ascii="Times New Roman" w:hAnsi="Times New Roman" w:hint="default"/>
      </w:rPr>
    </w:lvl>
    <w:lvl w:ilvl="1" w:tplc="624A3F4E" w:tentative="1">
      <w:start w:val="1"/>
      <w:numFmt w:val="bullet"/>
      <w:lvlText w:val="o"/>
      <w:lvlJc w:val="left"/>
      <w:pPr>
        <w:ind w:left="1440" w:hanging="360"/>
      </w:pPr>
      <w:rPr>
        <w:rFonts w:ascii="Courier New" w:hAnsi="Courier New" w:hint="default"/>
      </w:rPr>
    </w:lvl>
    <w:lvl w:ilvl="2" w:tplc="FFB216C6" w:tentative="1">
      <w:start w:val="1"/>
      <w:numFmt w:val="bullet"/>
      <w:lvlText w:val=""/>
      <w:lvlJc w:val="left"/>
      <w:pPr>
        <w:ind w:left="2160" w:hanging="360"/>
      </w:pPr>
      <w:rPr>
        <w:rFonts w:ascii="Wingdings" w:hAnsi="Wingdings" w:hint="default"/>
      </w:rPr>
    </w:lvl>
    <w:lvl w:ilvl="3" w:tplc="F81026E4" w:tentative="1">
      <w:start w:val="1"/>
      <w:numFmt w:val="bullet"/>
      <w:lvlText w:val=""/>
      <w:lvlJc w:val="left"/>
      <w:pPr>
        <w:ind w:left="2880" w:hanging="360"/>
      </w:pPr>
      <w:rPr>
        <w:rFonts w:ascii="Symbol" w:hAnsi="Symbol" w:hint="default"/>
      </w:rPr>
    </w:lvl>
    <w:lvl w:ilvl="4" w:tplc="4AEA59E2" w:tentative="1">
      <w:start w:val="1"/>
      <w:numFmt w:val="bullet"/>
      <w:lvlText w:val="o"/>
      <w:lvlJc w:val="left"/>
      <w:pPr>
        <w:ind w:left="3600" w:hanging="360"/>
      </w:pPr>
      <w:rPr>
        <w:rFonts w:ascii="Courier New" w:hAnsi="Courier New" w:hint="default"/>
      </w:rPr>
    </w:lvl>
    <w:lvl w:ilvl="5" w:tplc="B5F29124" w:tentative="1">
      <w:start w:val="1"/>
      <w:numFmt w:val="bullet"/>
      <w:lvlText w:val=""/>
      <w:lvlJc w:val="left"/>
      <w:pPr>
        <w:ind w:left="4320" w:hanging="360"/>
      </w:pPr>
      <w:rPr>
        <w:rFonts w:ascii="Wingdings" w:hAnsi="Wingdings" w:hint="default"/>
      </w:rPr>
    </w:lvl>
    <w:lvl w:ilvl="6" w:tplc="92DA3314" w:tentative="1">
      <w:start w:val="1"/>
      <w:numFmt w:val="bullet"/>
      <w:lvlText w:val=""/>
      <w:lvlJc w:val="left"/>
      <w:pPr>
        <w:ind w:left="5040" w:hanging="360"/>
      </w:pPr>
      <w:rPr>
        <w:rFonts w:ascii="Symbol" w:hAnsi="Symbol" w:hint="default"/>
      </w:rPr>
    </w:lvl>
    <w:lvl w:ilvl="7" w:tplc="DDB88848" w:tentative="1">
      <w:start w:val="1"/>
      <w:numFmt w:val="bullet"/>
      <w:lvlText w:val="o"/>
      <w:lvlJc w:val="left"/>
      <w:pPr>
        <w:ind w:left="5760" w:hanging="360"/>
      </w:pPr>
      <w:rPr>
        <w:rFonts w:ascii="Courier New" w:hAnsi="Courier New" w:hint="default"/>
      </w:rPr>
    </w:lvl>
    <w:lvl w:ilvl="8" w:tplc="AF5AA4BA" w:tentative="1">
      <w:start w:val="1"/>
      <w:numFmt w:val="bullet"/>
      <w:lvlText w:val=""/>
      <w:lvlJc w:val="left"/>
      <w:pPr>
        <w:ind w:left="6480" w:hanging="360"/>
      </w:pPr>
      <w:rPr>
        <w:rFonts w:ascii="Wingdings" w:hAnsi="Wingdings" w:hint="default"/>
      </w:rPr>
    </w:lvl>
  </w:abstractNum>
  <w:abstractNum w:abstractNumId="232" w15:restartNumberingAfterBreak="0">
    <w:nsid w:val="4E7A7575"/>
    <w:multiLevelType w:val="multilevel"/>
    <w:tmpl w:val="A106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4E7F1CF9"/>
    <w:multiLevelType w:val="multilevel"/>
    <w:tmpl w:val="8B02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4EC103D9"/>
    <w:multiLevelType w:val="hybridMultilevel"/>
    <w:tmpl w:val="3E943982"/>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4EC6528F"/>
    <w:multiLevelType w:val="hybridMultilevel"/>
    <w:tmpl w:val="00900A7A"/>
    <w:lvl w:ilvl="0" w:tplc="54884C10">
      <w:start w:val="4"/>
      <w:numFmt w:val="bullet"/>
      <w:lvlText w:val=""/>
      <w:lvlJc w:val="left"/>
      <w:pPr>
        <w:ind w:left="720" w:hanging="360"/>
      </w:pPr>
      <w:rPr>
        <w:rFonts w:ascii="Symbol" w:hAnsi="Symbol" w:hint="default"/>
      </w:rPr>
    </w:lvl>
    <w:lvl w:ilvl="1" w:tplc="923EBC1A" w:tentative="1">
      <w:start w:val="1"/>
      <w:numFmt w:val="bullet"/>
      <w:lvlText w:val="o"/>
      <w:lvlJc w:val="left"/>
      <w:pPr>
        <w:ind w:left="1440" w:hanging="360"/>
      </w:pPr>
      <w:rPr>
        <w:rFonts w:ascii="Courier New" w:hAnsi="Courier New" w:hint="default"/>
      </w:rPr>
    </w:lvl>
    <w:lvl w:ilvl="2" w:tplc="A44C9890" w:tentative="1">
      <w:start w:val="1"/>
      <w:numFmt w:val="bullet"/>
      <w:lvlText w:val=""/>
      <w:lvlJc w:val="left"/>
      <w:pPr>
        <w:ind w:left="2160" w:hanging="360"/>
      </w:pPr>
      <w:rPr>
        <w:rFonts w:ascii="Wingdings" w:hAnsi="Wingdings" w:hint="default"/>
      </w:rPr>
    </w:lvl>
    <w:lvl w:ilvl="3" w:tplc="452029AE" w:tentative="1">
      <w:start w:val="1"/>
      <w:numFmt w:val="bullet"/>
      <w:lvlText w:val=""/>
      <w:lvlJc w:val="left"/>
      <w:pPr>
        <w:ind w:left="2880" w:hanging="360"/>
      </w:pPr>
      <w:rPr>
        <w:rFonts w:ascii="Symbol" w:hAnsi="Symbol" w:hint="default"/>
      </w:rPr>
    </w:lvl>
    <w:lvl w:ilvl="4" w:tplc="5A3AE7DA" w:tentative="1">
      <w:start w:val="1"/>
      <w:numFmt w:val="bullet"/>
      <w:lvlText w:val="o"/>
      <w:lvlJc w:val="left"/>
      <w:pPr>
        <w:ind w:left="3600" w:hanging="360"/>
      </w:pPr>
      <w:rPr>
        <w:rFonts w:ascii="Courier New" w:hAnsi="Courier New" w:hint="default"/>
      </w:rPr>
    </w:lvl>
    <w:lvl w:ilvl="5" w:tplc="4126B3BA" w:tentative="1">
      <w:start w:val="1"/>
      <w:numFmt w:val="bullet"/>
      <w:lvlText w:val=""/>
      <w:lvlJc w:val="left"/>
      <w:pPr>
        <w:ind w:left="4320" w:hanging="360"/>
      </w:pPr>
      <w:rPr>
        <w:rFonts w:ascii="Wingdings" w:hAnsi="Wingdings" w:hint="default"/>
      </w:rPr>
    </w:lvl>
    <w:lvl w:ilvl="6" w:tplc="70E68A02" w:tentative="1">
      <w:start w:val="1"/>
      <w:numFmt w:val="bullet"/>
      <w:lvlText w:val=""/>
      <w:lvlJc w:val="left"/>
      <w:pPr>
        <w:ind w:left="5040" w:hanging="360"/>
      </w:pPr>
      <w:rPr>
        <w:rFonts w:ascii="Symbol" w:hAnsi="Symbol" w:hint="default"/>
      </w:rPr>
    </w:lvl>
    <w:lvl w:ilvl="7" w:tplc="F43099A0" w:tentative="1">
      <w:start w:val="1"/>
      <w:numFmt w:val="bullet"/>
      <w:lvlText w:val="o"/>
      <w:lvlJc w:val="left"/>
      <w:pPr>
        <w:ind w:left="5760" w:hanging="360"/>
      </w:pPr>
      <w:rPr>
        <w:rFonts w:ascii="Courier New" w:hAnsi="Courier New" w:hint="default"/>
      </w:rPr>
    </w:lvl>
    <w:lvl w:ilvl="8" w:tplc="08D2C976" w:tentative="1">
      <w:start w:val="1"/>
      <w:numFmt w:val="bullet"/>
      <w:lvlText w:val=""/>
      <w:lvlJc w:val="left"/>
      <w:pPr>
        <w:ind w:left="6480" w:hanging="360"/>
      </w:pPr>
      <w:rPr>
        <w:rFonts w:ascii="Wingdings" w:hAnsi="Wingdings" w:hint="default"/>
      </w:rPr>
    </w:lvl>
  </w:abstractNum>
  <w:abstractNum w:abstractNumId="236" w15:restartNumberingAfterBreak="0">
    <w:nsid w:val="4F773E22"/>
    <w:multiLevelType w:val="multilevel"/>
    <w:tmpl w:val="7144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4F8263BE"/>
    <w:multiLevelType w:val="hybridMultilevel"/>
    <w:tmpl w:val="EDF21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8" w15:restartNumberingAfterBreak="0">
    <w:nsid w:val="4F8EAE7D"/>
    <w:multiLevelType w:val="hybridMultilevel"/>
    <w:tmpl w:val="FFFFFFFF"/>
    <w:lvl w:ilvl="0" w:tplc="FFFFFFFF">
      <w:start w:val="1"/>
      <w:numFmt w:val="decimal"/>
      <w:lvlText w:val="%1."/>
      <w:lvlJc w:val="left"/>
      <w:pPr>
        <w:ind w:left="720" w:hanging="360"/>
      </w:pPr>
    </w:lvl>
    <w:lvl w:ilvl="1" w:tplc="D77C27F8">
      <w:start w:val="1"/>
      <w:numFmt w:val="lowerLetter"/>
      <w:lvlText w:val="%2."/>
      <w:lvlJc w:val="left"/>
      <w:pPr>
        <w:ind w:left="1440" w:hanging="360"/>
      </w:pPr>
    </w:lvl>
    <w:lvl w:ilvl="2" w:tplc="C2500286">
      <w:start w:val="1"/>
      <w:numFmt w:val="lowerRoman"/>
      <w:lvlText w:val="%3."/>
      <w:lvlJc w:val="right"/>
      <w:pPr>
        <w:ind w:left="2160" w:hanging="180"/>
      </w:pPr>
    </w:lvl>
    <w:lvl w:ilvl="3" w:tplc="2EA4BEB0">
      <w:start w:val="1"/>
      <w:numFmt w:val="decimal"/>
      <w:lvlText w:val="%4."/>
      <w:lvlJc w:val="left"/>
      <w:pPr>
        <w:ind w:left="2880" w:hanging="360"/>
      </w:pPr>
    </w:lvl>
    <w:lvl w:ilvl="4" w:tplc="DA5EDC7C">
      <w:start w:val="1"/>
      <w:numFmt w:val="lowerLetter"/>
      <w:lvlText w:val="%5."/>
      <w:lvlJc w:val="left"/>
      <w:pPr>
        <w:ind w:left="3600" w:hanging="360"/>
      </w:pPr>
    </w:lvl>
    <w:lvl w:ilvl="5" w:tplc="08DAD834">
      <w:start w:val="1"/>
      <w:numFmt w:val="lowerRoman"/>
      <w:lvlText w:val="%6."/>
      <w:lvlJc w:val="right"/>
      <w:pPr>
        <w:ind w:left="4320" w:hanging="180"/>
      </w:pPr>
    </w:lvl>
    <w:lvl w:ilvl="6" w:tplc="DE2831F0">
      <w:start w:val="1"/>
      <w:numFmt w:val="decimal"/>
      <w:lvlText w:val="%7."/>
      <w:lvlJc w:val="left"/>
      <w:pPr>
        <w:ind w:left="5040" w:hanging="360"/>
      </w:pPr>
    </w:lvl>
    <w:lvl w:ilvl="7" w:tplc="15FE0D24">
      <w:start w:val="1"/>
      <w:numFmt w:val="lowerLetter"/>
      <w:lvlText w:val="%8."/>
      <w:lvlJc w:val="left"/>
      <w:pPr>
        <w:ind w:left="5760" w:hanging="360"/>
      </w:pPr>
    </w:lvl>
    <w:lvl w:ilvl="8" w:tplc="71A092B0">
      <w:start w:val="1"/>
      <w:numFmt w:val="lowerRoman"/>
      <w:lvlText w:val="%9."/>
      <w:lvlJc w:val="right"/>
      <w:pPr>
        <w:ind w:left="6480" w:hanging="180"/>
      </w:pPr>
    </w:lvl>
  </w:abstractNum>
  <w:abstractNum w:abstractNumId="239" w15:restartNumberingAfterBreak="0">
    <w:nsid w:val="4F995392"/>
    <w:multiLevelType w:val="hybridMultilevel"/>
    <w:tmpl w:val="A9B28CE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0" w15:restartNumberingAfterBreak="0">
    <w:nsid w:val="50563007"/>
    <w:multiLevelType w:val="hybridMultilevel"/>
    <w:tmpl w:val="544EA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507FB217"/>
    <w:multiLevelType w:val="hybridMultilevel"/>
    <w:tmpl w:val="1F60277C"/>
    <w:lvl w:ilvl="0" w:tplc="16AC050E">
      <w:start w:val="1"/>
      <w:numFmt w:val="bullet"/>
      <w:lvlText w:val="-"/>
      <w:lvlJc w:val="left"/>
      <w:pPr>
        <w:ind w:left="720" w:hanging="360"/>
      </w:pPr>
      <w:rPr>
        <w:rFonts w:ascii="Times New Roman" w:hAnsi="Times New Roman" w:cs="Times New Roman" w:hint="default"/>
      </w:rPr>
    </w:lvl>
    <w:lvl w:ilvl="1" w:tplc="54A6B52C">
      <w:start w:val="1"/>
      <w:numFmt w:val="bullet"/>
      <w:lvlText w:val="o"/>
      <w:lvlJc w:val="left"/>
      <w:pPr>
        <w:ind w:left="1440" w:hanging="360"/>
      </w:pPr>
      <w:rPr>
        <w:rFonts w:ascii="Courier New" w:hAnsi="Courier New" w:cs="Times New Roman" w:hint="default"/>
      </w:rPr>
    </w:lvl>
    <w:lvl w:ilvl="2" w:tplc="F4E483B4">
      <w:start w:val="1"/>
      <w:numFmt w:val="bullet"/>
      <w:lvlText w:val=""/>
      <w:lvlJc w:val="left"/>
      <w:pPr>
        <w:ind w:left="2160" w:hanging="360"/>
      </w:pPr>
      <w:rPr>
        <w:rFonts w:ascii="Wingdings" w:hAnsi="Wingdings" w:hint="default"/>
      </w:rPr>
    </w:lvl>
    <w:lvl w:ilvl="3" w:tplc="18468BEA">
      <w:start w:val="1"/>
      <w:numFmt w:val="bullet"/>
      <w:lvlText w:val=""/>
      <w:lvlJc w:val="left"/>
      <w:pPr>
        <w:ind w:left="2880" w:hanging="360"/>
      </w:pPr>
      <w:rPr>
        <w:rFonts w:ascii="Symbol" w:hAnsi="Symbol" w:hint="default"/>
      </w:rPr>
    </w:lvl>
    <w:lvl w:ilvl="4" w:tplc="F926C3A0">
      <w:start w:val="1"/>
      <w:numFmt w:val="bullet"/>
      <w:lvlText w:val="o"/>
      <w:lvlJc w:val="left"/>
      <w:pPr>
        <w:ind w:left="3600" w:hanging="360"/>
      </w:pPr>
      <w:rPr>
        <w:rFonts w:ascii="Courier New" w:hAnsi="Courier New" w:cs="Times New Roman" w:hint="default"/>
      </w:rPr>
    </w:lvl>
    <w:lvl w:ilvl="5" w:tplc="83DC2894">
      <w:start w:val="1"/>
      <w:numFmt w:val="bullet"/>
      <w:lvlText w:val=""/>
      <w:lvlJc w:val="left"/>
      <w:pPr>
        <w:ind w:left="4320" w:hanging="360"/>
      </w:pPr>
      <w:rPr>
        <w:rFonts w:ascii="Wingdings" w:hAnsi="Wingdings" w:hint="default"/>
      </w:rPr>
    </w:lvl>
    <w:lvl w:ilvl="6" w:tplc="17989D0A">
      <w:start w:val="1"/>
      <w:numFmt w:val="bullet"/>
      <w:lvlText w:val=""/>
      <w:lvlJc w:val="left"/>
      <w:pPr>
        <w:ind w:left="5040" w:hanging="360"/>
      </w:pPr>
      <w:rPr>
        <w:rFonts w:ascii="Symbol" w:hAnsi="Symbol" w:hint="default"/>
      </w:rPr>
    </w:lvl>
    <w:lvl w:ilvl="7" w:tplc="2BC21BC8">
      <w:start w:val="1"/>
      <w:numFmt w:val="bullet"/>
      <w:lvlText w:val="o"/>
      <w:lvlJc w:val="left"/>
      <w:pPr>
        <w:ind w:left="5760" w:hanging="360"/>
      </w:pPr>
      <w:rPr>
        <w:rFonts w:ascii="Courier New" w:hAnsi="Courier New" w:cs="Times New Roman" w:hint="default"/>
      </w:rPr>
    </w:lvl>
    <w:lvl w:ilvl="8" w:tplc="3174899E">
      <w:start w:val="1"/>
      <w:numFmt w:val="bullet"/>
      <w:lvlText w:val=""/>
      <w:lvlJc w:val="left"/>
      <w:pPr>
        <w:ind w:left="6480" w:hanging="360"/>
      </w:pPr>
      <w:rPr>
        <w:rFonts w:ascii="Wingdings" w:hAnsi="Wingdings" w:hint="default"/>
      </w:rPr>
    </w:lvl>
  </w:abstractNum>
  <w:abstractNum w:abstractNumId="242" w15:restartNumberingAfterBreak="0">
    <w:nsid w:val="509954EF"/>
    <w:multiLevelType w:val="hybridMultilevel"/>
    <w:tmpl w:val="3852EF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3" w15:restartNumberingAfterBreak="0">
    <w:nsid w:val="50E52BFA"/>
    <w:multiLevelType w:val="hybridMultilevel"/>
    <w:tmpl w:val="918407C6"/>
    <w:lvl w:ilvl="0" w:tplc="750E3572">
      <w:start w:val="1"/>
      <w:numFmt w:val="bullet"/>
      <w:lvlText w:val=""/>
      <w:lvlJc w:val="left"/>
      <w:pPr>
        <w:ind w:left="720" w:hanging="360"/>
      </w:pPr>
      <w:rPr>
        <w:rFonts w:ascii="Symbol" w:hAnsi="Symbol" w:hint="default"/>
      </w:rPr>
    </w:lvl>
    <w:lvl w:ilvl="1" w:tplc="A858C356">
      <w:start w:val="1"/>
      <w:numFmt w:val="bullet"/>
      <w:lvlText w:val="o"/>
      <w:lvlJc w:val="left"/>
      <w:pPr>
        <w:ind w:left="1440" w:hanging="360"/>
      </w:pPr>
      <w:rPr>
        <w:rFonts w:ascii="Courier New" w:hAnsi="Courier New" w:hint="default"/>
      </w:rPr>
    </w:lvl>
    <w:lvl w:ilvl="2" w:tplc="42C4C884">
      <w:start w:val="1"/>
      <w:numFmt w:val="bullet"/>
      <w:lvlText w:val=""/>
      <w:lvlJc w:val="left"/>
      <w:pPr>
        <w:ind w:left="2160" w:hanging="360"/>
      </w:pPr>
      <w:rPr>
        <w:rFonts w:ascii="Wingdings" w:hAnsi="Wingdings" w:hint="default"/>
      </w:rPr>
    </w:lvl>
    <w:lvl w:ilvl="3" w:tplc="0222219A">
      <w:start w:val="1"/>
      <w:numFmt w:val="bullet"/>
      <w:lvlText w:val=""/>
      <w:lvlJc w:val="left"/>
      <w:pPr>
        <w:ind w:left="2880" w:hanging="360"/>
      </w:pPr>
      <w:rPr>
        <w:rFonts w:ascii="Symbol" w:hAnsi="Symbol" w:hint="default"/>
      </w:rPr>
    </w:lvl>
    <w:lvl w:ilvl="4" w:tplc="613A7456">
      <w:start w:val="1"/>
      <w:numFmt w:val="bullet"/>
      <w:lvlText w:val="o"/>
      <w:lvlJc w:val="left"/>
      <w:pPr>
        <w:ind w:left="3600" w:hanging="360"/>
      </w:pPr>
      <w:rPr>
        <w:rFonts w:ascii="Courier New" w:hAnsi="Courier New" w:hint="default"/>
      </w:rPr>
    </w:lvl>
    <w:lvl w:ilvl="5" w:tplc="70ACFFA4">
      <w:start w:val="1"/>
      <w:numFmt w:val="bullet"/>
      <w:lvlText w:val=""/>
      <w:lvlJc w:val="left"/>
      <w:pPr>
        <w:ind w:left="4320" w:hanging="360"/>
      </w:pPr>
      <w:rPr>
        <w:rFonts w:ascii="Wingdings" w:hAnsi="Wingdings" w:hint="default"/>
      </w:rPr>
    </w:lvl>
    <w:lvl w:ilvl="6" w:tplc="D7821B3A">
      <w:start w:val="1"/>
      <w:numFmt w:val="bullet"/>
      <w:lvlText w:val=""/>
      <w:lvlJc w:val="left"/>
      <w:pPr>
        <w:ind w:left="5040" w:hanging="360"/>
      </w:pPr>
      <w:rPr>
        <w:rFonts w:ascii="Symbol" w:hAnsi="Symbol" w:hint="default"/>
      </w:rPr>
    </w:lvl>
    <w:lvl w:ilvl="7" w:tplc="E288145C">
      <w:start w:val="1"/>
      <w:numFmt w:val="bullet"/>
      <w:lvlText w:val="o"/>
      <w:lvlJc w:val="left"/>
      <w:pPr>
        <w:ind w:left="5760" w:hanging="360"/>
      </w:pPr>
      <w:rPr>
        <w:rFonts w:ascii="Courier New" w:hAnsi="Courier New" w:hint="default"/>
      </w:rPr>
    </w:lvl>
    <w:lvl w:ilvl="8" w:tplc="51EC458E">
      <w:start w:val="1"/>
      <w:numFmt w:val="bullet"/>
      <w:lvlText w:val=""/>
      <w:lvlJc w:val="left"/>
      <w:pPr>
        <w:ind w:left="6480" w:hanging="360"/>
      </w:pPr>
      <w:rPr>
        <w:rFonts w:ascii="Wingdings" w:hAnsi="Wingdings" w:hint="default"/>
      </w:rPr>
    </w:lvl>
  </w:abstractNum>
  <w:abstractNum w:abstractNumId="244" w15:restartNumberingAfterBreak="0">
    <w:nsid w:val="5103E88D"/>
    <w:multiLevelType w:val="hybridMultilevel"/>
    <w:tmpl w:val="FFFFFFFF"/>
    <w:lvl w:ilvl="0" w:tplc="2C123DC0">
      <w:start w:val="1"/>
      <w:numFmt w:val="decimal"/>
      <w:lvlText w:val="%1."/>
      <w:lvlJc w:val="left"/>
      <w:pPr>
        <w:ind w:left="720" w:hanging="360"/>
      </w:pPr>
    </w:lvl>
    <w:lvl w:ilvl="1" w:tplc="7C5C66F2">
      <w:start w:val="1"/>
      <w:numFmt w:val="lowerLetter"/>
      <w:lvlText w:val="%2."/>
      <w:lvlJc w:val="left"/>
      <w:pPr>
        <w:ind w:left="1440" w:hanging="360"/>
      </w:pPr>
    </w:lvl>
    <w:lvl w:ilvl="2" w:tplc="B2CCC302">
      <w:start w:val="1"/>
      <w:numFmt w:val="lowerRoman"/>
      <w:lvlText w:val="%3."/>
      <w:lvlJc w:val="right"/>
      <w:pPr>
        <w:ind w:left="2160" w:hanging="180"/>
      </w:pPr>
    </w:lvl>
    <w:lvl w:ilvl="3" w:tplc="9C90A5D2">
      <w:start w:val="1"/>
      <w:numFmt w:val="decimal"/>
      <w:lvlText w:val="%4."/>
      <w:lvlJc w:val="left"/>
      <w:pPr>
        <w:ind w:left="2880" w:hanging="360"/>
      </w:pPr>
    </w:lvl>
    <w:lvl w:ilvl="4" w:tplc="101E9736">
      <w:start w:val="1"/>
      <w:numFmt w:val="lowerLetter"/>
      <w:lvlText w:val="%5."/>
      <w:lvlJc w:val="left"/>
      <w:pPr>
        <w:ind w:left="3600" w:hanging="360"/>
      </w:pPr>
    </w:lvl>
    <w:lvl w:ilvl="5" w:tplc="70F60BC8">
      <w:start w:val="1"/>
      <w:numFmt w:val="lowerRoman"/>
      <w:lvlText w:val="%6."/>
      <w:lvlJc w:val="right"/>
      <w:pPr>
        <w:ind w:left="4320" w:hanging="180"/>
      </w:pPr>
    </w:lvl>
    <w:lvl w:ilvl="6" w:tplc="5A70EDC6">
      <w:start w:val="1"/>
      <w:numFmt w:val="decimal"/>
      <w:lvlText w:val="%7."/>
      <w:lvlJc w:val="left"/>
      <w:pPr>
        <w:ind w:left="5040" w:hanging="360"/>
      </w:pPr>
    </w:lvl>
    <w:lvl w:ilvl="7" w:tplc="8CB0BC34">
      <w:start w:val="1"/>
      <w:numFmt w:val="lowerLetter"/>
      <w:lvlText w:val="%8."/>
      <w:lvlJc w:val="left"/>
      <w:pPr>
        <w:ind w:left="5760" w:hanging="360"/>
      </w:pPr>
    </w:lvl>
    <w:lvl w:ilvl="8" w:tplc="8F2E4760">
      <w:start w:val="1"/>
      <w:numFmt w:val="lowerRoman"/>
      <w:lvlText w:val="%9."/>
      <w:lvlJc w:val="right"/>
      <w:pPr>
        <w:ind w:left="6480" w:hanging="180"/>
      </w:pPr>
    </w:lvl>
  </w:abstractNum>
  <w:abstractNum w:abstractNumId="245" w15:restartNumberingAfterBreak="0">
    <w:nsid w:val="516C59A4"/>
    <w:multiLevelType w:val="hybridMultilevel"/>
    <w:tmpl w:val="5BEE1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6" w15:restartNumberingAfterBreak="0">
    <w:nsid w:val="51EC23B5"/>
    <w:multiLevelType w:val="hybridMultilevel"/>
    <w:tmpl w:val="563E0C24"/>
    <w:lvl w:ilvl="0" w:tplc="2EB09124">
      <w:start w:val="5"/>
      <w:numFmt w:val="bullet"/>
      <w:lvlText w:val="-"/>
      <w:lvlJc w:val="left"/>
      <w:pPr>
        <w:ind w:left="720" w:hanging="360"/>
      </w:pPr>
      <w:rPr>
        <w:rFonts w:ascii="Times New Roman" w:hAnsi="Times New Roman" w:hint="default"/>
        <w:color w:val="auto"/>
      </w:rPr>
    </w:lvl>
    <w:lvl w:ilvl="1" w:tplc="BE822288" w:tentative="1">
      <w:start w:val="1"/>
      <w:numFmt w:val="bullet"/>
      <w:lvlText w:val="o"/>
      <w:lvlJc w:val="left"/>
      <w:pPr>
        <w:ind w:left="1440" w:hanging="360"/>
      </w:pPr>
      <w:rPr>
        <w:rFonts w:ascii="Courier New" w:hAnsi="Courier New" w:hint="default"/>
      </w:rPr>
    </w:lvl>
    <w:lvl w:ilvl="2" w:tplc="06B242E6" w:tentative="1">
      <w:start w:val="1"/>
      <w:numFmt w:val="bullet"/>
      <w:lvlText w:val=""/>
      <w:lvlJc w:val="left"/>
      <w:pPr>
        <w:ind w:left="2160" w:hanging="360"/>
      </w:pPr>
      <w:rPr>
        <w:rFonts w:ascii="Wingdings" w:hAnsi="Wingdings" w:hint="default"/>
      </w:rPr>
    </w:lvl>
    <w:lvl w:ilvl="3" w:tplc="C1686B08" w:tentative="1">
      <w:start w:val="1"/>
      <w:numFmt w:val="bullet"/>
      <w:lvlText w:val=""/>
      <w:lvlJc w:val="left"/>
      <w:pPr>
        <w:ind w:left="2880" w:hanging="360"/>
      </w:pPr>
      <w:rPr>
        <w:rFonts w:ascii="Symbol" w:hAnsi="Symbol" w:hint="default"/>
      </w:rPr>
    </w:lvl>
    <w:lvl w:ilvl="4" w:tplc="AC14081C" w:tentative="1">
      <w:start w:val="1"/>
      <w:numFmt w:val="bullet"/>
      <w:lvlText w:val="o"/>
      <w:lvlJc w:val="left"/>
      <w:pPr>
        <w:ind w:left="3600" w:hanging="360"/>
      </w:pPr>
      <w:rPr>
        <w:rFonts w:ascii="Courier New" w:hAnsi="Courier New" w:hint="default"/>
      </w:rPr>
    </w:lvl>
    <w:lvl w:ilvl="5" w:tplc="812E2A92" w:tentative="1">
      <w:start w:val="1"/>
      <w:numFmt w:val="bullet"/>
      <w:lvlText w:val=""/>
      <w:lvlJc w:val="left"/>
      <w:pPr>
        <w:ind w:left="4320" w:hanging="360"/>
      </w:pPr>
      <w:rPr>
        <w:rFonts w:ascii="Wingdings" w:hAnsi="Wingdings" w:hint="default"/>
      </w:rPr>
    </w:lvl>
    <w:lvl w:ilvl="6" w:tplc="91EEE738" w:tentative="1">
      <w:start w:val="1"/>
      <w:numFmt w:val="bullet"/>
      <w:lvlText w:val=""/>
      <w:lvlJc w:val="left"/>
      <w:pPr>
        <w:ind w:left="5040" w:hanging="360"/>
      </w:pPr>
      <w:rPr>
        <w:rFonts w:ascii="Symbol" w:hAnsi="Symbol" w:hint="default"/>
      </w:rPr>
    </w:lvl>
    <w:lvl w:ilvl="7" w:tplc="D8C0EDF2" w:tentative="1">
      <w:start w:val="1"/>
      <w:numFmt w:val="bullet"/>
      <w:lvlText w:val="o"/>
      <w:lvlJc w:val="left"/>
      <w:pPr>
        <w:ind w:left="5760" w:hanging="360"/>
      </w:pPr>
      <w:rPr>
        <w:rFonts w:ascii="Courier New" w:hAnsi="Courier New" w:hint="default"/>
      </w:rPr>
    </w:lvl>
    <w:lvl w:ilvl="8" w:tplc="E5BE71AC" w:tentative="1">
      <w:start w:val="1"/>
      <w:numFmt w:val="bullet"/>
      <w:lvlText w:val=""/>
      <w:lvlJc w:val="left"/>
      <w:pPr>
        <w:ind w:left="6480" w:hanging="360"/>
      </w:pPr>
      <w:rPr>
        <w:rFonts w:ascii="Wingdings" w:hAnsi="Wingdings" w:hint="default"/>
      </w:rPr>
    </w:lvl>
  </w:abstractNum>
  <w:abstractNum w:abstractNumId="247" w15:restartNumberingAfterBreak="0">
    <w:nsid w:val="5209094F"/>
    <w:multiLevelType w:val="hybridMultilevel"/>
    <w:tmpl w:val="FFFFFFFF"/>
    <w:lvl w:ilvl="0" w:tplc="1F1CB794">
      <w:start w:val="1"/>
      <w:numFmt w:val="decimal"/>
      <w:lvlText w:val="%1."/>
      <w:lvlJc w:val="left"/>
      <w:pPr>
        <w:ind w:left="720" w:hanging="360"/>
      </w:pPr>
    </w:lvl>
    <w:lvl w:ilvl="1" w:tplc="35928F5A">
      <w:start w:val="1"/>
      <w:numFmt w:val="lowerLetter"/>
      <w:lvlText w:val="%2."/>
      <w:lvlJc w:val="left"/>
      <w:pPr>
        <w:ind w:left="1440" w:hanging="360"/>
      </w:pPr>
    </w:lvl>
    <w:lvl w:ilvl="2" w:tplc="112E881E">
      <w:start w:val="1"/>
      <w:numFmt w:val="lowerRoman"/>
      <w:lvlText w:val="%3."/>
      <w:lvlJc w:val="right"/>
      <w:pPr>
        <w:ind w:left="2160" w:hanging="180"/>
      </w:pPr>
    </w:lvl>
    <w:lvl w:ilvl="3" w:tplc="7BCA68DA">
      <w:start w:val="1"/>
      <w:numFmt w:val="decimal"/>
      <w:lvlText w:val="%4."/>
      <w:lvlJc w:val="left"/>
      <w:pPr>
        <w:ind w:left="2880" w:hanging="360"/>
      </w:pPr>
    </w:lvl>
    <w:lvl w:ilvl="4" w:tplc="0F9C2B94">
      <w:start w:val="1"/>
      <w:numFmt w:val="lowerLetter"/>
      <w:lvlText w:val="%5."/>
      <w:lvlJc w:val="left"/>
      <w:pPr>
        <w:ind w:left="3600" w:hanging="360"/>
      </w:pPr>
    </w:lvl>
    <w:lvl w:ilvl="5" w:tplc="3056BFAC">
      <w:start w:val="1"/>
      <w:numFmt w:val="lowerRoman"/>
      <w:lvlText w:val="%6."/>
      <w:lvlJc w:val="right"/>
      <w:pPr>
        <w:ind w:left="4320" w:hanging="180"/>
      </w:pPr>
    </w:lvl>
    <w:lvl w:ilvl="6" w:tplc="BD6682C2">
      <w:start w:val="1"/>
      <w:numFmt w:val="decimal"/>
      <w:lvlText w:val="%7."/>
      <w:lvlJc w:val="left"/>
      <w:pPr>
        <w:ind w:left="5040" w:hanging="360"/>
      </w:pPr>
    </w:lvl>
    <w:lvl w:ilvl="7" w:tplc="B81EDCD6">
      <w:start w:val="1"/>
      <w:numFmt w:val="lowerLetter"/>
      <w:lvlText w:val="%8."/>
      <w:lvlJc w:val="left"/>
      <w:pPr>
        <w:ind w:left="5760" w:hanging="360"/>
      </w:pPr>
    </w:lvl>
    <w:lvl w:ilvl="8" w:tplc="8F960B62">
      <w:start w:val="1"/>
      <w:numFmt w:val="lowerRoman"/>
      <w:lvlText w:val="%9."/>
      <w:lvlJc w:val="right"/>
      <w:pPr>
        <w:ind w:left="6480" w:hanging="180"/>
      </w:pPr>
    </w:lvl>
  </w:abstractNum>
  <w:abstractNum w:abstractNumId="248" w15:restartNumberingAfterBreak="0">
    <w:nsid w:val="52A970BF"/>
    <w:multiLevelType w:val="hybridMultilevel"/>
    <w:tmpl w:val="57C47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49" w15:restartNumberingAfterBreak="0">
    <w:nsid w:val="52EF644B"/>
    <w:multiLevelType w:val="multilevel"/>
    <w:tmpl w:val="9E78CA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53647656"/>
    <w:multiLevelType w:val="hybridMultilevel"/>
    <w:tmpl w:val="4972F4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1" w15:restartNumberingAfterBreak="0">
    <w:nsid w:val="536B647F"/>
    <w:multiLevelType w:val="hybridMultilevel"/>
    <w:tmpl w:val="B2026B6E"/>
    <w:lvl w:ilvl="0" w:tplc="584848E4">
      <w:start w:val="1"/>
      <w:numFmt w:val="lowerRoman"/>
      <w:lvlText w:val="(%1)"/>
      <w:lvlJc w:val="left"/>
      <w:pPr>
        <w:ind w:left="1440" w:hanging="720"/>
      </w:pPr>
      <w:rPr>
        <w:rFonts w:hint="default"/>
      </w:r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52" w15:restartNumberingAfterBreak="0">
    <w:nsid w:val="53801B12"/>
    <w:multiLevelType w:val="hybridMultilevel"/>
    <w:tmpl w:val="4CE42040"/>
    <w:lvl w:ilvl="0" w:tplc="5284295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3" w15:restartNumberingAfterBreak="0">
    <w:nsid w:val="53D85C0B"/>
    <w:multiLevelType w:val="hybridMultilevel"/>
    <w:tmpl w:val="D2827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15:restartNumberingAfterBreak="0">
    <w:nsid w:val="547F5B3F"/>
    <w:multiLevelType w:val="multilevel"/>
    <w:tmpl w:val="8C92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54C83B2D"/>
    <w:multiLevelType w:val="multilevel"/>
    <w:tmpl w:val="BEC41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551845DA"/>
    <w:multiLevelType w:val="hybridMultilevel"/>
    <w:tmpl w:val="26526F92"/>
    <w:lvl w:ilvl="0" w:tplc="54442560">
      <w:start w:val="1"/>
      <w:numFmt w:val="bullet"/>
      <w:lvlText w:val="–"/>
      <w:lvlJc w:val="left"/>
      <w:pPr>
        <w:ind w:left="720" w:hanging="360"/>
      </w:pPr>
      <w:rPr>
        <w:rFonts w:ascii="Calibri" w:hAnsi="Calibri" w:hint="default"/>
      </w:rPr>
    </w:lvl>
    <w:lvl w:ilvl="1" w:tplc="31FC0DAE" w:tentative="1">
      <w:start w:val="1"/>
      <w:numFmt w:val="bullet"/>
      <w:lvlText w:val="o"/>
      <w:lvlJc w:val="left"/>
      <w:pPr>
        <w:ind w:left="1440" w:hanging="360"/>
      </w:pPr>
      <w:rPr>
        <w:rFonts w:ascii="Courier New" w:hAnsi="Courier New" w:hint="default"/>
      </w:rPr>
    </w:lvl>
    <w:lvl w:ilvl="2" w:tplc="410E4866" w:tentative="1">
      <w:start w:val="1"/>
      <w:numFmt w:val="bullet"/>
      <w:lvlText w:val=""/>
      <w:lvlJc w:val="left"/>
      <w:pPr>
        <w:ind w:left="2160" w:hanging="360"/>
      </w:pPr>
      <w:rPr>
        <w:rFonts w:ascii="Wingdings" w:hAnsi="Wingdings" w:hint="default"/>
      </w:rPr>
    </w:lvl>
    <w:lvl w:ilvl="3" w:tplc="C94C0BCE" w:tentative="1">
      <w:start w:val="1"/>
      <w:numFmt w:val="bullet"/>
      <w:lvlText w:val=""/>
      <w:lvlJc w:val="left"/>
      <w:pPr>
        <w:ind w:left="2880" w:hanging="360"/>
      </w:pPr>
      <w:rPr>
        <w:rFonts w:ascii="Symbol" w:hAnsi="Symbol" w:hint="default"/>
      </w:rPr>
    </w:lvl>
    <w:lvl w:ilvl="4" w:tplc="486CD11C" w:tentative="1">
      <w:start w:val="1"/>
      <w:numFmt w:val="bullet"/>
      <w:lvlText w:val="o"/>
      <w:lvlJc w:val="left"/>
      <w:pPr>
        <w:ind w:left="3600" w:hanging="360"/>
      </w:pPr>
      <w:rPr>
        <w:rFonts w:ascii="Courier New" w:hAnsi="Courier New" w:hint="default"/>
      </w:rPr>
    </w:lvl>
    <w:lvl w:ilvl="5" w:tplc="D9BA673E" w:tentative="1">
      <w:start w:val="1"/>
      <w:numFmt w:val="bullet"/>
      <w:lvlText w:val=""/>
      <w:lvlJc w:val="left"/>
      <w:pPr>
        <w:ind w:left="4320" w:hanging="360"/>
      </w:pPr>
      <w:rPr>
        <w:rFonts w:ascii="Wingdings" w:hAnsi="Wingdings" w:hint="default"/>
      </w:rPr>
    </w:lvl>
    <w:lvl w:ilvl="6" w:tplc="3182BB5E" w:tentative="1">
      <w:start w:val="1"/>
      <w:numFmt w:val="bullet"/>
      <w:lvlText w:val=""/>
      <w:lvlJc w:val="left"/>
      <w:pPr>
        <w:ind w:left="5040" w:hanging="360"/>
      </w:pPr>
      <w:rPr>
        <w:rFonts w:ascii="Symbol" w:hAnsi="Symbol" w:hint="default"/>
      </w:rPr>
    </w:lvl>
    <w:lvl w:ilvl="7" w:tplc="AB60F296" w:tentative="1">
      <w:start w:val="1"/>
      <w:numFmt w:val="bullet"/>
      <w:lvlText w:val="o"/>
      <w:lvlJc w:val="left"/>
      <w:pPr>
        <w:ind w:left="5760" w:hanging="360"/>
      </w:pPr>
      <w:rPr>
        <w:rFonts w:ascii="Courier New" w:hAnsi="Courier New" w:hint="default"/>
      </w:rPr>
    </w:lvl>
    <w:lvl w:ilvl="8" w:tplc="256ABF2A" w:tentative="1">
      <w:start w:val="1"/>
      <w:numFmt w:val="bullet"/>
      <w:lvlText w:val=""/>
      <w:lvlJc w:val="left"/>
      <w:pPr>
        <w:ind w:left="6480" w:hanging="360"/>
      </w:pPr>
      <w:rPr>
        <w:rFonts w:ascii="Wingdings" w:hAnsi="Wingdings" w:hint="default"/>
      </w:rPr>
    </w:lvl>
  </w:abstractNum>
  <w:abstractNum w:abstractNumId="257" w15:restartNumberingAfterBreak="0">
    <w:nsid w:val="556C6179"/>
    <w:multiLevelType w:val="hybridMultilevel"/>
    <w:tmpl w:val="3E943982"/>
    <w:lvl w:ilvl="0" w:tplc="6DA003C0">
      <w:start w:val="1"/>
      <w:numFmt w:val="decimal"/>
      <w:lvlText w:val="%1."/>
      <w:lvlJc w:val="left"/>
      <w:pPr>
        <w:ind w:left="720" w:hanging="360"/>
      </w:pPr>
      <w:rPr>
        <w:rFonts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8" w15:restartNumberingAfterBreak="0">
    <w:nsid w:val="557A6812"/>
    <w:multiLevelType w:val="hybridMultilevel"/>
    <w:tmpl w:val="FAB20B4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9" w15:restartNumberingAfterBreak="0">
    <w:nsid w:val="55AC6E64"/>
    <w:multiLevelType w:val="hybridMultilevel"/>
    <w:tmpl w:val="A6885636"/>
    <w:lvl w:ilvl="0" w:tplc="4CC44F0E">
      <w:start w:val="1"/>
      <w:numFmt w:val="bullet"/>
      <w:lvlText w:val=""/>
      <w:lvlJc w:val="left"/>
      <w:pPr>
        <w:ind w:left="360" w:hanging="360"/>
      </w:pPr>
      <w:rPr>
        <w:rFonts w:ascii="Symbol" w:hAnsi="Symbol" w:hint="default"/>
      </w:rPr>
    </w:lvl>
    <w:lvl w:ilvl="1" w:tplc="3ABEE782">
      <w:start w:val="1"/>
      <w:numFmt w:val="bullet"/>
      <w:lvlText w:val="o"/>
      <w:lvlJc w:val="left"/>
      <w:pPr>
        <w:ind w:left="1080" w:hanging="360"/>
      </w:pPr>
      <w:rPr>
        <w:rFonts w:ascii="Courier New" w:hAnsi="Courier New" w:hint="default"/>
      </w:rPr>
    </w:lvl>
    <w:lvl w:ilvl="2" w:tplc="1A78C700">
      <w:start w:val="1"/>
      <w:numFmt w:val="bullet"/>
      <w:lvlText w:val=""/>
      <w:lvlJc w:val="left"/>
      <w:pPr>
        <w:ind w:left="1800" w:hanging="360"/>
      </w:pPr>
      <w:rPr>
        <w:rFonts w:ascii="Wingdings" w:hAnsi="Wingdings" w:hint="default"/>
      </w:rPr>
    </w:lvl>
    <w:lvl w:ilvl="3" w:tplc="CFA44F02">
      <w:start w:val="1"/>
      <w:numFmt w:val="bullet"/>
      <w:lvlText w:val=""/>
      <w:lvlJc w:val="left"/>
      <w:pPr>
        <w:ind w:left="2520" w:hanging="360"/>
      </w:pPr>
      <w:rPr>
        <w:rFonts w:ascii="Symbol" w:hAnsi="Symbol" w:hint="default"/>
      </w:rPr>
    </w:lvl>
    <w:lvl w:ilvl="4" w:tplc="7F14B29C">
      <w:start w:val="1"/>
      <w:numFmt w:val="bullet"/>
      <w:lvlText w:val="o"/>
      <w:lvlJc w:val="left"/>
      <w:pPr>
        <w:ind w:left="3240" w:hanging="360"/>
      </w:pPr>
      <w:rPr>
        <w:rFonts w:ascii="Courier New" w:hAnsi="Courier New" w:hint="default"/>
      </w:rPr>
    </w:lvl>
    <w:lvl w:ilvl="5" w:tplc="8F74F468">
      <w:start w:val="1"/>
      <w:numFmt w:val="bullet"/>
      <w:lvlText w:val=""/>
      <w:lvlJc w:val="left"/>
      <w:pPr>
        <w:ind w:left="3960" w:hanging="360"/>
      </w:pPr>
      <w:rPr>
        <w:rFonts w:ascii="Wingdings" w:hAnsi="Wingdings" w:hint="default"/>
      </w:rPr>
    </w:lvl>
    <w:lvl w:ilvl="6" w:tplc="FF96A0DC">
      <w:start w:val="1"/>
      <w:numFmt w:val="bullet"/>
      <w:lvlText w:val=""/>
      <w:lvlJc w:val="left"/>
      <w:pPr>
        <w:ind w:left="4680" w:hanging="360"/>
      </w:pPr>
      <w:rPr>
        <w:rFonts w:ascii="Symbol" w:hAnsi="Symbol" w:hint="default"/>
      </w:rPr>
    </w:lvl>
    <w:lvl w:ilvl="7" w:tplc="8AC40FC2">
      <w:start w:val="1"/>
      <w:numFmt w:val="bullet"/>
      <w:lvlText w:val="o"/>
      <w:lvlJc w:val="left"/>
      <w:pPr>
        <w:ind w:left="5400" w:hanging="360"/>
      </w:pPr>
      <w:rPr>
        <w:rFonts w:ascii="Courier New" w:hAnsi="Courier New" w:hint="default"/>
      </w:rPr>
    </w:lvl>
    <w:lvl w:ilvl="8" w:tplc="E2A8D490">
      <w:start w:val="1"/>
      <w:numFmt w:val="bullet"/>
      <w:lvlText w:val=""/>
      <w:lvlJc w:val="left"/>
      <w:pPr>
        <w:ind w:left="6120" w:hanging="360"/>
      </w:pPr>
      <w:rPr>
        <w:rFonts w:ascii="Wingdings" w:hAnsi="Wingdings" w:hint="default"/>
      </w:rPr>
    </w:lvl>
  </w:abstractNum>
  <w:abstractNum w:abstractNumId="260" w15:restartNumberingAfterBreak="0">
    <w:nsid w:val="562E6B70"/>
    <w:multiLevelType w:val="multilevel"/>
    <w:tmpl w:val="EC90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56456C9D"/>
    <w:multiLevelType w:val="hybridMultilevel"/>
    <w:tmpl w:val="3CC2430C"/>
    <w:lvl w:ilvl="0" w:tplc="4E06C686">
      <w:numFmt w:val="bullet"/>
      <w:lvlText w:val="-"/>
      <w:lvlJc w:val="left"/>
      <w:pPr>
        <w:ind w:left="720" w:hanging="360"/>
      </w:pPr>
      <w:rPr>
        <w:rFonts w:ascii="Corbel" w:eastAsia="Times New Roman" w:hAnsi="Corbe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2" w15:restartNumberingAfterBreak="0">
    <w:nsid w:val="57343A46"/>
    <w:multiLevelType w:val="multilevel"/>
    <w:tmpl w:val="7E7C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578F5F1C"/>
    <w:multiLevelType w:val="multilevel"/>
    <w:tmpl w:val="0C9E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58881EB0"/>
    <w:multiLevelType w:val="hybridMultilevel"/>
    <w:tmpl w:val="57889632"/>
    <w:lvl w:ilvl="0" w:tplc="FEF212C2">
      <w:start w:val="1"/>
      <w:numFmt w:val="bullet"/>
      <w:lvlText w:val=""/>
      <w:lvlJc w:val="left"/>
      <w:pPr>
        <w:ind w:left="720" w:hanging="360"/>
      </w:pPr>
      <w:rPr>
        <w:rFonts w:ascii="Wingdings" w:hAnsi="Wingdings" w:hint="default"/>
      </w:rPr>
    </w:lvl>
    <w:lvl w:ilvl="1" w:tplc="EC38DE38" w:tentative="1">
      <w:start w:val="1"/>
      <w:numFmt w:val="bullet"/>
      <w:lvlText w:val="o"/>
      <w:lvlJc w:val="left"/>
      <w:pPr>
        <w:ind w:left="1440" w:hanging="360"/>
      </w:pPr>
      <w:rPr>
        <w:rFonts w:ascii="Courier New" w:hAnsi="Courier New" w:hint="default"/>
      </w:rPr>
    </w:lvl>
    <w:lvl w:ilvl="2" w:tplc="94343A72" w:tentative="1">
      <w:start w:val="1"/>
      <w:numFmt w:val="bullet"/>
      <w:lvlText w:val=""/>
      <w:lvlJc w:val="left"/>
      <w:pPr>
        <w:ind w:left="2160" w:hanging="360"/>
      </w:pPr>
      <w:rPr>
        <w:rFonts w:ascii="Wingdings" w:hAnsi="Wingdings" w:hint="default"/>
      </w:rPr>
    </w:lvl>
    <w:lvl w:ilvl="3" w:tplc="89A2B58A" w:tentative="1">
      <w:start w:val="1"/>
      <w:numFmt w:val="bullet"/>
      <w:lvlText w:val=""/>
      <w:lvlJc w:val="left"/>
      <w:pPr>
        <w:ind w:left="2880" w:hanging="360"/>
      </w:pPr>
      <w:rPr>
        <w:rFonts w:ascii="Symbol" w:hAnsi="Symbol" w:hint="default"/>
      </w:rPr>
    </w:lvl>
    <w:lvl w:ilvl="4" w:tplc="13DE76B8" w:tentative="1">
      <w:start w:val="1"/>
      <w:numFmt w:val="bullet"/>
      <w:lvlText w:val="o"/>
      <w:lvlJc w:val="left"/>
      <w:pPr>
        <w:ind w:left="3600" w:hanging="360"/>
      </w:pPr>
      <w:rPr>
        <w:rFonts w:ascii="Courier New" w:hAnsi="Courier New" w:hint="default"/>
      </w:rPr>
    </w:lvl>
    <w:lvl w:ilvl="5" w:tplc="02BA1A9A" w:tentative="1">
      <w:start w:val="1"/>
      <w:numFmt w:val="bullet"/>
      <w:lvlText w:val=""/>
      <w:lvlJc w:val="left"/>
      <w:pPr>
        <w:ind w:left="4320" w:hanging="360"/>
      </w:pPr>
      <w:rPr>
        <w:rFonts w:ascii="Wingdings" w:hAnsi="Wingdings" w:hint="default"/>
      </w:rPr>
    </w:lvl>
    <w:lvl w:ilvl="6" w:tplc="E6F271A0" w:tentative="1">
      <w:start w:val="1"/>
      <w:numFmt w:val="bullet"/>
      <w:lvlText w:val=""/>
      <w:lvlJc w:val="left"/>
      <w:pPr>
        <w:ind w:left="5040" w:hanging="360"/>
      </w:pPr>
      <w:rPr>
        <w:rFonts w:ascii="Symbol" w:hAnsi="Symbol" w:hint="default"/>
      </w:rPr>
    </w:lvl>
    <w:lvl w:ilvl="7" w:tplc="9A9021CA" w:tentative="1">
      <w:start w:val="1"/>
      <w:numFmt w:val="bullet"/>
      <w:lvlText w:val="o"/>
      <w:lvlJc w:val="left"/>
      <w:pPr>
        <w:ind w:left="5760" w:hanging="360"/>
      </w:pPr>
      <w:rPr>
        <w:rFonts w:ascii="Courier New" w:hAnsi="Courier New" w:hint="default"/>
      </w:rPr>
    </w:lvl>
    <w:lvl w:ilvl="8" w:tplc="9496A1E2" w:tentative="1">
      <w:start w:val="1"/>
      <w:numFmt w:val="bullet"/>
      <w:lvlText w:val=""/>
      <w:lvlJc w:val="left"/>
      <w:pPr>
        <w:ind w:left="6480" w:hanging="360"/>
      </w:pPr>
      <w:rPr>
        <w:rFonts w:ascii="Wingdings" w:hAnsi="Wingdings" w:hint="default"/>
      </w:rPr>
    </w:lvl>
  </w:abstractNum>
  <w:abstractNum w:abstractNumId="265" w15:restartNumberingAfterBreak="0">
    <w:nsid w:val="58CF375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6" w15:restartNumberingAfterBreak="0">
    <w:nsid w:val="59068859"/>
    <w:multiLevelType w:val="hybridMultilevel"/>
    <w:tmpl w:val="FFFFFFFF"/>
    <w:lvl w:ilvl="0" w:tplc="37D429F4">
      <w:start w:val="1"/>
      <w:numFmt w:val="bullet"/>
      <w:lvlText w:val="·"/>
      <w:lvlJc w:val="left"/>
      <w:pPr>
        <w:ind w:left="720" w:hanging="360"/>
      </w:pPr>
      <w:rPr>
        <w:rFonts w:ascii="Symbol" w:hAnsi="Symbol" w:hint="default"/>
      </w:rPr>
    </w:lvl>
    <w:lvl w:ilvl="1" w:tplc="F982908A">
      <w:start w:val="1"/>
      <w:numFmt w:val="bullet"/>
      <w:lvlText w:val="o"/>
      <w:lvlJc w:val="left"/>
      <w:pPr>
        <w:ind w:left="1440" w:hanging="360"/>
      </w:pPr>
      <w:rPr>
        <w:rFonts w:ascii="Courier New" w:hAnsi="Courier New" w:hint="default"/>
      </w:rPr>
    </w:lvl>
    <w:lvl w:ilvl="2" w:tplc="70EEBDEE">
      <w:start w:val="1"/>
      <w:numFmt w:val="bullet"/>
      <w:lvlText w:val=""/>
      <w:lvlJc w:val="left"/>
      <w:pPr>
        <w:ind w:left="2160" w:hanging="360"/>
      </w:pPr>
      <w:rPr>
        <w:rFonts w:ascii="Wingdings" w:hAnsi="Wingdings" w:hint="default"/>
      </w:rPr>
    </w:lvl>
    <w:lvl w:ilvl="3" w:tplc="DCC4E210">
      <w:start w:val="1"/>
      <w:numFmt w:val="bullet"/>
      <w:lvlText w:val=""/>
      <w:lvlJc w:val="left"/>
      <w:pPr>
        <w:ind w:left="2880" w:hanging="360"/>
      </w:pPr>
      <w:rPr>
        <w:rFonts w:ascii="Symbol" w:hAnsi="Symbol" w:hint="default"/>
      </w:rPr>
    </w:lvl>
    <w:lvl w:ilvl="4" w:tplc="093C9882">
      <w:start w:val="1"/>
      <w:numFmt w:val="bullet"/>
      <w:lvlText w:val="o"/>
      <w:lvlJc w:val="left"/>
      <w:pPr>
        <w:ind w:left="3600" w:hanging="360"/>
      </w:pPr>
      <w:rPr>
        <w:rFonts w:ascii="Courier New" w:hAnsi="Courier New" w:hint="default"/>
      </w:rPr>
    </w:lvl>
    <w:lvl w:ilvl="5" w:tplc="427863BC">
      <w:start w:val="1"/>
      <w:numFmt w:val="bullet"/>
      <w:lvlText w:val=""/>
      <w:lvlJc w:val="left"/>
      <w:pPr>
        <w:ind w:left="4320" w:hanging="360"/>
      </w:pPr>
      <w:rPr>
        <w:rFonts w:ascii="Wingdings" w:hAnsi="Wingdings" w:hint="default"/>
      </w:rPr>
    </w:lvl>
    <w:lvl w:ilvl="6" w:tplc="9C30509A">
      <w:start w:val="1"/>
      <w:numFmt w:val="bullet"/>
      <w:lvlText w:val=""/>
      <w:lvlJc w:val="left"/>
      <w:pPr>
        <w:ind w:left="5040" w:hanging="360"/>
      </w:pPr>
      <w:rPr>
        <w:rFonts w:ascii="Symbol" w:hAnsi="Symbol" w:hint="default"/>
      </w:rPr>
    </w:lvl>
    <w:lvl w:ilvl="7" w:tplc="868E8A36">
      <w:start w:val="1"/>
      <w:numFmt w:val="bullet"/>
      <w:lvlText w:val="o"/>
      <w:lvlJc w:val="left"/>
      <w:pPr>
        <w:ind w:left="5760" w:hanging="360"/>
      </w:pPr>
      <w:rPr>
        <w:rFonts w:ascii="Courier New" w:hAnsi="Courier New" w:hint="default"/>
      </w:rPr>
    </w:lvl>
    <w:lvl w:ilvl="8" w:tplc="C5562694">
      <w:start w:val="1"/>
      <w:numFmt w:val="bullet"/>
      <w:lvlText w:val=""/>
      <w:lvlJc w:val="left"/>
      <w:pPr>
        <w:ind w:left="6480" w:hanging="360"/>
      </w:pPr>
      <w:rPr>
        <w:rFonts w:ascii="Wingdings" w:hAnsi="Wingdings" w:hint="default"/>
      </w:rPr>
    </w:lvl>
  </w:abstractNum>
  <w:abstractNum w:abstractNumId="267" w15:restartNumberingAfterBreak="0">
    <w:nsid w:val="59B1188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8" w15:restartNumberingAfterBreak="0">
    <w:nsid w:val="5A123EBB"/>
    <w:multiLevelType w:val="multilevel"/>
    <w:tmpl w:val="8C52AFE6"/>
    <w:lvl w:ilvl="0">
      <w:start w:val="1"/>
      <w:numFmt w:val="decimal"/>
      <w:lvlText w:val="%1."/>
      <w:lvlJc w:val="left"/>
      <w:pPr>
        <w:ind w:left="432" w:hanging="432"/>
      </w:pPr>
      <w:rPr>
        <w:rFonts w:hint="default"/>
        <w:i w:val="0"/>
        <w:iCs/>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9" w15:restartNumberingAfterBreak="0">
    <w:nsid w:val="5A4A2114"/>
    <w:multiLevelType w:val="hybridMultilevel"/>
    <w:tmpl w:val="FC448784"/>
    <w:lvl w:ilvl="0" w:tplc="7B9A431C">
      <w:start w:val="1"/>
      <w:numFmt w:val="decimal"/>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0" w15:restartNumberingAfterBreak="0">
    <w:nsid w:val="5AA24E6D"/>
    <w:multiLevelType w:val="hybridMultilevel"/>
    <w:tmpl w:val="8826A5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1" w15:restartNumberingAfterBreak="0">
    <w:nsid w:val="5AB50C0A"/>
    <w:multiLevelType w:val="hybridMultilevel"/>
    <w:tmpl w:val="CA780844"/>
    <w:lvl w:ilvl="0" w:tplc="8F6EF4B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2" w15:restartNumberingAfterBreak="0">
    <w:nsid w:val="5ABD467C"/>
    <w:multiLevelType w:val="hybridMultilevel"/>
    <w:tmpl w:val="B1BE3E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3" w15:restartNumberingAfterBreak="0">
    <w:nsid w:val="5ACBD785"/>
    <w:multiLevelType w:val="hybridMultilevel"/>
    <w:tmpl w:val="0D8E7828"/>
    <w:lvl w:ilvl="0" w:tplc="2618B0BC">
      <w:start w:val="1"/>
      <w:numFmt w:val="bullet"/>
      <w:lvlText w:val=""/>
      <w:lvlJc w:val="left"/>
      <w:pPr>
        <w:ind w:left="720" w:hanging="360"/>
      </w:pPr>
      <w:rPr>
        <w:rFonts w:ascii="Symbol" w:hAnsi="Symbol" w:hint="default"/>
      </w:rPr>
    </w:lvl>
    <w:lvl w:ilvl="1" w:tplc="98C89DCC">
      <w:start w:val="1"/>
      <w:numFmt w:val="bullet"/>
      <w:lvlText w:val="o"/>
      <w:lvlJc w:val="left"/>
      <w:pPr>
        <w:ind w:left="1440" w:hanging="360"/>
      </w:pPr>
      <w:rPr>
        <w:rFonts w:ascii="Courier New" w:hAnsi="Courier New" w:hint="default"/>
      </w:rPr>
    </w:lvl>
    <w:lvl w:ilvl="2" w:tplc="0B5AE508">
      <w:start w:val="1"/>
      <w:numFmt w:val="bullet"/>
      <w:lvlText w:val=""/>
      <w:lvlJc w:val="left"/>
      <w:pPr>
        <w:ind w:left="2160" w:hanging="360"/>
      </w:pPr>
      <w:rPr>
        <w:rFonts w:ascii="Wingdings" w:hAnsi="Wingdings" w:hint="default"/>
      </w:rPr>
    </w:lvl>
    <w:lvl w:ilvl="3" w:tplc="F8380BEA">
      <w:start w:val="1"/>
      <w:numFmt w:val="bullet"/>
      <w:lvlText w:val=""/>
      <w:lvlJc w:val="left"/>
      <w:pPr>
        <w:ind w:left="2880" w:hanging="360"/>
      </w:pPr>
      <w:rPr>
        <w:rFonts w:ascii="Symbol" w:hAnsi="Symbol" w:hint="default"/>
      </w:rPr>
    </w:lvl>
    <w:lvl w:ilvl="4" w:tplc="5546C834">
      <w:start w:val="1"/>
      <w:numFmt w:val="bullet"/>
      <w:lvlText w:val="o"/>
      <w:lvlJc w:val="left"/>
      <w:pPr>
        <w:ind w:left="3600" w:hanging="360"/>
      </w:pPr>
      <w:rPr>
        <w:rFonts w:ascii="Courier New" w:hAnsi="Courier New" w:hint="default"/>
      </w:rPr>
    </w:lvl>
    <w:lvl w:ilvl="5" w:tplc="0C3A5812">
      <w:start w:val="1"/>
      <w:numFmt w:val="bullet"/>
      <w:lvlText w:val=""/>
      <w:lvlJc w:val="left"/>
      <w:pPr>
        <w:ind w:left="4320" w:hanging="360"/>
      </w:pPr>
      <w:rPr>
        <w:rFonts w:ascii="Wingdings" w:hAnsi="Wingdings" w:hint="default"/>
      </w:rPr>
    </w:lvl>
    <w:lvl w:ilvl="6" w:tplc="4462CFE8">
      <w:start w:val="1"/>
      <w:numFmt w:val="bullet"/>
      <w:lvlText w:val=""/>
      <w:lvlJc w:val="left"/>
      <w:pPr>
        <w:ind w:left="5040" w:hanging="360"/>
      </w:pPr>
      <w:rPr>
        <w:rFonts w:ascii="Symbol" w:hAnsi="Symbol" w:hint="default"/>
      </w:rPr>
    </w:lvl>
    <w:lvl w:ilvl="7" w:tplc="82A2F946">
      <w:start w:val="1"/>
      <w:numFmt w:val="bullet"/>
      <w:lvlText w:val="o"/>
      <w:lvlJc w:val="left"/>
      <w:pPr>
        <w:ind w:left="5760" w:hanging="360"/>
      </w:pPr>
      <w:rPr>
        <w:rFonts w:ascii="Courier New" w:hAnsi="Courier New" w:hint="default"/>
      </w:rPr>
    </w:lvl>
    <w:lvl w:ilvl="8" w:tplc="8D06B566">
      <w:start w:val="1"/>
      <w:numFmt w:val="bullet"/>
      <w:lvlText w:val=""/>
      <w:lvlJc w:val="left"/>
      <w:pPr>
        <w:ind w:left="6480" w:hanging="360"/>
      </w:pPr>
      <w:rPr>
        <w:rFonts w:ascii="Wingdings" w:hAnsi="Wingdings" w:hint="default"/>
      </w:rPr>
    </w:lvl>
  </w:abstractNum>
  <w:abstractNum w:abstractNumId="274" w15:restartNumberingAfterBreak="0">
    <w:nsid w:val="5CA31A15"/>
    <w:multiLevelType w:val="singleLevel"/>
    <w:tmpl w:val="72AEDCB0"/>
    <w:name w:val="Tiret 0"/>
    <w:lvl w:ilvl="0">
      <w:start w:val="1"/>
      <w:numFmt w:val="bullet"/>
      <w:lvlRestart w:val="0"/>
      <w:pStyle w:val="Tiret0"/>
      <w:lvlText w:val="–"/>
      <w:lvlJc w:val="left"/>
      <w:pPr>
        <w:tabs>
          <w:tab w:val="num" w:pos="850"/>
        </w:tabs>
        <w:ind w:left="850" w:hanging="850"/>
      </w:pPr>
    </w:lvl>
  </w:abstractNum>
  <w:abstractNum w:abstractNumId="275" w15:restartNumberingAfterBreak="0">
    <w:nsid w:val="5CE1623A"/>
    <w:multiLevelType w:val="hybridMultilevel"/>
    <w:tmpl w:val="1E3AF4AA"/>
    <w:lvl w:ilvl="0" w:tplc="97204CC2">
      <w:start w:val="1"/>
      <w:numFmt w:val="bullet"/>
      <w:lvlText w:val=""/>
      <w:lvlJc w:val="left"/>
      <w:pPr>
        <w:ind w:left="720" w:hanging="360"/>
      </w:pPr>
      <w:rPr>
        <w:rFonts w:ascii="Symbol" w:hAnsi="Symbol" w:hint="default"/>
      </w:rPr>
    </w:lvl>
    <w:lvl w:ilvl="1" w:tplc="3940C082">
      <w:numFmt w:val="bullet"/>
      <w:lvlText w:val="-"/>
      <w:lvlJc w:val="left"/>
      <w:pPr>
        <w:ind w:left="1440" w:hanging="360"/>
      </w:pPr>
      <w:rPr>
        <w:rFonts w:ascii="Calibri" w:hAnsi="Calibri" w:hint="default"/>
      </w:rPr>
    </w:lvl>
    <w:lvl w:ilvl="2" w:tplc="B4A0170A" w:tentative="1">
      <w:start w:val="1"/>
      <w:numFmt w:val="bullet"/>
      <w:lvlText w:val=""/>
      <w:lvlJc w:val="left"/>
      <w:pPr>
        <w:ind w:left="2160" w:hanging="360"/>
      </w:pPr>
      <w:rPr>
        <w:rFonts w:ascii="Wingdings" w:hAnsi="Wingdings" w:hint="default"/>
      </w:rPr>
    </w:lvl>
    <w:lvl w:ilvl="3" w:tplc="462A269E" w:tentative="1">
      <w:start w:val="1"/>
      <w:numFmt w:val="bullet"/>
      <w:lvlText w:val=""/>
      <w:lvlJc w:val="left"/>
      <w:pPr>
        <w:ind w:left="2880" w:hanging="360"/>
      </w:pPr>
      <w:rPr>
        <w:rFonts w:ascii="Symbol" w:hAnsi="Symbol" w:hint="default"/>
      </w:rPr>
    </w:lvl>
    <w:lvl w:ilvl="4" w:tplc="EDEE6600" w:tentative="1">
      <w:start w:val="1"/>
      <w:numFmt w:val="bullet"/>
      <w:lvlText w:val="o"/>
      <w:lvlJc w:val="left"/>
      <w:pPr>
        <w:ind w:left="3600" w:hanging="360"/>
      </w:pPr>
      <w:rPr>
        <w:rFonts w:ascii="Courier New" w:hAnsi="Courier New" w:hint="default"/>
      </w:rPr>
    </w:lvl>
    <w:lvl w:ilvl="5" w:tplc="8548ADD0" w:tentative="1">
      <w:start w:val="1"/>
      <w:numFmt w:val="bullet"/>
      <w:lvlText w:val=""/>
      <w:lvlJc w:val="left"/>
      <w:pPr>
        <w:ind w:left="4320" w:hanging="360"/>
      </w:pPr>
      <w:rPr>
        <w:rFonts w:ascii="Wingdings" w:hAnsi="Wingdings" w:hint="default"/>
      </w:rPr>
    </w:lvl>
    <w:lvl w:ilvl="6" w:tplc="B1B4FE66" w:tentative="1">
      <w:start w:val="1"/>
      <w:numFmt w:val="bullet"/>
      <w:lvlText w:val=""/>
      <w:lvlJc w:val="left"/>
      <w:pPr>
        <w:ind w:left="5040" w:hanging="360"/>
      </w:pPr>
      <w:rPr>
        <w:rFonts w:ascii="Symbol" w:hAnsi="Symbol" w:hint="default"/>
      </w:rPr>
    </w:lvl>
    <w:lvl w:ilvl="7" w:tplc="3462FA76" w:tentative="1">
      <w:start w:val="1"/>
      <w:numFmt w:val="bullet"/>
      <w:lvlText w:val="o"/>
      <w:lvlJc w:val="left"/>
      <w:pPr>
        <w:ind w:left="5760" w:hanging="360"/>
      </w:pPr>
      <w:rPr>
        <w:rFonts w:ascii="Courier New" w:hAnsi="Courier New" w:hint="default"/>
      </w:rPr>
    </w:lvl>
    <w:lvl w:ilvl="8" w:tplc="054A641E" w:tentative="1">
      <w:start w:val="1"/>
      <w:numFmt w:val="bullet"/>
      <w:lvlText w:val=""/>
      <w:lvlJc w:val="left"/>
      <w:pPr>
        <w:ind w:left="6480" w:hanging="360"/>
      </w:pPr>
      <w:rPr>
        <w:rFonts w:ascii="Wingdings" w:hAnsi="Wingdings" w:hint="default"/>
      </w:rPr>
    </w:lvl>
  </w:abstractNum>
  <w:abstractNum w:abstractNumId="276" w15:restartNumberingAfterBreak="0">
    <w:nsid w:val="5D0F59BD"/>
    <w:multiLevelType w:val="multilevel"/>
    <w:tmpl w:val="45B0E00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7" w15:restartNumberingAfterBreak="0">
    <w:nsid w:val="5DA26A69"/>
    <w:multiLevelType w:val="multilevel"/>
    <w:tmpl w:val="06789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5E192CCF"/>
    <w:multiLevelType w:val="hybridMultilevel"/>
    <w:tmpl w:val="FC44878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9" w15:restartNumberingAfterBreak="0">
    <w:nsid w:val="5E8C4893"/>
    <w:multiLevelType w:val="hybridMultilevel"/>
    <w:tmpl w:val="4DC86B70"/>
    <w:lvl w:ilvl="0" w:tplc="1BCE2A8A">
      <w:start w:val="1"/>
      <w:numFmt w:val="bullet"/>
      <w:lvlText w:val=""/>
      <w:lvlJc w:val="left"/>
      <w:pPr>
        <w:ind w:left="720" w:hanging="360"/>
      </w:pPr>
      <w:rPr>
        <w:rFonts w:ascii="Symbol" w:hAnsi="Symbol" w:hint="default"/>
      </w:rPr>
    </w:lvl>
    <w:lvl w:ilvl="1" w:tplc="5BD6BD6E">
      <w:start w:val="1"/>
      <w:numFmt w:val="bullet"/>
      <w:lvlText w:val="o"/>
      <w:lvlJc w:val="left"/>
      <w:pPr>
        <w:ind w:left="1440" w:hanging="360"/>
      </w:pPr>
      <w:rPr>
        <w:rFonts w:ascii="Courier New" w:hAnsi="Courier New" w:hint="default"/>
      </w:rPr>
    </w:lvl>
    <w:lvl w:ilvl="2" w:tplc="D7D0DD7A">
      <w:start w:val="1"/>
      <w:numFmt w:val="bullet"/>
      <w:lvlText w:val=""/>
      <w:lvlJc w:val="left"/>
      <w:pPr>
        <w:ind w:left="2160" w:hanging="360"/>
      </w:pPr>
      <w:rPr>
        <w:rFonts w:ascii="Wingdings" w:hAnsi="Wingdings" w:hint="default"/>
      </w:rPr>
    </w:lvl>
    <w:lvl w:ilvl="3" w:tplc="09EACC0A">
      <w:start w:val="1"/>
      <w:numFmt w:val="bullet"/>
      <w:lvlText w:val=""/>
      <w:lvlJc w:val="left"/>
      <w:pPr>
        <w:ind w:left="2880" w:hanging="360"/>
      </w:pPr>
      <w:rPr>
        <w:rFonts w:ascii="Symbol" w:hAnsi="Symbol" w:hint="default"/>
      </w:rPr>
    </w:lvl>
    <w:lvl w:ilvl="4" w:tplc="1CD44244">
      <w:start w:val="1"/>
      <w:numFmt w:val="bullet"/>
      <w:lvlText w:val="o"/>
      <w:lvlJc w:val="left"/>
      <w:pPr>
        <w:ind w:left="3600" w:hanging="360"/>
      </w:pPr>
      <w:rPr>
        <w:rFonts w:ascii="Courier New" w:hAnsi="Courier New" w:hint="default"/>
      </w:rPr>
    </w:lvl>
    <w:lvl w:ilvl="5" w:tplc="8F9CC17A">
      <w:start w:val="1"/>
      <w:numFmt w:val="bullet"/>
      <w:lvlText w:val=""/>
      <w:lvlJc w:val="left"/>
      <w:pPr>
        <w:ind w:left="4320" w:hanging="360"/>
      </w:pPr>
      <w:rPr>
        <w:rFonts w:ascii="Wingdings" w:hAnsi="Wingdings" w:hint="default"/>
      </w:rPr>
    </w:lvl>
    <w:lvl w:ilvl="6" w:tplc="121626B4">
      <w:start w:val="1"/>
      <w:numFmt w:val="bullet"/>
      <w:lvlText w:val=""/>
      <w:lvlJc w:val="left"/>
      <w:pPr>
        <w:ind w:left="5040" w:hanging="360"/>
      </w:pPr>
      <w:rPr>
        <w:rFonts w:ascii="Symbol" w:hAnsi="Symbol" w:hint="default"/>
      </w:rPr>
    </w:lvl>
    <w:lvl w:ilvl="7" w:tplc="10644B20">
      <w:start w:val="1"/>
      <w:numFmt w:val="bullet"/>
      <w:lvlText w:val="o"/>
      <w:lvlJc w:val="left"/>
      <w:pPr>
        <w:ind w:left="5760" w:hanging="360"/>
      </w:pPr>
      <w:rPr>
        <w:rFonts w:ascii="Courier New" w:hAnsi="Courier New" w:hint="default"/>
      </w:rPr>
    </w:lvl>
    <w:lvl w:ilvl="8" w:tplc="874A9C30">
      <w:start w:val="1"/>
      <w:numFmt w:val="bullet"/>
      <w:lvlText w:val=""/>
      <w:lvlJc w:val="left"/>
      <w:pPr>
        <w:ind w:left="6480" w:hanging="360"/>
      </w:pPr>
      <w:rPr>
        <w:rFonts w:ascii="Wingdings" w:hAnsi="Wingdings" w:hint="default"/>
      </w:rPr>
    </w:lvl>
  </w:abstractNum>
  <w:abstractNum w:abstractNumId="280" w15:restartNumberingAfterBreak="0">
    <w:nsid w:val="5EB8022A"/>
    <w:multiLevelType w:val="hybridMultilevel"/>
    <w:tmpl w:val="3716D1F6"/>
    <w:lvl w:ilvl="0" w:tplc="5008A5F4">
      <w:start w:val="1"/>
      <w:numFmt w:val="decimal"/>
      <w:pStyle w:val="NumberedList"/>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1" w15:restartNumberingAfterBreak="0">
    <w:nsid w:val="5EBE3073"/>
    <w:multiLevelType w:val="hybridMultilevel"/>
    <w:tmpl w:val="FFFFFFFF"/>
    <w:lvl w:ilvl="0" w:tplc="2B5E0530">
      <w:start w:val="1"/>
      <w:numFmt w:val="decimal"/>
      <w:lvlText w:val="%1."/>
      <w:lvlJc w:val="left"/>
      <w:pPr>
        <w:ind w:left="720" w:hanging="360"/>
      </w:pPr>
    </w:lvl>
    <w:lvl w:ilvl="1" w:tplc="44B2C6B0">
      <w:start w:val="1"/>
      <w:numFmt w:val="lowerLetter"/>
      <w:lvlText w:val="%2."/>
      <w:lvlJc w:val="left"/>
      <w:pPr>
        <w:ind w:left="1440" w:hanging="360"/>
      </w:pPr>
    </w:lvl>
    <w:lvl w:ilvl="2" w:tplc="018CDA9A">
      <w:start w:val="1"/>
      <w:numFmt w:val="lowerRoman"/>
      <w:lvlText w:val="%3."/>
      <w:lvlJc w:val="right"/>
      <w:pPr>
        <w:ind w:left="2160" w:hanging="180"/>
      </w:pPr>
    </w:lvl>
    <w:lvl w:ilvl="3" w:tplc="C102035C">
      <w:start w:val="1"/>
      <w:numFmt w:val="decimal"/>
      <w:lvlText w:val="%4."/>
      <w:lvlJc w:val="left"/>
      <w:pPr>
        <w:ind w:left="2880" w:hanging="360"/>
      </w:pPr>
    </w:lvl>
    <w:lvl w:ilvl="4" w:tplc="5E1E06E0">
      <w:start w:val="1"/>
      <w:numFmt w:val="lowerLetter"/>
      <w:lvlText w:val="%5."/>
      <w:lvlJc w:val="left"/>
      <w:pPr>
        <w:ind w:left="3600" w:hanging="360"/>
      </w:pPr>
    </w:lvl>
    <w:lvl w:ilvl="5" w:tplc="40A42264">
      <w:start w:val="1"/>
      <w:numFmt w:val="lowerRoman"/>
      <w:lvlText w:val="%6."/>
      <w:lvlJc w:val="right"/>
      <w:pPr>
        <w:ind w:left="4320" w:hanging="180"/>
      </w:pPr>
    </w:lvl>
    <w:lvl w:ilvl="6" w:tplc="D99A6648">
      <w:start w:val="1"/>
      <w:numFmt w:val="decimal"/>
      <w:lvlText w:val="%7."/>
      <w:lvlJc w:val="left"/>
      <w:pPr>
        <w:ind w:left="5040" w:hanging="360"/>
      </w:pPr>
    </w:lvl>
    <w:lvl w:ilvl="7" w:tplc="64D6F540">
      <w:start w:val="1"/>
      <w:numFmt w:val="lowerLetter"/>
      <w:lvlText w:val="%8."/>
      <w:lvlJc w:val="left"/>
      <w:pPr>
        <w:ind w:left="5760" w:hanging="360"/>
      </w:pPr>
    </w:lvl>
    <w:lvl w:ilvl="8" w:tplc="24624758">
      <w:start w:val="1"/>
      <w:numFmt w:val="lowerRoman"/>
      <w:lvlText w:val="%9."/>
      <w:lvlJc w:val="right"/>
      <w:pPr>
        <w:ind w:left="6480" w:hanging="180"/>
      </w:pPr>
    </w:lvl>
  </w:abstractNum>
  <w:abstractNum w:abstractNumId="282" w15:restartNumberingAfterBreak="0">
    <w:nsid w:val="5F3B283A"/>
    <w:multiLevelType w:val="multilevel"/>
    <w:tmpl w:val="D930C9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3" w15:restartNumberingAfterBreak="0">
    <w:nsid w:val="5F5F009A"/>
    <w:multiLevelType w:val="hybridMultilevel"/>
    <w:tmpl w:val="8B444D84"/>
    <w:lvl w:ilvl="0" w:tplc="57DC20A4">
      <w:start w:val="1"/>
      <w:numFmt w:val="bullet"/>
      <w:lvlText w:val="•"/>
      <w:lvlJc w:val="left"/>
      <w:pPr>
        <w:ind w:left="360" w:hanging="180"/>
      </w:pPr>
    </w:lvl>
    <w:lvl w:ilvl="1" w:tplc="9678F804">
      <w:numFmt w:val="decimal"/>
      <w:lvlText w:val=""/>
      <w:lvlJc w:val="left"/>
    </w:lvl>
    <w:lvl w:ilvl="2" w:tplc="4F7CC036">
      <w:numFmt w:val="decimal"/>
      <w:lvlText w:val=""/>
      <w:lvlJc w:val="left"/>
    </w:lvl>
    <w:lvl w:ilvl="3" w:tplc="7DD256A6">
      <w:numFmt w:val="decimal"/>
      <w:lvlText w:val=""/>
      <w:lvlJc w:val="left"/>
    </w:lvl>
    <w:lvl w:ilvl="4" w:tplc="B4E8D5E4">
      <w:numFmt w:val="decimal"/>
      <w:lvlText w:val=""/>
      <w:lvlJc w:val="left"/>
    </w:lvl>
    <w:lvl w:ilvl="5" w:tplc="393E65D6">
      <w:numFmt w:val="decimal"/>
      <w:lvlText w:val=""/>
      <w:lvlJc w:val="left"/>
    </w:lvl>
    <w:lvl w:ilvl="6" w:tplc="45C62DBA">
      <w:numFmt w:val="decimal"/>
      <w:lvlText w:val=""/>
      <w:lvlJc w:val="left"/>
    </w:lvl>
    <w:lvl w:ilvl="7" w:tplc="BE927654">
      <w:numFmt w:val="decimal"/>
      <w:lvlText w:val=""/>
      <w:lvlJc w:val="left"/>
    </w:lvl>
    <w:lvl w:ilvl="8" w:tplc="08C61938">
      <w:numFmt w:val="decimal"/>
      <w:lvlText w:val=""/>
      <w:lvlJc w:val="left"/>
    </w:lvl>
  </w:abstractNum>
  <w:abstractNum w:abstractNumId="284" w15:restartNumberingAfterBreak="0">
    <w:nsid w:val="60155000"/>
    <w:multiLevelType w:val="multilevel"/>
    <w:tmpl w:val="87BA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603C2E2A"/>
    <w:multiLevelType w:val="hybridMultilevel"/>
    <w:tmpl w:val="69B6F94E"/>
    <w:lvl w:ilvl="0" w:tplc="DE760EC6">
      <w:start w:val="27"/>
      <w:numFmt w:val="bullet"/>
      <w:lvlText w:val="-"/>
      <w:lvlJc w:val="left"/>
      <w:pPr>
        <w:ind w:left="360" w:hanging="360"/>
      </w:pPr>
      <w:rPr>
        <w:rFonts w:ascii="Aptos" w:eastAsiaTheme="minorHAnsi" w:hAnsi="Aptos"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6" w15:restartNumberingAfterBreak="0">
    <w:nsid w:val="60417B33"/>
    <w:multiLevelType w:val="hybridMultilevel"/>
    <w:tmpl w:val="50D68020"/>
    <w:lvl w:ilvl="0" w:tplc="E7B25AB2">
      <w:start w:val="1"/>
      <w:numFmt w:val="decimal"/>
      <w:lvlText w:val="Tool #%1."/>
      <w:lvlJc w:val="left"/>
      <w:pPr>
        <w:ind w:left="7023" w:hanging="360"/>
      </w:pPr>
      <w:rPr>
        <w:rFonts w:ascii="Times New Roman Bold" w:hAnsi="Times New Roman Bold" w:hint="default"/>
        <w:b/>
        <w:i w:val="0"/>
        <w:caps/>
        <w:color w:val="948A54" w:themeColor="background2" w:themeShade="80"/>
        <w:sz w:val="28"/>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7" w15:restartNumberingAfterBreak="0">
    <w:nsid w:val="60503025"/>
    <w:multiLevelType w:val="hybridMultilevel"/>
    <w:tmpl w:val="5E7423C0"/>
    <w:lvl w:ilvl="0" w:tplc="7BC46F02">
      <w:start w:val="1"/>
      <w:numFmt w:val="lowerRoman"/>
      <w:lvlText w:val="(%1)"/>
      <w:lvlJc w:val="left"/>
      <w:pPr>
        <w:ind w:left="144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8" w15:restartNumberingAfterBreak="0">
    <w:nsid w:val="605308C6"/>
    <w:multiLevelType w:val="hybridMultilevel"/>
    <w:tmpl w:val="C9CE7E8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90" w15:restartNumberingAfterBreak="0">
    <w:nsid w:val="606C4E8B"/>
    <w:multiLevelType w:val="hybridMultilevel"/>
    <w:tmpl w:val="9724DBAA"/>
    <w:lvl w:ilvl="0" w:tplc="12C8CD6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1" w15:restartNumberingAfterBreak="0">
    <w:nsid w:val="62C97C50"/>
    <w:multiLevelType w:val="hybridMultilevel"/>
    <w:tmpl w:val="C2E8BE56"/>
    <w:lvl w:ilvl="0" w:tplc="E974AF3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2" w15:restartNumberingAfterBreak="0">
    <w:nsid w:val="62D01AC3"/>
    <w:multiLevelType w:val="hybridMultilevel"/>
    <w:tmpl w:val="E0F269C0"/>
    <w:lvl w:ilvl="0" w:tplc="2390B16E">
      <w:start w:val="4"/>
      <w:numFmt w:val="bullet"/>
      <w:lvlText w:val=""/>
      <w:lvlJc w:val="left"/>
      <w:pPr>
        <w:ind w:left="1080" w:hanging="360"/>
      </w:pPr>
      <w:rPr>
        <w:rFonts w:ascii="Symbol" w:hAnsi="Symbol" w:hint="default"/>
      </w:rPr>
    </w:lvl>
    <w:lvl w:ilvl="1" w:tplc="6FFEC7CC">
      <w:start w:val="1"/>
      <w:numFmt w:val="bullet"/>
      <w:lvlText w:val="o"/>
      <w:lvlJc w:val="left"/>
      <w:pPr>
        <w:ind w:left="1800" w:hanging="360"/>
      </w:pPr>
      <w:rPr>
        <w:rFonts w:ascii="Courier New" w:hAnsi="Courier New" w:hint="default"/>
      </w:rPr>
    </w:lvl>
    <w:lvl w:ilvl="2" w:tplc="81028862">
      <w:start w:val="1"/>
      <w:numFmt w:val="bullet"/>
      <w:lvlText w:val=""/>
      <w:lvlJc w:val="left"/>
      <w:pPr>
        <w:ind w:left="2520" w:hanging="360"/>
      </w:pPr>
      <w:rPr>
        <w:rFonts w:ascii="Wingdings" w:hAnsi="Wingdings" w:hint="default"/>
      </w:rPr>
    </w:lvl>
    <w:lvl w:ilvl="3" w:tplc="BBF674D6" w:tentative="1">
      <w:start w:val="1"/>
      <w:numFmt w:val="bullet"/>
      <w:lvlText w:val=""/>
      <w:lvlJc w:val="left"/>
      <w:pPr>
        <w:ind w:left="3240" w:hanging="360"/>
      </w:pPr>
      <w:rPr>
        <w:rFonts w:ascii="Symbol" w:hAnsi="Symbol" w:hint="default"/>
      </w:rPr>
    </w:lvl>
    <w:lvl w:ilvl="4" w:tplc="A104B1E8" w:tentative="1">
      <w:start w:val="1"/>
      <w:numFmt w:val="bullet"/>
      <w:lvlText w:val="o"/>
      <w:lvlJc w:val="left"/>
      <w:pPr>
        <w:ind w:left="3960" w:hanging="360"/>
      </w:pPr>
      <w:rPr>
        <w:rFonts w:ascii="Courier New" w:hAnsi="Courier New" w:hint="default"/>
      </w:rPr>
    </w:lvl>
    <w:lvl w:ilvl="5" w:tplc="C0E0D774" w:tentative="1">
      <w:start w:val="1"/>
      <w:numFmt w:val="bullet"/>
      <w:lvlText w:val=""/>
      <w:lvlJc w:val="left"/>
      <w:pPr>
        <w:ind w:left="4680" w:hanging="360"/>
      </w:pPr>
      <w:rPr>
        <w:rFonts w:ascii="Wingdings" w:hAnsi="Wingdings" w:hint="default"/>
      </w:rPr>
    </w:lvl>
    <w:lvl w:ilvl="6" w:tplc="FED832A4" w:tentative="1">
      <w:start w:val="1"/>
      <w:numFmt w:val="bullet"/>
      <w:lvlText w:val=""/>
      <w:lvlJc w:val="left"/>
      <w:pPr>
        <w:ind w:left="5400" w:hanging="360"/>
      </w:pPr>
      <w:rPr>
        <w:rFonts w:ascii="Symbol" w:hAnsi="Symbol" w:hint="default"/>
      </w:rPr>
    </w:lvl>
    <w:lvl w:ilvl="7" w:tplc="443ACD7E" w:tentative="1">
      <w:start w:val="1"/>
      <w:numFmt w:val="bullet"/>
      <w:lvlText w:val="o"/>
      <w:lvlJc w:val="left"/>
      <w:pPr>
        <w:ind w:left="6120" w:hanging="360"/>
      </w:pPr>
      <w:rPr>
        <w:rFonts w:ascii="Courier New" w:hAnsi="Courier New" w:hint="default"/>
      </w:rPr>
    </w:lvl>
    <w:lvl w:ilvl="8" w:tplc="DB3870C2" w:tentative="1">
      <w:start w:val="1"/>
      <w:numFmt w:val="bullet"/>
      <w:lvlText w:val=""/>
      <w:lvlJc w:val="left"/>
      <w:pPr>
        <w:ind w:left="6840" w:hanging="360"/>
      </w:pPr>
      <w:rPr>
        <w:rFonts w:ascii="Wingdings" w:hAnsi="Wingdings" w:hint="default"/>
      </w:rPr>
    </w:lvl>
  </w:abstractNum>
  <w:abstractNum w:abstractNumId="293" w15:restartNumberingAfterBreak="0">
    <w:nsid w:val="62E82E69"/>
    <w:multiLevelType w:val="hybridMultilevel"/>
    <w:tmpl w:val="4FF85CB4"/>
    <w:lvl w:ilvl="0" w:tplc="274AB41E">
      <w:start w:val="1"/>
      <w:numFmt w:val="lowerRoman"/>
      <w:lvlText w:val="(%1)"/>
      <w:lvlJc w:val="left"/>
      <w:pPr>
        <w:ind w:left="144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4" w15:restartNumberingAfterBreak="0">
    <w:nsid w:val="63963AC7"/>
    <w:multiLevelType w:val="hybridMultilevel"/>
    <w:tmpl w:val="5FC80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5" w15:restartNumberingAfterBreak="0">
    <w:nsid w:val="63E474B6"/>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6" w15:restartNumberingAfterBreak="0">
    <w:nsid w:val="655374DC"/>
    <w:multiLevelType w:val="multilevel"/>
    <w:tmpl w:val="B49C7C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7" w15:restartNumberingAfterBreak="0">
    <w:nsid w:val="657C1208"/>
    <w:multiLevelType w:val="hybridMultilevel"/>
    <w:tmpl w:val="FF727718"/>
    <w:lvl w:ilvl="0" w:tplc="0DD2B19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8" w15:restartNumberingAfterBreak="0">
    <w:nsid w:val="65886DF5"/>
    <w:multiLevelType w:val="multilevel"/>
    <w:tmpl w:val="26969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659E1C84"/>
    <w:multiLevelType w:val="hybridMultilevel"/>
    <w:tmpl w:val="75CA6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65E601CF"/>
    <w:multiLevelType w:val="multilevel"/>
    <w:tmpl w:val="058AD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15:restartNumberingAfterBreak="0">
    <w:nsid w:val="66326572"/>
    <w:multiLevelType w:val="hybridMultilevel"/>
    <w:tmpl w:val="FCCA9E6A"/>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2" w15:restartNumberingAfterBreak="0">
    <w:nsid w:val="666903F7"/>
    <w:multiLevelType w:val="hybridMultilevel"/>
    <w:tmpl w:val="BA8C43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3" w15:restartNumberingAfterBreak="0">
    <w:nsid w:val="66A065E5"/>
    <w:multiLevelType w:val="multilevel"/>
    <w:tmpl w:val="18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4" w15:restartNumberingAfterBreak="0">
    <w:nsid w:val="670E4B84"/>
    <w:multiLevelType w:val="hybridMultilevel"/>
    <w:tmpl w:val="96327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5" w15:restartNumberingAfterBreak="0">
    <w:nsid w:val="67A4498F"/>
    <w:multiLevelType w:val="multilevel"/>
    <w:tmpl w:val="79D4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682E7DB8"/>
    <w:multiLevelType w:val="multilevel"/>
    <w:tmpl w:val="7D0257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7" w15:restartNumberingAfterBreak="0">
    <w:nsid w:val="685C4E92"/>
    <w:multiLevelType w:val="multilevel"/>
    <w:tmpl w:val="0720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685D735A"/>
    <w:multiLevelType w:val="hybridMultilevel"/>
    <w:tmpl w:val="0DBC4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15:restartNumberingAfterBreak="0">
    <w:nsid w:val="691F115D"/>
    <w:multiLevelType w:val="hybridMultilevel"/>
    <w:tmpl w:val="94309E02"/>
    <w:lvl w:ilvl="0" w:tplc="35DCC82E">
      <w:start w:val="1"/>
      <w:numFmt w:val="lowerRoman"/>
      <w:lvlText w:val="(%1)"/>
      <w:lvlJc w:val="left"/>
      <w:pPr>
        <w:ind w:left="144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0" w15:restartNumberingAfterBreak="0">
    <w:nsid w:val="6932780D"/>
    <w:multiLevelType w:val="hybridMultilevel"/>
    <w:tmpl w:val="7E98EDE8"/>
    <w:lvl w:ilvl="0" w:tplc="3640BE6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1" w15:restartNumberingAfterBreak="0">
    <w:nsid w:val="699B3568"/>
    <w:multiLevelType w:val="hybridMultilevel"/>
    <w:tmpl w:val="FCCA9E6A"/>
    <w:lvl w:ilvl="0" w:tplc="499E9AFC">
      <w:start w:val="1"/>
      <w:numFmt w:val="lowerRoman"/>
      <w:lvlText w:val="(%1)"/>
      <w:lvlJc w:val="left"/>
      <w:pPr>
        <w:ind w:left="1440" w:hanging="72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12" w15:restartNumberingAfterBreak="0">
    <w:nsid w:val="69CA5456"/>
    <w:multiLevelType w:val="hybridMultilevel"/>
    <w:tmpl w:val="FFFFFFFF"/>
    <w:lvl w:ilvl="0" w:tplc="95346E4E">
      <w:start w:val="1"/>
      <w:numFmt w:val="decimal"/>
      <w:lvlText w:val="%1."/>
      <w:lvlJc w:val="left"/>
      <w:pPr>
        <w:ind w:left="720" w:hanging="360"/>
      </w:pPr>
    </w:lvl>
    <w:lvl w:ilvl="1" w:tplc="3C9480A2">
      <w:start w:val="1"/>
      <w:numFmt w:val="lowerLetter"/>
      <w:lvlText w:val="%2."/>
      <w:lvlJc w:val="left"/>
      <w:pPr>
        <w:ind w:left="1440" w:hanging="360"/>
      </w:pPr>
    </w:lvl>
    <w:lvl w:ilvl="2" w:tplc="45A64EC2">
      <w:start w:val="1"/>
      <w:numFmt w:val="lowerRoman"/>
      <w:lvlText w:val="%3."/>
      <w:lvlJc w:val="right"/>
      <w:pPr>
        <w:ind w:left="2160" w:hanging="180"/>
      </w:pPr>
    </w:lvl>
    <w:lvl w:ilvl="3" w:tplc="B8C0120A">
      <w:start w:val="1"/>
      <w:numFmt w:val="decimal"/>
      <w:lvlText w:val="%4."/>
      <w:lvlJc w:val="left"/>
      <w:pPr>
        <w:ind w:left="2880" w:hanging="360"/>
      </w:pPr>
    </w:lvl>
    <w:lvl w:ilvl="4" w:tplc="83360EB2">
      <w:start w:val="1"/>
      <w:numFmt w:val="lowerLetter"/>
      <w:lvlText w:val="%5."/>
      <w:lvlJc w:val="left"/>
      <w:pPr>
        <w:ind w:left="3600" w:hanging="360"/>
      </w:pPr>
    </w:lvl>
    <w:lvl w:ilvl="5" w:tplc="3212467E">
      <w:start w:val="1"/>
      <w:numFmt w:val="lowerRoman"/>
      <w:lvlText w:val="%6."/>
      <w:lvlJc w:val="right"/>
      <w:pPr>
        <w:ind w:left="4320" w:hanging="180"/>
      </w:pPr>
    </w:lvl>
    <w:lvl w:ilvl="6" w:tplc="ADD2E03E">
      <w:start w:val="1"/>
      <w:numFmt w:val="decimal"/>
      <w:lvlText w:val="%7."/>
      <w:lvlJc w:val="left"/>
      <w:pPr>
        <w:ind w:left="5040" w:hanging="360"/>
      </w:pPr>
    </w:lvl>
    <w:lvl w:ilvl="7" w:tplc="5B5E9366">
      <w:start w:val="1"/>
      <w:numFmt w:val="lowerLetter"/>
      <w:lvlText w:val="%8."/>
      <w:lvlJc w:val="left"/>
      <w:pPr>
        <w:ind w:left="5760" w:hanging="360"/>
      </w:pPr>
    </w:lvl>
    <w:lvl w:ilvl="8" w:tplc="31EC81D4">
      <w:start w:val="1"/>
      <w:numFmt w:val="lowerRoman"/>
      <w:lvlText w:val="%9."/>
      <w:lvlJc w:val="right"/>
      <w:pPr>
        <w:ind w:left="6480" w:hanging="180"/>
      </w:pPr>
    </w:lvl>
  </w:abstractNum>
  <w:abstractNum w:abstractNumId="313" w15:restartNumberingAfterBreak="0">
    <w:nsid w:val="6A3BA368"/>
    <w:multiLevelType w:val="hybridMultilevel"/>
    <w:tmpl w:val="FFFFFFFF"/>
    <w:lvl w:ilvl="0" w:tplc="F7307698">
      <w:start w:val="1"/>
      <w:numFmt w:val="decimal"/>
      <w:lvlText w:val="%1."/>
      <w:lvlJc w:val="left"/>
      <w:pPr>
        <w:ind w:left="720" w:hanging="360"/>
      </w:pPr>
    </w:lvl>
    <w:lvl w:ilvl="1" w:tplc="32FA0960">
      <w:start w:val="1"/>
      <w:numFmt w:val="lowerLetter"/>
      <w:lvlText w:val="%2."/>
      <w:lvlJc w:val="left"/>
      <w:pPr>
        <w:ind w:left="1440" w:hanging="360"/>
      </w:pPr>
    </w:lvl>
    <w:lvl w:ilvl="2" w:tplc="F5C8B40E">
      <w:start w:val="1"/>
      <w:numFmt w:val="lowerRoman"/>
      <w:lvlText w:val="%3."/>
      <w:lvlJc w:val="right"/>
      <w:pPr>
        <w:ind w:left="2160" w:hanging="180"/>
      </w:pPr>
    </w:lvl>
    <w:lvl w:ilvl="3" w:tplc="EEF24762">
      <w:start w:val="1"/>
      <w:numFmt w:val="decimal"/>
      <w:lvlText w:val="%4."/>
      <w:lvlJc w:val="left"/>
      <w:pPr>
        <w:ind w:left="2880" w:hanging="360"/>
      </w:pPr>
    </w:lvl>
    <w:lvl w:ilvl="4" w:tplc="D7C42786">
      <w:start w:val="1"/>
      <w:numFmt w:val="lowerLetter"/>
      <w:lvlText w:val="%5."/>
      <w:lvlJc w:val="left"/>
      <w:pPr>
        <w:ind w:left="3600" w:hanging="360"/>
      </w:pPr>
    </w:lvl>
    <w:lvl w:ilvl="5" w:tplc="98A21610">
      <w:start w:val="1"/>
      <w:numFmt w:val="lowerRoman"/>
      <w:lvlText w:val="%6."/>
      <w:lvlJc w:val="right"/>
      <w:pPr>
        <w:ind w:left="4320" w:hanging="180"/>
      </w:pPr>
    </w:lvl>
    <w:lvl w:ilvl="6" w:tplc="D4742644">
      <w:start w:val="1"/>
      <w:numFmt w:val="decimal"/>
      <w:lvlText w:val="%7."/>
      <w:lvlJc w:val="left"/>
      <w:pPr>
        <w:ind w:left="5040" w:hanging="360"/>
      </w:pPr>
    </w:lvl>
    <w:lvl w:ilvl="7" w:tplc="5192DEC6">
      <w:start w:val="1"/>
      <w:numFmt w:val="lowerLetter"/>
      <w:lvlText w:val="%8."/>
      <w:lvlJc w:val="left"/>
      <w:pPr>
        <w:ind w:left="5760" w:hanging="360"/>
      </w:pPr>
    </w:lvl>
    <w:lvl w:ilvl="8" w:tplc="D19C0EB4">
      <w:start w:val="1"/>
      <w:numFmt w:val="lowerRoman"/>
      <w:lvlText w:val="%9."/>
      <w:lvlJc w:val="right"/>
      <w:pPr>
        <w:ind w:left="6480" w:hanging="180"/>
      </w:pPr>
    </w:lvl>
  </w:abstractNum>
  <w:abstractNum w:abstractNumId="314" w15:restartNumberingAfterBreak="0">
    <w:nsid w:val="6AB44BCC"/>
    <w:multiLevelType w:val="hybridMultilevel"/>
    <w:tmpl w:val="16A04868"/>
    <w:lvl w:ilvl="0" w:tplc="0DAE268A">
      <w:start w:val="1"/>
      <w:numFmt w:val="bullet"/>
      <w:lvlText w:val="●"/>
      <w:lvlJc w:val="left"/>
      <w:pPr>
        <w:ind w:left="720" w:hanging="360"/>
      </w:pPr>
    </w:lvl>
    <w:lvl w:ilvl="1" w:tplc="D3B44366">
      <w:start w:val="1"/>
      <w:numFmt w:val="bullet"/>
      <w:lvlText w:val="○"/>
      <w:lvlJc w:val="left"/>
      <w:pPr>
        <w:ind w:left="1440" w:hanging="360"/>
      </w:pPr>
    </w:lvl>
    <w:lvl w:ilvl="2" w:tplc="06069030">
      <w:start w:val="1"/>
      <w:numFmt w:val="bullet"/>
      <w:lvlText w:val="■"/>
      <w:lvlJc w:val="left"/>
      <w:pPr>
        <w:ind w:left="2160" w:hanging="360"/>
      </w:pPr>
    </w:lvl>
    <w:lvl w:ilvl="3" w:tplc="16D09A3C">
      <w:start w:val="1"/>
      <w:numFmt w:val="bullet"/>
      <w:lvlText w:val="●"/>
      <w:lvlJc w:val="left"/>
      <w:pPr>
        <w:ind w:left="2880" w:hanging="360"/>
      </w:pPr>
    </w:lvl>
    <w:lvl w:ilvl="4" w:tplc="72663456">
      <w:start w:val="1"/>
      <w:numFmt w:val="bullet"/>
      <w:lvlText w:val="○"/>
      <w:lvlJc w:val="left"/>
      <w:pPr>
        <w:ind w:left="3600" w:hanging="360"/>
      </w:pPr>
    </w:lvl>
    <w:lvl w:ilvl="5" w:tplc="482E59F0">
      <w:start w:val="1"/>
      <w:numFmt w:val="bullet"/>
      <w:lvlText w:val="■"/>
      <w:lvlJc w:val="left"/>
      <w:pPr>
        <w:ind w:left="4320" w:hanging="360"/>
      </w:pPr>
    </w:lvl>
    <w:lvl w:ilvl="6" w:tplc="AB36C2B8">
      <w:start w:val="1"/>
      <w:numFmt w:val="bullet"/>
      <w:lvlText w:val="●"/>
      <w:lvlJc w:val="left"/>
      <w:pPr>
        <w:ind w:left="5040" w:hanging="360"/>
      </w:pPr>
    </w:lvl>
    <w:lvl w:ilvl="7" w:tplc="AF783AD8">
      <w:start w:val="1"/>
      <w:numFmt w:val="bullet"/>
      <w:lvlText w:val="●"/>
      <w:lvlJc w:val="left"/>
      <w:pPr>
        <w:ind w:left="5760" w:hanging="360"/>
      </w:pPr>
    </w:lvl>
    <w:lvl w:ilvl="8" w:tplc="C590D35A">
      <w:start w:val="1"/>
      <w:numFmt w:val="bullet"/>
      <w:lvlText w:val="●"/>
      <w:lvlJc w:val="left"/>
      <w:pPr>
        <w:ind w:left="6480" w:hanging="360"/>
      </w:pPr>
    </w:lvl>
  </w:abstractNum>
  <w:abstractNum w:abstractNumId="315" w15:restartNumberingAfterBreak="0">
    <w:nsid w:val="6ABED6E7"/>
    <w:multiLevelType w:val="hybridMultilevel"/>
    <w:tmpl w:val="FFFFFFFF"/>
    <w:lvl w:ilvl="0" w:tplc="FFD2A376">
      <w:start w:val="1"/>
      <w:numFmt w:val="decimal"/>
      <w:lvlText w:val="%1."/>
      <w:lvlJc w:val="left"/>
      <w:pPr>
        <w:ind w:left="720" w:hanging="360"/>
      </w:pPr>
    </w:lvl>
    <w:lvl w:ilvl="1" w:tplc="5768A5D4">
      <w:start w:val="1"/>
      <w:numFmt w:val="lowerLetter"/>
      <w:lvlText w:val="%2."/>
      <w:lvlJc w:val="left"/>
      <w:pPr>
        <w:ind w:left="1440" w:hanging="360"/>
      </w:pPr>
    </w:lvl>
    <w:lvl w:ilvl="2" w:tplc="2B5E0F5C">
      <w:start w:val="1"/>
      <w:numFmt w:val="lowerRoman"/>
      <w:lvlText w:val="%3."/>
      <w:lvlJc w:val="right"/>
      <w:pPr>
        <w:ind w:left="2160" w:hanging="180"/>
      </w:pPr>
    </w:lvl>
    <w:lvl w:ilvl="3" w:tplc="B6FC5C7E">
      <w:start w:val="1"/>
      <w:numFmt w:val="decimal"/>
      <w:lvlText w:val="%4."/>
      <w:lvlJc w:val="left"/>
      <w:pPr>
        <w:ind w:left="2880" w:hanging="360"/>
      </w:pPr>
    </w:lvl>
    <w:lvl w:ilvl="4" w:tplc="B70E1FC8">
      <w:start w:val="1"/>
      <w:numFmt w:val="lowerLetter"/>
      <w:lvlText w:val="%5."/>
      <w:lvlJc w:val="left"/>
      <w:pPr>
        <w:ind w:left="3600" w:hanging="360"/>
      </w:pPr>
    </w:lvl>
    <w:lvl w:ilvl="5" w:tplc="BA06F00E">
      <w:start w:val="1"/>
      <w:numFmt w:val="lowerRoman"/>
      <w:lvlText w:val="%6."/>
      <w:lvlJc w:val="right"/>
      <w:pPr>
        <w:ind w:left="4320" w:hanging="180"/>
      </w:pPr>
    </w:lvl>
    <w:lvl w:ilvl="6" w:tplc="FFCCC682">
      <w:start w:val="1"/>
      <w:numFmt w:val="decimal"/>
      <w:lvlText w:val="%7."/>
      <w:lvlJc w:val="left"/>
      <w:pPr>
        <w:ind w:left="5040" w:hanging="360"/>
      </w:pPr>
    </w:lvl>
    <w:lvl w:ilvl="7" w:tplc="EA149372">
      <w:start w:val="1"/>
      <w:numFmt w:val="lowerLetter"/>
      <w:lvlText w:val="%8."/>
      <w:lvlJc w:val="left"/>
      <w:pPr>
        <w:ind w:left="5760" w:hanging="360"/>
      </w:pPr>
    </w:lvl>
    <w:lvl w:ilvl="8" w:tplc="FCCA8CAC">
      <w:start w:val="1"/>
      <w:numFmt w:val="lowerRoman"/>
      <w:lvlText w:val="%9."/>
      <w:lvlJc w:val="right"/>
      <w:pPr>
        <w:ind w:left="6480" w:hanging="180"/>
      </w:pPr>
    </w:lvl>
  </w:abstractNum>
  <w:abstractNum w:abstractNumId="316" w15:restartNumberingAfterBreak="0">
    <w:nsid w:val="6AFF79C8"/>
    <w:multiLevelType w:val="hybridMultilevel"/>
    <w:tmpl w:val="869C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15:restartNumberingAfterBreak="0">
    <w:nsid w:val="6B061103"/>
    <w:multiLevelType w:val="hybridMultilevel"/>
    <w:tmpl w:val="83B2A6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8" w15:restartNumberingAfterBreak="0">
    <w:nsid w:val="6B062696"/>
    <w:multiLevelType w:val="multilevel"/>
    <w:tmpl w:val="E6945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9" w15:restartNumberingAfterBreak="0">
    <w:nsid w:val="6B93423F"/>
    <w:multiLevelType w:val="hybridMultilevel"/>
    <w:tmpl w:val="FF70126C"/>
    <w:lvl w:ilvl="0" w:tplc="08CE48F6">
      <w:start w:val="1"/>
      <w:numFmt w:val="decimal"/>
      <w:pStyle w:val="HFIGURE"/>
      <w:lvlText w:val="FIGURE %1:"/>
      <w:lvlJc w:val="left"/>
      <w:pPr>
        <w:tabs>
          <w:tab w:val="num" w:pos="936"/>
        </w:tabs>
        <w:ind w:left="0" w:firstLine="0"/>
      </w:pPr>
      <w:rPr>
        <w:rFonts w:ascii="Corbel" w:hAnsi="Corbel" w:hint="default"/>
        <w:b/>
        <w:i w:val="0"/>
        <w:caps/>
        <w:strike w:val="0"/>
        <w:dstrike w:val="0"/>
        <w:vanish w:val="0"/>
        <w:color w:val="353332"/>
        <w:spacing w:val="0"/>
        <w:position w:val="0"/>
        <w:sz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0" w15:restartNumberingAfterBreak="0">
    <w:nsid w:val="6C08499D"/>
    <w:multiLevelType w:val="hybridMultilevel"/>
    <w:tmpl w:val="4B6838D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1" w15:restartNumberingAfterBreak="0">
    <w:nsid w:val="6C291EC2"/>
    <w:multiLevelType w:val="multilevel"/>
    <w:tmpl w:val="7144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6C5C17C4"/>
    <w:multiLevelType w:val="hybridMultilevel"/>
    <w:tmpl w:val="FFFFFFFF"/>
    <w:lvl w:ilvl="0" w:tplc="35BE11E6">
      <w:start w:val="1"/>
      <w:numFmt w:val="decimal"/>
      <w:lvlText w:val="%1."/>
      <w:lvlJc w:val="left"/>
      <w:pPr>
        <w:ind w:left="720" w:hanging="360"/>
      </w:pPr>
    </w:lvl>
    <w:lvl w:ilvl="1" w:tplc="F5CE77B2">
      <w:start w:val="1"/>
      <w:numFmt w:val="lowerLetter"/>
      <w:lvlText w:val="%2."/>
      <w:lvlJc w:val="left"/>
      <w:pPr>
        <w:ind w:left="1440" w:hanging="360"/>
      </w:pPr>
    </w:lvl>
    <w:lvl w:ilvl="2" w:tplc="6706DA92">
      <w:start w:val="1"/>
      <w:numFmt w:val="lowerRoman"/>
      <w:lvlText w:val="%3."/>
      <w:lvlJc w:val="right"/>
      <w:pPr>
        <w:ind w:left="2160" w:hanging="180"/>
      </w:pPr>
    </w:lvl>
    <w:lvl w:ilvl="3" w:tplc="9C120A7E">
      <w:start w:val="1"/>
      <w:numFmt w:val="decimal"/>
      <w:lvlText w:val="%4."/>
      <w:lvlJc w:val="left"/>
      <w:pPr>
        <w:ind w:left="2880" w:hanging="360"/>
      </w:pPr>
    </w:lvl>
    <w:lvl w:ilvl="4" w:tplc="CEB6D8D4">
      <w:start w:val="1"/>
      <w:numFmt w:val="lowerLetter"/>
      <w:lvlText w:val="%5."/>
      <w:lvlJc w:val="left"/>
      <w:pPr>
        <w:ind w:left="3600" w:hanging="360"/>
      </w:pPr>
    </w:lvl>
    <w:lvl w:ilvl="5" w:tplc="D17C322C">
      <w:start w:val="1"/>
      <w:numFmt w:val="lowerRoman"/>
      <w:lvlText w:val="%6."/>
      <w:lvlJc w:val="right"/>
      <w:pPr>
        <w:ind w:left="4320" w:hanging="180"/>
      </w:pPr>
    </w:lvl>
    <w:lvl w:ilvl="6" w:tplc="53D6A6B0">
      <w:start w:val="1"/>
      <w:numFmt w:val="decimal"/>
      <w:lvlText w:val="%7."/>
      <w:lvlJc w:val="left"/>
      <w:pPr>
        <w:ind w:left="5040" w:hanging="360"/>
      </w:pPr>
    </w:lvl>
    <w:lvl w:ilvl="7" w:tplc="4EDE20EE">
      <w:start w:val="1"/>
      <w:numFmt w:val="lowerLetter"/>
      <w:lvlText w:val="%8."/>
      <w:lvlJc w:val="left"/>
      <w:pPr>
        <w:ind w:left="5760" w:hanging="360"/>
      </w:pPr>
    </w:lvl>
    <w:lvl w:ilvl="8" w:tplc="A11AE48E">
      <w:start w:val="1"/>
      <w:numFmt w:val="lowerRoman"/>
      <w:lvlText w:val="%9."/>
      <w:lvlJc w:val="right"/>
      <w:pPr>
        <w:ind w:left="6480" w:hanging="180"/>
      </w:pPr>
    </w:lvl>
  </w:abstractNum>
  <w:abstractNum w:abstractNumId="323" w15:restartNumberingAfterBreak="0">
    <w:nsid w:val="6C98475D"/>
    <w:multiLevelType w:val="hybridMultilevel"/>
    <w:tmpl w:val="FC44878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4" w15:restartNumberingAfterBreak="0">
    <w:nsid w:val="6CBD6BB5"/>
    <w:multiLevelType w:val="hybridMultilevel"/>
    <w:tmpl w:val="979E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5" w15:restartNumberingAfterBreak="0">
    <w:nsid w:val="6D7A2C7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6" w15:restartNumberingAfterBreak="0">
    <w:nsid w:val="6ED41BD5"/>
    <w:multiLevelType w:val="hybridMultilevel"/>
    <w:tmpl w:val="53E26938"/>
    <w:lvl w:ilvl="0" w:tplc="F780B59E">
      <w:start w:val="1"/>
      <w:numFmt w:val="decimal"/>
      <w:lvlText w:val="%1."/>
      <w:lvlJc w:val="left"/>
      <w:pPr>
        <w:ind w:left="360" w:hanging="360"/>
      </w:pPr>
    </w:lvl>
    <w:lvl w:ilvl="1" w:tplc="FB3CDDA0">
      <w:numFmt w:val="bullet"/>
      <w:lvlText w:val="-"/>
      <w:lvlJc w:val="left"/>
      <w:pPr>
        <w:ind w:left="720" w:hanging="360"/>
      </w:pPr>
      <w:rPr>
        <w:rFonts w:ascii="Times New Roman" w:hAnsi="Times New Roman" w:hint="default"/>
      </w:rPr>
    </w:lvl>
    <w:lvl w:ilvl="2" w:tplc="074E8EBA" w:tentative="1">
      <w:start w:val="1"/>
      <w:numFmt w:val="lowerRoman"/>
      <w:lvlText w:val="%3."/>
      <w:lvlJc w:val="right"/>
      <w:pPr>
        <w:ind w:left="1800" w:hanging="180"/>
      </w:pPr>
    </w:lvl>
    <w:lvl w:ilvl="3" w:tplc="1F02D9EA" w:tentative="1">
      <w:start w:val="1"/>
      <w:numFmt w:val="decimal"/>
      <w:lvlText w:val="%4."/>
      <w:lvlJc w:val="left"/>
      <w:pPr>
        <w:ind w:left="2520" w:hanging="360"/>
      </w:pPr>
    </w:lvl>
    <w:lvl w:ilvl="4" w:tplc="6276DE92" w:tentative="1">
      <w:start w:val="1"/>
      <w:numFmt w:val="lowerLetter"/>
      <w:lvlText w:val="%5."/>
      <w:lvlJc w:val="left"/>
      <w:pPr>
        <w:ind w:left="3240" w:hanging="360"/>
      </w:pPr>
    </w:lvl>
    <w:lvl w:ilvl="5" w:tplc="1CFC6EB0" w:tentative="1">
      <w:start w:val="1"/>
      <w:numFmt w:val="lowerRoman"/>
      <w:lvlText w:val="%6."/>
      <w:lvlJc w:val="right"/>
      <w:pPr>
        <w:ind w:left="3960" w:hanging="180"/>
      </w:pPr>
    </w:lvl>
    <w:lvl w:ilvl="6" w:tplc="B8E6E758" w:tentative="1">
      <w:start w:val="1"/>
      <w:numFmt w:val="decimal"/>
      <w:lvlText w:val="%7."/>
      <w:lvlJc w:val="left"/>
      <w:pPr>
        <w:ind w:left="4680" w:hanging="360"/>
      </w:pPr>
    </w:lvl>
    <w:lvl w:ilvl="7" w:tplc="BA90B432" w:tentative="1">
      <w:start w:val="1"/>
      <w:numFmt w:val="lowerLetter"/>
      <w:lvlText w:val="%8."/>
      <w:lvlJc w:val="left"/>
      <w:pPr>
        <w:ind w:left="5400" w:hanging="360"/>
      </w:pPr>
    </w:lvl>
    <w:lvl w:ilvl="8" w:tplc="5D2E45F2" w:tentative="1">
      <w:start w:val="1"/>
      <w:numFmt w:val="lowerRoman"/>
      <w:lvlText w:val="%9."/>
      <w:lvlJc w:val="right"/>
      <w:pPr>
        <w:ind w:left="6120" w:hanging="180"/>
      </w:pPr>
    </w:lvl>
  </w:abstractNum>
  <w:abstractNum w:abstractNumId="327" w15:restartNumberingAfterBreak="0">
    <w:nsid w:val="6F0F73C1"/>
    <w:multiLevelType w:val="hybridMultilevel"/>
    <w:tmpl w:val="8EC814DE"/>
    <w:lvl w:ilvl="0" w:tplc="94E49680">
      <w:start w:val="4"/>
      <w:numFmt w:val="bullet"/>
      <w:lvlText w:val="-"/>
      <w:lvlJc w:val="left"/>
      <w:pPr>
        <w:ind w:left="720" w:hanging="360"/>
      </w:pPr>
      <w:rPr>
        <w:rFonts w:ascii="Times New Roman" w:hAnsi="Times New Roman" w:hint="default"/>
      </w:rPr>
    </w:lvl>
    <w:lvl w:ilvl="1" w:tplc="31C49EC2" w:tentative="1">
      <w:start w:val="1"/>
      <w:numFmt w:val="bullet"/>
      <w:lvlText w:val="o"/>
      <w:lvlJc w:val="left"/>
      <w:pPr>
        <w:ind w:left="1440" w:hanging="360"/>
      </w:pPr>
      <w:rPr>
        <w:rFonts w:ascii="Courier New" w:hAnsi="Courier New" w:hint="default"/>
      </w:rPr>
    </w:lvl>
    <w:lvl w:ilvl="2" w:tplc="044C2EEA" w:tentative="1">
      <w:start w:val="1"/>
      <w:numFmt w:val="bullet"/>
      <w:lvlText w:val=""/>
      <w:lvlJc w:val="left"/>
      <w:pPr>
        <w:ind w:left="2160" w:hanging="360"/>
      </w:pPr>
      <w:rPr>
        <w:rFonts w:ascii="Wingdings" w:hAnsi="Wingdings" w:hint="default"/>
      </w:rPr>
    </w:lvl>
    <w:lvl w:ilvl="3" w:tplc="19844C1C" w:tentative="1">
      <w:start w:val="1"/>
      <w:numFmt w:val="bullet"/>
      <w:lvlText w:val=""/>
      <w:lvlJc w:val="left"/>
      <w:pPr>
        <w:ind w:left="2880" w:hanging="360"/>
      </w:pPr>
      <w:rPr>
        <w:rFonts w:ascii="Symbol" w:hAnsi="Symbol" w:hint="default"/>
      </w:rPr>
    </w:lvl>
    <w:lvl w:ilvl="4" w:tplc="306852FE" w:tentative="1">
      <w:start w:val="1"/>
      <w:numFmt w:val="bullet"/>
      <w:lvlText w:val="o"/>
      <w:lvlJc w:val="left"/>
      <w:pPr>
        <w:ind w:left="3600" w:hanging="360"/>
      </w:pPr>
      <w:rPr>
        <w:rFonts w:ascii="Courier New" w:hAnsi="Courier New" w:hint="default"/>
      </w:rPr>
    </w:lvl>
    <w:lvl w:ilvl="5" w:tplc="45BA3D30" w:tentative="1">
      <w:start w:val="1"/>
      <w:numFmt w:val="bullet"/>
      <w:lvlText w:val=""/>
      <w:lvlJc w:val="left"/>
      <w:pPr>
        <w:ind w:left="4320" w:hanging="360"/>
      </w:pPr>
      <w:rPr>
        <w:rFonts w:ascii="Wingdings" w:hAnsi="Wingdings" w:hint="default"/>
      </w:rPr>
    </w:lvl>
    <w:lvl w:ilvl="6" w:tplc="CCB49D42" w:tentative="1">
      <w:start w:val="1"/>
      <w:numFmt w:val="bullet"/>
      <w:lvlText w:val=""/>
      <w:lvlJc w:val="left"/>
      <w:pPr>
        <w:ind w:left="5040" w:hanging="360"/>
      </w:pPr>
      <w:rPr>
        <w:rFonts w:ascii="Symbol" w:hAnsi="Symbol" w:hint="default"/>
      </w:rPr>
    </w:lvl>
    <w:lvl w:ilvl="7" w:tplc="7A081C08" w:tentative="1">
      <w:start w:val="1"/>
      <w:numFmt w:val="bullet"/>
      <w:lvlText w:val="o"/>
      <w:lvlJc w:val="left"/>
      <w:pPr>
        <w:ind w:left="5760" w:hanging="360"/>
      </w:pPr>
      <w:rPr>
        <w:rFonts w:ascii="Courier New" w:hAnsi="Courier New" w:hint="default"/>
      </w:rPr>
    </w:lvl>
    <w:lvl w:ilvl="8" w:tplc="E992182E" w:tentative="1">
      <w:start w:val="1"/>
      <w:numFmt w:val="bullet"/>
      <w:lvlText w:val=""/>
      <w:lvlJc w:val="left"/>
      <w:pPr>
        <w:ind w:left="6480" w:hanging="360"/>
      </w:pPr>
      <w:rPr>
        <w:rFonts w:ascii="Wingdings" w:hAnsi="Wingdings" w:hint="default"/>
      </w:rPr>
    </w:lvl>
  </w:abstractNum>
  <w:abstractNum w:abstractNumId="328" w15:restartNumberingAfterBreak="0">
    <w:nsid w:val="6F87E3ED"/>
    <w:multiLevelType w:val="hybridMultilevel"/>
    <w:tmpl w:val="FFFFFFFF"/>
    <w:lvl w:ilvl="0" w:tplc="5304209C">
      <w:start w:val="1"/>
      <w:numFmt w:val="decimal"/>
      <w:lvlText w:val="%1."/>
      <w:lvlJc w:val="left"/>
      <w:pPr>
        <w:ind w:left="720" w:hanging="360"/>
      </w:pPr>
    </w:lvl>
    <w:lvl w:ilvl="1" w:tplc="66CE4942">
      <w:start w:val="1"/>
      <w:numFmt w:val="lowerLetter"/>
      <w:lvlText w:val="%2."/>
      <w:lvlJc w:val="left"/>
      <w:pPr>
        <w:ind w:left="1440" w:hanging="360"/>
      </w:pPr>
    </w:lvl>
    <w:lvl w:ilvl="2" w:tplc="E874630E">
      <w:start w:val="1"/>
      <w:numFmt w:val="lowerRoman"/>
      <w:lvlText w:val="%3."/>
      <w:lvlJc w:val="right"/>
      <w:pPr>
        <w:ind w:left="2160" w:hanging="180"/>
      </w:pPr>
    </w:lvl>
    <w:lvl w:ilvl="3" w:tplc="6C521728">
      <w:start w:val="1"/>
      <w:numFmt w:val="decimal"/>
      <w:lvlText w:val="%4."/>
      <w:lvlJc w:val="left"/>
      <w:pPr>
        <w:ind w:left="2880" w:hanging="360"/>
      </w:pPr>
    </w:lvl>
    <w:lvl w:ilvl="4" w:tplc="DA8CD422">
      <w:start w:val="1"/>
      <w:numFmt w:val="lowerLetter"/>
      <w:lvlText w:val="%5."/>
      <w:lvlJc w:val="left"/>
      <w:pPr>
        <w:ind w:left="3600" w:hanging="360"/>
      </w:pPr>
    </w:lvl>
    <w:lvl w:ilvl="5" w:tplc="B22E169C">
      <w:start w:val="1"/>
      <w:numFmt w:val="lowerRoman"/>
      <w:lvlText w:val="%6."/>
      <w:lvlJc w:val="right"/>
      <w:pPr>
        <w:ind w:left="4320" w:hanging="180"/>
      </w:pPr>
    </w:lvl>
    <w:lvl w:ilvl="6" w:tplc="C6CC24CC">
      <w:start w:val="1"/>
      <w:numFmt w:val="decimal"/>
      <w:lvlText w:val="%7."/>
      <w:lvlJc w:val="left"/>
      <w:pPr>
        <w:ind w:left="5040" w:hanging="360"/>
      </w:pPr>
    </w:lvl>
    <w:lvl w:ilvl="7" w:tplc="1BAAACA2">
      <w:start w:val="1"/>
      <w:numFmt w:val="lowerLetter"/>
      <w:lvlText w:val="%8."/>
      <w:lvlJc w:val="left"/>
      <w:pPr>
        <w:ind w:left="5760" w:hanging="360"/>
      </w:pPr>
    </w:lvl>
    <w:lvl w:ilvl="8" w:tplc="4970C2BE">
      <w:start w:val="1"/>
      <w:numFmt w:val="lowerRoman"/>
      <w:lvlText w:val="%9."/>
      <w:lvlJc w:val="right"/>
      <w:pPr>
        <w:ind w:left="6480" w:hanging="180"/>
      </w:pPr>
    </w:lvl>
  </w:abstractNum>
  <w:abstractNum w:abstractNumId="329" w15:restartNumberingAfterBreak="0">
    <w:nsid w:val="6FEC0EF8"/>
    <w:multiLevelType w:val="hybridMultilevel"/>
    <w:tmpl w:val="CF42AF7A"/>
    <w:lvl w:ilvl="0" w:tplc="88D4C544">
      <w:start w:val="1"/>
      <w:numFmt w:val="bullet"/>
      <w:lvlText w:val=""/>
      <w:lvlJc w:val="left"/>
      <w:pPr>
        <w:ind w:left="720" w:hanging="360"/>
      </w:pPr>
      <w:rPr>
        <w:rFonts w:ascii="Symbol" w:hAnsi="Symbol" w:hint="default"/>
      </w:rPr>
    </w:lvl>
    <w:lvl w:ilvl="1" w:tplc="4B265B5C" w:tentative="1">
      <w:start w:val="1"/>
      <w:numFmt w:val="bullet"/>
      <w:lvlText w:val="o"/>
      <w:lvlJc w:val="left"/>
      <w:pPr>
        <w:ind w:left="1440" w:hanging="360"/>
      </w:pPr>
      <w:rPr>
        <w:rFonts w:ascii="Courier New" w:hAnsi="Courier New" w:hint="default"/>
      </w:rPr>
    </w:lvl>
    <w:lvl w:ilvl="2" w:tplc="6F8EF4EE" w:tentative="1">
      <w:start w:val="1"/>
      <w:numFmt w:val="bullet"/>
      <w:lvlText w:val=""/>
      <w:lvlJc w:val="left"/>
      <w:pPr>
        <w:ind w:left="2160" w:hanging="360"/>
      </w:pPr>
      <w:rPr>
        <w:rFonts w:ascii="Wingdings" w:hAnsi="Wingdings" w:hint="default"/>
      </w:rPr>
    </w:lvl>
    <w:lvl w:ilvl="3" w:tplc="F2B235B6" w:tentative="1">
      <w:start w:val="1"/>
      <w:numFmt w:val="bullet"/>
      <w:lvlText w:val=""/>
      <w:lvlJc w:val="left"/>
      <w:pPr>
        <w:ind w:left="2880" w:hanging="360"/>
      </w:pPr>
      <w:rPr>
        <w:rFonts w:ascii="Symbol" w:hAnsi="Symbol" w:hint="default"/>
      </w:rPr>
    </w:lvl>
    <w:lvl w:ilvl="4" w:tplc="152A293E" w:tentative="1">
      <w:start w:val="1"/>
      <w:numFmt w:val="bullet"/>
      <w:lvlText w:val="o"/>
      <w:lvlJc w:val="left"/>
      <w:pPr>
        <w:ind w:left="3600" w:hanging="360"/>
      </w:pPr>
      <w:rPr>
        <w:rFonts w:ascii="Courier New" w:hAnsi="Courier New" w:hint="default"/>
      </w:rPr>
    </w:lvl>
    <w:lvl w:ilvl="5" w:tplc="73560CA6" w:tentative="1">
      <w:start w:val="1"/>
      <w:numFmt w:val="bullet"/>
      <w:lvlText w:val=""/>
      <w:lvlJc w:val="left"/>
      <w:pPr>
        <w:ind w:left="4320" w:hanging="360"/>
      </w:pPr>
      <w:rPr>
        <w:rFonts w:ascii="Wingdings" w:hAnsi="Wingdings" w:hint="default"/>
      </w:rPr>
    </w:lvl>
    <w:lvl w:ilvl="6" w:tplc="985465AE" w:tentative="1">
      <w:start w:val="1"/>
      <w:numFmt w:val="bullet"/>
      <w:lvlText w:val=""/>
      <w:lvlJc w:val="left"/>
      <w:pPr>
        <w:ind w:left="5040" w:hanging="360"/>
      </w:pPr>
      <w:rPr>
        <w:rFonts w:ascii="Symbol" w:hAnsi="Symbol" w:hint="default"/>
      </w:rPr>
    </w:lvl>
    <w:lvl w:ilvl="7" w:tplc="56383104" w:tentative="1">
      <w:start w:val="1"/>
      <w:numFmt w:val="bullet"/>
      <w:lvlText w:val="o"/>
      <w:lvlJc w:val="left"/>
      <w:pPr>
        <w:ind w:left="5760" w:hanging="360"/>
      </w:pPr>
      <w:rPr>
        <w:rFonts w:ascii="Courier New" w:hAnsi="Courier New" w:hint="default"/>
      </w:rPr>
    </w:lvl>
    <w:lvl w:ilvl="8" w:tplc="C3CAB218" w:tentative="1">
      <w:start w:val="1"/>
      <w:numFmt w:val="bullet"/>
      <w:lvlText w:val=""/>
      <w:lvlJc w:val="left"/>
      <w:pPr>
        <w:ind w:left="6480" w:hanging="360"/>
      </w:pPr>
      <w:rPr>
        <w:rFonts w:ascii="Wingdings" w:hAnsi="Wingdings" w:hint="default"/>
      </w:rPr>
    </w:lvl>
  </w:abstractNum>
  <w:abstractNum w:abstractNumId="330" w15:restartNumberingAfterBreak="0">
    <w:nsid w:val="70331E2A"/>
    <w:multiLevelType w:val="hybridMultilevel"/>
    <w:tmpl w:val="E1A89332"/>
    <w:lvl w:ilvl="0" w:tplc="3FF4F4CE">
      <w:start w:val="1"/>
      <w:numFmt w:val="bullet"/>
      <w:lvlText w:val=""/>
      <w:lvlJc w:val="left"/>
      <w:pPr>
        <w:ind w:left="720" w:hanging="360"/>
      </w:pPr>
      <w:rPr>
        <w:rFonts w:ascii="Symbol" w:hAnsi="Symbol" w:hint="default"/>
      </w:rPr>
    </w:lvl>
    <w:lvl w:ilvl="1" w:tplc="3A46FC68" w:tentative="1">
      <w:start w:val="1"/>
      <w:numFmt w:val="bullet"/>
      <w:lvlText w:val="o"/>
      <w:lvlJc w:val="left"/>
      <w:pPr>
        <w:ind w:left="1440" w:hanging="360"/>
      </w:pPr>
      <w:rPr>
        <w:rFonts w:ascii="Courier New" w:hAnsi="Courier New" w:hint="default"/>
      </w:rPr>
    </w:lvl>
    <w:lvl w:ilvl="2" w:tplc="A69A075A" w:tentative="1">
      <w:start w:val="1"/>
      <w:numFmt w:val="bullet"/>
      <w:lvlText w:val=""/>
      <w:lvlJc w:val="left"/>
      <w:pPr>
        <w:ind w:left="2160" w:hanging="360"/>
      </w:pPr>
      <w:rPr>
        <w:rFonts w:ascii="Wingdings" w:hAnsi="Wingdings" w:hint="default"/>
      </w:rPr>
    </w:lvl>
    <w:lvl w:ilvl="3" w:tplc="6C44E11C" w:tentative="1">
      <w:start w:val="1"/>
      <w:numFmt w:val="bullet"/>
      <w:lvlText w:val=""/>
      <w:lvlJc w:val="left"/>
      <w:pPr>
        <w:ind w:left="2880" w:hanging="360"/>
      </w:pPr>
      <w:rPr>
        <w:rFonts w:ascii="Symbol" w:hAnsi="Symbol" w:hint="default"/>
      </w:rPr>
    </w:lvl>
    <w:lvl w:ilvl="4" w:tplc="7AE4092C" w:tentative="1">
      <w:start w:val="1"/>
      <w:numFmt w:val="bullet"/>
      <w:lvlText w:val="o"/>
      <w:lvlJc w:val="left"/>
      <w:pPr>
        <w:ind w:left="3600" w:hanging="360"/>
      </w:pPr>
      <w:rPr>
        <w:rFonts w:ascii="Courier New" w:hAnsi="Courier New" w:hint="default"/>
      </w:rPr>
    </w:lvl>
    <w:lvl w:ilvl="5" w:tplc="2F181918" w:tentative="1">
      <w:start w:val="1"/>
      <w:numFmt w:val="bullet"/>
      <w:lvlText w:val=""/>
      <w:lvlJc w:val="left"/>
      <w:pPr>
        <w:ind w:left="4320" w:hanging="360"/>
      </w:pPr>
      <w:rPr>
        <w:rFonts w:ascii="Wingdings" w:hAnsi="Wingdings" w:hint="default"/>
      </w:rPr>
    </w:lvl>
    <w:lvl w:ilvl="6" w:tplc="FAECD33E" w:tentative="1">
      <w:start w:val="1"/>
      <w:numFmt w:val="bullet"/>
      <w:lvlText w:val=""/>
      <w:lvlJc w:val="left"/>
      <w:pPr>
        <w:ind w:left="5040" w:hanging="360"/>
      </w:pPr>
      <w:rPr>
        <w:rFonts w:ascii="Symbol" w:hAnsi="Symbol" w:hint="default"/>
      </w:rPr>
    </w:lvl>
    <w:lvl w:ilvl="7" w:tplc="AE86DFE8" w:tentative="1">
      <w:start w:val="1"/>
      <w:numFmt w:val="bullet"/>
      <w:lvlText w:val="o"/>
      <w:lvlJc w:val="left"/>
      <w:pPr>
        <w:ind w:left="5760" w:hanging="360"/>
      </w:pPr>
      <w:rPr>
        <w:rFonts w:ascii="Courier New" w:hAnsi="Courier New" w:hint="default"/>
      </w:rPr>
    </w:lvl>
    <w:lvl w:ilvl="8" w:tplc="80B4DAD0" w:tentative="1">
      <w:start w:val="1"/>
      <w:numFmt w:val="bullet"/>
      <w:lvlText w:val=""/>
      <w:lvlJc w:val="left"/>
      <w:pPr>
        <w:ind w:left="6480" w:hanging="360"/>
      </w:pPr>
      <w:rPr>
        <w:rFonts w:ascii="Wingdings" w:hAnsi="Wingdings" w:hint="default"/>
      </w:rPr>
    </w:lvl>
  </w:abstractNum>
  <w:abstractNum w:abstractNumId="331" w15:restartNumberingAfterBreak="0">
    <w:nsid w:val="705A0E0A"/>
    <w:multiLevelType w:val="multilevel"/>
    <w:tmpl w:val="994E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70DD1EB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3" w15:restartNumberingAfterBreak="0">
    <w:nsid w:val="71B34008"/>
    <w:multiLevelType w:val="hybridMultilevel"/>
    <w:tmpl w:val="CE680BDC"/>
    <w:lvl w:ilvl="0" w:tplc="52842952">
      <w:start w:val="1"/>
      <w:numFmt w:val="bullet"/>
      <w:lvlText w:val=""/>
      <w:lvlJc w:val="left"/>
      <w:pPr>
        <w:ind w:left="720" w:hanging="360"/>
      </w:pPr>
      <w:rPr>
        <w:rFonts w:ascii="Symbol" w:hAnsi="Symbol" w:hint="default"/>
      </w:rPr>
    </w:lvl>
    <w:lvl w:ilvl="1" w:tplc="BB0EAA30">
      <w:start w:val="1"/>
      <w:numFmt w:val="bullet"/>
      <w:lvlText w:val="o"/>
      <w:lvlJc w:val="left"/>
      <w:pPr>
        <w:ind w:left="1440" w:hanging="360"/>
      </w:pPr>
      <w:rPr>
        <w:rFonts w:ascii="Courier New" w:hAnsi="Courier New" w:hint="default"/>
      </w:rPr>
    </w:lvl>
    <w:lvl w:ilvl="2" w:tplc="5DC816B4">
      <w:start w:val="1"/>
      <w:numFmt w:val="bullet"/>
      <w:lvlText w:val=""/>
      <w:lvlJc w:val="left"/>
      <w:pPr>
        <w:ind w:left="2160" w:hanging="360"/>
      </w:pPr>
      <w:rPr>
        <w:rFonts w:ascii="Wingdings" w:hAnsi="Wingdings" w:hint="default"/>
      </w:rPr>
    </w:lvl>
    <w:lvl w:ilvl="3" w:tplc="4EF0D536">
      <w:start w:val="1"/>
      <w:numFmt w:val="bullet"/>
      <w:lvlText w:val=""/>
      <w:lvlJc w:val="left"/>
      <w:pPr>
        <w:ind w:left="2880" w:hanging="360"/>
      </w:pPr>
      <w:rPr>
        <w:rFonts w:ascii="Symbol" w:hAnsi="Symbol" w:hint="default"/>
      </w:rPr>
    </w:lvl>
    <w:lvl w:ilvl="4" w:tplc="37947B6C">
      <w:start w:val="1"/>
      <w:numFmt w:val="bullet"/>
      <w:lvlText w:val="o"/>
      <w:lvlJc w:val="left"/>
      <w:pPr>
        <w:ind w:left="3600" w:hanging="360"/>
      </w:pPr>
      <w:rPr>
        <w:rFonts w:ascii="Courier New" w:hAnsi="Courier New" w:hint="default"/>
      </w:rPr>
    </w:lvl>
    <w:lvl w:ilvl="5" w:tplc="4CAE41F0">
      <w:start w:val="1"/>
      <w:numFmt w:val="bullet"/>
      <w:lvlText w:val=""/>
      <w:lvlJc w:val="left"/>
      <w:pPr>
        <w:ind w:left="4320" w:hanging="360"/>
      </w:pPr>
      <w:rPr>
        <w:rFonts w:ascii="Wingdings" w:hAnsi="Wingdings" w:hint="default"/>
      </w:rPr>
    </w:lvl>
    <w:lvl w:ilvl="6" w:tplc="22962586">
      <w:start w:val="1"/>
      <w:numFmt w:val="bullet"/>
      <w:lvlText w:val=""/>
      <w:lvlJc w:val="left"/>
      <w:pPr>
        <w:ind w:left="5040" w:hanging="360"/>
      </w:pPr>
      <w:rPr>
        <w:rFonts w:ascii="Symbol" w:hAnsi="Symbol" w:hint="default"/>
      </w:rPr>
    </w:lvl>
    <w:lvl w:ilvl="7" w:tplc="0CF2E1FE">
      <w:start w:val="1"/>
      <w:numFmt w:val="bullet"/>
      <w:lvlText w:val="o"/>
      <w:lvlJc w:val="left"/>
      <w:pPr>
        <w:ind w:left="5760" w:hanging="360"/>
      </w:pPr>
      <w:rPr>
        <w:rFonts w:ascii="Courier New" w:hAnsi="Courier New" w:hint="default"/>
      </w:rPr>
    </w:lvl>
    <w:lvl w:ilvl="8" w:tplc="4E684FD8">
      <w:start w:val="1"/>
      <w:numFmt w:val="bullet"/>
      <w:lvlText w:val=""/>
      <w:lvlJc w:val="left"/>
      <w:pPr>
        <w:ind w:left="6480" w:hanging="360"/>
      </w:pPr>
      <w:rPr>
        <w:rFonts w:ascii="Wingdings" w:hAnsi="Wingdings" w:hint="default"/>
      </w:rPr>
    </w:lvl>
  </w:abstractNum>
  <w:abstractNum w:abstractNumId="334" w15:restartNumberingAfterBreak="0">
    <w:nsid w:val="724E42F2"/>
    <w:multiLevelType w:val="hybridMultilevel"/>
    <w:tmpl w:val="FFFFFFFF"/>
    <w:lvl w:ilvl="0" w:tplc="EF5079B4">
      <w:start w:val="1"/>
      <w:numFmt w:val="decimal"/>
      <w:lvlText w:val="%1."/>
      <w:lvlJc w:val="left"/>
      <w:pPr>
        <w:ind w:left="720" w:hanging="360"/>
      </w:pPr>
    </w:lvl>
    <w:lvl w:ilvl="1" w:tplc="7B200A72">
      <w:start w:val="1"/>
      <w:numFmt w:val="lowerLetter"/>
      <w:lvlText w:val="%2."/>
      <w:lvlJc w:val="left"/>
      <w:pPr>
        <w:ind w:left="1440" w:hanging="360"/>
      </w:pPr>
    </w:lvl>
    <w:lvl w:ilvl="2" w:tplc="298C2D86">
      <w:start w:val="1"/>
      <w:numFmt w:val="lowerRoman"/>
      <w:lvlText w:val="%3."/>
      <w:lvlJc w:val="right"/>
      <w:pPr>
        <w:ind w:left="2160" w:hanging="180"/>
      </w:pPr>
    </w:lvl>
    <w:lvl w:ilvl="3" w:tplc="F328E338">
      <w:start w:val="1"/>
      <w:numFmt w:val="decimal"/>
      <w:lvlText w:val="%4."/>
      <w:lvlJc w:val="left"/>
      <w:pPr>
        <w:ind w:left="2880" w:hanging="360"/>
      </w:pPr>
    </w:lvl>
    <w:lvl w:ilvl="4" w:tplc="7E644A24">
      <w:start w:val="1"/>
      <w:numFmt w:val="lowerLetter"/>
      <w:lvlText w:val="%5."/>
      <w:lvlJc w:val="left"/>
      <w:pPr>
        <w:ind w:left="3600" w:hanging="360"/>
      </w:pPr>
    </w:lvl>
    <w:lvl w:ilvl="5" w:tplc="B844B970">
      <w:start w:val="1"/>
      <w:numFmt w:val="lowerRoman"/>
      <w:lvlText w:val="%6."/>
      <w:lvlJc w:val="right"/>
      <w:pPr>
        <w:ind w:left="4320" w:hanging="180"/>
      </w:pPr>
    </w:lvl>
    <w:lvl w:ilvl="6" w:tplc="95B82084">
      <w:start w:val="1"/>
      <w:numFmt w:val="decimal"/>
      <w:lvlText w:val="%7."/>
      <w:lvlJc w:val="left"/>
      <w:pPr>
        <w:ind w:left="5040" w:hanging="360"/>
      </w:pPr>
    </w:lvl>
    <w:lvl w:ilvl="7" w:tplc="E3C8EFF0">
      <w:start w:val="1"/>
      <w:numFmt w:val="lowerLetter"/>
      <w:lvlText w:val="%8."/>
      <w:lvlJc w:val="left"/>
      <w:pPr>
        <w:ind w:left="5760" w:hanging="360"/>
      </w:pPr>
    </w:lvl>
    <w:lvl w:ilvl="8" w:tplc="51ACC62A">
      <w:start w:val="1"/>
      <w:numFmt w:val="lowerRoman"/>
      <w:lvlText w:val="%9."/>
      <w:lvlJc w:val="right"/>
      <w:pPr>
        <w:ind w:left="6480" w:hanging="180"/>
      </w:pPr>
    </w:lvl>
  </w:abstractNum>
  <w:abstractNum w:abstractNumId="335" w15:restartNumberingAfterBreak="0">
    <w:nsid w:val="72527A1D"/>
    <w:multiLevelType w:val="hybridMultilevel"/>
    <w:tmpl w:val="FEFE0D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36" w15:restartNumberingAfterBreak="0">
    <w:nsid w:val="731F3E3D"/>
    <w:multiLevelType w:val="hybridMultilevel"/>
    <w:tmpl w:val="D8D043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7" w15:restartNumberingAfterBreak="0">
    <w:nsid w:val="736D717B"/>
    <w:multiLevelType w:val="multilevel"/>
    <w:tmpl w:val="7528F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73B81BC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9" w15:restartNumberingAfterBreak="0">
    <w:nsid w:val="7417616B"/>
    <w:multiLevelType w:val="hybridMultilevel"/>
    <w:tmpl w:val="C890EB7C"/>
    <w:lvl w:ilvl="0" w:tplc="D7406A7A">
      <w:numFmt w:val="bullet"/>
      <w:lvlText w:val=""/>
      <w:lvlJc w:val="left"/>
      <w:pPr>
        <w:ind w:left="720" w:hanging="360"/>
      </w:pPr>
      <w:rPr>
        <w:rFonts w:ascii="Symbol" w:hAnsi="Symbol" w:hint="default"/>
      </w:rPr>
    </w:lvl>
    <w:lvl w:ilvl="1" w:tplc="460A5CCA">
      <w:start w:val="1"/>
      <w:numFmt w:val="bullet"/>
      <w:lvlText w:val="o"/>
      <w:lvlJc w:val="left"/>
      <w:pPr>
        <w:ind w:left="1440" w:hanging="360"/>
      </w:pPr>
      <w:rPr>
        <w:rFonts w:ascii="Courier New" w:hAnsi="Courier New" w:hint="default"/>
      </w:rPr>
    </w:lvl>
    <w:lvl w:ilvl="2" w:tplc="330E03C2" w:tentative="1">
      <w:start w:val="1"/>
      <w:numFmt w:val="bullet"/>
      <w:lvlText w:val=""/>
      <w:lvlJc w:val="left"/>
      <w:pPr>
        <w:ind w:left="2160" w:hanging="360"/>
      </w:pPr>
      <w:rPr>
        <w:rFonts w:ascii="Wingdings" w:hAnsi="Wingdings" w:hint="default"/>
      </w:rPr>
    </w:lvl>
    <w:lvl w:ilvl="3" w:tplc="9BCC5C72" w:tentative="1">
      <w:start w:val="1"/>
      <w:numFmt w:val="bullet"/>
      <w:lvlText w:val=""/>
      <w:lvlJc w:val="left"/>
      <w:pPr>
        <w:ind w:left="2880" w:hanging="360"/>
      </w:pPr>
      <w:rPr>
        <w:rFonts w:ascii="Symbol" w:hAnsi="Symbol" w:hint="default"/>
      </w:rPr>
    </w:lvl>
    <w:lvl w:ilvl="4" w:tplc="E446D81A" w:tentative="1">
      <w:start w:val="1"/>
      <w:numFmt w:val="bullet"/>
      <w:lvlText w:val="o"/>
      <w:lvlJc w:val="left"/>
      <w:pPr>
        <w:ind w:left="3600" w:hanging="360"/>
      </w:pPr>
      <w:rPr>
        <w:rFonts w:ascii="Courier New" w:hAnsi="Courier New" w:hint="default"/>
      </w:rPr>
    </w:lvl>
    <w:lvl w:ilvl="5" w:tplc="02A4CA96" w:tentative="1">
      <w:start w:val="1"/>
      <w:numFmt w:val="bullet"/>
      <w:lvlText w:val=""/>
      <w:lvlJc w:val="left"/>
      <w:pPr>
        <w:ind w:left="4320" w:hanging="360"/>
      </w:pPr>
      <w:rPr>
        <w:rFonts w:ascii="Wingdings" w:hAnsi="Wingdings" w:hint="default"/>
      </w:rPr>
    </w:lvl>
    <w:lvl w:ilvl="6" w:tplc="54EC6392" w:tentative="1">
      <w:start w:val="1"/>
      <w:numFmt w:val="bullet"/>
      <w:lvlText w:val=""/>
      <w:lvlJc w:val="left"/>
      <w:pPr>
        <w:ind w:left="5040" w:hanging="360"/>
      </w:pPr>
      <w:rPr>
        <w:rFonts w:ascii="Symbol" w:hAnsi="Symbol" w:hint="default"/>
      </w:rPr>
    </w:lvl>
    <w:lvl w:ilvl="7" w:tplc="518CE4C0" w:tentative="1">
      <w:start w:val="1"/>
      <w:numFmt w:val="bullet"/>
      <w:lvlText w:val="o"/>
      <w:lvlJc w:val="left"/>
      <w:pPr>
        <w:ind w:left="5760" w:hanging="360"/>
      </w:pPr>
      <w:rPr>
        <w:rFonts w:ascii="Courier New" w:hAnsi="Courier New" w:hint="default"/>
      </w:rPr>
    </w:lvl>
    <w:lvl w:ilvl="8" w:tplc="604A52F6" w:tentative="1">
      <w:start w:val="1"/>
      <w:numFmt w:val="bullet"/>
      <w:lvlText w:val=""/>
      <w:lvlJc w:val="left"/>
      <w:pPr>
        <w:ind w:left="6480" w:hanging="360"/>
      </w:pPr>
      <w:rPr>
        <w:rFonts w:ascii="Wingdings" w:hAnsi="Wingdings" w:hint="default"/>
      </w:rPr>
    </w:lvl>
  </w:abstractNum>
  <w:abstractNum w:abstractNumId="340" w15:restartNumberingAfterBreak="0">
    <w:nsid w:val="74E12589"/>
    <w:multiLevelType w:val="multilevel"/>
    <w:tmpl w:val="75AE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750A487B"/>
    <w:multiLevelType w:val="multilevel"/>
    <w:tmpl w:val="AD4CB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75424850"/>
    <w:multiLevelType w:val="hybridMultilevel"/>
    <w:tmpl w:val="C9A2E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75C261ED"/>
    <w:multiLevelType w:val="multilevel"/>
    <w:tmpl w:val="01CE76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4" w15:restartNumberingAfterBreak="0">
    <w:nsid w:val="7627A501"/>
    <w:multiLevelType w:val="hybridMultilevel"/>
    <w:tmpl w:val="FFFFFFFF"/>
    <w:lvl w:ilvl="0" w:tplc="5C1AA60E">
      <w:start w:val="1"/>
      <w:numFmt w:val="bullet"/>
      <w:lvlText w:val=""/>
      <w:lvlJc w:val="left"/>
      <w:pPr>
        <w:ind w:left="720" w:hanging="360"/>
      </w:pPr>
      <w:rPr>
        <w:rFonts w:ascii="Symbol" w:hAnsi="Symbol" w:hint="default"/>
      </w:rPr>
    </w:lvl>
    <w:lvl w:ilvl="1" w:tplc="13727AB0">
      <w:start w:val="1"/>
      <w:numFmt w:val="bullet"/>
      <w:lvlText w:val="o"/>
      <w:lvlJc w:val="left"/>
      <w:pPr>
        <w:ind w:left="1440" w:hanging="360"/>
      </w:pPr>
      <w:rPr>
        <w:rFonts w:ascii="Courier New" w:hAnsi="Courier New" w:hint="default"/>
      </w:rPr>
    </w:lvl>
    <w:lvl w:ilvl="2" w:tplc="45E0FF62">
      <w:start w:val="1"/>
      <w:numFmt w:val="bullet"/>
      <w:lvlText w:val=""/>
      <w:lvlJc w:val="left"/>
      <w:pPr>
        <w:ind w:left="2160" w:hanging="360"/>
      </w:pPr>
      <w:rPr>
        <w:rFonts w:ascii="Wingdings" w:hAnsi="Wingdings" w:hint="default"/>
      </w:rPr>
    </w:lvl>
    <w:lvl w:ilvl="3" w:tplc="E370F1AE">
      <w:start w:val="1"/>
      <w:numFmt w:val="bullet"/>
      <w:lvlText w:val=""/>
      <w:lvlJc w:val="left"/>
      <w:pPr>
        <w:ind w:left="2880" w:hanging="360"/>
      </w:pPr>
      <w:rPr>
        <w:rFonts w:ascii="Symbol" w:hAnsi="Symbol" w:hint="default"/>
      </w:rPr>
    </w:lvl>
    <w:lvl w:ilvl="4" w:tplc="3594D5AE">
      <w:start w:val="1"/>
      <w:numFmt w:val="bullet"/>
      <w:lvlText w:val="o"/>
      <w:lvlJc w:val="left"/>
      <w:pPr>
        <w:ind w:left="3600" w:hanging="360"/>
      </w:pPr>
      <w:rPr>
        <w:rFonts w:ascii="Courier New" w:hAnsi="Courier New" w:hint="default"/>
      </w:rPr>
    </w:lvl>
    <w:lvl w:ilvl="5" w:tplc="0888A3EA">
      <w:start w:val="1"/>
      <w:numFmt w:val="bullet"/>
      <w:lvlText w:val=""/>
      <w:lvlJc w:val="left"/>
      <w:pPr>
        <w:ind w:left="4320" w:hanging="360"/>
      </w:pPr>
      <w:rPr>
        <w:rFonts w:ascii="Wingdings" w:hAnsi="Wingdings" w:hint="default"/>
      </w:rPr>
    </w:lvl>
    <w:lvl w:ilvl="6" w:tplc="C45EEB32">
      <w:start w:val="1"/>
      <w:numFmt w:val="bullet"/>
      <w:lvlText w:val=""/>
      <w:lvlJc w:val="left"/>
      <w:pPr>
        <w:ind w:left="5040" w:hanging="360"/>
      </w:pPr>
      <w:rPr>
        <w:rFonts w:ascii="Symbol" w:hAnsi="Symbol" w:hint="default"/>
      </w:rPr>
    </w:lvl>
    <w:lvl w:ilvl="7" w:tplc="82F8F642">
      <w:start w:val="1"/>
      <w:numFmt w:val="bullet"/>
      <w:lvlText w:val="o"/>
      <w:lvlJc w:val="left"/>
      <w:pPr>
        <w:ind w:left="5760" w:hanging="360"/>
      </w:pPr>
      <w:rPr>
        <w:rFonts w:ascii="Courier New" w:hAnsi="Courier New" w:hint="default"/>
      </w:rPr>
    </w:lvl>
    <w:lvl w:ilvl="8" w:tplc="CF34A8E8">
      <w:start w:val="1"/>
      <w:numFmt w:val="bullet"/>
      <w:lvlText w:val=""/>
      <w:lvlJc w:val="left"/>
      <w:pPr>
        <w:ind w:left="6480" w:hanging="360"/>
      </w:pPr>
      <w:rPr>
        <w:rFonts w:ascii="Wingdings" w:hAnsi="Wingdings" w:hint="default"/>
      </w:rPr>
    </w:lvl>
  </w:abstractNum>
  <w:abstractNum w:abstractNumId="345" w15:restartNumberingAfterBreak="0">
    <w:nsid w:val="763D4510"/>
    <w:multiLevelType w:val="hybridMultilevel"/>
    <w:tmpl w:val="989AF580"/>
    <w:lvl w:ilvl="0" w:tplc="BBF42B9E">
      <w:start w:val="1"/>
      <w:numFmt w:val="bullet"/>
      <w:lvlText w:val=""/>
      <w:lvlJc w:val="left"/>
      <w:pPr>
        <w:ind w:left="1440" w:hanging="360"/>
      </w:pPr>
      <w:rPr>
        <w:rFonts w:ascii="Symbol" w:hAnsi="Symbol"/>
      </w:rPr>
    </w:lvl>
    <w:lvl w:ilvl="1" w:tplc="98604824">
      <w:start w:val="1"/>
      <w:numFmt w:val="bullet"/>
      <w:lvlText w:val=""/>
      <w:lvlJc w:val="left"/>
      <w:pPr>
        <w:ind w:left="1440" w:hanging="360"/>
      </w:pPr>
      <w:rPr>
        <w:rFonts w:ascii="Symbol" w:hAnsi="Symbol"/>
      </w:rPr>
    </w:lvl>
    <w:lvl w:ilvl="2" w:tplc="1174D812">
      <w:start w:val="1"/>
      <w:numFmt w:val="bullet"/>
      <w:lvlText w:val=""/>
      <w:lvlJc w:val="left"/>
      <w:pPr>
        <w:ind w:left="1440" w:hanging="360"/>
      </w:pPr>
      <w:rPr>
        <w:rFonts w:ascii="Symbol" w:hAnsi="Symbol"/>
      </w:rPr>
    </w:lvl>
    <w:lvl w:ilvl="3" w:tplc="B2829E42">
      <w:start w:val="1"/>
      <w:numFmt w:val="bullet"/>
      <w:lvlText w:val=""/>
      <w:lvlJc w:val="left"/>
      <w:pPr>
        <w:ind w:left="1440" w:hanging="360"/>
      </w:pPr>
      <w:rPr>
        <w:rFonts w:ascii="Symbol" w:hAnsi="Symbol"/>
      </w:rPr>
    </w:lvl>
    <w:lvl w:ilvl="4" w:tplc="BBB47838">
      <w:start w:val="1"/>
      <w:numFmt w:val="bullet"/>
      <w:lvlText w:val=""/>
      <w:lvlJc w:val="left"/>
      <w:pPr>
        <w:ind w:left="1440" w:hanging="360"/>
      </w:pPr>
      <w:rPr>
        <w:rFonts w:ascii="Symbol" w:hAnsi="Symbol"/>
      </w:rPr>
    </w:lvl>
    <w:lvl w:ilvl="5" w:tplc="79426C2E">
      <w:start w:val="1"/>
      <w:numFmt w:val="bullet"/>
      <w:lvlText w:val=""/>
      <w:lvlJc w:val="left"/>
      <w:pPr>
        <w:ind w:left="1440" w:hanging="360"/>
      </w:pPr>
      <w:rPr>
        <w:rFonts w:ascii="Symbol" w:hAnsi="Symbol"/>
      </w:rPr>
    </w:lvl>
    <w:lvl w:ilvl="6" w:tplc="A15E291A">
      <w:start w:val="1"/>
      <w:numFmt w:val="bullet"/>
      <w:lvlText w:val=""/>
      <w:lvlJc w:val="left"/>
      <w:pPr>
        <w:ind w:left="1440" w:hanging="360"/>
      </w:pPr>
      <w:rPr>
        <w:rFonts w:ascii="Symbol" w:hAnsi="Symbol"/>
      </w:rPr>
    </w:lvl>
    <w:lvl w:ilvl="7" w:tplc="463A800A">
      <w:start w:val="1"/>
      <w:numFmt w:val="bullet"/>
      <w:lvlText w:val=""/>
      <w:lvlJc w:val="left"/>
      <w:pPr>
        <w:ind w:left="1440" w:hanging="360"/>
      </w:pPr>
      <w:rPr>
        <w:rFonts w:ascii="Symbol" w:hAnsi="Symbol"/>
      </w:rPr>
    </w:lvl>
    <w:lvl w:ilvl="8" w:tplc="78920174">
      <w:start w:val="1"/>
      <w:numFmt w:val="bullet"/>
      <w:lvlText w:val=""/>
      <w:lvlJc w:val="left"/>
      <w:pPr>
        <w:ind w:left="1440" w:hanging="360"/>
      </w:pPr>
      <w:rPr>
        <w:rFonts w:ascii="Symbol" w:hAnsi="Symbol"/>
      </w:rPr>
    </w:lvl>
  </w:abstractNum>
  <w:abstractNum w:abstractNumId="346" w15:restartNumberingAfterBreak="0">
    <w:nsid w:val="76A620EF"/>
    <w:multiLevelType w:val="hybridMultilevel"/>
    <w:tmpl w:val="A0CE90A8"/>
    <w:lvl w:ilvl="0" w:tplc="40C2C46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7" w15:restartNumberingAfterBreak="0">
    <w:nsid w:val="76F31E83"/>
    <w:multiLevelType w:val="hybridMultilevel"/>
    <w:tmpl w:val="4800B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8" w15:restartNumberingAfterBreak="0">
    <w:nsid w:val="772C3341"/>
    <w:multiLevelType w:val="hybridMultilevel"/>
    <w:tmpl w:val="01961B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9" w15:restartNumberingAfterBreak="0">
    <w:nsid w:val="77BE7D4F"/>
    <w:multiLevelType w:val="hybridMultilevel"/>
    <w:tmpl w:val="44DC12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0" w15:restartNumberingAfterBreak="0">
    <w:nsid w:val="78371741"/>
    <w:multiLevelType w:val="hybridMultilevel"/>
    <w:tmpl w:val="A5EA823C"/>
    <w:lvl w:ilvl="0" w:tplc="2840A058">
      <w:start w:val="1"/>
      <w:numFmt w:val="lowerRoman"/>
      <w:lvlText w:val="(%1)"/>
      <w:lvlJc w:val="left"/>
      <w:pPr>
        <w:ind w:left="720" w:hanging="720"/>
      </w:pPr>
      <w:rPr>
        <w:rFonts w:hint="default"/>
        <w:i/>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1" w15:restartNumberingAfterBreak="0">
    <w:nsid w:val="787D2E4C"/>
    <w:multiLevelType w:val="hybridMultilevel"/>
    <w:tmpl w:val="90CA0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2" w15:restartNumberingAfterBreak="0">
    <w:nsid w:val="78801345"/>
    <w:multiLevelType w:val="hybridMultilevel"/>
    <w:tmpl w:val="D15C5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15:restartNumberingAfterBreak="0">
    <w:nsid w:val="78AD5CF6"/>
    <w:multiLevelType w:val="hybridMultilevel"/>
    <w:tmpl w:val="1DB2AA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4" w15:restartNumberingAfterBreak="0">
    <w:nsid w:val="78B50D80"/>
    <w:multiLevelType w:val="multilevel"/>
    <w:tmpl w:val="1EEC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78BE7323"/>
    <w:multiLevelType w:val="hybridMultilevel"/>
    <w:tmpl w:val="FFFFFFFF"/>
    <w:lvl w:ilvl="0" w:tplc="2920FAB8">
      <w:start w:val="1"/>
      <w:numFmt w:val="decimal"/>
      <w:lvlText w:val="%1."/>
      <w:lvlJc w:val="left"/>
      <w:pPr>
        <w:ind w:left="720" w:hanging="360"/>
      </w:pPr>
    </w:lvl>
    <w:lvl w:ilvl="1" w:tplc="11E839C6">
      <w:start w:val="1"/>
      <w:numFmt w:val="lowerLetter"/>
      <w:lvlText w:val="%2."/>
      <w:lvlJc w:val="left"/>
      <w:pPr>
        <w:ind w:left="1440" w:hanging="360"/>
      </w:pPr>
    </w:lvl>
    <w:lvl w:ilvl="2" w:tplc="CE2AAE04">
      <w:start w:val="1"/>
      <w:numFmt w:val="lowerRoman"/>
      <w:lvlText w:val="%3."/>
      <w:lvlJc w:val="right"/>
      <w:pPr>
        <w:ind w:left="2160" w:hanging="180"/>
      </w:pPr>
    </w:lvl>
    <w:lvl w:ilvl="3" w:tplc="3A72B842">
      <w:start w:val="1"/>
      <w:numFmt w:val="decimal"/>
      <w:lvlText w:val="%4."/>
      <w:lvlJc w:val="left"/>
      <w:pPr>
        <w:ind w:left="2880" w:hanging="360"/>
      </w:pPr>
    </w:lvl>
    <w:lvl w:ilvl="4" w:tplc="7520A77E">
      <w:start w:val="1"/>
      <w:numFmt w:val="lowerLetter"/>
      <w:lvlText w:val="%5."/>
      <w:lvlJc w:val="left"/>
      <w:pPr>
        <w:ind w:left="3600" w:hanging="360"/>
      </w:pPr>
    </w:lvl>
    <w:lvl w:ilvl="5" w:tplc="016CF5DE">
      <w:start w:val="1"/>
      <w:numFmt w:val="lowerRoman"/>
      <w:lvlText w:val="%6."/>
      <w:lvlJc w:val="right"/>
      <w:pPr>
        <w:ind w:left="4320" w:hanging="180"/>
      </w:pPr>
    </w:lvl>
    <w:lvl w:ilvl="6" w:tplc="02C6CEAE">
      <w:start w:val="1"/>
      <w:numFmt w:val="decimal"/>
      <w:lvlText w:val="%7."/>
      <w:lvlJc w:val="left"/>
      <w:pPr>
        <w:ind w:left="5040" w:hanging="360"/>
      </w:pPr>
    </w:lvl>
    <w:lvl w:ilvl="7" w:tplc="93A6ACD2">
      <w:start w:val="1"/>
      <w:numFmt w:val="lowerLetter"/>
      <w:lvlText w:val="%8."/>
      <w:lvlJc w:val="left"/>
      <w:pPr>
        <w:ind w:left="5760" w:hanging="360"/>
      </w:pPr>
    </w:lvl>
    <w:lvl w:ilvl="8" w:tplc="AA7AB6A0">
      <w:start w:val="1"/>
      <w:numFmt w:val="lowerRoman"/>
      <w:lvlText w:val="%9."/>
      <w:lvlJc w:val="right"/>
      <w:pPr>
        <w:ind w:left="6480" w:hanging="180"/>
      </w:pPr>
    </w:lvl>
  </w:abstractNum>
  <w:abstractNum w:abstractNumId="356" w15:restartNumberingAfterBreak="0">
    <w:nsid w:val="78E34810"/>
    <w:multiLevelType w:val="hybridMultilevel"/>
    <w:tmpl w:val="FFFFFFFF"/>
    <w:lvl w:ilvl="0" w:tplc="069247F4">
      <w:start w:val="1"/>
      <w:numFmt w:val="bullet"/>
      <w:lvlText w:val=""/>
      <w:lvlJc w:val="left"/>
      <w:pPr>
        <w:ind w:left="720" w:hanging="360"/>
      </w:pPr>
      <w:rPr>
        <w:rFonts w:ascii="Symbol" w:hAnsi="Symbol" w:hint="default"/>
      </w:rPr>
    </w:lvl>
    <w:lvl w:ilvl="1" w:tplc="D64E0B04">
      <w:start w:val="1"/>
      <w:numFmt w:val="bullet"/>
      <w:lvlText w:val="o"/>
      <w:lvlJc w:val="left"/>
      <w:pPr>
        <w:ind w:left="1440" w:hanging="360"/>
      </w:pPr>
      <w:rPr>
        <w:rFonts w:ascii="Courier New" w:hAnsi="Courier New" w:hint="default"/>
      </w:rPr>
    </w:lvl>
    <w:lvl w:ilvl="2" w:tplc="0CB61CFC">
      <w:start w:val="1"/>
      <w:numFmt w:val="bullet"/>
      <w:lvlText w:val=""/>
      <w:lvlJc w:val="left"/>
      <w:pPr>
        <w:ind w:left="2160" w:hanging="360"/>
      </w:pPr>
      <w:rPr>
        <w:rFonts w:ascii="Wingdings" w:hAnsi="Wingdings" w:hint="default"/>
      </w:rPr>
    </w:lvl>
    <w:lvl w:ilvl="3" w:tplc="4FA00FF0">
      <w:start w:val="1"/>
      <w:numFmt w:val="bullet"/>
      <w:lvlText w:val=""/>
      <w:lvlJc w:val="left"/>
      <w:pPr>
        <w:ind w:left="2880" w:hanging="360"/>
      </w:pPr>
      <w:rPr>
        <w:rFonts w:ascii="Symbol" w:hAnsi="Symbol" w:hint="default"/>
      </w:rPr>
    </w:lvl>
    <w:lvl w:ilvl="4" w:tplc="A6BE6E00">
      <w:start w:val="1"/>
      <w:numFmt w:val="bullet"/>
      <w:lvlText w:val="o"/>
      <w:lvlJc w:val="left"/>
      <w:pPr>
        <w:ind w:left="3600" w:hanging="360"/>
      </w:pPr>
      <w:rPr>
        <w:rFonts w:ascii="Courier New" w:hAnsi="Courier New" w:hint="default"/>
      </w:rPr>
    </w:lvl>
    <w:lvl w:ilvl="5" w:tplc="979EEF82">
      <w:start w:val="1"/>
      <w:numFmt w:val="bullet"/>
      <w:lvlText w:val=""/>
      <w:lvlJc w:val="left"/>
      <w:pPr>
        <w:ind w:left="4320" w:hanging="360"/>
      </w:pPr>
      <w:rPr>
        <w:rFonts w:ascii="Wingdings" w:hAnsi="Wingdings" w:hint="default"/>
      </w:rPr>
    </w:lvl>
    <w:lvl w:ilvl="6" w:tplc="D9B2FCB6">
      <w:start w:val="1"/>
      <w:numFmt w:val="bullet"/>
      <w:lvlText w:val=""/>
      <w:lvlJc w:val="left"/>
      <w:pPr>
        <w:ind w:left="5040" w:hanging="360"/>
      </w:pPr>
      <w:rPr>
        <w:rFonts w:ascii="Symbol" w:hAnsi="Symbol" w:hint="default"/>
      </w:rPr>
    </w:lvl>
    <w:lvl w:ilvl="7" w:tplc="83D4D8FA">
      <w:start w:val="1"/>
      <w:numFmt w:val="bullet"/>
      <w:lvlText w:val="o"/>
      <w:lvlJc w:val="left"/>
      <w:pPr>
        <w:ind w:left="5760" w:hanging="360"/>
      </w:pPr>
      <w:rPr>
        <w:rFonts w:ascii="Courier New" w:hAnsi="Courier New" w:hint="default"/>
      </w:rPr>
    </w:lvl>
    <w:lvl w:ilvl="8" w:tplc="B0A2A212">
      <w:start w:val="1"/>
      <w:numFmt w:val="bullet"/>
      <w:lvlText w:val=""/>
      <w:lvlJc w:val="left"/>
      <w:pPr>
        <w:ind w:left="6480" w:hanging="360"/>
      </w:pPr>
      <w:rPr>
        <w:rFonts w:ascii="Wingdings" w:hAnsi="Wingdings" w:hint="default"/>
      </w:rPr>
    </w:lvl>
  </w:abstractNum>
  <w:abstractNum w:abstractNumId="357" w15:restartNumberingAfterBreak="0">
    <w:nsid w:val="792A0A1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8" w15:restartNumberingAfterBreak="0">
    <w:nsid w:val="7ACA6C72"/>
    <w:multiLevelType w:val="multilevel"/>
    <w:tmpl w:val="7FA0B1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59" w15:restartNumberingAfterBreak="0">
    <w:nsid w:val="7B496B6F"/>
    <w:multiLevelType w:val="hybridMultilevel"/>
    <w:tmpl w:val="01961B7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0" w15:restartNumberingAfterBreak="0">
    <w:nsid w:val="7B541CC3"/>
    <w:multiLevelType w:val="multilevel"/>
    <w:tmpl w:val="7144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7B944EFB"/>
    <w:multiLevelType w:val="hybridMultilevel"/>
    <w:tmpl w:val="FFFFFFFF"/>
    <w:lvl w:ilvl="0" w:tplc="15908EFA">
      <w:start w:val="1"/>
      <w:numFmt w:val="bullet"/>
      <w:lvlText w:val=""/>
      <w:lvlJc w:val="left"/>
      <w:pPr>
        <w:ind w:left="720" w:hanging="360"/>
      </w:pPr>
      <w:rPr>
        <w:rFonts w:ascii="Symbol" w:hAnsi="Symbol" w:hint="default"/>
      </w:rPr>
    </w:lvl>
    <w:lvl w:ilvl="1" w:tplc="6F2C81E0">
      <w:start w:val="1"/>
      <w:numFmt w:val="bullet"/>
      <w:lvlText w:val="o"/>
      <w:lvlJc w:val="left"/>
      <w:pPr>
        <w:ind w:left="1440" w:hanging="360"/>
      </w:pPr>
      <w:rPr>
        <w:rFonts w:ascii="Courier New" w:hAnsi="Courier New" w:hint="default"/>
      </w:rPr>
    </w:lvl>
    <w:lvl w:ilvl="2" w:tplc="E95C3116">
      <w:start w:val="1"/>
      <w:numFmt w:val="bullet"/>
      <w:lvlText w:val=""/>
      <w:lvlJc w:val="left"/>
      <w:pPr>
        <w:ind w:left="2160" w:hanging="360"/>
      </w:pPr>
      <w:rPr>
        <w:rFonts w:ascii="Wingdings" w:hAnsi="Wingdings" w:hint="default"/>
      </w:rPr>
    </w:lvl>
    <w:lvl w:ilvl="3" w:tplc="7D20D1DE">
      <w:start w:val="1"/>
      <w:numFmt w:val="bullet"/>
      <w:lvlText w:val=""/>
      <w:lvlJc w:val="left"/>
      <w:pPr>
        <w:ind w:left="2880" w:hanging="360"/>
      </w:pPr>
      <w:rPr>
        <w:rFonts w:ascii="Symbol" w:hAnsi="Symbol" w:hint="default"/>
      </w:rPr>
    </w:lvl>
    <w:lvl w:ilvl="4" w:tplc="EC52BBA6">
      <w:start w:val="1"/>
      <w:numFmt w:val="bullet"/>
      <w:lvlText w:val="o"/>
      <w:lvlJc w:val="left"/>
      <w:pPr>
        <w:ind w:left="3600" w:hanging="360"/>
      </w:pPr>
      <w:rPr>
        <w:rFonts w:ascii="Courier New" w:hAnsi="Courier New" w:hint="default"/>
      </w:rPr>
    </w:lvl>
    <w:lvl w:ilvl="5" w:tplc="57D290EC">
      <w:start w:val="1"/>
      <w:numFmt w:val="bullet"/>
      <w:lvlText w:val=""/>
      <w:lvlJc w:val="left"/>
      <w:pPr>
        <w:ind w:left="4320" w:hanging="360"/>
      </w:pPr>
      <w:rPr>
        <w:rFonts w:ascii="Wingdings" w:hAnsi="Wingdings" w:hint="default"/>
      </w:rPr>
    </w:lvl>
    <w:lvl w:ilvl="6" w:tplc="2EF27014">
      <w:start w:val="1"/>
      <w:numFmt w:val="bullet"/>
      <w:lvlText w:val=""/>
      <w:lvlJc w:val="left"/>
      <w:pPr>
        <w:ind w:left="5040" w:hanging="360"/>
      </w:pPr>
      <w:rPr>
        <w:rFonts w:ascii="Symbol" w:hAnsi="Symbol" w:hint="default"/>
      </w:rPr>
    </w:lvl>
    <w:lvl w:ilvl="7" w:tplc="1B48D7F4">
      <w:start w:val="1"/>
      <w:numFmt w:val="bullet"/>
      <w:lvlText w:val="o"/>
      <w:lvlJc w:val="left"/>
      <w:pPr>
        <w:ind w:left="5760" w:hanging="360"/>
      </w:pPr>
      <w:rPr>
        <w:rFonts w:ascii="Courier New" w:hAnsi="Courier New" w:hint="default"/>
      </w:rPr>
    </w:lvl>
    <w:lvl w:ilvl="8" w:tplc="4746C52E">
      <w:start w:val="1"/>
      <w:numFmt w:val="bullet"/>
      <w:lvlText w:val=""/>
      <w:lvlJc w:val="left"/>
      <w:pPr>
        <w:ind w:left="6480" w:hanging="360"/>
      </w:pPr>
      <w:rPr>
        <w:rFonts w:ascii="Wingdings" w:hAnsi="Wingdings" w:hint="default"/>
      </w:rPr>
    </w:lvl>
  </w:abstractNum>
  <w:abstractNum w:abstractNumId="362" w15:restartNumberingAfterBreak="0">
    <w:nsid w:val="7B984347"/>
    <w:multiLevelType w:val="hybridMultilevel"/>
    <w:tmpl w:val="733A0932"/>
    <w:lvl w:ilvl="0" w:tplc="7612027E">
      <w:start w:val="1"/>
      <w:numFmt w:val="bullet"/>
      <w:lvlText w:val=""/>
      <w:lvlJc w:val="left"/>
      <w:pPr>
        <w:ind w:left="720" w:hanging="360"/>
      </w:pPr>
      <w:rPr>
        <w:rFonts w:ascii="Symbol" w:hAnsi="Symbol" w:hint="default"/>
      </w:rPr>
    </w:lvl>
    <w:lvl w:ilvl="1" w:tplc="E832668E">
      <w:start w:val="1"/>
      <w:numFmt w:val="bullet"/>
      <w:lvlText w:val="o"/>
      <w:lvlJc w:val="left"/>
      <w:pPr>
        <w:ind w:left="1440" w:hanging="360"/>
      </w:pPr>
      <w:rPr>
        <w:rFonts w:ascii="Courier New" w:hAnsi="Courier New" w:hint="default"/>
      </w:rPr>
    </w:lvl>
    <w:lvl w:ilvl="2" w:tplc="EFA88BE2">
      <w:start w:val="1"/>
      <w:numFmt w:val="bullet"/>
      <w:lvlText w:val=""/>
      <w:lvlJc w:val="left"/>
      <w:pPr>
        <w:ind w:left="2160" w:hanging="360"/>
      </w:pPr>
      <w:rPr>
        <w:rFonts w:ascii="Wingdings" w:hAnsi="Wingdings" w:hint="default"/>
      </w:rPr>
    </w:lvl>
    <w:lvl w:ilvl="3" w:tplc="C10EDA04" w:tentative="1">
      <w:start w:val="1"/>
      <w:numFmt w:val="bullet"/>
      <w:lvlText w:val=""/>
      <w:lvlJc w:val="left"/>
      <w:pPr>
        <w:ind w:left="2880" w:hanging="360"/>
      </w:pPr>
      <w:rPr>
        <w:rFonts w:ascii="Symbol" w:hAnsi="Symbol" w:hint="default"/>
      </w:rPr>
    </w:lvl>
    <w:lvl w:ilvl="4" w:tplc="89C6D776" w:tentative="1">
      <w:start w:val="1"/>
      <w:numFmt w:val="bullet"/>
      <w:lvlText w:val="o"/>
      <w:lvlJc w:val="left"/>
      <w:pPr>
        <w:ind w:left="3600" w:hanging="360"/>
      </w:pPr>
      <w:rPr>
        <w:rFonts w:ascii="Courier New" w:hAnsi="Courier New" w:hint="default"/>
      </w:rPr>
    </w:lvl>
    <w:lvl w:ilvl="5" w:tplc="652EFCFC" w:tentative="1">
      <w:start w:val="1"/>
      <w:numFmt w:val="bullet"/>
      <w:lvlText w:val=""/>
      <w:lvlJc w:val="left"/>
      <w:pPr>
        <w:ind w:left="4320" w:hanging="360"/>
      </w:pPr>
      <w:rPr>
        <w:rFonts w:ascii="Wingdings" w:hAnsi="Wingdings" w:hint="default"/>
      </w:rPr>
    </w:lvl>
    <w:lvl w:ilvl="6" w:tplc="0156BC9A" w:tentative="1">
      <w:start w:val="1"/>
      <w:numFmt w:val="bullet"/>
      <w:lvlText w:val=""/>
      <w:lvlJc w:val="left"/>
      <w:pPr>
        <w:ind w:left="5040" w:hanging="360"/>
      </w:pPr>
      <w:rPr>
        <w:rFonts w:ascii="Symbol" w:hAnsi="Symbol" w:hint="default"/>
      </w:rPr>
    </w:lvl>
    <w:lvl w:ilvl="7" w:tplc="F21A855C" w:tentative="1">
      <w:start w:val="1"/>
      <w:numFmt w:val="bullet"/>
      <w:lvlText w:val="o"/>
      <w:lvlJc w:val="left"/>
      <w:pPr>
        <w:ind w:left="5760" w:hanging="360"/>
      </w:pPr>
      <w:rPr>
        <w:rFonts w:ascii="Courier New" w:hAnsi="Courier New" w:hint="default"/>
      </w:rPr>
    </w:lvl>
    <w:lvl w:ilvl="8" w:tplc="9D96174C" w:tentative="1">
      <w:start w:val="1"/>
      <w:numFmt w:val="bullet"/>
      <w:lvlText w:val=""/>
      <w:lvlJc w:val="left"/>
      <w:pPr>
        <w:ind w:left="6480" w:hanging="360"/>
      </w:pPr>
      <w:rPr>
        <w:rFonts w:ascii="Wingdings" w:hAnsi="Wingdings" w:hint="default"/>
      </w:rPr>
    </w:lvl>
  </w:abstractNum>
  <w:abstractNum w:abstractNumId="363" w15:restartNumberingAfterBreak="0">
    <w:nsid w:val="7C26006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4" w15:restartNumberingAfterBreak="0">
    <w:nsid w:val="7C4536BE"/>
    <w:multiLevelType w:val="hybridMultilevel"/>
    <w:tmpl w:val="CB54F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5" w15:restartNumberingAfterBreak="0">
    <w:nsid w:val="7C755553"/>
    <w:multiLevelType w:val="hybridMultilevel"/>
    <w:tmpl w:val="A96ACA54"/>
    <w:lvl w:ilvl="0" w:tplc="0B143D80">
      <w:start w:val="1"/>
      <w:numFmt w:val="decimal"/>
      <w:lvlText w:val="%1."/>
      <w:lvlJc w:val="left"/>
      <w:pPr>
        <w:ind w:left="360" w:hanging="360"/>
      </w:pPr>
    </w:lvl>
    <w:lvl w:ilvl="1" w:tplc="BE1E2140">
      <w:numFmt w:val="bullet"/>
      <w:lvlText w:val="–"/>
      <w:lvlJc w:val="left"/>
      <w:pPr>
        <w:ind w:left="1080" w:hanging="360"/>
      </w:pPr>
      <w:rPr>
        <w:rFonts w:ascii="Times New Roman" w:hAnsi="Times New Roman" w:hint="default"/>
      </w:rPr>
    </w:lvl>
    <w:lvl w:ilvl="2" w:tplc="17962282" w:tentative="1">
      <w:start w:val="1"/>
      <w:numFmt w:val="lowerRoman"/>
      <w:lvlText w:val="%3."/>
      <w:lvlJc w:val="right"/>
      <w:pPr>
        <w:ind w:left="1800" w:hanging="180"/>
      </w:pPr>
    </w:lvl>
    <w:lvl w:ilvl="3" w:tplc="475E5DAC" w:tentative="1">
      <w:start w:val="1"/>
      <w:numFmt w:val="decimal"/>
      <w:lvlText w:val="%4."/>
      <w:lvlJc w:val="left"/>
      <w:pPr>
        <w:ind w:left="2520" w:hanging="360"/>
      </w:pPr>
    </w:lvl>
    <w:lvl w:ilvl="4" w:tplc="E2B4C328" w:tentative="1">
      <w:start w:val="1"/>
      <w:numFmt w:val="lowerLetter"/>
      <w:lvlText w:val="%5."/>
      <w:lvlJc w:val="left"/>
      <w:pPr>
        <w:ind w:left="3240" w:hanging="360"/>
      </w:pPr>
    </w:lvl>
    <w:lvl w:ilvl="5" w:tplc="7C20402A" w:tentative="1">
      <w:start w:val="1"/>
      <w:numFmt w:val="lowerRoman"/>
      <w:lvlText w:val="%6."/>
      <w:lvlJc w:val="right"/>
      <w:pPr>
        <w:ind w:left="3960" w:hanging="180"/>
      </w:pPr>
    </w:lvl>
    <w:lvl w:ilvl="6" w:tplc="043A9178" w:tentative="1">
      <w:start w:val="1"/>
      <w:numFmt w:val="decimal"/>
      <w:lvlText w:val="%7."/>
      <w:lvlJc w:val="left"/>
      <w:pPr>
        <w:ind w:left="4680" w:hanging="360"/>
      </w:pPr>
    </w:lvl>
    <w:lvl w:ilvl="7" w:tplc="46105640" w:tentative="1">
      <w:start w:val="1"/>
      <w:numFmt w:val="lowerLetter"/>
      <w:lvlText w:val="%8."/>
      <w:lvlJc w:val="left"/>
      <w:pPr>
        <w:ind w:left="5400" w:hanging="360"/>
      </w:pPr>
    </w:lvl>
    <w:lvl w:ilvl="8" w:tplc="4BE64986" w:tentative="1">
      <w:start w:val="1"/>
      <w:numFmt w:val="lowerRoman"/>
      <w:lvlText w:val="%9."/>
      <w:lvlJc w:val="right"/>
      <w:pPr>
        <w:ind w:left="6120" w:hanging="180"/>
      </w:pPr>
    </w:lvl>
  </w:abstractNum>
  <w:abstractNum w:abstractNumId="366" w15:restartNumberingAfterBreak="0">
    <w:nsid w:val="7CED5412"/>
    <w:multiLevelType w:val="multilevel"/>
    <w:tmpl w:val="DCCE5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7CFB6DA4"/>
    <w:multiLevelType w:val="hybridMultilevel"/>
    <w:tmpl w:val="8AEAD15A"/>
    <w:lvl w:ilvl="0" w:tplc="2F6222FA">
      <w:start w:val="1"/>
      <w:numFmt w:val="bullet"/>
      <w:lvlText w:val=""/>
      <w:lvlJc w:val="left"/>
      <w:pPr>
        <w:ind w:left="720" w:hanging="360"/>
      </w:pPr>
      <w:rPr>
        <w:rFonts w:ascii="Symbol" w:hAnsi="Symbol"/>
      </w:rPr>
    </w:lvl>
    <w:lvl w:ilvl="1" w:tplc="8AFEDE8C">
      <w:start w:val="1"/>
      <w:numFmt w:val="bullet"/>
      <w:lvlText w:val=""/>
      <w:lvlJc w:val="left"/>
      <w:pPr>
        <w:ind w:left="720" w:hanging="360"/>
      </w:pPr>
      <w:rPr>
        <w:rFonts w:ascii="Symbol" w:hAnsi="Symbol"/>
      </w:rPr>
    </w:lvl>
    <w:lvl w:ilvl="2" w:tplc="EA428DCA">
      <w:start w:val="1"/>
      <w:numFmt w:val="bullet"/>
      <w:lvlText w:val=""/>
      <w:lvlJc w:val="left"/>
      <w:pPr>
        <w:ind w:left="720" w:hanging="360"/>
      </w:pPr>
      <w:rPr>
        <w:rFonts w:ascii="Symbol" w:hAnsi="Symbol"/>
      </w:rPr>
    </w:lvl>
    <w:lvl w:ilvl="3" w:tplc="E1F63334">
      <w:start w:val="1"/>
      <w:numFmt w:val="bullet"/>
      <w:lvlText w:val=""/>
      <w:lvlJc w:val="left"/>
      <w:pPr>
        <w:ind w:left="720" w:hanging="360"/>
      </w:pPr>
      <w:rPr>
        <w:rFonts w:ascii="Symbol" w:hAnsi="Symbol"/>
      </w:rPr>
    </w:lvl>
    <w:lvl w:ilvl="4" w:tplc="DAC44D5E">
      <w:start w:val="1"/>
      <w:numFmt w:val="bullet"/>
      <w:lvlText w:val=""/>
      <w:lvlJc w:val="left"/>
      <w:pPr>
        <w:ind w:left="720" w:hanging="360"/>
      </w:pPr>
      <w:rPr>
        <w:rFonts w:ascii="Symbol" w:hAnsi="Symbol"/>
      </w:rPr>
    </w:lvl>
    <w:lvl w:ilvl="5" w:tplc="792875AA">
      <w:start w:val="1"/>
      <w:numFmt w:val="bullet"/>
      <w:lvlText w:val=""/>
      <w:lvlJc w:val="left"/>
      <w:pPr>
        <w:ind w:left="720" w:hanging="360"/>
      </w:pPr>
      <w:rPr>
        <w:rFonts w:ascii="Symbol" w:hAnsi="Symbol"/>
      </w:rPr>
    </w:lvl>
    <w:lvl w:ilvl="6" w:tplc="751ADB2A">
      <w:start w:val="1"/>
      <w:numFmt w:val="bullet"/>
      <w:lvlText w:val=""/>
      <w:lvlJc w:val="left"/>
      <w:pPr>
        <w:ind w:left="720" w:hanging="360"/>
      </w:pPr>
      <w:rPr>
        <w:rFonts w:ascii="Symbol" w:hAnsi="Symbol"/>
      </w:rPr>
    </w:lvl>
    <w:lvl w:ilvl="7" w:tplc="5442F312">
      <w:start w:val="1"/>
      <w:numFmt w:val="bullet"/>
      <w:lvlText w:val=""/>
      <w:lvlJc w:val="left"/>
      <w:pPr>
        <w:ind w:left="720" w:hanging="360"/>
      </w:pPr>
      <w:rPr>
        <w:rFonts w:ascii="Symbol" w:hAnsi="Symbol"/>
      </w:rPr>
    </w:lvl>
    <w:lvl w:ilvl="8" w:tplc="822C608C">
      <w:start w:val="1"/>
      <w:numFmt w:val="bullet"/>
      <w:lvlText w:val=""/>
      <w:lvlJc w:val="left"/>
      <w:pPr>
        <w:ind w:left="720" w:hanging="360"/>
      </w:pPr>
      <w:rPr>
        <w:rFonts w:ascii="Symbol" w:hAnsi="Symbol"/>
      </w:rPr>
    </w:lvl>
  </w:abstractNum>
  <w:abstractNum w:abstractNumId="368" w15:restartNumberingAfterBreak="0">
    <w:nsid w:val="7D1571E6"/>
    <w:multiLevelType w:val="hybridMultilevel"/>
    <w:tmpl w:val="C70EEF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9" w15:restartNumberingAfterBreak="0">
    <w:nsid w:val="7D1B586A"/>
    <w:multiLevelType w:val="hybridMultilevel"/>
    <w:tmpl w:val="EBE08D0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0" w15:restartNumberingAfterBreak="0">
    <w:nsid w:val="7D656342"/>
    <w:multiLevelType w:val="hybridMultilevel"/>
    <w:tmpl w:val="9FCE2C64"/>
    <w:lvl w:ilvl="0" w:tplc="11E0FA3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15:restartNumberingAfterBreak="0">
    <w:nsid w:val="7DEC6E18"/>
    <w:multiLevelType w:val="hybridMultilevel"/>
    <w:tmpl w:val="9AAE797C"/>
    <w:lvl w:ilvl="0" w:tplc="E8FED908">
      <w:start w:val="1"/>
      <w:numFmt w:val="bullet"/>
      <w:lvlText w:val=""/>
      <w:lvlJc w:val="left"/>
      <w:pPr>
        <w:ind w:left="720" w:hanging="360"/>
      </w:pPr>
      <w:rPr>
        <w:rFonts w:ascii="Symbol" w:hAnsi="Symbol" w:hint="default"/>
      </w:rPr>
    </w:lvl>
    <w:lvl w:ilvl="1" w:tplc="C876F764">
      <w:start w:val="1"/>
      <w:numFmt w:val="bullet"/>
      <w:lvlText w:val=""/>
      <w:lvlJc w:val="left"/>
      <w:pPr>
        <w:ind w:left="1440" w:hanging="360"/>
      </w:pPr>
      <w:rPr>
        <w:rFonts w:ascii="Aptos" w:hAnsi="Aptos" w:hint="default"/>
      </w:rPr>
    </w:lvl>
    <w:lvl w:ilvl="2" w:tplc="4420E7EC">
      <w:start w:val="1"/>
      <w:numFmt w:val="bullet"/>
      <w:lvlText w:val=""/>
      <w:lvlJc w:val="left"/>
      <w:pPr>
        <w:ind w:left="2160" w:hanging="360"/>
      </w:pPr>
      <w:rPr>
        <w:rFonts w:ascii="Wingdings" w:hAnsi="Wingdings" w:hint="default"/>
      </w:rPr>
    </w:lvl>
    <w:lvl w:ilvl="3" w:tplc="DDE63FE0">
      <w:start w:val="1"/>
      <w:numFmt w:val="bullet"/>
      <w:lvlText w:val=""/>
      <w:lvlJc w:val="left"/>
      <w:pPr>
        <w:ind w:left="2880" w:hanging="360"/>
      </w:pPr>
      <w:rPr>
        <w:rFonts w:ascii="Symbol" w:hAnsi="Symbol" w:hint="default"/>
      </w:rPr>
    </w:lvl>
    <w:lvl w:ilvl="4" w:tplc="DEAA9BBE">
      <w:start w:val="1"/>
      <w:numFmt w:val="bullet"/>
      <w:lvlText w:val="o"/>
      <w:lvlJc w:val="left"/>
      <w:pPr>
        <w:ind w:left="3600" w:hanging="360"/>
      </w:pPr>
      <w:rPr>
        <w:rFonts w:ascii="Courier New" w:hAnsi="Courier New" w:hint="default"/>
      </w:rPr>
    </w:lvl>
    <w:lvl w:ilvl="5" w:tplc="68EA4D18">
      <w:start w:val="1"/>
      <w:numFmt w:val="bullet"/>
      <w:lvlText w:val=""/>
      <w:lvlJc w:val="left"/>
      <w:pPr>
        <w:ind w:left="4320" w:hanging="360"/>
      </w:pPr>
      <w:rPr>
        <w:rFonts w:ascii="Wingdings" w:hAnsi="Wingdings" w:hint="default"/>
      </w:rPr>
    </w:lvl>
    <w:lvl w:ilvl="6" w:tplc="1B528D3A">
      <w:start w:val="1"/>
      <w:numFmt w:val="bullet"/>
      <w:lvlText w:val=""/>
      <w:lvlJc w:val="left"/>
      <w:pPr>
        <w:ind w:left="5040" w:hanging="360"/>
      </w:pPr>
      <w:rPr>
        <w:rFonts w:ascii="Symbol" w:hAnsi="Symbol" w:hint="default"/>
      </w:rPr>
    </w:lvl>
    <w:lvl w:ilvl="7" w:tplc="6E9E26B8">
      <w:start w:val="1"/>
      <w:numFmt w:val="bullet"/>
      <w:lvlText w:val="o"/>
      <w:lvlJc w:val="left"/>
      <w:pPr>
        <w:ind w:left="5760" w:hanging="360"/>
      </w:pPr>
      <w:rPr>
        <w:rFonts w:ascii="Courier New" w:hAnsi="Courier New" w:hint="default"/>
      </w:rPr>
    </w:lvl>
    <w:lvl w:ilvl="8" w:tplc="A2F89886">
      <w:start w:val="1"/>
      <w:numFmt w:val="bullet"/>
      <w:lvlText w:val=""/>
      <w:lvlJc w:val="left"/>
      <w:pPr>
        <w:ind w:left="6480" w:hanging="360"/>
      </w:pPr>
      <w:rPr>
        <w:rFonts w:ascii="Wingdings" w:hAnsi="Wingdings" w:hint="default"/>
      </w:rPr>
    </w:lvl>
  </w:abstractNum>
  <w:abstractNum w:abstractNumId="372" w15:restartNumberingAfterBreak="0">
    <w:nsid w:val="7EC227F6"/>
    <w:multiLevelType w:val="hybridMultilevel"/>
    <w:tmpl w:val="7E421FD8"/>
    <w:lvl w:ilvl="0" w:tplc="E48EA4BA">
      <w:start w:val="1"/>
      <w:numFmt w:val="lowerRoman"/>
      <w:lvlText w:val="(%1)"/>
      <w:lvlJc w:val="left"/>
      <w:pPr>
        <w:ind w:left="144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3" w15:restartNumberingAfterBreak="0">
    <w:nsid w:val="7ED03EE4"/>
    <w:multiLevelType w:val="multilevel"/>
    <w:tmpl w:val="CF2A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4612021">
    <w:abstractNumId w:val="23"/>
  </w:num>
  <w:num w:numId="2" w16cid:durableId="1602377284">
    <w:abstractNumId w:val="148"/>
  </w:num>
  <w:num w:numId="3" w16cid:durableId="322468955">
    <w:abstractNumId w:val="344"/>
  </w:num>
  <w:num w:numId="4" w16cid:durableId="1146821676">
    <w:abstractNumId w:val="229"/>
  </w:num>
  <w:num w:numId="5" w16cid:durableId="425272400">
    <w:abstractNumId w:val="49"/>
  </w:num>
  <w:num w:numId="6" w16cid:durableId="730929058">
    <w:abstractNumId w:val="333"/>
  </w:num>
  <w:num w:numId="7" w16cid:durableId="1486818997">
    <w:abstractNumId w:val="371"/>
  </w:num>
  <w:num w:numId="8" w16cid:durableId="315377381">
    <w:abstractNumId w:val="128"/>
  </w:num>
  <w:num w:numId="9" w16cid:durableId="713116227">
    <w:abstractNumId w:val="61"/>
  </w:num>
  <w:num w:numId="10" w16cid:durableId="85618146">
    <w:abstractNumId w:val="159"/>
  </w:num>
  <w:num w:numId="11" w16cid:durableId="1551192305">
    <w:abstractNumId w:val="125"/>
  </w:num>
  <w:num w:numId="12" w16cid:durableId="1597396716">
    <w:abstractNumId w:val="172"/>
  </w:num>
  <w:num w:numId="13" w16cid:durableId="1023554559">
    <w:abstractNumId w:val="289"/>
  </w:num>
  <w:num w:numId="14" w16cid:durableId="990409817">
    <w:abstractNumId w:val="83"/>
  </w:num>
  <w:num w:numId="15" w16cid:durableId="54618865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902073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497839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3755273">
    <w:abstractNumId w:val="17"/>
  </w:num>
  <w:num w:numId="19" w16cid:durableId="1627007051">
    <w:abstractNumId w:val="172"/>
  </w:num>
  <w:num w:numId="20" w16cid:durableId="1841966764">
    <w:abstractNumId w:val="286"/>
  </w:num>
  <w:num w:numId="21" w16cid:durableId="1853033640">
    <w:abstractNumId w:val="218"/>
  </w:num>
  <w:num w:numId="22" w16cid:durableId="1220557610">
    <w:abstractNumId w:val="91"/>
  </w:num>
  <w:num w:numId="23" w16cid:durableId="187953874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2961123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011850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59324423">
    <w:abstractNumId w:val="25"/>
  </w:num>
  <w:num w:numId="27" w16cid:durableId="2067558548">
    <w:abstractNumId w:val="83"/>
  </w:num>
  <w:num w:numId="28" w16cid:durableId="402528046">
    <w:abstractNumId w:val="83"/>
  </w:num>
  <w:num w:numId="29" w16cid:durableId="128438758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45586252">
    <w:abstractNumId w:val="362"/>
  </w:num>
  <w:num w:numId="31" w16cid:durableId="1595430350">
    <w:abstractNumId w:val="15"/>
  </w:num>
  <w:num w:numId="32" w16cid:durableId="1779904346">
    <w:abstractNumId w:val="65"/>
  </w:num>
  <w:num w:numId="33" w16cid:durableId="1776170111">
    <w:abstractNumId w:val="275"/>
  </w:num>
  <w:num w:numId="34" w16cid:durableId="341589469">
    <w:abstractNumId w:val="259"/>
  </w:num>
  <w:num w:numId="35" w16cid:durableId="925698377">
    <w:abstractNumId w:val="291"/>
  </w:num>
  <w:num w:numId="36" w16cid:durableId="102967498">
    <w:abstractNumId w:val="163"/>
  </w:num>
  <w:num w:numId="37" w16cid:durableId="2110928813">
    <w:abstractNumId w:val="87"/>
  </w:num>
  <w:num w:numId="38" w16cid:durableId="901526311">
    <w:abstractNumId w:val="256"/>
  </w:num>
  <w:num w:numId="39" w16cid:durableId="342511817">
    <w:abstractNumId w:val="197"/>
  </w:num>
  <w:num w:numId="40" w16cid:durableId="1554191564">
    <w:abstractNumId w:val="17"/>
  </w:num>
  <w:num w:numId="41" w16cid:durableId="1768772933">
    <w:abstractNumId w:val="83"/>
  </w:num>
  <w:num w:numId="42" w16cid:durableId="1212304631">
    <w:abstractNumId w:val="83"/>
  </w:num>
  <w:num w:numId="43" w16cid:durableId="1858233889">
    <w:abstractNumId w:val="99"/>
  </w:num>
  <w:num w:numId="44" w16cid:durableId="391394923">
    <w:abstractNumId w:val="156"/>
  </w:num>
  <w:num w:numId="45" w16cid:durableId="1789348632">
    <w:abstractNumId w:val="187"/>
  </w:num>
  <w:num w:numId="46" w16cid:durableId="852108173">
    <w:abstractNumId w:val="136"/>
  </w:num>
  <w:num w:numId="47" w16cid:durableId="1235511703">
    <w:abstractNumId w:val="79"/>
  </w:num>
  <w:num w:numId="48" w16cid:durableId="1766800643">
    <w:abstractNumId w:val="144"/>
  </w:num>
  <w:num w:numId="49" w16cid:durableId="1640068723">
    <w:abstractNumId w:val="35"/>
  </w:num>
  <w:num w:numId="50" w16cid:durableId="867526742">
    <w:abstractNumId w:val="145"/>
  </w:num>
  <w:num w:numId="51" w16cid:durableId="2126149738">
    <w:abstractNumId w:val="373"/>
  </w:num>
  <w:num w:numId="52" w16cid:durableId="780606744">
    <w:abstractNumId w:val="60"/>
  </w:num>
  <w:num w:numId="53" w16cid:durableId="351497695">
    <w:abstractNumId w:val="337"/>
  </w:num>
  <w:num w:numId="54" w16cid:durableId="1973628412">
    <w:abstractNumId w:val="93"/>
  </w:num>
  <w:num w:numId="55" w16cid:durableId="1215313066">
    <w:abstractNumId w:val="62"/>
  </w:num>
  <w:num w:numId="56" w16cid:durableId="2107075124">
    <w:abstractNumId w:val="69"/>
  </w:num>
  <w:num w:numId="57" w16cid:durableId="1493333614">
    <w:abstractNumId w:val="73"/>
  </w:num>
  <w:num w:numId="58" w16cid:durableId="1518886971">
    <w:abstractNumId w:val="192"/>
  </w:num>
  <w:num w:numId="59" w16cid:durableId="1484080959">
    <w:abstractNumId w:val="260"/>
  </w:num>
  <w:num w:numId="60" w16cid:durableId="673339256">
    <w:abstractNumId w:val="255"/>
  </w:num>
  <w:num w:numId="61" w16cid:durableId="75439512">
    <w:abstractNumId w:val="126"/>
  </w:num>
  <w:num w:numId="62" w16cid:durableId="1500460309">
    <w:abstractNumId w:val="214"/>
  </w:num>
  <w:num w:numId="63" w16cid:durableId="516312412">
    <w:abstractNumId w:val="282"/>
  </w:num>
  <w:num w:numId="64" w16cid:durableId="1983385605">
    <w:abstractNumId w:val="318"/>
  </w:num>
  <w:num w:numId="65" w16cid:durableId="2032342188">
    <w:abstractNumId w:val="249"/>
  </w:num>
  <w:num w:numId="66" w16cid:durableId="1054698279">
    <w:abstractNumId w:val="354"/>
  </w:num>
  <w:num w:numId="67" w16cid:durableId="792290200">
    <w:abstractNumId w:val="232"/>
  </w:num>
  <w:num w:numId="68" w16cid:durableId="19363149">
    <w:abstractNumId w:val="169"/>
  </w:num>
  <w:num w:numId="69" w16cid:durableId="237177547">
    <w:abstractNumId w:val="296"/>
  </w:num>
  <w:num w:numId="70" w16cid:durableId="565411410">
    <w:abstractNumId w:val="12"/>
  </w:num>
  <w:num w:numId="71" w16cid:durableId="1556161798">
    <w:abstractNumId w:val="52"/>
  </w:num>
  <w:num w:numId="72" w16cid:durableId="200672183">
    <w:abstractNumId w:val="11"/>
  </w:num>
  <w:num w:numId="73" w16cid:durableId="1229538447">
    <w:abstractNumId w:val="298"/>
  </w:num>
  <w:num w:numId="74" w16cid:durableId="301694193">
    <w:abstractNumId w:val="177"/>
  </w:num>
  <w:num w:numId="75" w16cid:durableId="744037179">
    <w:abstractNumId w:val="173"/>
  </w:num>
  <w:num w:numId="76" w16cid:durableId="1599288240">
    <w:abstractNumId w:val="366"/>
  </w:num>
  <w:num w:numId="77" w16cid:durableId="523908283">
    <w:abstractNumId w:val="13"/>
  </w:num>
  <w:num w:numId="78" w16cid:durableId="1083603538">
    <w:abstractNumId w:val="365"/>
  </w:num>
  <w:num w:numId="79" w16cid:durableId="1762331878">
    <w:abstractNumId w:val="20"/>
  </w:num>
  <w:num w:numId="80" w16cid:durableId="1639922295">
    <w:abstractNumId w:val="326"/>
  </w:num>
  <w:num w:numId="81" w16cid:durableId="475801074">
    <w:abstractNumId w:val="231"/>
  </w:num>
  <w:num w:numId="82" w16cid:durableId="980621250">
    <w:abstractNumId w:val="300"/>
  </w:num>
  <w:num w:numId="83" w16cid:durableId="1214806294">
    <w:abstractNumId w:val="230"/>
  </w:num>
  <w:num w:numId="84" w16cid:durableId="1092894998">
    <w:abstractNumId w:val="45"/>
  </w:num>
  <w:num w:numId="85" w16cid:durableId="313026537">
    <w:abstractNumId w:val="158"/>
  </w:num>
  <w:num w:numId="86" w16cid:durableId="533351663">
    <w:abstractNumId w:val="160"/>
  </w:num>
  <w:num w:numId="87" w16cid:durableId="522520274">
    <w:abstractNumId w:val="86"/>
  </w:num>
  <w:num w:numId="88" w16cid:durableId="1061714342">
    <w:abstractNumId w:val="284"/>
  </w:num>
  <w:num w:numId="89" w16cid:durableId="1773166676">
    <w:abstractNumId w:val="233"/>
  </w:num>
  <w:num w:numId="90" w16cid:durableId="1734890825">
    <w:abstractNumId w:val="37"/>
  </w:num>
  <w:num w:numId="91" w16cid:durableId="1817801732">
    <w:abstractNumId w:val="103"/>
  </w:num>
  <w:num w:numId="92" w16cid:durableId="985276020">
    <w:abstractNumId w:val="262"/>
  </w:num>
  <w:num w:numId="93" w16cid:durableId="1883858890">
    <w:abstractNumId w:val="220"/>
  </w:num>
  <w:num w:numId="94" w16cid:durableId="617180364">
    <w:abstractNumId w:val="340"/>
  </w:num>
  <w:num w:numId="95" w16cid:durableId="856500161">
    <w:abstractNumId w:val="307"/>
  </w:num>
  <w:num w:numId="96" w16cid:durableId="1899587091">
    <w:abstractNumId w:val="121"/>
  </w:num>
  <w:num w:numId="97" w16cid:durableId="1282611166">
    <w:abstractNumId w:val="106"/>
  </w:num>
  <w:num w:numId="98" w16cid:durableId="938292087">
    <w:abstractNumId w:val="292"/>
  </w:num>
  <w:num w:numId="99" w16cid:durableId="310330696">
    <w:abstractNumId w:val="274"/>
    <w:lvlOverride w:ilvl="0">
      <w:startOverride w:val="1"/>
    </w:lvlOverride>
  </w:num>
  <w:num w:numId="100" w16cid:durableId="1429423268">
    <w:abstractNumId w:val="274"/>
  </w:num>
  <w:num w:numId="101" w16cid:durableId="204871954">
    <w:abstractNumId w:val="161"/>
  </w:num>
  <w:num w:numId="102" w16cid:durableId="230625194">
    <w:abstractNumId w:val="176"/>
  </w:num>
  <w:num w:numId="103" w16cid:durableId="2027149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000695092">
    <w:abstractNumId w:val="367"/>
  </w:num>
  <w:num w:numId="105" w16cid:durableId="735475433">
    <w:abstractNumId w:val="246"/>
  </w:num>
  <w:num w:numId="106" w16cid:durableId="1421415108">
    <w:abstractNumId w:val="327"/>
  </w:num>
  <w:num w:numId="107" w16cid:durableId="1350335992">
    <w:abstractNumId w:val="113"/>
  </w:num>
  <w:num w:numId="108" w16cid:durableId="1253465033">
    <w:abstractNumId w:val="369"/>
  </w:num>
  <w:num w:numId="109" w16cid:durableId="2069181670">
    <w:abstractNumId w:val="310"/>
  </w:num>
  <w:num w:numId="110" w16cid:durableId="1741519946">
    <w:abstractNumId w:val="167"/>
  </w:num>
  <w:num w:numId="111" w16cid:durableId="212541090">
    <w:abstractNumId w:val="339"/>
  </w:num>
  <w:num w:numId="112" w16cid:durableId="1083914449">
    <w:abstractNumId w:val="303"/>
  </w:num>
  <w:num w:numId="113" w16cid:durableId="1843661177">
    <w:abstractNumId w:val="270"/>
  </w:num>
  <w:num w:numId="114" w16cid:durableId="1919823811">
    <w:abstractNumId w:val="40"/>
  </w:num>
  <w:num w:numId="115" w16cid:durableId="707486473">
    <w:abstractNumId w:val="101"/>
  </w:num>
  <w:num w:numId="116" w16cid:durableId="720326195">
    <w:abstractNumId w:val="83"/>
    <w:lvlOverride w:ilvl="0">
      <w:startOverride w:val="1"/>
    </w:lvlOverride>
    <w:lvlOverride w:ilvl="1">
      <w:startOverride w:val="1"/>
    </w:lvlOverride>
  </w:num>
  <w:num w:numId="117" w16cid:durableId="1541743090">
    <w:abstractNumId w:val="57"/>
  </w:num>
  <w:num w:numId="118" w16cid:durableId="984578755">
    <w:abstractNumId w:val="115"/>
  </w:num>
  <w:num w:numId="119" w16cid:durableId="1047528768">
    <w:abstractNumId w:val="83"/>
  </w:num>
  <w:num w:numId="120" w16cid:durableId="1210073299">
    <w:abstractNumId w:val="83"/>
  </w:num>
  <w:num w:numId="121" w16cid:durableId="77294831">
    <w:abstractNumId w:val="83"/>
  </w:num>
  <w:num w:numId="122" w16cid:durableId="775712674">
    <w:abstractNumId w:val="83"/>
  </w:num>
  <w:num w:numId="123" w16cid:durableId="104616062">
    <w:abstractNumId w:val="83"/>
  </w:num>
  <w:num w:numId="124" w16cid:durableId="746338927">
    <w:abstractNumId w:val="83"/>
  </w:num>
  <w:num w:numId="125" w16cid:durableId="1868713590">
    <w:abstractNumId w:val="83"/>
  </w:num>
  <w:num w:numId="126" w16cid:durableId="145826134">
    <w:abstractNumId w:val="83"/>
  </w:num>
  <w:num w:numId="127" w16cid:durableId="1709404057">
    <w:abstractNumId w:val="83"/>
  </w:num>
  <w:num w:numId="128" w16cid:durableId="81030788">
    <w:abstractNumId w:val="83"/>
  </w:num>
  <w:num w:numId="129" w16cid:durableId="2108957566">
    <w:abstractNumId w:val="83"/>
  </w:num>
  <w:num w:numId="130" w16cid:durableId="1112244209">
    <w:abstractNumId w:val="83"/>
  </w:num>
  <w:num w:numId="131" w16cid:durableId="123695152">
    <w:abstractNumId w:val="83"/>
  </w:num>
  <w:num w:numId="132" w16cid:durableId="308285661">
    <w:abstractNumId w:val="83"/>
  </w:num>
  <w:num w:numId="133" w16cid:durableId="1184247790">
    <w:abstractNumId w:val="83"/>
  </w:num>
  <w:num w:numId="134" w16cid:durableId="754012633">
    <w:abstractNumId w:val="83"/>
  </w:num>
  <w:num w:numId="135" w16cid:durableId="1646665352">
    <w:abstractNumId w:val="83"/>
  </w:num>
  <w:num w:numId="136" w16cid:durableId="1689023257">
    <w:abstractNumId w:val="83"/>
  </w:num>
  <w:num w:numId="137" w16cid:durableId="1288510885">
    <w:abstractNumId w:val="83"/>
  </w:num>
  <w:num w:numId="138" w16cid:durableId="1306274844">
    <w:abstractNumId w:val="30"/>
  </w:num>
  <w:num w:numId="139" w16cid:durableId="870534794">
    <w:abstractNumId w:val="83"/>
  </w:num>
  <w:num w:numId="140" w16cid:durableId="794905442">
    <w:abstractNumId w:val="221"/>
  </w:num>
  <w:num w:numId="141" w16cid:durableId="287320200">
    <w:abstractNumId w:val="311"/>
  </w:num>
  <w:num w:numId="142" w16cid:durableId="1181091180">
    <w:abstractNumId w:val="183"/>
  </w:num>
  <w:num w:numId="143" w16cid:durableId="71858432">
    <w:abstractNumId w:val="264"/>
  </w:num>
  <w:num w:numId="144" w16cid:durableId="620343">
    <w:abstractNumId w:val="195"/>
  </w:num>
  <w:num w:numId="145" w16cid:durableId="920213977">
    <w:abstractNumId w:val="222"/>
  </w:num>
  <w:num w:numId="146" w16cid:durableId="74479750">
    <w:abstractNumId w:val="108"/>
  </w:num>
  <w:num w:numId="147" w16cid:durableId="1241330413">
    <w:abstractNumId w:val="58"/>
  </w:num>
  <w:num w:numId="148" w16cid:durableId="440616222">
    <w:abstractNumId w:val="287"/>
  </w:num>
  <w:num w:numId="149" w16cid:durableId="1185900772">
    <w:abstractNumId w:val="188"/>
  </w:num>
  <w:num w:numId="150" w16cid:durableId="262226206">
    <w:abstractNumId w:val="34"/>
  </w:num>
  <w:num w:numId="151" w16cid:durableId="1206255673">
    <w:abstractNumId w:val="165"/>
  </w:num>
  <w:num w:numId="152" w16cid:durableId="1486319618">
    <w:abstractNumId w:val="168"/>
  </w:num>
  <w:num w:numId="153" w16cid:durableId="14182074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44837463">
    <w:abstractNumId w:val="4"/>
  </w:num>
  <w:num w:numId="155" w16cid:durableId="11102085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500702460">
    <w:abstractNumId w:val="301"/>
  </w:num>
  <w:num w:numId="157" w16cid:durableId="173425722">
    <w:abstractNumId w:val="199"/>
  </w:num>
  <w:num w:numId="158" w16cid:durableId="491678791">
    <w:abstractNumId w:val="277"/>
  </w:num>
  <w:num w:numId="159" w16cid:durableId="1454207880">
    <w:abstractNumId w:val="306"/>
  </w:num>
  <w:num w:numId="160" w16cid:durableId="1442148728">
    <w:abstractNumId w:val="83"/>
  </w:num>
  <w:num w:numId="161" w16cid:durableId="1134906239">
    <w:abstractNumId w:val="83"/>
  </w:num>
  <w:num w:numId="162" w16cid:durableId="650259075">
    <w:abstractNumId w:val="143"/>
  </w:num>
  <w:num w:numId="163" w16cid:durableId="1081415368">
    <w:abstractNumId w:val="9"/>
  </w:num>
  <w:num w:numId="164" w16cid:durableId="831332658">
    <w:abstractNumId w:val="118"/>
  </w:num>
  <w:num w:numId="165" w16cid:durableId="721712624">
    <w:abstractNumId w:val="213"/>
  </w:num>
  <w:num w:numId="166" w16cid:durableId="1571845729">
    <w:abstractNumId w:val="146"/>
  </w:num>
  <w:num w:numId="167" w16cid:durableId="433942332">
    <w:abstractNumId w:val="85"/>
  </w:num>
  <w:num w:numId="168" w16cid:durableId="2120055196">
    <w:abstractNumId w:val="235"/>
  </w:num>
  <w:num w:numId="169" w16cid:durableId="632909374">
    <w:abstractNumId w:val="33"/>
  </w:num>
  <w:num w:numId="170" w16cid:durableId="321544523">
    <w:abstractNumId w:val="194"/>
  </w:num>
  <w:num w:numId="171" w16cid:durableId="306054876">
    <w:abstractNumId w:val="309"/>
  </w:num>
  <w:num w:numId="172" w16cid:durableId="32464918">
    <w:abstractNumId w:val="372"/>
  </w:num>
  <w:num w:numId="173" w16cid:durableId="626743237">
    <w:abstractNumId w:val="38"/>
  </w:num>
  <w:num w:numId="174" w16cid:durableId="38360430">
    <w:abstractNumId w:val="81"/>
  </w:num>
  <w:num w:numId="175" w16cid:durableId="712849532">
    <w:abstractNumId w:val="84"/>
  </w:num>
  <w:num w:numId="176" w16cid:durableId="211566560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1747729322">
    <w:abstractNumId w:val="83"/>
  </w:num>
  <w:num w:numId="178" w16cid:durableId="286551175">
    <w:abstractNumId w:val="83"/>
  </w:num>
  <w:num w:numId="179" w16cid:durableId="523709183">
    <w:abstractNumId w:val="83"/>
  </w:num>
  <w:num w:numId="180" w16cid:durableId="65884514">
    <w:abstractNumId w:val="83"/>
  </w:num>
  <w:num w:numId="181" w16cid:durableId="596910837">
    <w:abstractNumId w:val="83"/>
  </w:num>
  <w:num w:numId="182" w16cid:durableId="518784138">
    <w:abstractNumId w:val="83"/>
  </w:num>
  <w:num w:numId="183" w16cid:durableId="191642855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548228049">
    <w:abstractNumId w:val="83"/>
  </w:num>
  <w:num w:numId="185" w16cid:durableId="1079325283">
    <w:abstractNumId w:val="251"/>
  </w:num>
  <w:num w:numId="186" w16cid:durableId="1317952408">
    <w:abstractNumId w:val="83"/>
  </w:num>
  <w:num w:numId="187" w16cid:durableId="126168956">
    <w:abstractNumId w:val="83"/>
  </w:num>
  <w:num w:numId="188" w16cid:durableId="315228260">
    <w:abstractNumId w:val="83"/>
  </w:num>
  <w:num w:numId="189" w16cid:durableId="2007514675">
    <w:abstractNumId w:val="350"/>
  </w:num>
  <w:num w:numId="190" w16cid:durableId="1153835630">
    <w:abstractNumId w:val="346"/>
  </w:num>
  <w:num w:numId="191" w16cid:durableId="689841187">
    <w:abstractNumId w:val="290"/>
  </w:num>
  <w:num w:numId="192" w16cid:durableId="849416535">
    <w:abstractNumId w:val="147"/>
  </w:num>
  <w:num w:numId="193" w16cid:durableId="1973098044">
    <w:abstractNumId w:val="140"/>
  </w:num>
  <w:num w:numId="194" w16cid:durableId="1078165063">
    <w:abstractNumId w:val="271"/>
  </w:num>
  <w:num w:numId="195" w16cid:durableId="1080326670">
    <w:abstractNumId w:val="189"/>
  </w:num>
  <w:num w:numId="196" w16cid:durableId="1246646267">
    <w:abstractNumId w:val="162"/>
  </w:num>
  <w:num w:numId="197" w16cid:durableId="1636570426">
    <w:abstractNumId w:val="7"/>
  </w:num>
  <w:num w:numId="198" w16cid:durableId="953906681">
    <w:abstractNumId w:val="228"/>
  </w:num>
  <w:num w:numId="199" w16cid:durableId="1373994395">
    <w:abstractNumId w:val="6"/>
  </w:num>
  <w:num w:numId="200" w16cid:durableId="1224830562">
    <w:abstractNumId w:val="330"/>
  </w:num>
  <w:num w:numId="201" w16cid:durableId="956373873">
    <w:abstractNumId w:val="329"/>
  </w:num>
  <w:num w:numId="202" w16cid:durableId="554585377">
    <w:abstractNumId w:val="244"/>
  </w:num>
  <w:num w:numId="203" w16cid:durableId="561908618">
    <w:abstractNumId w:val="266"/>
  </w:num>
  <w:num w:numId="204" w16cid:durableId="317924912">
    <w:abstractNumId w:val="334"/>
  </w:num>
  <w:num w:numId="205" w16cid:durableId="1398168346">
    <w:abstractNumId w:val="39"/>
  </w:num>
  <w:num w:numId="206" w16cid:durableId="14879048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11279759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25043225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69207626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129290544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816801317">
    <w:abstractNumId w:val="293"/>
  </w:num>
  <w:num w:numId="212" w16cid:durableId="196551977">
    <w:abstractNumId w:val="219"/>
  </w:num>
  <w:num w:numId="213" w16cid:durableId="1796413240">
    <w:abstractNumId w:val="294"/>
  </w:num>
  <w:num w:numId="214" w16cid:durableId="1159808823">
    <w:abstractNumId w:val="193"/>
  </w:num>
  <w:num w:numId="215" w16cid:durableId="104752825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169287679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95244159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119885253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502700372">
    <w:abstractNumId w:val="174"/>
  </w:num>
  <w:num w:numId="220" w16cid:durableId="511988670">
    <w:abstractNumId w:val="83"/>
  </w:num>
  <w:num w:numId="221" w16cid:durableId="2121562198">
    <w:abstractNumId w:val="83"/>
  </w:num>
  <w:num w:numId="222" w16cid:durableId="84104160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625506348">
    <w:abstractNumId w:val="83"/>
  </w:num>
  <w:num w:numId="224" w16cid:durableId="193928821">
    <w:abstractNumId w:val="83"/>
  </w:num>
  <w:num w:numId="225" w16cid:durableId="296492443">
    <w:abstractNumId w:val="83"/>
  </w:num>
  <w:num w:numId="226" w16cid:durableId="531724420">
    <w:abstractNumId w:val="319"/>
  </w:num>
  <w:num w:numId="227" w16cid:durableId="957026256">
    <w:abstractNumId w:val="67"/>
  </w:num>
  <w:num w:numId="228" w16cid:durableId="659310450">
    <w:abstractNumId w:val="280"/>
  </w:num>
  <w:num w:numId="229" w16cid:durableId="1790275795">
    <w:abstractNumId w:val="180"/>
  </w:num>
  <w:num w:numId="230" w16cid:durableId="634722985">
    <w:abstractNumId w:val="27"/>
  </w:num>
  <w:num w:numId="231" w16cid:durableId="966159137">
    <w:abstractNumId w:val="90"/>
  </w:num>
  <w:num w:numId="232" w16cid:durableId="1809712049">
    <w:abstractNumId w:val="240"/>
  </w:num>
  <w:num w:numId="233" w16cid:durableId="1334068880">
    <w:abstractNumId w:val="53"/>
  </w:num>
  <w:num w:numId="234" w16cid:durableId="637225994">
    <w:abstractNumId w:val="0"/>
  </w:num>
  <w:num w:numId="235" w16cid:durableId="315884100">
    <w:abstractNumId w:val="200"/>
  </w:num>
  <w:num w:numId="236" w16cid:durableId="534008354">
    <w:abstractNumId w:val="164"/>
  </w:num>
  <w:num w:numId="237" w16cid:durableId="654726993">
    <w:abstractNumId w:val="342"/>
  </w:num>
  <w:num w:numId="238" w16cid:durableId="801120683">
    <w:abstractNumId w:val="227"/>
  </w:num>
  <w:num w:numId="239" w16cid:durableId="726033531">
    <w:abstractNumId w:val="88"/>
  </w:num>
  <w:num w:numId="240" w16cid:durableId="1406150428">
    <w:abstractNumId w:val="224"/>
  </w:num>
  <w:num w:numId="241" w16cid:durableId="727387164">
    <w:abstractNumId w:val="178"/>
  </w:num>
  <w:num w:numId="242" w16cid:durableId="1130367960">
    <w:abstractNumId w:val="258"/>
  </w:num>
  <w:num w:numId="243" w16cid:durableId="1563447487">
    <w:abstractNumId w:val="324"/>
  </w:num>
  <w:num w:numId="244" w16cid:durableId="501552575">
    <w:abstractNumId w:val="2"/>
  </w:num>
  <w:num w:numId="245" w16cid:durableId="685055293">
    <w:abstractNumId w:val="3"/>
  </w:num>
  <w:num w:numId="246" w16cid:durableId="471288249">
    <w:abstractNumId w:val="130"/>
  </w:num>
  <w:num w:numId="247" w16cid:durableId="311183513">
    <w:abstractNumId w:val="261"/>
  </w:num>
  <w:num w:numId="248" w16cid:durableId="1227455144">
    <w:abstractNumId w:val="288"/>
  </w:num>
  <w:num w:numId="249" w16cid:durableId="1308584840">
    <w:abstractNumId w:val="31"/>
  </w:num>
  <w:num w:numId="250" w16cid:durableId="2024866164">
    <w:abstractNumId w:val="226"/>
    <w:lvlOverride w:ilvl="0">
      <w:startOverride w:val="1"/>
    </w:lvlOverride>
  </w:num>
  <w:num w:numId="251" w16cid:durableId="1295061249">
    <w:abstractNumId w:val="97"/>
    <w:lvlOverride w:ilvl="0">
      <w:startOverride w:val="1"/>
    </w:lvlOverride>
  </w:num>
  <w:num w:numId="252" w16cid:durableId="1862543574">
    <w:abstractNumId w:val="314"/>
    <w:lvlOverride w:ilvl="0">
      <w:startOverride w:val="1"/>
    </w:lvlOverride>
  </w:num>
  <w:num w:numId="253" w16cid:durableId="1997607825">
    <w:abstractNumId w:val="139"/>
  </w:num>
  <w:num w:numId="254" w16cid:durableId="541405186">
    <w:abstractNumId w:val="43"/>
  </w:num>
  <w:num w:numId="255" w16cid:durableId="1445997184">
    <w:abstractNumId w:val="347"/>
  </w:num>
  <w:num w:numId="256" w16cid:durableId="1261258333">
    <w:abstractNumId w:val="1"/>
  </w:num>
  <w:num w:numId="257" w16cid:durableId="1512643750">
    <w:abstractNumId w:val="179"/>
  </w:num>
  <w:num w:numId="258" w16cid:durableId="279997973">
    <w:abstractNumId w:val="124"/>
  </w:num>
  <w:num w:numId="259" w16cid:durableId="1818065870">
    <w:abstractNumId w:val="305"/>
  </w:num>
  <w:num w:numId="260" w16cid:durableId="21519924">
    <w:abstractNumId w:val="134"/>
  </w:num>
  <w:num w:numId="261" w16cid:durableId="304435081">
    <w:abstractNumId w:val="198"/>
  </w:num>
  <w:num w:numId="262" w16cid:durableId="1018971352">
    <w:abstractNumId w:val="253"/>
  </w:num>
  <w:num w:numId="263" w16cid:durableId="43019390">
    <w:abstractNumId w:val="254"/>
  </w:num>
  <w:num w:numId="264" w16cid:durableId="609509112">
    <w:abstractNumId w:val="59"/>
  </w:num>
  <w:num w:numId="265" w16cid:durableId="1691181632">
    <w:abstractNumId w:val="316"/>
  </w:num>
  <w:num w:numId="266" w16cid:durableId="214245996">
    <w:abstractNumId w:val="202"/>
  </w:num>
  <w:num w:numId="267" w16cid:durableId="1535538785">
    <w:abstractNumId w:val="276"/>
  </w:num>
  <w:num w:numId="268" w16cid:durableId="1272282717">
    <w:abstractNumId w:val="331"/>
  </w:num>
  <w:num w:numId="269" w16cid:durableId="167327022">
    <w:abstractNumId w:val="299"/>
  </w:num>
  <w:num w:numId="270" w16cid:durableId="100758035">
    <w:abstractNumId w:val="133"/>
    <w:lvlOverride w:ilvl="0">
      <w:startOverride w:val="1"/>
    </w:lvlOverride>
  </w:num>
  <w:num w:numId="271" w16cid:durableId="43464235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16512232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787363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43575207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9359856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148223679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97768677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68428226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211709796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96360975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165066906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82143141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1173104074">
    <w:abstractNumId w:val="83"/>
  </w:num>
  <w:num w:numId="284" w16cid:durableId="1553231956">
    <w:abstractNumId w:val="83"/>
  </w:num>
  <w:num w:numId="285" w16cid:durableId="1674603808">
    <w:abstractNumId w:val="83"/>
  </w:num>
  <w:num w:numId="286" w16cid:durableId="114681735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341009012">
    <w:abstractNumId w:val="83"/>
  </w:num>
  <w:num w:numId="288" w16cid:durableId="242953018">
    <w:abstractNumId w:val="83"/>
  </w:num>
  <w:num w:numId="289" w16cid:durableId="161370842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8930039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2838296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168782993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135076354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99584303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36887297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58684098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213687416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49198780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2574065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57798201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969822770">
    <w:abstractNumId w:val="10"/>
  </w:num>
  <w:num w:numId="302" w16cid:durableId="212588554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138013448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38248239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68127454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98149629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98719751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189831773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115221628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907417325">
    <w:abstractNumId w:val="123"/>
  </w:num>
  <w:num w:numId="311" w16cid:durableId="1721633420">
    <w:abstractNumId w:val="268"/>
  </w:num>
  <w:num w:numId="312" w16cid:durableId="1423843046">
    <w:abstractNumId w:val="268"/>
  </w:num>
  <w:num w:numId="313" w16cid:durableId="407848042">
    <w:abstractNumId w:val="268"/>
  </w:num>
  <w:num w:numId="314" w16cid:durableId="710959680">
    <w:abstractNumId w:val="72"/>
  </w:num>
  <w:num w:numId="315" w16cid:durableId="1243484988">
    <w:abstractNumId w:val="2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188986324">
    <w:abstractNumId w:val="358"/>
  </w:num>
  <w:num w:numId="317" w16cid:durableId="1773624615">
    <w:abstractNumId w:val="269"/>
  </w:num>
  <w:num w:numId="318" w16cid:durableId="1468470455">
    <w:abstractNumId w:val="302"/>
  </w:num>
  <w:num w:numId="319" w16cid:durableId="1569224394">
    <w:abstractNumId w:val="29"/>
  </w:num>
  <w:num w:numId="320" w16cid:durableId="336466889">
    <w:abstractNumId w:val="54"/>
  </w:num>
  <w:num w:numId="321" w16cid:durableId="63143138">
    <w:abstractNumId w:val="268"/>
  </w:num>
  <w:num w:numId="322" w16cid:durableId="1267730929">
    <w:abstractNumId w:val="268"/>
  </w:num>
  <w:num w:numId="323" w16cid:durableId="1796607027">
    <w:abstractNumId w:val="268"/>
  </w:num>
  <w:num w:numId="324" w16cid:durableId="367877913">
    <w:abstractNumId w:val="268"/>
  </w:num>
  <w:num w:numId="325" w16cid:durableId="1867909596">
    <w:abstractNumId w:val="268"/>
  </w:num>
  <w:num w:numId="326" w16cid:durableId="1487894495">
    <w:abstractNumId w:val="268"/>
  </w:num>
  <w:num w:numId="327" w16cid:durableId="1785155303">
    <w:abstractNumId w:val="268"/>
  </w:num>
  <w:num w:numId="328" w16cid:durableId="63994736">
    <w:abstractNumId w:val="215"/>
  </w:num>
  <w:num w:numId="329" w16cid:durableId="904679541">
    <w:abstractNumId w:val="268"/>
  </w:num>
  <w:num w:numId="330" w16cid:durableId="1645114990">
    <w:abstractNumId w:val="268"/>
  </w:num>
  <w:num w:numId="331" w16cid:durableId="1882743757">
    <w:abstractNumId w:val="268"/>
  </w:num>
  <w:num w:numId="332" w16cid:durableId="1242254148">
    <w:abstractNumId w:val="268"/>
  </w:num>
  <w:num w:numId="333" w16cid:durableId="259141015">
    <w:abstractNumId w:val="268"/>
  </w:num>
  <w:num w:numId="334" w16cid:durableId="1860923226">
    <w:abstractNumId w:val="341"/>
  </w:num>
  <w:num w:numId="335" w16cid:durableId="621305131">
    <w:abstractNumId w:val="26"/>
  </w:num>
  <w:num w:numId="336" w16cid:durableId="1976107311">
    <w:abstractNumId w:val="268"/>
  </w:num>
  <w:num w:numId="337" w16cid:durableId="1515268999">
    <w:abstractNumId w:val="268"/>
  </w:num>
  <w:num w:numId="338" w16cid:durableId="1279217503">
    <w:abstractNumId w:val="268"/>
  </w:num>
  <w:num w:numId="339" w16cid:durableId="1520848247">
    <w:abstractNumId w:val="335"/>
  </w:num>
  <w:num w:numId="340" w16cid:durableId="1914966884">
    <w:abstractNumId w:val="268"/>
  </w:num>
  <w:num w:numId="341" w16cid:durableId="367144031">
    <w:abstractNumId w:val="248"/>
  </w:num>
  <w:num w:numId="342" w16cid:durableId="2043361716">
    <w:abstractNumId w:val="268"/>
  </w:num>
  <w:num w:numId="343" w16cid:durableId="1261374598">
    <w:abstractNumId w:val="117"/>
  </w:num>
  <w:num w:numId="344" w16cid:durableId="575936938">
    <w:abstractNumId w:val="36"/>
  </w:num>
  <w:num w:numId="345" w16cid:durableId="1963733034">
    <w:abstractNumId w:val="243"/>
  </w:num>
  <w:num w:numId="346" w16cid:durableId="931858460">
    <w:abstractNumId w:val="119"/>
  </w:num>
  <w:num w:numId="347" w16cid:durableId="203257359">
    <w:abstractNumId w:val="211"/>
  </w:num>
  <w:num w:numId="348" w16cid:durableId="288626778">
    <w:abstractNumId w:val="273"/>
  </w:num>
  <w:num w:numId="349" w16cid:durableId="399450485">
    <w:abstractNumId w:val="279"/>
  </w:num>
  <w:num w:numId="350" w16cid:durableId="614677258">
    <w:abstractNumId w:val="203"/>
  </w:num>
  <w:num w:numId="351" w16cid:durableId="1168054464">
    <w:abstractNumId w:val="217"/>
  </w:num>
  <w:num w:numId="352" w16cid:durableId="242178762">
    <w:abstractNumId w:val="89"/>
  </w:num>
  <w:num w:numId="353" w16cid:durableId="125709970">
    <w:abstractNumId w:val="239"/>
  </w:num>
  <w:num w:numId="354" w16cid:durableId="43481502">
    <w:abstractNumId w:val="150"/>
  </w:num>
  <w:num w:numId="355" w16cid:durableId="1457798794">
    <w:abstractNumId w:val="24"/>
  </w:num>
  <w:num w:numId="356" w16cid:durableId="1660688519">
    <w:abstractNumId w:val="153"/>
  </w:num>
  <w:num w:numId="357" w16cid:durableId="1542549127">
    <w:abstractNumId w:val="360"/>
  </w:num>
  <w:num w:numId="358" w16cid:durableId="270162339">
    <w:abstractNumId w:val="48"/>
  </w:num>
  <w:num w:numId="359" w16cid:durableId="2020808279">
    <w:abstractNumId w:val="225"/>
  </w:num>
  <w:num w:numId="360" w16cid:durableId="1100560895">
    <w:abstractNumId w:val="104"/>
  </w:num>
  <w:num w:numId="361" w16cid:durableId="117916426">
    <w:abstractNumId w:val="100"/>
  </w:num>
  <w:num w:numId="362" w16cid:durableId="1861116887">
    <w:abstractNumId w:val="321"/>
  </w:num>
  <w:num w:numId="363" w16cid:durableId="2016223877">
    <w:abstractNumId w:val="364"/>
  </w:num>
  <w:num w:numId="364" w16cid:durableId="1625306530">
    <w:abstractNumId w:val="210"/>
  </w:num>
  <w:num w:numId="365" w16cid:durableId="1998457010">
    <w:abstractNumId w:val="184"/>
  </w:num>
  <w:num w:numId="366" w16cid:durableId="790787628">
    <w:abstractNumId w:val="94"/>
  </w:num>
  <w:num w:numId="367" w16cid:durableId="560407708">
    <w:abstractNumId w:val="96"/>
  </w:num>
  <w:num w:numId="368" w16cid:durableId="18167737">
    <w:abstractNumId w:val="5"/>
  </w:num>
  <w:num w:numId="369" w16cid:durableId="149903410">
    <w:abstractNumId w:val="129"/>
  </w:num>
  <w:num w:numId="370" w16cid:durableId="1780176413">
    <w:abstractNumId w:val="236"/>
  </w:num>
  <w:num w:numId="371" w16cid:durableId="1456293077">
    <w:abstractNumId w:val="308"/>
  </w:num>
  <w:num w:numId="372" w16cid:durableId="1482501393">
    <w:abstractNumId w:val="75"/>
  </w:num>
  <w:num w:numId="373" w16cid:durableId="2077824864">
    <w:abstractNumId w:val="352"/>
  </w:num>
  <w:num w:numId="374" w16cid:durableId="590545747">
    <w:abstractNumId w:val="257"/>
  </w:num>
  <w:num w:numId="375" w16cid:durableId="1553033343">
    <w:abstractNumId w:val="234"/>
  </w:num>
  <w:num w:numId="376" w16cid:durableId="662974401">
    <w:abstractNumId w:val="343"/>
  </w:num>
  <w:num w:numId="377" w16cid:durableId="1469472675">
    <w:abstractNumId w:val="196"/>
  </w:num>
  <w:num w:numId="378" w16cid:durableId="1846821229">
    <w:abstractNumId w:val="186"/>
  </w:num>
  <w:num w:numId="379" w16cid:durableId="2023966736">
    <w:abstractNumId w:val="190"/>
  </w:num>
  <w:num w:numId="380" w16cid:durableId="2099908579">
    <w:abstractNumId w:val="201"/>
  </w:num>
  <w:num w:numId="381" w16cid:durableId="837424567">
    <w:abstractNumId w:val="237"/>
  </w:num>
  <w:num w:numId="382" w16cid:durableId="1147093895">
    <w:abstractNumId w:val="135"/>
  </w:num>
  <w:num w:numId="383" w16cid:durableId="1464810229">
    <w:abstractNumId w:val="205"/>
  </w:num>
  <w:num w:numId="384" w16cid:durableId="2082944450">
    <w:abstractNumId w:val="263"/>
  </w:num>
  <w:num w:numId="385" w16cid:durableId="784424297">
    <w:abstractNumId w:val="295"/>
  </w:num>
  <w:num w:numId="386" w16cid:durableId="2026176582">
    <w:abstractNumId w:val="141"/>
  </w:num>
  <w:num w:numId="387" w16cid:durableId="273173979">
    <w:abstractNumId w:val="363"/>
  </w:num>
  <w:num w:numId="388" w16cid:durableId="747844249">
    <w:abstractNumId w:val="175"/>
  </w:num>
  <w:num w:numId="389" w16cid:durableId="810054698">
    <w:abstractNumId w:val="207"/>
  </w:num>
  <w:num w:numId="390" w16cid:durableId="2033917637">
    <w:abstractNumId w:val="111"/>
  </w:num>
  <w:num w:numId="391" w16cid:durableId="143864115">
    <w:abstractNumId w:val="338"/>
  </w:num>
  <w:num w:numId="392" w16cid:durableId="1885095473">
    <w:abstractNumId w:val="71"/>
  </w:num>
  <w:num w:numId="393" w16cid:durableId="1249074835">
    <w:abstractNumId w:val="357"/>
  </w:num>
  <w:num w:numId="394" w16cid:durableId="999044080">
    <w:abstractNumId w:val="325"/>
  </w:num>
  <w:num w:numId="395" w16cid:durableId="956595117">
    <w:abstractNumId w:val="283"/>
    <w:lvlOverride w:ilvl="0">
      <w:startOverride w:val="1"/>
    </w:lvlOverride>
  </w:num>
  <w:num w:numId="396" w16cid:durableId="1107508012">
    <w:abstractNumId w:val="278"/>
  </w:num>
  <w:num w:numId="397" w16cid:durableId="203635592">
    <w:abstractNumId w:val="268"/>
  </w:num>
  <w:num w:numId="398" w16cid:durableId="1494755765">
    <w:abstractNumId w:val="268"/>
  </w:num>
  <w:num w:numId="399" w16cid:durableId="514996893">
    <w:abstractNumId w:val="285"/>
  </w:num>
  <w:num w:numId="400" w16cid:durableId="141780270">
    <w:abstractNumId w:val="267"/>
  </w:num>
  <w:num w:numId="401" w16cid:durableId="1939942875">
    <w:abstractNumId w:val="265"/>
  </w:num>
  <w:num w:numId="402" w16cid:durableId="87506172">
    <w:abstractNumId w:val="110"/>
  </w:num>
  <w:num w:numId="403" w16cid:durableId="757562784">
    <w:abstractNumId w:val="268"/>
  </w:num>
  <w:num w:numId="404" w16cid:durableId="1840344306">
    <w:abstractNumId w:val="323"/>
  </w:num>
  <w:num w:numId="405" w16cid:durableId="1014183665">
    <w:abstractNumId w:val="105"/>
  </w:num>
  <w:num w:numId="406" w16cid:durableId="289016459">
    <w:abstractNumId w:val="268"/>
  </w:num>
  <w:num w:numId="407" w16cid:durableId="247085550">
    <w:abstractNumId w:val="56"/>
  </w:num>
  <w:num w:numId="408" w16cid:durableId="613757306">
    <w:abstractNumId w:val="181"/>
  </w:num>
  <w:num w:numId="409" w16cid:durableId="1906456233">
    <w:abstractNumId w:val="78"/>
  </w:num>
  <w:num w:numId="410" w16cid:durableId="1596354824">
    <w:abstractNumId w:val="332"/>
  </w:num>
  <w:num w:numId="411" w16cid:durableId="1497696237">
    <w:abstractNumId w:val="3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5576103">
    <w:abstractNumId w:val="3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811756414">
    <w:abstractNumId w:val="268"/>
  </w:num>
  <w:num w:numId="414" w16cid:durableId="772238707">
    <w:abstractNumId w:val="268"/>
  </w:num>
  <w:num w:numId="415" w16cid:durableId="577133028">
    <w:abstractNumId w:val="268"/>
  </w:num>
  <w:num w:numId="416" w16cid:durableId="1653832202">
    <w:abstractNumId w:val="268"/>
  </w:num>
  <w:num w:numId="417" w16cid:durableId="1211846600">
    <w:abstractNumId w:val="22"/>
  </w:num>
  <w:num w:numId="418" w16cid:durableId="2132241045">
    <w:abstractNumId w:val="18"/>
  </w:num>
  <w:num w:numId="419" w16cid:durableId="475075519">
    <w:abstractNumId w:val="151"/>
  </w:num>
  <w:num w:numId="420" w16cid:durableId="1547179521">
    <w:abstractNumId w:val="245"/>
  </w:num>
  <w:num w:numId="421" w16cid:durableId="1376999822">
    <w:abstractNumId w:val="137"/>
  </w:num>
  <w:num w:numId="422" w16cid:durableId="727337643">
    <w:abstractNumId w:val="268"/>
  </w:num>
  <w:num w:numId="423" w16cid:durableId="1601831871">
    <w:abstractNumId w:val="268"/>
  </w:num>
  <w:num w:numId="424" w16cid:durableId="661813335">
    <w:abstractNumId w:val="24"/>
  </w:num>
  <w:num w:numId="425" w16cid:durableId="642737117">
    <w:abstractNumId w:val="250"/>
  </w:num>
  <w:num w:numId="426" w16cid:durableId="683283203">
    <w:abstractNumId w:val="247"/>
  </w:num>
  <w:num w:numId="427" w16cid:durableId="1455757576">
    <w:abstractNumId w:val="361"/>
  </w:num>
  <w:num w:numId="428" w16cid:durableId="936255304">
    <w:abstractNumId w:val="50"/>
  </w:num>
  <w:num w:numId="429" w16cid:durableId="986083562">
    <w:abstractNumId w:val="76"/>
  </w:num>
  <w:num w:numId="430" w16cid:durableId="982123614">
    <w:abstractNumId w:val="41"/>
  </w:num>
  <w:num w:numId="431" w16cid:durableId="1565531275">
    <w:abstractNumId w:val="74"/>
  </w:num>
  <w:num w:numId="432" w16cid:durableId="1205563894">
    <w:abstractNumId w:val="8"/>
  </w:num>
  <w:num w:numId="433" w16cid:durableId="1017317320">
    <w:abstractNumId w:val="281"/>
  </w:num>
  <w:num w:numId="434" w16cid:durableId="1833838943">
    <w:abstractNumId w:val="322"/>
  </w:num>
  <w:num w:numId="435" w16cid:durableId="2053260129">
    <w:abstractNumId w:val="223"/>
  </w:num>
  <w:num w:numId="436" w16cid:durableId="468326452">
    <w:abstractNumId w:val="313"/>
  </w:num>
  <w:num w:numId="437" w16cid:durableId="698699804">
    <w:abstractNumId w:val="132"/>
  </w:num>
  <w:num w:numId="438" w16cid:durableId="1254317034">
    <w:abstractNumId w:val="312"/>
  </w:num>
  <w:num w:numId="439" w16cid:durableId="84083872">
    <w:abstractNumId w:val="157"/>
  </w:num>
  <w:num w:numId="440" w16cid:durableId="1301694266">
    <w:abstractNumId w:val="355"/>
  </w:num>
  <w:num w:numId="441" w16cid:durableId="638539850">
    <w:abstractNumId w:val="154"/>
  </w:num>
  <w:num w:numId="442" w16cid:durableId="1765607586">
    <w:abstractNumId w:val="216"/>
  </w:num>
  <w:num w:numId="443" w16cid:durableId="234555314">
    <w:abstractNumId w:val="315"/>
  </w:num>
  <w:num w:numId="444" w16cid:durableId="1805394019">
    <w:abstractNumId w:val="47"/>
  </w:num>
  <w:num w:numId="445" w16cid:durableId="384068710">
    <w:abstractNumId w:val="112"/>
  </w:num>
  <w:num w:numId="446" w16cid:durableId="1849364272">
    <w:abstractNumId w:val="238"/>
  </w:num>
  <w:num w:numId="447" w16cid:durableId="644745080">
    <w:abstractNumId w:val="356"/>
  </w:num>
  <w:num w:numId="448" w16cid:durableId="822963494">
    <w:abstractNumId w:val="328"/>
  </w:num>
  <w:num w:numId="449" w16cid:durableId="1352603635">
    <w:abstractNumId w:val="95"/>
    <w:lvlOverride w:ilvl="0">
      <w:startOverride w:val="1"/>
    </w:lvlOverride>
  </w:num>
  <w:num w:numId="450" w16cid:durableId="1759600787">
    <w:abstractNumId w:val="138"/>
  </w:num>
  <w:num w:numId="451" w16cid:durableId="1120032386">
    <w:abstractNumId w:val="14"/>
  </w:num>
  <w:num w:numId="452" w16cid:durableId="2002351313">
    <w:abstractNumId w:val="268"/>
  </w:num>
  <w:num w:numId="453" w16cid:durableId="1226263418">
    <w:abstractNumId w:val="171"/>
  </w:num>
  <w:num w:numId="454" w16cid:durableId="160394594">
    <w:abstractNumId w:val="2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1459567118">
    <w:abstractNumId w:val="152"/>
  </w:num>
  <w:num w:numId="456" w16cid:durableId="168644156">
    <w:abstractNumId w:val="55"/>
  </w:num>
  <w:num w:numId="457" w16cid:durableId="1698239741">
    <w:abstractNumId w:val="16"/>
  </w:num>
  <w:num w:numId="458" w16cid:durableId="51658744">
    <w:abstractNumId w:val="268"/>
  </w:num>
  <w:num w:numId="459" w16cid:durableId="808523361">
    <w:abstractNumId w:val="122"/>
  </w:num>
  <w:num w:numId="460" w16cid:durableId="1615402044">
    <w:abstractNumId w:val="2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756483832">
    <w:abstractNumId w:val="353"/>
  </w:num>
  <w:num w:numId="462" w16cid:durableId="1630866238">
    <w:abstractNumId w:val="317"/>
  </w:num>
  <w:num w:numId="463" w16cid:durableId="768812758">
    <w:abstractNumId w:val="98"/>
  </w:num>
  <w:num w:numId="464" w16cid:durableId="1342318084">
    <w:abstractNumId w:val="92"/>
  </w:num>
  <w:num w:numId="465" w16cid:durableId="1962027085">
    <w:abstractNumId w:val="182"/>
  </w:num>
  <w:num w:numId="466" w16cid:durableId="1561750059">
    <w:abstractNumId w:val="142"/>
  </w:num>
  <w:num w:numId="467" w16cid:durableId="909926142">
    <w:abstractNumId w:val="349"/>
  </w:num>
  <w:num w:numId="468" w16cid:durableId="781075424">
    <w:abstractNumId w:val="131"/>
  </w:num>
  <w:num w:numId="469" w16cid:durableId="980233859">
    <w:abstractNumId w:val="51"/>
  </w:num>
  <w:num w:numId="470" w16cid:durableId="1744140773">
    <w:abstractNumId w:val="370"/>
  </w:num>
  <w:num w:numId="471" w16cid:durableId="322977594">
    <w:abstractNumId w:val="191"/>
  </w:num>
  <w:num w:numId="472" w16cid:durableId="481393375">
    <w:abstractNumId w:val="21"/>
  </w:num>
  <w:num w:numId="473" w16cid:durableId="657656682">
    <w:abstractNumId w:val="46"/>
  </w:num>
  <w:num w:numId="474" w16cid:durableId="1254240171">
    <w:abstractNumId w:val="109"/>
  </w:num>
  <w:num w:numId="475" w16cid:durableId="2003048673">
    <w:abstractNumId w:val="77"/>
  </w:num>
  <w:num w:numId="476" w16cid:durableId="1398699380">
    <w:abstractNumId w:val="127"/>
  </w:num>
  <w:num w:numId="477" w16cid:durableId="1486971852">
    <w:abstractNumId w:val="304"/>
  </w:num>
  <w:num w:numId="478" w16cid:durableId="399520432">
    <w:abstractNumId w:val="66"/>
  </w:num>
  <w:num w:numId="479" w16cid:durableId="128286500">
    <w:abstractNumId w:val="212"/>
  </w:num>
  <w:num w:numId="480" w16cid:durableId="118883247">
    <w:abstractNumId w:val="206"/>
  </w:num>
  <w:num w:numId="481" w16cid:durableId="1421222440">
    <w:abstractNumId w:val="68"/>
  </w:num>
  <w:num w:numId="482" w16cid:durableId="1020472307">
    <w:abstractNumId w:val="116"/>
  </w:num>
  <w:num w:numId="483" w16cid:durableId="1757045966">
    <w:abstractNumId w:val="32"/>
  </w:num>
  <w:num w:numId="484" w16cid:durableId="644167387">
    <w:abstractNumId w:val="19"/>
  </w:num>
  <w:num w:numId="485" w16cid:durableId="504126952">
    <w:abstractNumId w:val="209"/>
  </w:num>
  <w:num w:numId="486" w16cid:durableId="2044789136">
    <w:abstractNumId w:val="82"/>
  </w:num>
  <w:num w:numId="487" w16cid:durableId="1966346037">
    <w:abstractNumId w:val="70"/>
  </w:num>
  <w:num w:numId="488" w16cid:durableId="70583833">
    <w:abstractNumId w:val="42"/>
  </w:num>
  <w:num w:numId="489" w16cid:durableId="1975407435">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1284573962">
    <w:abstractNumId w:val="42"/>
  </w:num>
  <w:num w:numId="491" w16cid:durableId="1204634323">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924537765">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1056322471">
    <w:abstractNumId w:val="42"/>
  </w:num>
  <w:num w:numId="494" w16cid:durableId="1287001163">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867475838">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346256015">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352221287">
    <w:abstractNumId w:val="107"/>
  </w:num>
  <w:num w:numId="498" w16cid:durableId="1079445504">
    <w:abstractNumId w:val="102"/>
  </w:num>
  <w:num w:numId="499" w16cid:durableId="1290622411">
    <w:abstractNumId w:val="64"/>
  </w:num>
  <w:num w:numId="500" w16cid:durableId="1200433599">
    <w:abstractNumId w:val="208"/>
  </w:num>
  <w:num w:numId="501" w16cid:durableId="1508599443">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1137331146">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32508465">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276532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646597">
    <w:abstractNumId w:val="170"/>
  </w:num>
  <w:num w:numId="506" w16cid:durableId="563030978">
    <w:abstractNumId w:val="351"/>
  </w:num>
  <w:num w:numId="507" w16cid:durableId="307168211">
    <w:abstractNumId w:val="336"/>
  </w:num>
  <w:num w:numId="508" w16cid:durableId="2130512794">
    <w:abstractNumId w:val="185"/>
  </w:num>
  <w:num w:numId="509" w16cid:durableId="270087926">
    <w:abstractNumId w:val="166"/>
  </w:num>
  <w:num w:numId="510" w16cid:durableId="850798649">
    <w:abstractNumId w:val="272"/>
  </w:num>
  <w:num w:numId="511" w16cid:durableId="1063066500">
    <w:abstractNumId w:val="242"/>
  </w:num>
  <w:num w:numId="512" w16cid:durableId="1276134650">
    <w:abstractNumId w:val="368"/>
  </w:num>
  <w:num w:numId="513" w16cid:durableId="135457735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967273925">
    <w:abstractNumId w:val="42"/>
  </w:num>
  <w:num w:numId="515" w16cid:durableId="56519060">
    <w:abstractNumId w:val="42"/>
  </w:num>
  <w:num w:numId="516" w16cid:durableId="511116424">
    <w:abstractNumId w:val="42"/>
  </w:num>
  <w:num w:numId="517" w16cid:durableId="1874877327">
    <w:abstractNumId w:val="42"/>
  </w:num>
  <w:num w:numId="518" w16cid:durableId="667755400">
    <w:abstractNumId w:val="42"/>
  </w:num>
  <w:num w:numId="519" w16cid:durableId="496074155">
    <w:abstractNumId w:val="42"/>
  </w:num>
  <w:num w:numId="520" w16cid:durableId="1398095154">
    <w:abstractNumId w:val="42"/>
  </w:num>
  <w:num w:numId="521" w16cid:durableId="842890546">
    <w:abstractNumId w:val="42"/>
  </w:num>
  <w:num w:numId="522" w16cid:durableId="535045054">
    <w:abstractNumId w:val="359"/>
  </w:num>
  <w:num w:numId="523" w16cid:durableId="28377587">
    <w:abstractNumId w:val="320"/>
  </w:num>
  <w:num w:numId="524" w16cid:durableId="1945266551">
    <w:abstractNumId w:val="155"/>
  </w:num>
  <w:num w:numId="525" w16cid:durableId="700322474">
    <w:abstractNumId w:val="42"/>
  </w:num>
  <w:num w:numId="526" w16cid:durableId="1967159813">
    <w:abstractNumId w:val="42"/>
  </w:num>
  <w:num w:numId="527" w16cid:durableId="212548790">
    <w:abstractNumId w:val="42"/>
  </w:num>
  <w:num w:numId="528" w16cid:durableId="1451242117">
    <w:abstractNumId w:val="42"/>
  </w:num>
  <w:num w:numId="529" w16cid:durableId="1304887669">
    <w:abstractNumId w:val="42"/>
  </w:num>
  <w:num w:numId="530" w16cid:durableId="1419597387">
    <w:abstractNumId w:val="44"/>
  </w:num>
  <w:num w:numId="531" w16cid:durableId="2124642536">
    <w:abstractNumId w:val="42"/>
  </w:num>
  <w:num w:numId="532" w16cid:durableId="974333298">
    <w:abstractNumId w:val="42"/>
  </w:num>
  <w:num w:numId="533" w16cid:durableId="2090076264">
    <w:abstractNumId w:val="348"/>
  </w:num>
  <w:num w:numId="534" w16cid:durableId="164635880">
    <w:abstractNumId w:val="42"/>
  </w:num>
  <w:num w:numId="535" w16cid:durableId="1983344897">
    <w:abstractNumId w:val="42"/>
  </w:num>
  <w:num w:numId="536" w16cid:durableId="1180045952">
    <w:abstractNumId w:val="42"/>
  </w:num>
  <w:num w:numId="537" w16cid:durableId="927738488">
    <w:abstractNumId w:val="42"/>
  </w:num>
  <w:num w:numId="538" w16cid:durableId="640379117">
    <w:abstractNumId w:val="42"/>
  </w:num>
  <w:num w:numId="539" w16cid:durableId="1546453513">
    <w:abstractNumId w:val="42"/>
  </w:num>
  <w:num w:numId="540" w16cid:durableId="636185966">
    <w:abstractNumId w:val="42"/>
  </w:num>
  <w:num w:numId="541" w16cid:durableId="1539128869">
    <w:abstractNumId w:val="42"/>
  </w:num>
  <w:num w:numId="542" w16cid:durableId="1412239838">
    <w:abstractNumId w:val="63"/>
  </w:num>
  <w:num w:numId="543" w16cid:durableId="47346716">
    <w:abstractNumId w:val="42"/>
  </w:num>
  <w:num w:numId="544" w16cid:durableId="1971083533">
    <w:abstractNumId w:val="42"/>
  </w:num>
  <w:num w:numId="545" w16cid:durableId="1827555377">
    <w:abstractNumId w:val="42"/>
  </w:num>
  <w:num w:numId="546" w16cid:durableId="586501495">
    <w:abstractNumId w:val="42"/>
  </w:num>
  <w:num w:numId="547" w16cid:durableId="113209574">
    <w:abstractNumId w:val="42"/>
  </w:num>
  <w:num w:numId="548" w16cid:durableId="1912153182">
    <w:abstractNumId w:val="42"/>
  </w:num>
  <w:num w:numId="549" w16cid:durableId="1362853211">
    <w:abstractNumId w:val="42"/>
  </w:num>
  <w:num w:numId="550" w16cid:durableId="1296135346">
    <w:abstractNumId w:val="42"/>
  </w:num>
  <w:num w:numId="551" w16cid:durableId="626204527">
    <w:abstractNumId w:val="42"/>
  </w:num>
  <w:num w:numId="552" w16cid:durableId="1104033907">
    <w:abstractNumId w:val="42"/>
  </w:num>
  <w:num w:numId="553" w16cid:durableId="1187253591">
    <w:abstractNumId w:val="42"/>
  </w:num>
  <w:num w:numId="554" w16cid:durableId="1162356284">
    <w:abstractNumId w:val="42"/>
  </w:num>
  <w:num w:numId="555" w16cid:durableId="1757360596">
    <w:abstractNumId w:val="252"/>
  </w:num>
  <w:num w:numId="556" w16cid:durableId="728766614">
    <w:abstractNumId w:val="28"/>
  </w:num>
  <w:num w:numId="557" w16cid:durableId="550850297">
    <w:abstractNumId w:val="345"/>
  </w:num>
  <w:num w:numId="558" w16cid:durableId="2021660956">
    <w:abstractNumId w:val="80"/>
  </w:num>
  <w:num w:numId="559" w16cid:durableId="1530289425">
    <w:abstractNumId w:val="114"/>
  </w:num>
  <w:num w:numId="560" w16cid:durableId="1009680007">
    <w:abstractNumId w:val="297"/>
  </w:num>
  <w:num w:numId="561" w16cid:durableId="628321288">
    <w:abstractNumId w:val="204"/>
  </w:num>
  <w:num w:numId="562" w16cid:durableId="105739753">
    <w:abstractNumId w:val="149"/>
  </w:num>
  <w:num w:numId="563" w16cid:durableId="613824302">
    <w:abstractNumId w:val="120"/>
  </w:num>
  <w:num w:numId="564" w16cid:durableId="541015805">
    <w:abstractNumId w:val="241"/>
  </w:num>
  <w:num w:numId="565" w16cid:durableId="107554717">
    <w:abstractNumId w:val="42"/>
  </w:num>
  <w:numIdMacAtCleanup w:val="5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Accompanying the documents"/>
    <w:docVar w:name="LW_CORRIGENDUM" w:val="Addendum to_x000b_COM(2025) 1022 and COM(2025) 1031 adopted on 16.12.2025"/>
    <w:docVar w:name="LW_COVERPAGE_EXISTS" w:val="True"/>
    <w:docVar w:name="LW_COVERPAGE_GUID" w:val="364341C8-A4ED-4E60-93C7-A6DE24B6306B"/>
    <w:docVar w:name="LW_COVERPAGE_TYPE" w:val="1"/>
    <w:docVar w:name="LW_CROSSREFERENCE" w:val="{COM(2025) 1022 final}_x000a_{COM(2025) 1031 final}"/>
    <w:docVar w:name="LW_DocType" w:val="NORMAL"/>
    <w:docVar w:name="LW_EMISSION" w:val="26.5.2026"/>
    <w:docVar w:name="LW_EMISSION_ISODATE" w:val="2026-05-26"/>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Proposal for a Regulation of the European Parliament and of the Council on establishing a framework of measures for strengthening Union's biotechnology and biomanufacturing sectors particularly in the area of health and amending Regulations (EC) No 178/2002, (EC) No 1394/2007, (EU) No 536/2014, (EU) 2019/6, (EU) 2024/795 and (EU) 2024/1938 (European Biotech Act)_x000d__x000d__x000b__x000d__x000d__x000b_and_x000d__x000d__x000b__x000d__x000d__x000b_Proposal for a Directive of the European Parliament and of the Council amending Directives 2001/18/EC and 2010/53/EU as regards the placing on the market of genetically modified micro-organisms and the processing of organs"/>
    <w:docVar w:name="LW_PART_NBR" w:val="2"/>
    <w:docVar w:name="LW_PART_NBR_TOTAL" w:val="2"/>
    <w:docVar w:name="LW_REF.INST.NEW" w:val="SWD"/>
    <w:docVar w:name="LW_REF.INST.NEW_ADOPTED" w:val="final"/>
    <w:docVar w:name="LW_REF.INST.NEW_TEXT" w:val="(2026) 4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ropean Biotech Act"/>
    <w:docVar w:name="LW_TYPE.DOC.CP" w:val="COMMISSION STAFF WORKING DOCUMENT"/>
    <w:docVar w:name="LW_TYPEACTEPRINCIPAL.CP" w:val="  "/>
  </w:docVars>
  <w:rsids>
    <w:rsidRoot w:val="006B087E"/>
    <w:rsid w:val="00000066"/>
    <w:rsid w:val="000000A5"/>
    <w:rsid w:val="00000253"/>
    <w:rsid w:val="000002B1"/>
    <w:rsid w:val="00000315"/>
    <w:rsid w:val="000003F8"/>
    <w:rsid w:val="000004B8"/>
    <w:rsid w:val="000004FA"/>
    <w:rsid w:val="0000053D"/>
    <w:rsid w:val="000005FA"/>
    <w:rsid w:val="0000064E"/>
    <w:rsid w:val="0000067D"/>
    <w:rsid w:val="00000881"/>
    <w:rsid w:val="000008C1"/>
    <w:rsid w:val="00000A18"/>
    <w:rsid w:val="00000A2A"/>
    <w:rsid w:val="00000AED"/>
    <w:rsid w:val="00000AF2"/>
    <w:rsid w:val="00000B2B"/>
    <w:rsid w:val="00000B57"/>
    <w:rsid w:val="00000CFC"/>
    <w:rsid w:val="00000D82"/>
    <w:rsid w:val="00000DAD"/>
    <w:rsid w:val="00000EAC"/>
    <w:rsid w:val="00000F34"/>
    <w:rsid w:val="00000F9D"/>
    <w:rsid w:val="00001040"/>
    <w:rsid w:val="00001106"/>
    <w:rsid w:val="00001209"/>
    <w:rsid w:val="0000134B"/>
    <w:rsid w:val="00001445"/>
    <w:rsid w:val="00001578"/>
    <w:rsid w:val="000016C0"/>
    <w:rsid w:val="000016CA"/>
    <w:rsid w:val="000016DE"/>
    <w:rsid w:val="00001784"/>
    <w:rsid w:val="0000184A"/>
    <w:rsid w:val="000018D4"/>
    <w:rsid w:val="000018FF"/>
    <w:rsid w:val="00001941"/>
    <w:rsid w:val="0000197D"/>
    <w:rsid w:val="00001A39"/>
    <w:rsid w:val="00001AA0"/>
    <w:rsid w:val="00001B43"/>
    <w:rsid w:val="00001B7F"/>
    <w:rsid w:val="00001C17"/>
    <w:rsid w:val="00001E8E"/>
    <w:rsid w:val="00001EB1"/>
    <w:rsid w:val="0000204B"/>
    <w:rsid w:val="000020E6"/>
    <w:rsid w:val="00002119"/>
    <w:rsid w:val="00002168"/>
    <w:rsid w:val="000021D6"/>
    <w:rsid w:val="00002213"/>
    <w:rsid w:val="0000239D"/>
    <w:rsid w:val="000024AB"/>
    <w:rsid w:val="0000261D"/>
    <w:rsid w:val="0000266B"/>
    <w:rsid w:val="0000270C"/>
    <w:rsid w:val="0000282E"/>
    <w:rsid w:val="0000285E"/>
    <w:rsid w:val="00002869"/>
    <w:rsid w:val="00002933"/>
    <w:rsid w:val="00002980"/>
    <w:rsid w:val="00002B80"/>
    <w:rsid w:val="00002C43"/>
    <w:rsid w:val="00002CDA"/>
    <w:rsid w:val="00002D2C"/>
    <w:rsid w:val="00002D9D"/>
    <w:rsid w:val="00002EB3"/>
    <w:rsid w:val="00003135"/>
    <w:rsid w:val="00003142"/>
    <w:rsid w:val="0000325B"/>
    <w:rsid w:val="00003316"/>
    <w:rsid w:val="00003553"/>
    <w:rsid w:val="0000359A"/>
    <w:rsid w:val="000035D1"/>
    <w:rsid w:val="000035E6"/>
    <w:rsid w:val="0000368B"/>
    <w:rsid w:val="000036B5"/>
    <w:rsid w:val="000038CE"/>
    <w:rsid w:val="000038E0"/>
    <w:rsid w:val="0000391B"/>
    <w:rsid w:val="000039E9"/>
    <w:rsid w:val="00003A96"/>
    <w:rsid w:val="00003B2F"/>
    <w:rsid w:val="00003B45"/>
    <w:rsid w:val="00003C39"/>
    <w:rsid w:val="00003DC8"/>
    <w:rsid w:val="00003E1D"/>
    <w:rsid w:val="00003EB7"/>
    <w:rsid w:val="00003F37"/>
    <w:rsid w:val="00003FF5"/>
    <w:rsid w:val="0000401C"/>
    <w:rsid w:val="0000409F"/>
    <w:rsid w:val="00004221"/>
    <w:rsid w:val="000043BE"/>
    <w:rsid w:val="000045D5"/>
    <w:rsid w:val="0000461D"/>
    <w:rsid w:val="00004690"/>
    <w:rsid w:val="000046D2"/>
    <w:rsid w:val="00004814"/>
    <w:rsid w:val="000048B5"/>
    <w:rsid w:val="000048BB"/>
    <w:rsid w:val="00004939"/>
    <w:rsid w:val="00004951"/>
    <w:rsid w:val="00004965"/>
    <w:rsid w:val="0000498A"/>
    <w:rsid w:val="000049C2"/>
    <w:rsid w:val="00004A0D"/>
    <w:rsid w:val="00004B25"/>
    <w:rsid w:val="00004B3C"/>
    <w:rsid w:val="00004C01"/>
    <w:rsid w:val="00004C4D"/>
    <w:rsid w:val="00004D9B"/>
    <w:rsid w:val="00004D9F"/>
    <w:rsid w:val="00004E3D"/>
    <w:rsid w:val="00005155"/>
    <w:rsid w:val="000051BC"/>
    <w:rsid w:val="000051DB"/>
    <w:rsid w:val="00005252"/>
    <w:rsid w:val="0000528C"/>
    <w:rsid w:val="000053C1"/>
    <w:rsid w:val="00005483"/>
    <w:rsid w:val="000054E5"/>
    <w:rsid w:val="000054FB"/>
    <w:rsid w:val="000056AB"/>
    <w:rsid w:val="000056F5"/>
    <w:rsid w:val="00005763"/>
    <w:rsid w:val="000057BD"/>
    <w:rsid w:val="000057FC"/>
    <w:rsid w:val="0000588C"/>
    <w:rsid w:val="00005931"/>
    <w:rsid w:val="00005A77"/>
    <w:rsid w:val="00005AB1"/>
    <w:rsid w:val="00005ACC"/>
    <w:rsid w:val="00005B18"/>
    <w:rsid w:val="00005BB5"/>
    <w:rsid w:val="00005DEE"/>
    <w:rsid w:val="00005E14"/>
    <w:rsid w:val="00005EF8"/>
    <w:rsid w:val="00005F14"/>
    <w:rsid w:val="00005FBE"/>
    <w:rsid w:val="0000601C"/>
    <w:rsid w:val="00006038"/>
    <w:rsid w:val="0000622E"/>
    <w:rsid w:val="00006238"/>
    <w:rsid w:val="000063D1"/>
    <w:rsid w:val="000064AC"/>
    <w:rsid w:val="000064CD"/>
    <w:rsid w:val="000068D1"/>
    <w:rsid w:val="00006938"/>
    <w:rsid w:val="00006A41"/>
    <w:rsid w:val="00006ACF"/>
    <w:rsid w:val="00006AD9"/>
    <w:rsid w:val="00006B67"/>
    <w:rsid w:val="00006B76"/>
    <w:rsid w:val="00006BD6"/>
    <w:rsid w:val="00006C0D"/>
    <w:rsid w:val="00006C67"/>
    <w:rsid w:val="00006C76"/>
    <w:rsid w:val="00006EF5"/>
    <w:rsid w:val="00006EF8"/>
    <w:rsid w:val="00006FB9"/>
    <w:rsid w:val="0000706E"/>
    <w:rsid w:val="00007078"/>
    <w:rsid w:val="000072B6"/>
    <w:rsid w:val="000074D1"/>
    <w:rsid w:val="00007745"/>
    <w:rsid w:val="00007768"/>
    <w:rsid w:val="0000777D"/>
    <w:rsid w:val="00007891"/>
    <w:rsid w:val="000078A4"/>
    <w:rsid w:val="000078BE"/>
    <w:rsid w:val="000079B9"/>
    <w:rsid w:val="000079BC"/>
    <w:rsid w:val="00007A60"/>
    <w:rsid w:val="00007A72"/>
    <w:rsid w:val="00007A7F"/>
    <w:rsid w:val="00007AE7"/>
    <w:rsid w:val="00007AFC"/>
    <w:rsid w:val="00007B36"/>
    <w:rsid w:val="00007D55"/>
    <w:rsid w:val="00007D81"/>
    <w:rsid w:val="00007DA5"/>
    <w:rsid w:val="00007E8E"/>
    <w:rsid w:val="00007F1B"/>
    <w:rsid w:val="00007F21"/>
    <w:rsid w:val="00007F6A"/>
    <w:rsid w:val="00007F97"/>
    <w:rsid w:val="00007F9B"/>
    <w:rsid w:val="00010069"/>
    <w:rsid w:val="000100F3"/>
    <w:rsid w:val="00010104"/>
    <w:rsid w:val="00010116"/>
    <w:rsid w:val="00010269"/>
    <w:rsid w:val="00010376"/>
    <w:rsid w:val="00010401"/>
    <w:rsid w:val="0001042F"/>
    <w:rsid w:val="000104FB"/>
    <w:rsid w:val="00010537"/>
    <w:rsid w:val="0001061D"/>
    <w:rsid w:val="00010697"/>
    <w:rsid w:val="0001082C"/>
    <w:rsid w:val="00010966"/>
    <w:rsid w:val="00010976"/>
    <w:rsid w:val="00010A2D"/>
    <w:rsid w:val="00010AF8"/>
    <w:rsid w:val="00010B83"/>
    <w:rsid w:val="00010BC5"/>
    <w:rsid w:val="00010E23"/>
    <w:rsid w:val="00010F45"/>
    <w:rsid w:val="00010F89"/>
    <w:rsid w:val="00010FAA"/>
    <w:rsid w:val="00010FB9"/>
    <w:rsid w:val="00010FD9"/>
    <w:rsid w:val="00010FFF"/>
    <w:rsid w:val="0001102C"/>
    <w:rsid w:val="00011068"/>
    <w:rsid w:val="00011101"/>
    <w:rsid w:val="00011168"/>
    <w:rsid w:val="00011191"/>
    <w:rsid w:val="00011227"/>
    <w:rsid w:val="000112D5"/>
    <w:rsid w:val="000113AD"/>
    <w:rsid w:val="000113CC"/>
    <w:rsid w:val="000114BF"/>
    <w:rsid w:val="000114C1"/>
    <w:rsid w:val="00011502"/>
    <w:rsid w:val="00011537"/>
    <w:rsid w:val="0001155F"/>
    <w:rsid w:val="000115C8"/>
    <w:rsid w:val="000117E8"/>
    <w:rsid w:val="000118E8"/>
    <w:rsid w:val="000119ED"/>
    <w:rsid w:val="00011AE7"/>
    <w:rsid w:val="00011AED"/>
    <w:rsid w:val="00011B6E"/>
    <w:rsid w:val="00011C06"/>
    <w:rsid w:val="00011CBC"/>
    <w:rsid w:val="00011CC8"/>
    <w:rsid w:val="00011D73"/>
    <w:rsid w:val="00011D77"/>
    <w:rsid w:val="00011DC0"/>
    <w:rsid w:val="00011E1D"/>
    <w:rsid w:val="00011E81"/>
    <w:rsid w:val="00011E96"/>
    <w:rsid w:val="00011EBA"/>
    <w:rsid w:val="00011EF6"/>
    <w:rsid w:val="0001204C"/>
    <w:rsid w:val="0001214B"/>
    <w:rsid w:val="00012248"/>
    <w:rsid w:val="000122C3"/>
    <w:rsid w:val="000122DA"/>
    <w:rsid w:val="00012325"/>
    <w:rsid w:val="0001234D"/>
    <w:rsid w:val="00012533"/>
    <w:rsid w:val="000126AF"/>
    <w:rsid w:val="000126B0"/>
    <w:rsid w:val="000127DC"/>
    <w:rsid w:val="000127F3"/>
    <w:rsid w:val="00012802"/>
    <w:rsid w:val="00012822"/>
    <w:rsid w:val="00012838"/>
    <w:rsid w:val="0001292E"/>
    <w:rsid w:val="000129F0"/>
    <w:rsid w:val="00012A6A"/>
    <w:rsid w:val="00012AE1"/>
    <w:rsid w:val="00012B26"/>
    <w:rsid w:val="00012B6A"/>
    <w:rsid w:val="00012BE5"/>
    <w:rsid w:val="00012D48"/>
    <w:rsid w:val="00012D68"/>
    <w:rsid w:val="00012DE1"/>
    <w:rsid w:val="00012DF0"/>
    <w:rsid w:val="00012E9D"/>
    <w:rsid w:val="00013059"/>
    <w:rsid w:val="000130FA"/>
    <w:rsid w:val="0001312D"/>
    <w:rsid w:val="000131C3"/>
    <w:rsid w:val="0001322A"/>
    <w:rsid w:val="00013294"/>
    <w:rsid w:val="000132A0"/>
    <w:rsid w:val="00013328"/>
    <w:rsid w:val="0001337D"/>
    <w:rsid w:val="000134D1"/>
    <w:rsid w:val="000134EC"/>
    <w:rsid w:val="000134FF"/>
    <w:rsid w:val="000135B4"/>
    <w:rsid w:val="00013655"/>
    <w:rsid w:val="00013699"/>
    <w:rsid w:val="000136CD"/>
    <w:rsid w:val="00013771"/>
    <w:rsid w:val="000138C4"/>
    <w:rsid w:val="0001392F"/>
    <w:rsid w:val="0001398A"/>
    <w:rsid w:val="00013A12"/>
    <w:rsid w:val="00013BAB"/>
    <w:rsid w:val="00013C8B"/>
    <w:rsid w:val="00013C9F"/>
    <w:rsid w:val="00013CD0"/>
    <w:rsid w:val="00013D81"/>
    <w:rsid w:val="00013DF5"/>
    <w:rsid w:val="00013E1A"/>
    <w:rsid w:val="00014011"/>
    <w:rsid w:val="00014042"/>
    <w:rsid w:val="0001416F"/>
    <w:rsid w:val="000141F0"/>
    <w:rsid w:val="00014369"/>
    <w:rsid w:val="0001438A"/>
    <w:rsid w:val="00014442"/>
    <w:rsid w:val="00014594"/>
    <w:rsid w:val="00014661"/>
    <w:rsid w:val="0001466B"/>
    <w:rsid w:val="0001467F"/>
    <w:rsid w:val="00014710"/>
    <w:rsid w:val="00014749"/>
    <w:rsid w:val="000147D9"/>
    <w:rsid w:val="00014812"/>
    <w:rsid w:val="0001495A"/>
    <w:rsid w:val="00014A20"/>
    <w:rsid w:val="00014ABF"/>
    <w:rsid w:val="00014B63"/>
    <w:rsid w:val="00014BD6"/>
    <w:rsid w:val="00014CBF"/>
    <w:rsid w:val="00014D59"/>
    <w:rsid w:val="00014D6F"/>
    <w:rsid w:val="00014D8F"/>
    <w:rsid w:val="00014ECE"/>
    <w:rsid w:val="000150E3"/>
    <w:rsid w:val="000150E7"/>
    <w:rsid w:val="00015136"/>
    <w:rsid w:val="000151C2"/>
    <w:rsid w:val="00015443"/>
    <w:rsid w:val="00015571"/>
    <w:rsid w:val="000156B5"/>
    <w:rsid w:val="000156CC"/>
    <w:rsid w:val="00015765"/>
    <w:rsid w:val="000158D4"/>
    <w:rsid w:val="0001592D"/>
    <w:rsid w:val="00015B1F"/>
    <w:rsid w:val="00015B82"/>
    <w:rsid w:val="00015E35"/>
    <w:rsid w:val="00016015"/>
    <w:rsid w:val="00016050"/>
    <w:rsid w:val="00016111"/>
    <w:rsid w:val="00016168"/>
    <w:rsid w:val="00016232"/>
    <w:rsid w:val="00016239"/>
    <w:rsid w:val="00016432"/>
    <w:rsid w:val="0001656B"/>
    <w:rsid w:val="000165FD"/>
    <w:rsid w:val="0001670E"/>
    <w:rsid w:val="00016875"/>
    <w:rsid w:val="00016920"/>
    <w:rsid w:val="00016953"/>
    <w:rsid w:val="00016A52"/>
    <w:rsid w:val="00016A9A"/>
    <w:rsid w:val="00016B4F"/>
    <w:rsid w:val="00016B8A"/>
    <w:rsid w:val="00016BB9"/>
    <w:rsid w:val="00016D61"/>
    <w:rsid w:val="00016DAE"/>
    <w:rsid w:val="00016F37"/>
    <w:rsid w:val="00016FDB"/>
    <w:rsid w:val="00017006"/>
    <w:rsid w:val="0001703B"/>
    <w:rsid w:val="000170AC"/>
    <w:rsid w:val="000170CA"/>
    <w:rsid w:val="000170F1"/>
    <w:rsid w:val="0001722C"/>
    <w:rsid w:val="00017354"/>
    <w:rsid w:val="0001758F"/>
    <w:rsid w:val="000176DE"/>
    <w:rsid w:val="00017741"/>
    <w:rsid w:val="00017754"/>
    <w:rsid w:val="000177B1"/>
    <w:rsid w:val="0001786C"/>
    <w:rsid w:val="0001790B"/>
    <w:rsid w:val="00017971"/>
    <w:rsid w:val="0001799E"/>
    <w:rsid w:val="000179B7"/>
    <w:rsid w:val="00017A35"/>
    <w:rsid w:val="00017B71"/>
    <w:rsid w:val="00017BD3"/>
    <w:rsid w:val="00017CBF"/>
    <w:rsid w:val="00017CE6"/>
    <w:rsid w:val="00017D37"/>
    <w:rsid w:val="00017E38"/>
    <w:rsid w:val="00017E8B"/>
    <w:rsid w:val="00017EC6"/>
    <w:rsid w:val="00017F51"/>
    <w:rsid w:val="00017F72"/>
    <w:rsid w:val="0002006F"/>
    <w:rsid w:val="000200A1"/>
    <w:rsid w:val="00020258"/>
    <w:rsid w:val="00020277"/>
    <w:rsid w:val="000202A0"/>
    <w:rsid w:val="000202E6"/>
    <w:rsid w:val="00020395"/>
    <w:rsid w:val="000203AD"/>
    <w:rsid w:val="000203C8"/>
    <w:rsid w:val="00020426"/>
    <w:rsid w:val="00020533"/>
    <w:rsid w:val="00020541"/>
    <w:rsid w:val="000205F3"/>
    <w:rsid w:val="00020619"/>
    <w:rsid w:val="00020682"/>
    <w:rsid w:val="00020686"/>
    <w:rsid w:val="000206AD"/>
    <w:rsid w:val="0002077E"/>
    <w:rsid w:val="00020790"/>
    <w:rsid w:val="0002082B"/>
    <w:rsid w:val="0002084A"/>
    <w:rsid w:val="00020872"/>
    <w:rsid w:val="00020921"/>
    <w:rsid w:val="00020A47"/>
    <w:rsid w:val="00020BB0"/>
    <w:rsid w:val="00020C6F"/>
    <w:rsid w:val="00020C75"/>
    <w:rsid w:val="00020DED"/>
    <w:rsid w:val="00020DF3"/>
    <w:rsid w:val="00020EB6"/>
    <w:rsid w:val="00020FFD"/>
    <w:rsid w:val="00021095"/>
    <w:rsid w:val="00021114"/>
    <w:rsid w:val="0002124E"/>
    <w:rsid w:val="00021325"/>
    <w:rsid w:val="0002134B"/>
    <w:rsid w:val="00021360"/>
    <w:rsid w:val="00021364"/>
    <w:rsid w:val="000213D2"/>
    <w:rsid w:val="000214DB"/>
    <w:rsid w:val="00021629"/>
    <w:rsid w:val="0002164C"/>
    <w:rsid w:val="0002168A"/>
    <w:rsid w:val="000216BC"/>
    <w:rsid w:val="00021733"/>
    <w:rsid w:val="0002183D"/>
    <w:rsid w:val="00021853"/>
    <w:rsid w:val="00021866"/>
    <w:rsid w:val="00021873"/>
    <w:rsid w:val="0002187C"/>
    <w:rsid w:val="00021988"/>
    <w:rsid w:val="0002199F"/>
    <w:rsid w:val="00021A62"/>
    <w:rsid w:val="00021A7E"/>
    <w:rsid w:val="00021ACC"/>
    <w:rsid w:val="00021B90"/>
    <w:rsid w:val="00021BBF"/>
    <w:rsid w:val="00021BDB"/>
    <w:rsid w:val="00021C3B"/>
    <w:rsid w:val="00021C53"/>
    <w:rsid w:val="00021D12"/>
    <w:rsid w:val="00021D25"/>
    <w:rsid w:val="00021D59"/>
    <w:rsid w:val="00021DDD"/>
    <w:rsid w:val="00021F28"/>
    <w:rsid w:val="00021FF7"/>
    <w:rsid w:val="0002204A"/>
    <w:rsid w:val="0002213C"/>
    <w:rsid w:val="00022144"/>
    <w:rsid w:val="000221A9"/>
    <w:rsid w:val="00022213"/>
    <w:rsid w:val="0002234A"/>
    <w:rsid w:val="000224DF"/>
    <w:rsid w:val="000224E2"/>
    <w:rsid w:val="000224EC"/>
    <w:rsid w:val="000224FE"/>
    <w:rsid w:val="00022791"/>
    <w:rsid w:val="000227E0"/>
    <w:rsid w:val="00022806"/>
    <w:rsid w:val="000228A2"/>
    <w:rsid w:val="00022921"/>
    <w:rsid w:val="00022974"/>
    <w:rsid w:val="000229C7"/>
    <w:rsid w:val="00022ADD"/>
    <w:rsid w:val="00022AF7"/>
    <w:rsid w:val="00022BDE"/>
    <w:rsid w:val="00022C60"/>
    <w:rsid w:val="00022CC8"/>
    <w:rsid w:val="00022D3A"/>
    <w:rsid w:val="00022DB7"/>
    <w:rsid w:val="00022DDE"/>
    <w:rsid w:val="00022E04"/>
    <w:rsid w:val="00022E89"/>
    <w:rsid w:val="00022F17"/>
    <w:rsid w:val="00023076"/>
    <w:rsid w:val="000231A7"/>
    <w:rsid w:val="00023237"/>
    <w:rsid w:val="000232E0"/>
    <w:rsid w:val="000232F6"/>
    <w:rsid w:val="00023470"/>
    <w:rsid w:val="00023499"/>
    <w:rsid w:val="0002364A"/>
    <w:rsid w:val="0002391C"/>
    <w:rsid w:val="00023933"/>
    <w:rsid w:val="000239B3"/>
    <w:rsid w:val="000239E0"/>
    <w:rsid w:val="00023BB8"/>
    <w:rsid w:val="00023D34"/>
    <w:rsid w:val="00023D6D"/>
    <w:rsid w:val="00023E50"/>
    <w:rsid w:val="00023E80"/>
    <w:rsid w:val="00023EE7"/>
    <w:rsid w:val="00023F11"/>
    <w:rsid w:val="00023FC0"/>
    <w:rsid w:val="00024242"/>
    <w:rsid w:val="0002426A"/>
    <w:rsid w:val="00024274"/>
    <w:rsid w:val="000242C1"/>
    <w:rsid w:val="000242EC"/>
    <w:rsid w:val="000242F3"/>
    <w:rsid w:val="00024321"/>
    <w:rsid w:val="0002455D"/>
    <w:rsid w:val="00024561"/>
    <w:rsid w:val="0002464F"/>
    <w:rsid w:val="00024658"/>
    <w:rsid w:val="0002478E"/>
    <w:rsid w:val="000249CC"/>
    <w:rsid w:val="00024A6B"/>
    <w:rsid w:val="00024A88"/>
    <w:rsid w:val="00024A8A"/>
    <w:rsid w:val="00024AA3"/>
    <w:rsid w:val="00024C37"/>
    <w:rsid w:val="00024D01"/>
    <w:rsid w:val="00024D9F"/>
    <w:rsid w:val="00024DA6"/>
    <w:rsid w:val="00024DD2"/>
    <w:rsid w:val="00024EE4"/>
    <w:rsid w:val="00024EE7"/>
    <w:rsid w:val="00025027"/>
    <w:rsid w:val="000250A7"/>
    <w:rsid w:val="000250AD"/>
    <w:rsid w:val="00025154"/>
    <w:rsid w:val="00025160"/>
    <w:rsid w:val="00025173"/>
    <w:rsid w:val="000252AE"/>
    <w:rsid w:val="000252C0"/>
    <w:rsid w:val="000252C5"/>
    <w:rsid w:val="00025307"/>
    <w:rsid w:val="00025397"/>
    <w:rsid w:val="000253CA"/>
    <w:rsid w:val="000253EA"/>
    <w:rsid w:val="0002543D"/>
    <w:rsid w:val="000254D4"/>
    <w:rsid w:val="000254E9"/>
    <w:rsid w:val="000254EE"/>
    <w:rsid w:val="000255EE"/>
    <w:rsid w:val="0002565A"/>
    <w:rsid w:val="00025660"/>
    <w:rsid w:val="00025666"/>
    <w:rsid w:val="000256E6"/>
    <w:rsid w:val="0002572C"/>
    <w:rsid w:val="00025818"/>
    <w:rsid w:val="0002587D"/>
    <w:rsid w:val="00025882"/>
    <w:rsid w:val="0002599C"/>
    <w:rsid w:val="00025A1C"/>
    <w:rsid w:val="00025A96"/>
    <w:rsid w:val="00025B52"/>
    <w:rsid w:val="00025C2D"/>
    <w:rsid w:val="00025C4A"/>
    <w:rsid w:val="00025D0D"/>
    <w:rsid w:val="00025D97"/>
    <w:rsid w:val="00025DC0"/>
    <w:rsid w:val="00025FC5"/>
    <w:rsid w:val="0002621E"/>
    <w:rsid w:val="00026346"/>
    <w:rsid w:val="0002635E"/>
    <w:rsid w:val="0002636F"/>
    <w:rsid w:val="00026686"/>
    <w:rsid w:val="000266E4"/>
    <w:rsid w:val="00026850"/>
    <w:rsid w:val="0002687A"/>
    <w:rsid w:val="0002697E"/>
    <w:rsid w:val="00026988"/>
    <w:rsid w:val="00026AEF"/>
    <w:rsid w:val="00026B6A"/>
    <w:rsid w:val="00026BB0"/>
    <w:rsid w:val="00026E1F"/>
    <w:rsid w:val="00026E93"/>
    <w:rsid w:val="00026F24"/>
    <w:rsid w:val="00026FAD"/>
    <w:rsid w:val="00026FC8"/>
    <w:rsid w:val="00027081"/>
    <w:rsid w:val="0002720C"/>
    <w:rsid w:val="0002723F"/>
    <w:rsid w:val="00027243"/>
    <w:rsid w:val="00027334"/>
    <w:rsid w:val="000275F7"/>
    <w:rsid w:val="00027607"/>
    <w:rsid w:val="0002771D"/>
    <w:rsid w:val="000277B8"/>
    <w:rsid w:val="00027820"/>
    <w:rsid w:val="00027833"/>
    <w:rsid w:val="00027A1B"/>
    <w:rsid w:val="00027A4F"/>
    <w:rsid w:val="00027AC5"/>
    <w:rsid w:val="00027B70"/>
    <w:rsid w:val="00027BD2"/>
    <w:rsid w:val="000300C6"/>
    <w:rsid w:val="00030165"/>
    <w:rsid w:val="00030168"/>
    <w:rsid w:val="000301DC"/>
    <w:rsid w:val="0003026D"/>
    <w:rsid w:val="00030276"/>
    <w:rsid w:val="00030427"/>
    <w:rsid w:val="0003051E"/>
    <w:rsid w:val="00030559"/>
    <w:rsid w:val="00030626"/>
    <w:rsid w:val="00030784"/>
    <w:rsid w:val="000307F0"/>
    <w:rsid w:val="0003082B"/>
    <w:rsid w:val="000308EE"/>
    <w:rsid w:val="00030942"/>
    <w:rsid w:val="00030A73"/>
    <w:rsid w:val="00030B6B"/>
    <w:rsid w:val="00030BF9"/>
    <w:rsid w:val="00030BFC"/>
    <w:rsid w:val="00030C5A"/>
    <w:rsid w:val="00030CAF"/>
    <w:rsid w:val="00030D16"/>
    <w:rsid w:val="00030D70"/>
    <w:rsid w:val="00030DF1"/>
    <w:rsid w:val="00030E35"/>
    <w:rsid w:val="00030F70"/>
    <w:rsid w:val="00030F9B"/>
    <w:rsid w:val="00031089"/>
    <w:rsid w:val="000312E1"/>
    <w:rsid w:val="000312EE"/>
    <w:rsid w:val="000312F1"/>
    <w:rsid w:val="00031327"/>
    <w:rsid w:val="000313A2"/>
    <w:rsid w:val="000313B2"/>
    <w:rsid w:val="000314F2"/>
    <w:rsid w:val="0003151C"/>
    <w:rsid w:val="00031530"/>
    <w:rsid w:val="000315C7"/>
    <w:rsid w:val="00031788"/>
    <w:rsid w:val="000317C5"/>
    <w:rsid w:val="000317F2"/>
    <w:rsid w:val="00031844"/>
    <w:rsid w:val="00031856"/>
    <w:rsid w:val="000318B3"/>
    <w:rsid w:val="00031A6A"/>
    <w:rsid w:val="00031A7C"/>
    <w:rsid w:val="00031AA1"/>
    <w:rsid w:val="00031B07"/>
    <w:rsid w:val="00031B46"/>
    <w:rsid w:val="00031B4E"/>
    <w:rsid w:val="00031B78"/>
    <w:rsid w:val="00031CDF"/>
    <w:rsid w:val="00031D7B"/>
    <w:rsid w:val="00031D85"/>
    <w:rsid w:val="00031DF2"/>
    <w:rsid w:val="00031E12"/>
    <w:rsid w:val="00031E35"/>
    <w:rsid w:val="00031F9B"/>
    <w:rsid w:val="00031FF9"/>
    <w:rsid w:val="0003207A"/>
    <w:rsid w:val="0003209F"/>
    <w:rsid w:val="000320A3"/>
    <w:rsid w:val="00032200"/>
    <w:rsid w:val="0003225F"/>
    <w:rsid w:val="00032387"/>
    <w:rsid w:val="00032440"/>
    <w:rsid w:val="00032464"/>
    <w:rsid w:val="0003246E"/>
    <w:rsid w:val="00032491"/>
    <w:rsid w:val="00032513"/>
    <w:rsid w:val="0003251B"/>
    <w:rsid w:val="000325B5"/>
    <w:rsid w:val="000325CA"/>
    <w:rsid w:val="00032701"/>
    <w:rsid w:val="0003272E"/>
    <w:rsid w:val="000327A8"/>
    <w:rsid w:val="00032954"/>
    <w:rsid w:val="00032A3A"/>
    <w:rsid w:val="00032A73"/>
    <w:rsid w:val="00032B53"/>
    <w:rsid w:val="00032D31"/>
    <w:rsid w:val="00032F26"/>
    <w:rsid w:val="0003306B"/>
    <w:rsid w:val="000331EE"/>
    <w:rsid w:val="0003343E"/>
    <w:rsid w:val="00033456"/>
    <w:rsid w:val="000334A7"/>
    <w:rsid w:val="000334AA"/>
    <w:rsid w:val="000334B2"/>
    <w:rsid w:val="000334E2"/>
    <w:rsid w:val="00033558"/>
    <w:rsid w:val="00033819"/>
    <w:rsid w:val="000339B3"/>
    <w:rsid w:val="00033B29"/>
    <w:rsid w:val="00033B51"/>
    <w:rsid w:val="00033BF7"/>
    <w:rsid w:val="00033C56"/>
    <w:rsid w:val="00033CFB"/>
    <w:rsid w:val="00033D03"/>
    <w:rsid w:val="00033DEC"/>
    <w:rsid w:val="00033EDD"/>
    <w:rsid w:val="00033F20"/>
    <w:rsid w:val="00033F28"/>
    <w:rsid w:val="00034069"/>
    <w:rsid w:val="000340EC"/>
    <w:rsid w:val="000341BC"/>
    <w:rsid w:val="0003421F"/>
    <w:rsid w:val="0003429B"/>
    <w:rsid w:val="000342A7"/>
    <w:rsid w:val="0003431D"/>
    <w:rsid w:val="0003451B"/>
    <w:rsid w:val="0003454D"/>
    <w:rsid w:val="000345A6"/>
    <w:rsid w:val="000345EE"/>
    <w:rsid w:val="00034703"/>
    <w:rsid w:val="0003479C"/>
    <w:rsid w:val="000347F0"/>
    <w:rsid w:val="0003496D"/>
    <w:rsid w:val="000349B4"/>
    <w:rsid w:val="00034BA1"/>
    <w:rsid w:val="00034BAC"/>
    <w:rsid w:val="00034C04"/>
    <w:rsid w:val="00034C1B"/>
    <w:rsid w:val="00034D3F"/>
    <w:rsid w:val="00034E62"/>
    <w:rsid w:val="00034EF1"/>
    <w:rsid w:val="00034F63"/>
    <w:rsid w:val="00034F7D"/>
    <w:rsid w:val="000351C9"/>
    <w:rsid w:val="000352BB"/>
    <w:rsid w:val="000352C4"/>
    <w:rsid w:val="00035362"/>
    <w:rsid w:val="000354DA"/>
    <w:rsid w:val="000354E5"/>
    <w:rsid w:val="000354F7"/>
    <w:rsid w:val="0003556B"/>
    <w:rsid w:val="000355F9"/>
    <w:rsid w:val="000357B8"/>
    <w:rsid w:val="00035961"/>
    <w:rsid w:val="00035ADF"/>
    <w:rsid w:val="00035BA6"/>
    <w:rsid w:val="00035CCB"/>
    <w:rsid w:val="00035CD4"/>
    <w:rsid w:val="00035D8C"/>
    <w:rsid w:val="00035FC5"/>
    <w:rsid w:val="000360B7"/>
    <w:rsid w:val="00036170"/>
    <w:rsid w:val="000362CE"/>
    <w:rsid w:val="0003640D"/>
    <w:rsid w:val="00036423"/>
    <w:rsid w:val="00036429"/>
    <w:rsid w:val="00036518"/>
    <w:rsid w:val="000365A7"/>
    <w:rsid w:val="000365AC"/>
    <w:rsid w:val="000365CA"/>
    <w:rsid w:val="0003671D"/>
    <w:rsid w:val="00036767"/>
    <w:rsid w:val="000367D0"/>
    <w:rsid w:val="000368A7"/>
    <w:rsid w:val="000369AA"/>
    <w:rsid w:val="00036BEA"/>
    <w:rsid w:val="00036C59"/>
    <w:rsid w:val="00036C9A"/>
    <w:rsid w:val="00036CAA"/>
    <w:rsid w:val="00036D05"/>
    <w:rsid w:val="00036D0B"/>
    <w:rsid w:val="00036D0D"/>
    <w:rsid w:val="00036D28"/>
    <w:rsid w:val="00036D5B"/>
    <w:rsid w:val="00036DE9"/>
    <w:rsid w:val="00036E2F"/>
    <w:rsid w:val="00036EC2"/>
    <w:rsid w:val="00036F0C"/>
    <w:rsid w:val="00036F40"/>
    <w:rsid w:val="00036F4A"/>
    <w:rsid w:val="00036FD4"/>
    <w:rsid w:val="00037059"/>
    <w:rsid w:val="00037060"/>
    <w:rsid w:val="00037170"/>
    <w:rsid w:val="000372E7"/>
    <w:rsid w:val="000372F8"/>
    <w:rsid w:val="00037320"/>
    <w:rsid w:val="000374E9"/>
    <w:rsid w:val="00037565"/>
    <w:rsid w:val="000375BA"/>
    <w:rsid w:val="000376B0"/>
    <w:rsid w:val="000377C1"/>
    <w:rsid w:val="00037956"/>
    <w:rsid w:val="00037A1F"/>
    <w:rsid w:val="00037A29"/>
    <w:rsid w:val="00037BAB"/>
    <w:rsid w:val="00037BBE"/>
    <w:rsid w:val="00037CCF"/>
    <w:rsid w:val="00037CEE"/>
    <w:rsid w:val="00037D9A"/>
    <w:rsid w:val="00037DB1"/>
    <w:rsid w:val="00037DC7"/>
    <w:rsid w:val="00037DD8"/>
    <w:rsid w:val="00037E45"/>
    <w:rsid w:val="00037F97"/>
    <w:rsid w:val="000400BE"/>
    <w:rsid w:val="000400C7"/>
    <w:rsid w:val="000401E3"/>
    <w:rsid w:val="00040268"/>
    <w:rsid w:val="0004042C"/>
    <w:rsid w:val="000407CC"/>
    <w:rsid w:val="00040862"/>
    <w:rsid w:val="0004099C"/>
    <w:rsid w:val="000409EC"/>
    <w:rsid w:val="00040A3C"/>
    <w:rsid w:val="00040A4C"/>
    <w:rsid w:val="00040AC9"/>
    <w:rsid w:val="00040B86"/>
    <w:rsid w:val="00040C05"/>
    <w:rsid w:val="00040CEC"/>
    <w:rsid w:val="00040D13"/>
    <w:rsid w:val="00040D8F"/>
    <w:rsid w:val="00040DAD"/>
    <w:rsid w:val="00040DE2"/>
    <w:rsid w:val="00040E69"/>
    <w:rsid w:val="00040EAF"/>
    <w:rsid w:val="00040F8C"/>
    <w:rsid w:val="00040F8D"/>
    <w:rsid w:val="0004106B"/>
    <w:rsid w:val="000410EF"/>
    <w:rsid w:val="00041253"/>
    <w:rsid w:val="0004126A"/>
    <w:rsid w:val="000412FC"/>
    <w:rsid w:val="0004165C"/>
    <w:rsid w:val="00041667"/>
    <w:rsid w:val="0004166B"/>
    <w:rsid w:val="00041672"/>
    <w:rsid w:val="000416A3"/>
    <w:rsid w:val="000416BA"/>
    <w:rsid w:val="0004175B"/>
    <w:rsid w:val="000417F4"/>
    <w:rsid w:val="00041855"/>
    <w:rsid w:val="00041932"/>
    <w:rsid w:val="00041968"/>
    <w:rsid w:val="00041999"/>
    <w:rsid w:val="000419C0"/>
    <w:rsid w:val="000419FB"/>
    <w:rsid w:val="00041A88"/>
    <w:rsid w:val="00041B0E"/>
    <w:rsid w:val="00041DB1"/>
    <w:rsid w:val="00041F7D"/>
    <w:rsid w:val="00042062"/>
    <w:rsid w:val="000420E6"/>
    <w:rsid w:val="00042240"/>
    <w:rsid w:val="00042249"/>
    <w:rsid w:val="00042307"/>
    <w:rsid w:val="0004230D"/>
    <w:rsid w:val="00042367"/>
    <w:rsid w:val="00042379"/>
    <w:rsid w:val="0004238B"/>
    <w:rsid w:val="000423EA"/>
    <w:rsid w:val="00042422"/>
    <w:rsid w:val="000424D7"/>
    <w:rsid w:val="000425CA"/>
    <w:rsid w:val="00042687"/>
    <w:rsid w:val="00042725"/>
    <w:rsid w:val="0004277E"/>
    <w:rsid w:val="00042792"/>
    <w:rsid w:val="00042822"/>
    <w:rsid w:val="0004285E"/>
    <w:rsid w:val="00042914"/>
    <w:rsid w:val="0004295C"/>
    <w:rsid w:val="000429AC"/>
    <w:rsid w:val="000429D5"/>
    <w:rsid w:val="00042BAD"/>
    <w:rsid w:val="00042BC8"/>
    <w:rsid w:val="00042C33"/>
    <w:rsid w:val="00042DD9"/>
    <w:rsid w:val="00042ED8"/>
    <w:rsid w:val="00042F90"/>
    <w:rsid w:val="0004305E"/>
    <w:rsid w:val="000430A7"/>
    <w:rsid w:val="000430C0"/>
    <w:rsid w:val="00043115"/>
    <w:rsid w:val="0004313E"/>
    <w:rsid w:val="00043140"/>
    <w:rsid w:val="0004332C"/>
    <w:rsid w:val="0004347B"/>
    <w:rsid w:val="000434CD"/>
    <w:rsid w:val="000434DC"/>
    <w:rsid w:val="000434FD"/>
    <w:rsid w:val="000434FE"/>
    <w:rsid w:val="000435A6"/>
    <w:rsid w:val="000435F5"/>
    <w:rsid w:val="0004360C"/>
    <w:rsid w:val="0004370F"/>
    <w:rsid w:val="0004383C"/>
    <w:rsid w:val="0004384F"/>
    <w:rsid w:val="00043856"/>
    <w:rsid w:val="0004396A"/>
    <w:rsid w:val="00043AB2"/>
    <w:rsid w:val="00043C34"/>
    <w:rsid w:val="00043C74"/>
    <w:rsid w:val="00043CAC"/>
    <w:rsid w:val="00043DD7"/>
    <w:rsid w:val="00043E0C"/>
    <w:rsid w:val="00043F59"/>
    <w:rsid w:val="00043FB6"/>
    <w:rsid w:val="0004400D"/>
    <w:rsid w:val="00044123"/>
    <w:rsid w:val="0004413D"/>
    <w:rsid w:val="00044171"/>
    <w:rsid w:val="000441AC"/>
    <w:rsid w:val="000441BE"/>
    <w:rsid w:val="00044216"/>
    <w:rsid w:val="0004424A"/>
    <w:rsid w:val="0004434C"/>
    <w:rsid w:val="00044359"/>
    <w:rsid w:val="00044413"/>
    <w:rsid w:val="00044474"/>
    <w:rsid w:val="00044509"/>
    <w:rsid w:val="0004453F"/>
    <w:rsid w:val="000445D8"/>
    <w:rsid w:val="00044720"/>
    <w:rsid w:val="00044A2A"/>
    <w:rsid w:val="00044B00"/>
    <w:rsid w:val="00044B5E"/>
    <w:rsid w:val="00044BB8"/>
    <w:rsid w:val="00044CDE"/>
    <w:rsid w:val="00044CF9"/>
    <w:rsid w:val="00044DE6"/>
    <w:rsid w:val="00044F1C"/>
    <w:rsid w:val="00044F3D"/>
    <w:rsid w:val="00044F72"/>
    <w:rsid w:val="00044F87"/>
    <w:rsid w:val="0004503C"/>
    <w:rsid w:val="00045160"/>
    <w:rsid w:val="00045218"/>
    <w:rsid w:val="00045244"/>
    <w:rsid w:val="000452F9"/>
    <w:rsid w:val="00045356"/>
    <w:rsid w:val="000453A4"/>
    <w:rsid w:val="000456E8"/>
    <w:rsid w:val="00045773"/>
    <w:rsid w:val="0004578A"/>
    <w:rsid w:val="000457EE"/>
    <w:rsid w:val="00045812"/>
    <w:rsid w:val="00045A46"/>
    <w:rsid w:val="00045B92"/>
    <w:rsid w:val="00045C5E"/>
    <w:rsid w:val="00045C84"/>
    <w:rsid w:val="00045CFE"/>
    <w:rsid w:val="00045DA3"/>
    <w:rsid w:val="00045DB5"/>
    <w:rsid w:val="00045F9A"/>
    <w:rsid w:val="00045FB1"/>
    <w:rsid w:val="00045FF9"/>
    <w:rsid w:val="00046040"/>
    <w:rsid w:val="00046085"/>
    <w:rsid w:val="000460E1"/>
    <w:rsid w:val="00046281"/>
    <w:rsid w:val="00046388"/>
    <w:rsid w:val="00046395"/>
    <w:rsid w:val="0004639C"/>
    <w:rsid w:val="000463B3"/>
    <w:rsid w:val="000463DE"/>
    <w:rsid w:val="00046416"/>
    <w:rsid w:val="00046502"/>
    <w:rsid w:val="00046504"/>
    <w:rsid w:val="000465C2"/>
    <w:rsid w:val="00046618"/>
    <w:rsid w:val="000466C7"/>
    <w:rsid w:val="0004671E"/>
    <w:rsid w:val="00046853"/>
    <w:rsid w:val="00046883"/>
    <w:rsid w:val="0004690A"/>
    <w:rsid w:val="0004695A"/>
    <w:rsid w:val="00046C15"/>
    <w:rsid w:val="00046DFA"/>
    <w:rsid w:val="00046E9A"/>
    <w:rsid w:val="00046FB5"/>
    <w:rsid w:val="00046FC6"/>
    <w:rsid w:val="00047000"/>
    <w:rsid w:val="00047008"/>
    <w:rsid w:val="0004711D"/>
    <w:rsid w:val="00047127"/>
    <w:rsid w:val="00047151"/>
    <w:rsid w:val="0004719E"/>
    <w:rsid w:val="0004729E"/>
    <w:rsid w:val="0004739F"/>
    <w:rsid w:val="000473C4"/>
    <w:rsid w:val="0004745F"/>
    <w:rsid w:val="000474DB"/>
    <w:rsid w:val="00047578"/>
    <w:rsid w:val="0004757B"/>
    <w:rsid w:val="000475F2"/>
    <w:rsid w:val="00047765"/>
    <w:rsid w:val="00047784"/>
    <w:rsid w:val="000477FF"/>
    <w:rsid w:val="00047861"/>
    <w:rsid w:val="00047A2D"/>
    <w:rsid w:val="00047A3F"/>
    <w:rsid w:val="00047AEE"/>
    <w:rsid w:val="00047B50"/>
    <w:rsid w:val="00047B56"/>
    <w:rsid w:val="00047C4F"/>
    <w:rsid w:val="00047D60"/>
    <w:rsid w:val="00047EC1"/>
    <w:rsid w:val="00047F48"/>
    <w:rsid w:val="00047F6C"/>
    <w:rsid w:val="00047F94"/>
    <w:rsid w:val="00050207"/>
    <w:rsid w:val="0005020D"/>
    <w:rsid w:val="00050334"/>
    <w:rsid w:val="00050449"/>
    <w:rsid w:val="0005047E"/>
    <w:rsid w:val="0005050F"/>
    <w:rsid w:val="00050516"/>
    <w:rsid w:val="0005058E"/>
    <w:rsid w:val="000505BA"/>
    <w:rsid w:val="0005060D"/>
    <w:rsid w:val="000506A2"/>
    <w:rsid w:val="0005082E"/>
    <w:rsid w:val="0005098A"/>
    <w:rsid w:val="00050A1D"/>
    <w:rsid w:val="00050A69"/>
    <w:rsid w:val="00050AC4"/>
    <w:rsid w:val="00050BF4"/>
    <w:rsid w:val="00050CEA"/>
    <w:rsid w:val="00050CF3"/>
    <w:rsid w:val="00050D7E"/>
    <w:rsid w:val="00050DA6"/>
    <w:rsid w:val="00050EBD"/>
    <w:rsid w:val="00050FC6"/>
    <w:rsid w:val="00050FE8"/>
    <w:rsid w:val="00051027"/>
    <w:rsid w:val="00051135"/>
    <w:rsid w:val="000511FF"/>
    <w:rsid w:val="0005123D"/>
    <w:rsid w:val="000513F3"/>
    <w:rsid w:val="000513F7"/>
    <w:rsid w:val="00051468"/>
    <w:rsid w:val="00051469"/>
    <w:rsid w:val="00051508"/>
    <w:rsid w:val="00051579"/>
    <w:rsid w:val="000517E9"/>
    <w:rsid w:val="00051817"/>
    <w:rsid w:val="0005195E"/>
    <w:rsid w:val="0005199A"/>
    <w:rsid w:val="00051A2C"/>
    <w:rsid w:val="00051A4B"/>
    <w:rsid w:val="00051A65"/>
    <w:rsid w:val="00051A69"/>
    <w:rsid w:val="00051A71"/>
    <w:rsid w:val="00051A93"/>
    <w:rsid w:val="00051C43"/>
    <w:rsid w:val="00051CCE"/>
    <w:rsid w:val="00051D01"/>
    <w:rsid w:val="00051DD1"/>
    <w:rsid w:val="00051E75"/>
    <w:rsid w:val="00051EA7"/>
    <w:rsid w:val="00051EB0"/>
    <w:rsid w:val="00051F05"/>
    <w:rsid w:val="00051FD0"/>
    <w:rsid w:val="00051FD5"/>
    <w:rsid w:val="00052028"/>
    <w:rsid w:val="000520B9"/>
    <w:rsid w:val="00052128"/>
    <w:rsid w:val="0005212B"/>
    <w:rsid w:val="0005220D"/>
    <w:rsid w:val="00052227"/>
    <w:rsid w:val="00052258"/>
    <w:rsid w:val="000522F4"/>
    <w:rsid w:val="00052476"/>
    <w:rsid w:val="00052538"/>
    <w:rsid w:val="0005255A"/>
    <w:rsid w:val="000525D7"/>
    <w:rsid w:val="000525FC"/>
    <w:rsid w:val="00052715"/>
    <w:rsid w:val="00052744"/>
    <w:rsid w:val="000527A7"/>
    <w:rsid w:val="000527BD"/>
    <w:rsid w:val="000527C0"/>
    <w:rsid w:val="00052831"/>
    <w:rsid w:val="00052846"/>
    <w:rsid w:val="000528D2"/>
    <w:rsid w:val="00052985"/>
    <w:rsid w:val="00052B17"/>
    <w:rsid w:val="00052B6E"/>
    <w:rsid w:val="00052BE1"/>
    <w:rsid w:val="00052CF7"/>
    <w:rsid w:val="00052D31"/>
    <w:rsid w:val="00052DA4"/>
    <w:rsid w:val="00052DEC"/>
    <w:rsid w:val="00052F62"/>
    <w:rsid w:val="00052F7A"/>
    <w:rsid w:val="00052F89"/>
    <w:rsid w:val="0005306B"/>
    <w:rsid w:val="000530E8"/>
    <w:rsid w:val="00053107"/>
    <w:rsid w:val="0005344F"/>
    <w:rsid w:val="00053493"/>
    <w:rsid w:val="000534A8"/>
    <w:rsid w:val="000534E8"/>
    <w:rsid w:val="00053542"/>
    <w:rsid w:val="0005355F"/>
    <w:rsid w:val="000536B1"/>
    <w:rsid w:val="000536B4"/>
    <w:rsid w:val="00053732"/>
    <w:rsid w:val="00053764"/>
    <w:rsid w:val="0005377F"/>
    <w:rsid w:val="000537D4"/>
    <w:rsid w:val="00053850"/>
    <w:rsid w:val="000539FA"/>
    <w:rsid w:val="00053AD3"/>
    <w:rsid w:val="00053B67"/>
    <w:rsid w:val="00053BC9"/>
    <w:rsid w:val="00053C8E"/>
    <w:rsid w:val="00053D6A"/>
    <w:rsid w:val="00053DFE"/>
    <w:rsid w:val="00053E03"/>
    <w:rsid w:val="00053E6E"/>
    <w:rsid w:val="00053EE0"/>
    <w:rsid w:val="00054132"/>
    <w:rsid w:val="00054198"/>
    <w:rsid w:val="000542B4"/>
    <w:rsid w:val="000542E6"/>
    <w:rsid w:val="000542EC"/>
    <w:rsid w:val="0005436C"/>
    <w:rsid w:val="000543ED"/>
    <w:rsid w:val="00054450"/>
    <w:rsid w:val="0005453D"/>
    <w:rsid w:val="0005459D"/>
    <w:rsid w:val="00054600"/>
    <w:rsid w:val="00054649"/>
    <w:rsid w:val="0005465C"/>
    <w:rsid w:val="000546E3"/>
    <w:rsid w:val="0005481B"/>
    <w:rsid w:val="00054847"/>
    <w:rsid w:val="00054865"/>
    <w:rsid w:val="000548B5"/>
    <w:rsid w:val="0005492C"/>
    <w:rsid w:val="00054A88"/>
    <w:rsid w:val="00054B18"/>
    <w:rsid w:val="00054BC3"/>
    <w:rsid w:val="00054DA1"/>
    <w:rsid w:val="00054E05"/>
    <w:rsid w:val="00054E08"/>
    <w:rsid w:val="00054E47"/>
    <w:rsid w:val="00054E9E"/>
    <w:rsid w:val="00054F2F"/>
    <w:rsid w:val="00054F54"/>
    <w:rsid w:val="000551AE"/>
    <w:rsid w:val="000551FC"/>
    <w:rsid w:val="0005528A"/>
    <w:rsid w:val="0005528D"/>
    <w:rsid w:val="0005529C"/>
    <w:rsid w:val="00055316"/>
    <w:rsid w:val="00055343"/>
    <w:rsid w:val="00055348"/>
    <w:rsid w:val="0005559D"/>
    <w:rsid w:val="00055831"/>
    <w:rsid w:val="000558DE"/>
    <w:rsid w:val="000558F4"/>
    <w:rsid w:val="00055923"/>
    <w:rsid w:val="00055A4B"/>
    <w:rsid w:val="00055B83"/>
    <w:rsid w:val="00055BC0"/>
    <w:rsid w:val="00055BE6"/>
    <w:rsid w:val="00055BF3"/>
    <w:rsid w:val="00055C13"/>
    <w:rsid w:val="00055C4E"/>
    <w:rsid w:val="00055DD7"/>
    <w:rsid w:val="00055F8D"/>
    <w:rsid w:val="00055FB3"/>
    <w:rsid w:val="00055FBC"/>
    <w:rsid w:val="00055FDD"/>
    <w:rsid w:val="00055FF6"/>
    <w:rsid w:val="00056071"/>
    <w:rsid w:val="00056124"/>
    <w:rsid w:val="00056137"/>
    <w:rsid w:val="00056206"/>
    <w:rsid w:val="00056244"/>
    <w:rsid w:val="000562EF"/>
    <w:rsid w:val="000562F5"/>
    <w:rsid w:val="000562FF"/>
    <w:rsid w:val="00056535"/>
    <w:rsid w:val="0005663C"/>
    <w:rsid w:val="0005666C"/>
    <w:rsid w:val="00056740"/>
    <w:rsid w:val="00056785"/>
    <w:rsid w:val="00056803"/>
    <w:rsid w:val="00056996"/>
    <w:rsid w:val="000569C9"/>
    <w:rsid w:val="00056A64"/>
    <w:rsid w:val="00056C16"/>
    <w:rsid w:val="00056C2F"/>
    <w:rsid w:val="00056CBC"/>
    <w:rsid w:val="00056CD1"/>
    <w:rsid w:val="00056E36"/>
    <w:rsid w:val="00056F0E"/>
    <w:rsid w:val="00057188"/>
    <w:rsid w:val="000571FE"/>
    <w:rsid w:val="00057213"/>
    <w:rsid w:val="00057236"/>
    <w:rsid w:val="0005776A"/>
    <w:rsid w:val="0005795E"/>
    <w:rsid w:val="00057A31"/>
    <w:rsid w:val="00057AB0"/>
    <w:rsid w:val="00057AB9"/>
    <w:rsid w:val="00057B04"/>
    <w:rsid w:val="00057D61"/>
    <w:rsid w:val="00057E6D"/>
    <w:rsid w:val="00057F6B"/>
    <w:rsid w:val="00060084"/>
    <w:rsid w:val="0006009D"/>
    <w:rsid w:val="0006015A"/>
    <w:rsid w:val="0006015F"/>
    <w:rsid w:val="00060170"/>
    <w:rsid w:val="000602B9"/>
    <w:rsid w:val="000602DB"/>
    <w:rsid w:val="0006040E"/>
    <w:rsid w:val="00060432"/>
    <w:rsid w:val="00060460"/>
    <w:rsid w:val="00060526"/>
    <w:rsid w:val="000606DF"/>
    <w:rsid w:val="000606FB"/>
    <w:rsid w:val="00060715"/>
    <w:rsid w:val="00060880"/>
    <w:rsid w:val="0006091C"/>
    <w:rsid w:val="000609A9"/>
    <w:rsid w:val="00060AC0"/>
    <w:rsid w:val="00060ADE"/>
    <w:rsid w:val="00060B83"/>
    <w:rsid w:val="00060C8C"/>
    <w:rsid w:val="00060CFE"/>
    <w:rsid w:val="00060D08"/>
    <w:rsid w:val="00060D66"/>
    <w:rsid w:val="00060DDD"/>
    <w:rsid w:val="00060DF7"/>
    <w:rsid w:val="00060F02"/>
    <w:rsid w:val="00060F2B"/>
    <w:rsid w:val="00060FA5"/>
    <w:rsid w:val="000610BE"/>
    <w:rsid w:val="0006123C"/>
    <w:rsid w:val="000612DD"/>
    <w:rsid w:val="000614BE"/>
    <w:rsid w:val="000615F4"/>
    <w:rsid w:val="000616A9"/>
    <w:rsid w:val="00061740"/>
    <w:rsid w:val="00061779"/>
    <w:rsid w:val="00061833"/>
    <w:rsid w:val="00061881"/>
    <w:rsid w:val="00061976"/>
    <w:rsid w:val="000619B3"/>
    <w:rsid w:val="00061A15"/>
    <w:rsid w:val="00061C9D"/>
    <w:rsid w:val="00061CDA"/>
    <w:rsid w:val="00061DDD"/>
    <w:rsid w:val="00061E42"/>
    <w:rsid w:val="00061E47"/>
    <w:rsid w:val="00061EB2"/>
    <w:rsid w:val="00061F54"/>
    <w:rsid w:val="000620BE"/>
    <w:rsid w:val="000621B5"/>
    <w:rsid w:val="0006221B"/>
    <w:rsid w:val="0006239A"/>
    <w:rsid w:val="000623E3"/>
    <w:rsid w:val="00062462"/>
    <w:rsid w:val="000624AA"/>
    <w:rsid w:val="00062649"/>
    <w:rsid w:val="00062693"/>
    <w:rsid w:val="000626D4"/>
    <w:rsid w:val="00062815"/>
    <w:rsid w:val="00062AAC"/>
    <w:rsid w:val="00062ACB"/>
    <w:rsid w:val="00062B3B"/>
    <w:rsid w:val="00062B54"/>
    <w:rsid w:val="00062B84"/>
    <w:rsid w:val="00062CAB"/>
    <w:rsid w:val="00062D91"/>
    <w:rsid w:val="00062F08"/>
    <w:rsid w:val="00062F14"/>
    <w:rsid w:val="0006303E"/>
    <w:rsid w:val="000630AA"/>
    <w:rsid w:val="000630B7"/>
    <w:rsid w:val="000631BA"/>
    <w:rsid w:val="000631BE"/>
    <w:rsid w:val="0006321C"/>
    <w:rsid w:val="00063256"/>
    <w:rsid w:val="00063266"/>
    <w:rsid w:val="0006330F"/>
    <w:rsid w:val="000633FD"/>
    <w:rsid w:val="00063454"/>
    <w:rsid w:val="0006348A"/>
    <w:rsid w:val="0006358B"/>
    <w:rsid w:val="0006359B"/>
    <w:rsid w:val="000635F8"/>
    <w:rsid w:val="00063610"/>
    <w:rsid w:val="00063634"/>
    <w:rsid w:val="000636D4"/>
    <w:rsid w:val="00063780"/>
    <w:rsid w:val="00063787"/>
    <w:rsid w:val="000637CD"/>
    <w:rsid w:val="00063887"/>
    <w:rsid w:val="000638B4"/>
    <w:rsid w:val="0006394F"/>
    <w:rsid w:val="000639F1"/>
    <w:rsid w:val="000639F5"/>
    <w:rsid w:val="00063C88"/>
    <w:rsid w:val="00063CBA"/>
    <w:rsid w:val="00063DAB"/>
    <w:rsid w:val="00063DF9"/>
    <w:rsid w:val="00063E70"/>
    <w:rsid w:val="00063E83"/>
    <w:rsid w:val="00064087"/>
    <w:rsid w:val="00064118"/>
    <w:rsid w:val="0006415C"/>
    <w:rsid w:val="0006430F"/>
    <w:rsid w:val="000643E6"/>
    <w:rsid w:val="00064468"/>
    <w:rsid w:val="000646D6"/>
    <w:rsid w:val="000646E3"/>
    <w:rsid w:val="00064726"/>
    <w:rsid w:val="000649D9"/>
    <w:rsid w:val="00064A66"/>
    <w:rsid w:val="00064B54"/>
    <w:rsid w:val="00064BD7"/>
    <w:rsid w:val="00064BE1"/>
    <w:rsid w:val="00064C19"/>
    <w:rsid w:val="00064CED"/>
    <w:rsid w:val="00064D85"/>
    <w:rsid w:val="00064E25"/>
    <w:rsid w:val="00064E40"/>
    <w:rsid w:val="00064E49"/>
    <w:rsid w:val="00064F19"/>
    <w:rsid w:val="00064F44"/>
    <w:rsid w:val="00065036"/>
    <w:rsid w:val="00065101"/>
    <w:rsid w:val="000652CC"/>
    <w:rsid w:val="00065333"/>
    <w:rsid w:val="0006533E"/>
    <w:rsid w:val="000653B3"/>
    <w:rsid w:val="000654E5"/>
    <w:rsid w:val="000656A1"/>
    <w:rsid w:val="000656BD"/>
    <w:rsid w:val="00065745"/>
    <w:rsid w:val="0006576E"/>
    <w:rsid w:val="000657C0"/>
    <w:rsid w:val="000657F3"/>
    <w:rsid w:val="0006584C"/>
    <w:rsid w:val="000659E5"/>
    <w:rsid w:val="00065A18"/>
    <w:rsid w:val="00065B9A"/>
    <w:rsid w:val="00065C88"/>
    <w:rsid w:val="00065D2E"/>
    <w:rsid w:val="00065D68"/>
    <w:rsid w:val="00065DAC"/>
    <w:rsid w:val="00065DD8"/>
    <w:rsid w:val="00065E4A"/>
    <w:rsid w:val="00065E96"/>
    <w:rsid w:val="0006603D"/>
    <w:rsid w:val="00066059"/>
    <w:rsid w:val="00066071"/>
    <w:rsid w:val="00066096"/>
    <w:rsid w:val="0006611B"/>
    <w:rsid w:val="00066261"/>
    <w:rsid w:val="0006631C"/>
    <w:rsid w:val="000663F3"/>
    <w:rsid w:val="00066473"/>
    <w:rsid w:val="00066604"/>
    <w:rsid w:val="000666FA"/>
    <w:rsid w:val="0006684A"/>
    <w:rsid w:val="0006685A"/>
    <w:rsid w:val="00066A47"/>
    <w:rsid w:val="00066A48"/>
    <w:rsid w:val="00066A55"/>
    <w:rsid w:val="00066B85"/>
    <w:rsid w:val="00066BB1"/>
    <w:rsid w:val="00066BBA"/>
    <w:rsid w:val="00066C06"/>
    <w:rsid w:val="00066C5D"/>
    <w:rsid w:val="00066C97"/>
    <w:rsid w:val="00066D0D"/>
    <w:rsid w:val="00066D52"/>
    <w:rsid w:val="00066D5B"/>
    <w:rsid w:val="00066F60"/>
    <w:rsid w:val="00066FAE"/>
    <w:rsid w:val="00067045"/>
    <w:rsid w:val="00067180"/>
    <w:rsid w:val="000671A8"/>
    <w:rsid w:val="00067210"/>
    <w:rsid w:val="00067268"/>
    <w:rsid w:val="00067296"/>
    <w:rsid w:val="0006737E"/>
    <w:rsid w:val="000673CE"/>
    <w:rsid w:val="0006740D"/>
    <w:rsid w:val="0006748C"/>
    <w:rsid w:val="00067494"/>
    <w:rsid w:val="0006765B"/>
    <w:rsid w:val="00067725"/>
    <w:rsid w:val="00067761"/>
    <w:rsid w:val="0006778D"/>
    <w:rsid w:val="000677BA"/>
    <w:rsid w:val="0006788B"/>
    <w:rsid w:val="00067A17"/>
    <w:rsid w:val="00067A44"/>
    <w:rsid w:val="00067A96"/>
    <w:rsid w:val="00067BB4"/>
    <w:rsid w:val="00067C5E"/>
    <w:rsid w:val="00067CC3"/>
    <w:rsid w:val="00067CC4"/>
    <w:rsid w:val="00067CE9"/>
    <w:rsid w:val="00067E3E"/>
    <w:rsid w:val="0007007E"/>
    <w:rsid w:val="000700A0"/>
    <w:rsid w:val="00070101"/>
    <w:rsid w:val="00070188"/>
    <w:rsid w:val="0007028E"/>
    <w:rsid w:val="000702AA"/>
    <w:rsid w:val="0007048A"/>
    <w:rsid w:val="00070557"/>
    <w:rsid w:val="00070582"/>
    <w:rsid w:val="0007061C"/>
    <w:rsid w:val="00070746"/>
    <w:rsid w:val="0007075C"/>
    <w:rsid w:val="000708BB"/>
    <w:rsid w:val="0007093F"/>
    <w:rsid w:val="000709CC"/>
    <w:rsid w:val="00070A67"/>
    <w:rsid w:val="00070B12"/>
    <w:rsid w:val="00070BD3"/>
    <w:rsid w:val="00070C26"/>
    <w:rsid w:val="00070C8B"/>
    <w:rsid w:val="00070D38"/>
    <w:rsid w:val="00070E8F"/>
    <w:rsid w:val="00070E9E"/>
    <w:rsid w:val="00070EAD"/>
    <w:rsid w:val="00070ED3"/>
    <w:rsid w:val="00071050"/>
    <w:rsid w:val="00071253"/>
    <w:rsid w:val="00071363"/>
    <w:rsid w:val="00071495"/>
    <w:rsid w:val="00071696"/>
    <w:rsid w:val="00071708"/>
    <w:rsid w:val="00071733"/>
    <w:rsid w:val="0007178B"/>
    <w:rsid w:val="00071790"/>
    <w:rsid w:val="000717C8"/>
    <w:rsid w:val="000717F6"/>
    <w:rsid w:val="00071829"/>
    <w:rsid w:val="000718A4"/>
    <w:rsid w:val="000718B8"/>
    <w:rsid w:val="00071989"/>
    <w:rsid w:val="000719B8"/>
    <w:rsid w:val="00071AC8"/>
    <w:rsid w:val="00071AE1"/>
    <w:rsid w:val="00071C1C"/>
    <w:rsid w:val="00071C29"/>
    <w:rsid w:val="00071CB4"/>
    <w:rsid w:val="00071D54"/>
    <w:rsid w:val="00071DFE"/>
    <w:rsid w:val="00071E4F"/>
    <w:rsid w:val="00072013"/>
    <w:rsid w:val="000721F8"/>
    <w:rsid w:val="00072361"/>
    <w:rsid w:val="00072439"/>
    <w:rsid w:val="000724C7"/>
    <w:rsid w:val="000725C1"/>
    <w:rsid w:val="000725F8"/>
    <w:rsid w:val="00072624"/>
    <w:rsid w:val="00072666"/>
    <w:rsid w:val="000726F0"/>
    <w:rsid w:val="000726FA"/>
    <w:rsid w:val="00072705"/>
    <w:rsid w:val="000727CC"/>
    <w:rsid w:val="000727F5"/>
    <w:rsid w:val="0007281E"/>
    <w:rsid w:val="00072820"/>
    <w:rsid w:val="0007286B"/>
    <w:rsid w:val="00072991"/>
    <w:rsid w:val="00072C8F"/>
    <w:rsid w:val="00072C9E"/>
    <w:rsid w:val="00072D52"/>
    <w:rsid w:val="00072E26"/>
    <w:rsid w:val="00072E94"/>
    <w:rsid w:val="00072F38"/>
    <w:rsid w:val="00073013"/>
    <w:rsid w:val="000730C0"/>
    <w:rsid w:val="000730EF"/>
    <w:rsid w:val="00073139"/>
    <w:rsid w:val="0007314A"/>
    <w:rsid w:val="0007319A"/>
    <w:rsid w:val="000731F0"/>
    <w:rsid w:val="00073269"/>
    <w:rsid w:val="00073301"/>
    <w:rsid w:val="00073333"/>
    <w:rsid w:val="000733A1"/>
    <w:rsid w:val="0007351A"/>
    <w:rsid w:val="0007355C"/>
    <w:rsid w:val="000735BF"/>
    <w:rsid w:val="000736C8"/>
    <w:rsid w:val="00073749"/>
    <w:rsid w:val="0007377A"/>
    <w:rsid w:val="00073894"/>
    <w:rsid w:val="00073930"/>
    <w:rsid w:val="00073966"/>
    <w:rsid w:val="0007399E"/>
    <w:rsid w:val="000739FD"/>
    <w:rsid w:val="00073AF2"/>
    <w:rsid w:val="00073B24"/>
    <w:rsid w:val="00073B3C"/>
    <w:rsid w:val="00073B56"/>
    <w:rsid w:val="00073BF9"/>
    <w:rsid w:val="00073CBC"/>
    <w:rsid w:val="00073D64"/>
    <w:rsid w:val="00073E27"/>
    <w:rsid w:val="00073F4A"/>
    <w:rsid w:val="00074002"/>
    <w:rsid w:val="0007404E"/>
    <w:rsid w:val="0007409A"/>
    <w:rsid w:val="000740D2"/>
    <w:rsid w:val="0007426D"/>
    <w:rsid w:val="0007435C"/>
    <w:rsid w:val="00074504"/>
    <w:rsid w:val="00074589"/>
    <w:rsid w:val="000745C4"/>
    <w:rsid w:val="00074638"/>
    <w:rsid w:val="0007466A"/>
    <w:rsid w:val="00074708"/>
    <w:rsid w:val="00074764"/>
    <w:rsid w:val="0007476E"/>
    <w:rsid w:val="0007494B"/>
    <w:rsid w:val="000749B8"/>
    <w:rsid w:val="000749C8"/>
    <w:rsid w:val="000749D6"/>
    <w:rsid w:val="00074A1F"/>
    <w:rsid w:val="00074A86"/>
    <w:rsid w:val="00074ACC"/>
    <w:rsid w:val="00074B51"/>
    <w:rsid w:val="00074B97"/>
    <w:rsid w:val="00074D99"/>
    <w:rsid w:val="00074DC2"/>
    <w:rsid w:val="00074DE4"/>
    <w:rsid w:val="00074E1F"/>
    <w:rsid w:val="00074EC1"/>
    <w:rsid w:val="00074EC4"/>
    <w:rsid w:val="00074FFC"/>
    <w:rsid w:val="0007507E"/>
    <w:rsid w:val="00075391"/>
    <w:rsid w:val="0007539A"/>
    <w:rsid w:val="000754F5"/>
    <w:rsid w:val="0007559E"/>
    <w:rsid w:val="00075652"/>
    <w:rsid w:val="0007572B"/>
    <w:rsid w:val="0007577D"/>
    <w:rsid w:val="00075858"/>
    <w:rsid w:val="000758E9"/>
    <w:rsid w:val="0007592C"/>
    <w:rsid w:val="00075A01"/>
    <w:rsid w:val="00075AD8"/>
    <w:rsid w:val="00075B40"/>
    <w:rsid w:val="00075C25"/>
    <w:rsid w:val="00075D0D"/>
    <w:rsid w:val="00075F88"/>
    <w:rsid w:val="0007606F"/>
    <w:rsid w:val="00076187"/>
    <w:rsid w:val="000761CF"/>
    <w:rsid w:val="00076218"/>
    <w:rsid w:val="00076330"/>
    <w:rsid w:val="00076362"/>
    <w:rsid w:val="0007640E"/>
    <w:rsid w:val="0007648B"/>
    <w:rsid w:val="0007655B"/>
    <w:rsid w:val="000765F2"/>
    <w:rsid w:val="00076C0E"/>
    <w:rsid w:val="00076D09"/>
    <w:rsid w:val="00076E90"/>
    <w:rsid w:val="00076EB5"/>
    <w:rsid w:val="00076EFE"/>
    <w:rsid w:val="00077059"/>
    <w:rsid w:val="000770D0"/>
    <w:rsid w:val="0007715F"/>
    <w:rsid w:val="00077189"/>
    <w:rsid w:val="00077334"/>
    <w:rsid w:val="00077369"/>
    <w:rsid w:val="00077389"/>
    <w:rsid w:val="000774C8"/>
    <w:rsid w:val="000774D7"/>
    <w:rsid w:val="000774E3"/>
    <w:rsid w:val="0007750B"/>
    <w:rsid w:val="0007762A"/>
    <w:rsid w:val="0007763C"/>
    <w:rsid w:val="000776EF"/>
    <w:rsid w:val="00077711"/>
    <w:rsid w:val="000777A3"/>
    <w:rsid w:val="000777CE"/>
    <w:rsid w:val="00077893"/>
    <w:rsid w:val="00077898"/>
    <w:rsid w:val="00077972"/>
    <w:rsid w:val="00077A58"/>
    <w:rsid w:val="00077AD7"/>
    <w:rsid w:val="00077B91"/>
    <w:rsid w:val="00077BB9"/>
    <w:rsid w:val="00077BF1"/>
    <w:rsid w:val="00077C41"/>
    <w:rsid w:val="00077E73"/>
    <w:rsid w:val="000800B6"/>
    <w:rsid w:val="000801CB"/>
    <w:rsid w:val="000801ED"/>
    <w:rsid w:val="000802FA"/>
    <w:rsid w:val="00080404"/>
    <w:rsid w:val="00080416"/>
    <w:rsid w:val="0008059D"/>
    <w:rsid w:val="00080846"/>
    <w:rsid w:val="000809AD"/>
    <w:rsid w:val="000809BD"/>
    <w:rsid w:val="000809D4"/>
    <w:rsid w:val="000809E4"/>
    <w:rsid w:val="00080BF4"/>
    <w:rsid w:val="00080C85"/>
    <w:rsid w:val="00080E9B"/>
    <w:rsid w:val="00080F22"/>
    <w:rsid w:val="00080F6A"/>
    <w:rsid w:val="00080F6F"/>
    <w:rsid w:val="000810A0"/>
    <w:rsid w:val="000810F4"/>
    <w:rsid w:val="00081166"/>
    <w:rsid w:val="000811B9"/>
    <w:rsid w:val="000812AD"/>
    <w:rsid w:val="0008131D"/>
    <w:rsid w:val="000813BF"/>
    <w:rsid w:val="00081408"/>
    <w:rsid w:val="0008144B"/>
    <w:rsid w:val="00081575"/>
    <w:rsid w:val="000815B0"/>
    <w:rsid w:val="00081677"/>
    <w:rsid w:val="00081756"/>
    <w:rsid w:val="000817A6"/>
    <w:rsid w:val="000818A3"/>
    <w:rsid w:val="000818B4"/>
    <w:rsid w:val="000819D4"/>
    <w:rsid w:val="00081BCE"/>
    <w:rsid w:val="00081D7B"/>
    <w:rsid w:val="00081E28"/>
    <w:rsid w:val="00081F53"/>
    <w:rsid w:val="000820F2"/>
    <w:rsid w:val="00082169"/>
    <w:rsid w:val="000821CE"/>
    <w:rsid w:val="00082219"/>
    <w:rsid w:val="0008227A"/>
    <w:rsid w:val="00082395"/>
    <w:rsid w:val="00082540"/>
    <w:rsid w:val="00082581"/>
    <w:rsid w:val="0008277C"/>
    <w:rsid w:val="0008278D"/>
    <w:rsid w:val="000827A8"/>
    <w:rsid w:val="000827B1"/>
    <w:rsid w:val="0008286E"/>
    <w:rsid w:val="000829BC"/>
    <w:rsid w:val="00082BFF"/>
    <w:rsid w:val="00082C0C"/>
    <w:rsid w:val="00082D48"/>
    <w:rsid w:val="00082DD9"/>
    <w:rsid w:val="00082EC6"/>
    <w:rsid w:val="00082FA5"/>
    <w:rsid w:val="0008308E"/>
    <w:rsid w:val="000830C2"/>
    <w:rsid w:val="000830DE"/>
    <w:rsid w:val="00083292"/>
    <w:rsid w:val="00083400"/>
    <w:rsid w:val="0008340A"/>
    <w:rsid w:val="00083486"/>
    <w:rsid w:val="000834F3"/>
    <w:rsid w:val="00083908"/>
    <w:rsid w:val="00083950"/>
    <w:rsid w:val="0008397C"/>
    <w:rsid w:val="00083A35"/>
    <w:rsid w:val="00083AB9"/>
    <w:rsid w:val="00083B5A"/>
    <w:rsid w:val="00083C37"/>
    <w:rsid w:val="00083C84"/>
    <w:rsid w:val="00083CCA"/>
    <w:rsid w:val="00083E11"/>
    <w:rsid w:val="00083F4A"/>
    <w:rsid w:val="00083F73"/>
    <w:rsid w:val="0008409A"/>
    <w:rsid w:val="000840CA"/>
    <w:rsid w:val="000840EE"/>
    <w:rsid w:val="00084189"/>
    <w:rsid w:val="000841BF"/>
    <w:rsid w:val="000841F9"/>
    <w:rsid w:val="000842A6"/>
    <w:rsid w:val="000842DE"/>
    <w:rsid w:val="000842FB"/>
    <w:rsid w:val="000843B1"/>
    <w:rsid w:val="00084404"/>
    <w:rsid w:val="0008445B"/>
    <w:rsid w:val="00084499"/>
    <w:rsid w:val="00084546"/>
    <w:rsid w:val="00084555"/>
    <w:rsid w:val="00084560"/>
    <w:rsid w:val="00084653"/>
    <w:rsid w:val="00084656"/>
    <w:rsid w:val="000847A1"/>
    <w:rsid w:val="000847D1"/>
    <w:rsid w:val="00084800"/>
    <w:rsid w:val="00084A5C"/>
    <w:rsid w:val="00084A73"/>
    <w:rsid w:val="00084B9C"/>
    <w:rsid w:val="00084BA6"/>
    <w:rsid w:val="00084E57"/>
    <w:rsid w:val="00084FD9"/>
    <w:rsid w:val="0008516E"/>
    <w:rsid w:val="0008519D"/>
    <w:rsid w:val="00085305"/>
    <w:rsid w:val="0008539C"/>
    <w:rsid w:val="000853A8"/>
    <w:rsid w:val="0008552A"/>
    <w:rsid w:val="00085553"/>
    <w:rsid w:val="00085575"/>
    <w:rsid w:val="000855B5"/>
    <w:rsid w:val="000857F2"/>
    <w:rsid w:val="0008586C"/>
    <w:rsid w:val="000858DD"/>
    <w:rsid w:val="00085B0D"/>
    <w:rsid w:val="00085C4C"/>
    <w:rsid w:val="00085C69"/>
    <w:rsid w:val="00085CA1"/>
    <w:rsid w:val="00085D19"/>
    <w:rsid w:val="00085DCB"/>
    <w:rsid w:val="00085E1D"/>
    <w:rsid w:val="00085E34"/>
    <w:rsid w:val="00085F5C"/>
    <w:rsid w:val="00085F5D"/>
    <w:rsid w:val="00085F64"/>
    <w:rsid w:val="00085F98"/>
    <w:rsid w:val="0008602B"/>
    <w:rsid w:val="00086048"/>
    <w:rsid w:val="000860C2"/>
    <w:rsid w:val="000860D2"/>
    <w:rsid w:val="0008610D"/>
    <w:rsid w:val="000861D7"/>
    <w:rsid w:val="00086217"/>
    <w:rsid w:val="000862D7"/>
    <w:rsid w:val="0008635F"/>
    <w:rsid w:val="000865CF"/>
    <w:rsid w:val="0008662D"/>
    <w:rsid w:val="0008672E"/>
    <w:rsid w:val="00086740"/>
    <w:rsid w:val="0008680E"/>
    <w:rsid w:val="0008693D"/>
    <w:rsid w:val="000869CD"/>
    <w:rsid w:val="00086ABD"/>
    <w:rsid w:val="00086AF3"/>
    <w:rsid w:val="00086C9B"/>
    <w:rsid w:val="00086E5F"/>
    <w:rsid w:val="00086E63"/>
    <w:rsid w:val="00087003"/>
    <w:rsid w:val="000870E7"/>
    <w:rsid w:val="00087304"/>
    <w:rsid w:val="00087380"/>
    <w:rsid w:val="00087595"/>
    <w:rsid w:val="00087661"/>
    <w:rsid w:val="000876B6"/>
    <w:rsid w:val="00087713"/>
    <w:rsid w:val="00087725"/>
    <w:rsid w:val="00087733"/>
    <w:rsid w:val="0008795B"/>
    <w:rsid w:val="00087B39"/>
    <w:rsid w:val="00087C45"/>
    <w:rsid w:val="00087C5C"/>
    <w:rsid w:val="00087D96"/>
    <w:rsid w:val="00087DC4"/>
    <w:rsid w:val="00087EBA"/>
    <w:rsid w:val="00087ECD"/>
    <w:rsid w:val="00087F7E"/>
    <w:rsid w:val="00087F93"/>
    <w:rsid w:val="00087F9E"/>
    <w:rsid w:val="00087FA0"/>
    <w:rsid w:val="00090020"/>
    <w:rsid w:val="00090039"/>
    <w:rsid w:val="000900F0"/>
    <w:rsid w:val="0009013E"/>
    <w:rsid w:val="00090152"/>
    <w:rsid w:val="0009023B"/>
    <w:rsid w:val="000902A9"/>
    <w:rsid w:val="000903BE"/>
    <w:rsid w:val="0009043B"/>
    <w:rsid w:val="00090440"/>
    <w:rsid w:val="000904A2"/>
    <w:rsid w:val="000905BB"/>
    <w:rsid w:val="0009071C"/>
    <w:rsid w:val="000909AE"/>
    <w:rsid w:val="000909FD"/>
    <w:rsid w:val="00090A0C"/>
    <w:rsid w:val="00090A2A"/>
    <w:rsid w:val="00090B8F"/>
    <w:rsid w:val="00090BDA"/>
    <w:rsid w:val="00090C89"/>
    <w:rsid w:val="00090D2A"/>
    <w:rsid w:val="00090E1B"/>
    <w:rsid w:val="0009112F"/>
    <w:rsid w:val="00091180"/>
    <w:rsid w:val="00091200"/>
    <w:rsid w:val="00091203"/>
    <w:rsid w:val="00091362"/>
    <w:rsid w:val="000913D5"/>
    <w:rsid w:val="0009140C"/>
    <w:rsid w:val="0009141C"/>
    <w:rsid w:val="00091459"/>
    <w:rsid w:val="000914F4"/>
    <w:rsid w:val="00091619"/>
    <w:rsid w:val="0009187B"/>
    <w:rsid w:val="000918C8"/>
    <w:rsid w:val="000918CF"/>
    <w:rsid w:val="00091A57"/>
    <w:rsid w:val="00091BF7"/>
    <w:rsid w:val="00091D10"/>
    <w:rsid w:val="00091DAC"/>
    <w:rsid w:val="00091E07"/>
    <w:rsid w:val="00091FBB"/>
    <w:rsid w:val="000920DC"/>
    <w:rsid w:val="000920E0"/>
    <w:rsid w:val="00092260"/>
    <w:rsid w:val="000922D2"/>
    <w:rsid w:val="00092325"/>
    <w:rsid w:val="0009238A"/>
    <w:rsid w:val="000923A1"/>
    <w:rsid w:val="000923AE"/>
    <w:rsid w:val="0009246D"/>
    <w:rsid w:val="000924E5"/>
    <w:rsid w:val="00092593"/>
    <w:rsid w:val="000925E0"/>
    <w:rsid w:val="00092651"/>
    <w:rsid w:val="000926F0"/>
    <w:rsid w:val="000927DE"/>
    <w:rsid w:val="00092876"/>
    <w:rsid w:val="00092972"/>
    <w:rsid w:val="00092A2B"/>
    <w:rsid w:val="00092ACD"/>
    <w:rsid w:val="00092B54"/>
    <w:rsid w:val="00092C1F"/>
    <w:rsid w:val="00092C2A"/>
    <w:rsid w:val="00092CFF"/>
    <w:rsid w:val="00092DD9"/>
    <w:rsid w:val="00092E43"/>
    <w:rsid w:val="0009309E"/>
    <w:rsid w:val="00093178"/>
    <w:rsid w:val="000931D8"/>
    <w:rsid w:val="00093235"/>
    <w:rsid w:val="0009324D"/>
    <w:rsid w:val="00093317"/>
    <w:rsid w:val="00093328"/>
    <w:rsid w:val="00093470"/>
    <w:rsid w:val="000934C4"/>
    <w:rsid w:val="000934F1"/>
    <w:rsid w:val="0009354D"/>
    <w:rsid w:val="0009362E"/>
    <w:rsid w:val="000936EF"/>
    <w:rsid w:val="000937B8"/>
    <w:rsid w:val="000937D2"/>
    <w:rsid w:val="00093872"/>
    <w:rsid w:val="000939C5"/>
    <w:rsid w:val="00093A1F"/>
    <w:rsid w:val="00093AA5"/>
    <w:rsid w:val="00093AF1"/>
    <w:rsid w:val="00093B02"/>
    <w:rsid w:val="00093BDC"/>
    <w:rsid w:val="00093C06"/>
    <w:rsid w:val="00093C16"/>
    <w:rsid w:val="00093C9F"/>
    <w:rsid w:val="00093D03"/>
    <w:rsid w:val="00093D5D"/>
    <w:rsid w:val="00093D78"/>
    <w:rsid w:val="00093D84"/>
    <w:rsid w:val="00093E9C"/>
    <w:rsid w:val="00093EDB"/>
    <w:rsid w:val="00093FB4"/>
    <w:rsid w:val="0009404E"/>
    <w:rsid w:val="00094099"/>
    <w:rsid w:val="000940D9"/>
    <w:rsid w:val="00094131"/>
    <w:rsid w:val="000941B1"/>
    <w:rsid w:val="00094380"/>
    <w:rsid w:val="00094393"/>
    <w:rsid w:val="00094395"/>
    <w:rsid w:val="00094551"/>
    <w:rsid w:val="000945F8"/>
    <w:rsid w:val="0009467F"/>
    <w:rsid w:val="000946CC"/>
    <w:rsid w:val="000946ED"/>
    <w:rsid w:val="000947F1"/>
    <w:rsid w:val="00094840"/>
    <w:rsid w:val="00094865"/>
    <w:rsid w:val="00094B96"/>
    <w:rsid w:val="00094C8D"/>
    <w:rsid w:val="00094D43"/>
    <w:rsid w:val="00094E22"/>
    <w:rsid w:val="00094EEE"/>
    <w:rsid w:val="00094F31"/>
    <w:rsid w:val="00094FD4"/>
    <w:rsid w:val="000950FE"/>
    <w:rsid w:val="00095108"/>
    <w:rsid w:val="00095116"/>
    <w:rsid w:val="00095151"/>
    <w:rsid w:val="00095293"/>
    <w:rsid w:val="00095368"/>
    <w:rsid w:val="00095435"/>
    <w:rsid w:val="000954BF"/>
    <w:rsid w:val="000954C2"/>
    <w:rsid w:val="00095576"/>
    <w:rsid w:val="000955EF"/>
    <w:rsid w:val="00095763"/>
    <w:rsid w:val="000957A3"/>
    <w:rsid w:val="000957D6"/>
    <w:rsid w:val="000957D7"/>
    <w:rsid w:val="00095938"/>
    <w:rsid w:val="00095A1A"/>
    <w:rsid w:val="00095ACF"/>
    <w:rsid w:val="00095BEF"/>
    <w:rsid w:val="00095CE4"/>
    <w:rsid w:val="00095D0A"/>
    <w:rsid w:val="00095E79"/>
    <w:rsid w:val="00095F69"/>
    <w:rsid w:val="00096317"/>
    <w:rsid w:val="0009650B"/>
    <w:rsid w:val="0009657C"/>
    <w:rsid w:val="000966A8"/>
    <w:rsid w:val="00096711"/>
    <w:rsid w:val="0009674F"/>
    <w:rsid w:val="00096832"/>
    <w:rsid w:val="00096885"/>
    <w:rsid w:val="000968CA"/>
    <w:rsid w:val="000968D1"/>
    <w:rsid w:val="00096A7E"/>
    <w:rsid w:val="00096AE7"/>
    <w:rsid w:val="00096D54"/>
    <w:rsid w:val="00096DF6"/>
    <w:rsid w:val="00096F1D"/>
    <w:rsid w:val="00096F1E"/>
    <w:rsid w:val="00096F4C"/>
    <w:rsid w:val="00096F8D"/>
    <w:rsid w:val="00096FD1"/>
    <w:rsid w:val="00096FDB"/>
    <w:rsid w:val="00097029"/>
    <w:rsid w:val="00097120"/>
    <w:rsid w:val="00097167"/>
    <w:rsid w:val="00097257"/>
    <w:rsid w:val="0009730B"/>
    <w:rsid w:val="0009748A"/>
    <w:rsid w:val="00097533"/>
    <w:rsid w:val="00097554"/>
    <w:rsid w:val="0009758F"/>
    <w:rsid w:val="0009771A"/>
    <w:rsid w:val="000977DB"/>
    <w:rsid w:val="0009788F"/>
    <w:rsid w:val="000978DD"/>
    <w:rsid w:val="00097BA4"/>
    <w:rsid w:val="00097BE2"/>
    <w:rsid w:val="00097D45"/>
    <w:rsid w:val="00097D92"/>
    <w:rsid w:val="00097E79"/>
    <w:rsid w:val="00097EF5"/>
    <w:rsid w:val="000A0059"/>
    <w:rsid w:val="000A00ED"/>
    <w:rsid w:val="000A0213"/>
    <w:rsid w:val="000A0316"/>
    <w:rsid w:val="000A0373"/>
    <w:rsid w:val="000A03EB"/>
    <w:rsid w:val="000A04DB"/>
    <w:rsid w:val="000A05CF"/>
    <w:rsid w:val="000A063C"/>
    <w:rsid w:val="000A065E"/>
    <w:rsid w:val="000A0697"/>
    <w:rsid w:val="000A0756"/>
    <w:rsid w:val="000A0A72"/>
    <w:rsid w:val="000A0A8A"/>
    <w:rsid w:val="000A0A97"/>
    <w:rsid w:val="000A0AF1"/>
    <w:rsid w:val="000A0B20"/>
    <w:rsid w:val="000A0BC6"/>
    <w:rsid w:val="000A0BFA"/>
    <w:rsid w:val="000A0CAD"/>
    <w:rsid w:val="000A0CB8"/>
    <w:rsid w:val="000A0CE2"/>
    <w:rsid w:val="000A0CEC"/>
    <w:rsid w:val="000A0D45"/>
    <w:rsid w:val="000A0DAA"/>
    <w:rsid w:val="000A0EFC"/>
    <w:rsid w:val="000A0F21"/>
    <w:rsid w:val="000A0F69"/>
    <w:rsid w:val="000A0FE3"/>
    <w:rsid w:val="000A1199"/>
    <w:rsid w:val="000A12B4"/>
    <w:rsid w:val="000A1469"/>
    <w:rsid w:val="000A15B3"/>
    <w:rsid w:val="000A15F7"/>
    <w:rsid w:val="000A176D"/>
    <w:rsid w:val="000A18AC"/>
    <w:rsid w:val="000A1A9F"/>
    <w:rsid w:val="000A1AA6"/>
    <w:rsid w:val="000A1AB7"/>
    <w:rsid w:val="000A1ABD"/>
    <w:rsid w:val="000A1B9E"/>
    <w:rsid w:val="000A1BB3"/>
    <w:rsid w:val="000A1CB3"/>
    <w:rsid w:val="000A1CDC"/>
    <w:rsid w:val="000A1D4F"/>
    <w:rsid w:val="000A1D77"/>
    <w:rsid w:val="000A1DCB"/>
    <w:rsid w:val="000A1E3E"/>
    <w:rsid w:val="000A1EEE"/>
    <w:rsid w:val="000A1F11"/>
    <w:rsid w:val="000A1FBB"/>
    <w:rsid w:val="000A21FA"/>
    <w:rsid w:val="000A2310"/>
    <w:rsid w:val="000A2363"/>
    <w:rsid w:val="000A2452"/>
    <w:rsid w:val="000A24E6"/>
    <w:rsid w:val="000A2539"/>
    <w:rsid w:val="000A2551"/>
    <w:rsid w:val="000A25AC"/>
    <w:rsid w:val="000A25B5"/>
    <w:rsid w:val="000A2640"/>
    <w:rsid w:val="000A2683"/>
    <w:rsid w:val="000A2719"/>
    <w:rsid w:val="000A277C"/>
    <w:rsid w:val="000A27CA"/>
    <w:rsid w:val="000A2831"/>
    <w:rsid w:val="000A298A"/>
    <w:rsid w:val="000A2BE4"/>
    <w:rsid w:val="000A2C41"/>
    <w:rsid w:val="000A2C6F"/>
    <w:rsid w:val="000A2E33"/>
    <w:rsid w:val="000A2E4D"/>
    <w:rsid w:val="000A2F2D"/>
    <w:rsid w:val="000A3114"/>
    <w:rsid w:val="000A3151"/>
    <w:rsid w:val="000A3226"/>
    <w:rsid w:val="000A339A"/>
    <w:rsid w:val="000A33CE"/>
    <w:rsid w:val="000A33FE"/>
    <w:rsid w:val="000A345C"/>
    <w:rsid w:val="000A3623"/>
    <w:rsid w:val="000A36DF"/>
    <w:rsid w:val="000A3715"/>
    <w:rsid w:val="000A3856"/>
    <w:rsid w:val="000A394D"/>
    <w:rsid w:val="000A39D8"/>
    <w:rsid w:val="000A3A3B"/>
    <w:rsid w:val="000A3A81"/>
    <w:rsid w:val="000A3B5F"/>
    <w:rsid w:val="000A3BA5"/>
    <w:rsid w:val="000A3C30"/>
    <w:rsid w:val="000A3ECA"/>
    <w:rsid w:val="000A3F9B"/>
    <w:rsid w:val="000A3FBD"/>
    <w:rsid w:val="000A41FC"/>
    <w:rsid w:val="000A42B3"/>
    <w:rsid w:val="000A4353"/>
    <w:rsid w:val="000A43A8"/>
    <w:rsid w:val="000A4606"/>
    <w:rsid w:val="000A48C9"/>
    <w:rsid w:val="000A4A37"/>
    <w:rsid w:val="000A4A56"/>
    <w:rsid w:val="000A4A69"/>
    <w:rsid w:val="000A4B1E"/>
    <w:rsid w:val="000A4B45"/>
    <w:rsid w:val="000A4B91"/>
    <w:rsid w:val="000A4BA5"/>
    <w:rsid w:val="000A4BBA"/>
    <w:rsid w:val="000A4CCB"/>
    <w:rsid w:val="000A4CD0"/>
    <w:rsid w:val="000A4CF4"/>
    <w:rsid w:val="000A4D9F"/>
    <w:rsid w:val="000A5037"/>
    <w:rsid w:val="000A5056"/>
    <w:rsid w:val="000A50B1"/>
    <w:rsid w:val="000A52F6"/>
    <w:rsid w:val="000A53DD"/>
    <w:rsid w:val="000A5528"/>
    <w:rsid w:val="000A557C"/>
    <w:rsid w:val="000A55B0"/>
    <w:rsid w:val="000A5672"/>
    <w:rsid w:val="000A5863"/>
    <w:rsid w:val="000A5AAC"/>
    <w:rsid w:val="000A5AEA"/>
    <w:rsid w:val="000A5B3F"/>
    <w:rsid w:val="000A5B6B"/>
    <w:rsid w:val="000A5C65"/>
    <w:rsid w:val="000A5D3F"/>
    <w:rsid w:val="000A5D84"/>
    <w:rsid w:val="000A5DE0"/>
    <w:rsid w:val="000A5E25"/>
    <w:rsid w:val="000A5E4B"/>
    <w:rsid w:val="000A5F4B"/>
    <w:rsid w:val="000A5F6D"/>
    <w:rsid w:val="000A60C5"/>
    <w:rsid w:val="000A6181"/>
    <w:rsid w:val="000A64A7"/>
    <w:rsid w:val="000A6530"/>
    <w:rsid w:val="000A6536"/>
    <w:rsid w:val="000A65DB"/>
    <w:rsid w:val="000A66DC"/>
    <w:rsid w:val="000A6816"/>
    <w:rsid w:val="000A6838"/>
    <w:rsid w:val="000A6A7D"/>
    <w:rsid w:val="000A6AB9"/>
    <w:rsid w:val="000A6B2C"/>
    <w:rsid w:val="000A6B61"/>
    <w:rsid w:val="000A6B7A"/>
    <w:rsid w:val="000A6BF9"/>
    <w:rsid w:val="000A6D48"/>
    <w:rsid w:val="000A6DBF"/>
    <w:rsid w:val="000A6DCC"/>
    <w:rsid w:val="000A6DF1"/>
    <w:rsid w:val="000A6EA8"/>
    <w:rsid w:val="000A6FAC"/>
    <w:rsid w:val="000A6FEA"/>
    <w:rsid w:val="000A7066"/>
    <w:rsid w:val="000A7203"/>
    <w:rsid w:val="000A720F"/>
    <w:rsid w:val="000A7262"/>
    <w:rsid w:val="000A740F"/>
    <w:rsid w:val="000A751D"/>
    <w:rsid w:val="000A7521"/>
    <w:rsid w:val="000A7534"/>
    <w:rsid w:val="000A7569"/>
    <w:rsid w:val="000A75B7"/>
    <w:rsid w:val="000A7755"/>
    <w:rsid w:val="000A7790"/>
    <w:rsid w:val="000A79E4"/>
    <w:rsid w:val="000A7B58"/>
    <w:rsid w:val="000A7C0F"/>
    <w:rsid w:val="000A7D00"/>
    <w:rsid w:val="000A7D14"/>
    <w:rsid w:val="000A7D96"/>
    <w:rsid w:val="000A7D9E"/>
    <w:rsid w:val="000A7EAD"/>
    <w:rsid w:val="000A7FAB"/>
    <w:rsid w:val="000B0030"/>
    <w:rsid w:val="000B00AF"/>
    <w:rsid w:val="000B032B"/>
    <w:rsid w:val="000B039F"/>
    <w:rsid w:val="000B03A2"/>
    <w:rsid w:val="000B0417"/>
    <w:rsid w:val="000B04AF"/>
    <w:rsid w:val="000B05E3"/>
    <w:rsid w:val="000B05E9"/>
    <w:rsid w:val="000B0614"/>
    <w:rsid w:val="000B0683"/>
    <w:rsid w:val="000B0844"/>
    <w:rsid w:val="000B0956"/>
    <w:rsid w:val="000B0997"/>
    <w:rsid w:val="000B099C"/>
    <w:rsid w:val="000B09A3"/>
    <w:rsid w:val="000B0A28"/>
    <w:rsid w:val="000B0AC9"/>
    <w:rsid w:val="000B0B5A"/>
    <w:rsid w:val="000B0B71"/>
    <w:rsid w:val="000B0C60"/>
    <w:rsid w:val="000B0D4A"/>
    <w:rsid w:val="000B0E2B"/>
    <w:rsid w:val="000B0EEC"/>
    <w:rsid w:val="000B0F49"/>
    <w:rsid w:val="000B0F53"/>
    <w:rsid w:val="000B0FCC"/>
    <w:rsid w:val="000B1078"/>
    <w:rsid w:val="000B1102"/>
    <w:rsid w:val="000B12C2"/>
    <w:rsid w:val="000B12EA"/>
    <w:rsid w:val="000B1424"/>
    <w:rsid w:val="000B1486"/>
    <w:rsid w:val="000B150A"/>
    <w:rsid w:val="000B1614"/>
    <w:rsid w:val="000B180E"/>
    <w:rsid w:val="000B189C"/>
    <w:rsid w:val="000B1904"/>
    <w:rsid w:val="000B1B0B"/>
    <w:rsid w:val="000B1B57"/>
    <w:rsid w:val="000B1DA2"/>
    <w:rsid w:val="000B1DE0"/>
    <w:rsid w:val="000B1E5B"/>
    <w:rsid w:val="000B1EC1"/>
    <w:rsid w:val="000B1F87"/>
    <w:rsid w:val="000B1FAF"/>
    <w:rsid w:val="000B1FBF"/>
    <w:rsid w:val="000B2010"/>
    <w:rsid w:val="000B2012"/>
    <w:rsid w:val="000B2043"/>
    <w:rsid w:val="000B204F"/>
    <w:rsid w:val="000B2055"/>
    <w:rsid w:val="000B208D"/>
    <w:rsid w:val="000B20F4"/>
    <w:rsid w:val="000B2109"/>
    <w:rsid w:val="000B2112"/>
    <w:rsid w:val="000B2241"/>
    <w:rsid w:val="000B22C1"/>
    <w:rsid w:val="000B2405"/>
    <w:rsid w:val="000B242B"/>
    <w:rsid w:val="000B2445"/>
    <w:rsid w:val="000B24F1"/>
    <w:rsid w:val="000B265B"/>
    <w:rsid w:val="000B277D"/>
    <w:rsid w:val="000B2814"/>
    <w:rsid w:val="000B282A"/>
    <w:rsid w:val="000B28ED"/>
    <w:rsid w:val="000B28EE"/>
    <w:rsid w:val="000B290B"/>
    <w:rsid w:val="000B2B1D"/>
    <w:rsid w:val="000B2C7A"/>
    <w:rsid w:val="000B2DC7"/>
    <w:rsid w:val="000B2F04"/>
    <w:rsid w:val="000B2FF2"/>
    <w:rsid w:val="000B3091"/>
    <w:rsid w:val="000B3190"/>
    <w:rsid w:val="000B3278"/>
    <w:rsid w:val="000B327D"/>
    <w:rsid w:val="000B32C9"/>
    <w:rsid w:val="000B3406"/>
    <w:rsid w:val="000B3427"/>
    <w:rsid w:val="000B361F"/>
    <w:rsid w:val="000B3630"/>
    <w:rsid w:val="000B36C8"/>
    <w:rsid w:val="000B382E"/>
    <w:rsid w:val="000B3857"/>
    <w:rsid w:val="000B3899"/>
    <w:rsid w:val="000B38A8"/>
    <w:rsid w:val="000B396B"/>
    <w:rsid w:val="000B39A1"/>
    <w:rsid w:val="000B39FA"/>
    <w:rsid w:val="000B3B06"/>
    <w:rsid w:val="000B3D78"/>
    <w:rsid w:val="000B3DEC"/>
    <w:rsid w:val="000B3E46"/>
    <w:rsid w:val="000B3E55"/>
    <w:rsid w:val="000B3E69"/>
    <w:rsid w:val="000B3E88"/>
    <w:rsid w:val="000B3EDC"/>
    <w:rsid w:val="000B3FFC"/>
    <w:rsid w:val="000B40D6"/>
    <w:rsid w:val="000B4153"/>
    <w:rsid w:val="000B422D"/>
    <w:rsid w:val="000B423F"/>
    <w:rsid w:val="000B4323"/>
    <w:rsid w:val="000B4378"/>
    <w:rsid w:val="000B43B4"/>
    <w:rsid w:val="000B450E"/>
    <w:rsid w:val="000B453E"/>
    <w:rsid w:val="000B4630"/>
    <w:rsid w:val="000B4685"/>
    <w:rsid w:val="000B4798"/>
    <w:rsid w:val="000B490B"/>
    <w:rsid w:val="000B491E"/>
    <w:rsid w:val="000B4A07"/>
    <w:rsid w:val="000B4B13"/>
    <w:rsid w:val="000B4CE5"/>
    <w:rsid w:val="000B4CF5"/>
    <w:rsid w:val="000B4CF9"/>
    <w:rsid w:val="000B4E01"/>
    <w:rsid w:val="000B4E15"/>
    <w:rsid w:val="000B4E7B"/>
    <w:rsid w:val="000B503F"/>
    <w:rsid w:val="000B50A0"/>
    <w:rsid w:val="000B51C7"/>
    <w:rsid w:val="000B5273"/>
    <w:rsid w:val="000B52E6"/>
    <w:rsid w:val="000B532D"/>
    <w:rsid w:val="000B5399"/>
    <w:rsid w:val="000B5417"/>
    <w:rsid w:val="000B543D"/>
    <w:rsid w:val="000B5533"/>
    <w:rsid w:val="000B5535"/>
    <w:rsid w:val="000B55D5"/>
    <w:rsid w:val="000B564E"/>
    <w:rsid w:val="000B56AA"/>
    <w:rsid w:val="000B5918"/>
    <w:rsid w:val="000B5958"/>
    <w:rsid w:val="000B5988"/>
    <w:rsid w:val="000B59DC"/>
    <w:rsid w:val="000B5B32"/>
    <w:rsid w:val="000B5E90"/>
    <w:rsid w:val="000B5E95"/>
    <w:rsid w:val="000B5EC3"/>
    <w:rsid w:val="000B5F75"/>
    <w:rsid w:val="000B6022"/>
    <w:rsid w:val="000B62BB"/>
    <w:rsid w:val="000B62E9"/>
    <w:rsid w:val="000B6302"/>
    <w:rsid w:val="000B630D"/>
    <w:rsid w:val="000B63BE"/>
    <w:rsid w:val="000B6407"/>
    <w:rsid w:val="000B6418"/>
    <w:rsid w:val="000B6456"/>
    <w:rsid w:val="000B646C"/>
    <w:rsid w:val="000B64B8"/>
    <w:rsid w:val="000B64D5"/>
    <w:rsid w:val="000B69A9"/>
    <w:rsid w:val="000B6A0E"/>
    <w:rsid w:val="000B6A11"/>
    <w:rsid w:val="000B6B46"/>
    <w:rsid w:val="000B6B7F"/>
    <w:rsid w:val="000B6CA7"/>
    <w:rsid w:val="000B6D11"/>
    <w:rsid w:val="000B6DB1"/>
    <w:rsid w:val="000B6DCC"/>
    <w:rsid w:val="000B6FF1"/>
    <w:rsid w:val="000B7106"/>
    <w:rsid w:val="000B714F"/>
    <w:rsid w:val="000B7152"/>
    <w:rsid w:val="000B726D"/>
    <w:rsid w:val="000B736E"/>
    <w:rsid w:val="000B7389"/>
    <w:rsid w:val="000B73DD"/>
    <w:rsid w:val="000B7430"/>
    <w:rsid w:val="000B772C"/>
    <w:rsid w:val="000B7745"/>
    <w:rsid w:val="000B7793"/>
    <w:rsid w:val="000B77A2"/>
    <w:rsid w:val="000B77AA"/>
    <w:rsid w:val="000B78AA"/>
    <w:rsid w:val="000B78F4"/>
    <w:rsid w:val="000B7950"/>
    <w:rsid w:val="000B7953"/>
    <w:rsid w:val="000B796F"/>
    <w:rsid w:val="000B7A24"/>
    <w:rsid w:val="000B7A70"/>
    <w:rsid w:val="000B7B2C"/>
    <w:rsid w:val="000B7B3F"/>
    <w:rsid w:val="000B7B82"/>
    <w:rsid w:val="000B7BDB"/>
    <w:rsid w:val="000B7C63"/>
    <w:rsid w:val="000B7D00"/>
    <w:rsid w:val="000B7D67"/>
    <w:rsid w:val="000B7FB9"/>
    <w:rsid w:val="000B821F"/>
    <w:rsid w:val="000BF456"/>
    <w:rsid w:val="000C0094"/>
    <w:rsid w:val="000C012D"/>
    <w:rsid w:val="000C0203"/>
    <w:rsid w:val="000C02DC"/>
    <w:rsid w:val="000C04B0"/>
    <w:rsid w:val="000C04D8"/>
    <w:rsid w:val="000C0536"/>
    <w:rsid w:val="000C066F"/>
    <w:rsid w:val="000C084F"/>
    <w:rsid w:val="000C094C"/>
    <w:rsid w:val="000C098D"/>
    <w:rsid w:val="000C09DA"/>
    <w:rsid w:val="000C0A34"/>
    <w:rsid w:val="000C0AAA"/>
    <w:rsid w:val="000C0B7D"/>
    <w:rsid w:val="000C0CEE"/>
    <w:rsid w:val="000C0DB6"/>
    <w:rsid w:val="000C0DF6"/>
    <w:rsid w:val="000C0E54"/>
    <w:rsid w:val="000C0E6E"/>
    <w:rsid w:val="000C0F1F"/>
    <w:rsid w:val="000C0F72"/>
    <w:rsid w:val="000C0F91"/>
    <w:rsid w:val="000C0FEE"/>
    <w:rsid w:val="000C0FF4"/>
    <w:rsid w:val="000C108F"/>
    <w:rsid w:val="000C111C"/>
    <w:rsid w:val="000C11CE"/>
    <w:rsid w:val="000C1253"/>
    <w:rsid w:val="000C1392"/>
    <w:rsid w:val="000C13AC"/>
    <w:rsid w:val="000C1452"/>
    <w:rsid w:val="000C14AC"/>
    <w:rsid w:val="000C14C9"/>
    <w:rsid w:val="000C18F7"/>
    <w:rsid w:val="000C191A"/>
    <w:rsid w:val="000C1958"/>
    <w:rsid w:val="000C1A7A"/>
    <w:rsid w:val="000C1B81"/>
    <w:rsid w:val="000C1D51"/>
    <w:rsid w:val="000C1D5D"/>
    <w:rsid w:val="000C1F0B"/>
    <w:rsid w:val="000C1F1E"/>
    <w:rsid w:val="000C1F40"/>
    <w:rsid w:val="000C2008"/>
    <w:rsid w:val="000C20D1"/>
    <w:rsid w:val="000C20F0"/>
    <w:rsid w:val="000C2255"/>
    <w:rsid w:val="000C2277"/>
    <w:rsid w:val="000C230D"/>
    <w:rsid w:val="000C234A"/>
    <w:rsid w:val="000C2378"/>
    <w:rsid w:val="000C238D"/>
    <w:rsid w:val="000C23F7"/>
    <w:rsid w:val="000C25E2"/>
    <w:rsid w:val="000C2654"/>
    <w:rsid w:val="000C26A9"/>
    <w:rsid w:val="000C2713"/>
    <w:rsid w:val="000C274D"/>
    <w:rsid w:val="000C2750"/>
    <w:rsid w:val="000C276A"/>
    <w:rsid w:val="000C277B"/>
    <w:rsid w:val="000C27A5"/>
    <w:rsid w:val="000C27C5"/>
    <w:rsid w:val="000C27CA"/>
    <w:rsid w:val="000C297B"/>
    <w:rsid w:val="000C2A17"/>
    <w:rsid w:val="000C2A19"/>
    <w:rsid w:val="000C2BE2"/>
    <w:rsid w:val="000C2C7A"/>
    <w:rsid w:val="000C30F8"/>
    <w:rsid w:val="000C313A"/>
    <w:rsid w:val="000C32C7"/>
    <w:rsid w:val="000C337E"/>
    <w:rsid w:val="000C340F"/>
    <w:rsid w:val="000C353A"/>
    <w:rsid w:val="000C35EA"/>
    <w:rsid w:val="000C3704"/>
    <w:rsid w:val="000C37CE"/>
    <w:rsid w:val="000C38CC"/>
    <w:rsid w:val="000C393E"/>
    <w:rsid w:val="000C3A4C"/>
    <w:rsid w:val="000C3ABE"/>
    <w:rsid w:val="000C3ACD"/>
    <w:rsid w:val="000C3B4E"/>
    <w:rsid w:val="000C3B72"/>
    <w:rsid w:val="000C3D13"/>
    <w:rsid w:val="000C3F6E"/>
    <w:rsid w:val="000C3F79"/>
    <w:rsid w:val="000C3F7B"/>
    <w:rsid w:val="000C3F88"/>
    <w:rsid w:val="000C4050"/>
    <w:rsid w:val="000C417B"/>
    <w:rsid w:val="000C4241"/>
    <w:rsid w:val="000C42F0"/>
    <w:rsid w:val="000C455A"/>
    <w:rsid w:val="000C45EB"/>
    <w:rsid w:val="000C466F"/>
    <w:rsid w:val="000C4694"/>
    <w:rsid w:val="000C4B2A"/>
    <w:rsid w:val="000C4B92"/>
    <w:rsid w:val="000C4C19"/>
    <w:rsid w:val="000C4CCC"/>
    <w:rsid w:val="000C4D2D"/>
    <w:rsid w:val="000C4DA0"/>
    <w:rsid w:val="000C4E8B"/>
    <w:rsid w:val="000C4ED8"/>
    <w:rsid w:val="000C4EEA"/>
    <w:rsid w:val="000C4F3C"/>
    <w:rsid w:val="000C4FE1"/>
    <w:rsid w:val="000C50BE"/>
    <w:rsid w:val="000C5142"/>
    <w:rsid w:val="000C518A"/>
    <w:rsid w:val="000C52CD"/>
    <w:rsid w:val="000C530A"/>
    <w:rsid w:val="000C53D5"/>
    <w:rsid w:val="000C54D1"/>
    <w:rsid w:val="000C5541"/>
    <w:rsid w:val="000C55BC"/>
    <w:rsid w:val="000C560B"/>
    <w:rsid w:val="000C56A5"/>
    <w:rsid w:val="000C57E4"/>
    <w:rsid w:val="000C57FD"/>
    <w:rsid w:val="000C5815"/>
    <w:rsid w:val="000C588A"/>
    <w:rsid w:val="000C597C"/>
    <w:rsid w:val="000C5A44"/>
    <w:rsid w:val="000C5B2D"/>
    <w:rsid w:val="000C5B3B"/>
    <w:rsid w:val="000C5CC4"/>
    <w:rsid w:val="000C5CDA"/>
    <w:rsid w:val="000C5DE1"/>
    <w:rsid w:val="000C5E2F"/>
    <w:rsid w:val="000C5EA3"/>
    <w:rsid w:val="000C5EE7"/>
    <w:rsid w:val="000C5F12"/>
    <w:rsid w:val="000C6002"/>
    <w:rsid w:val="000C607C"/>
    <w:rsid w:val="000C60B3"/>
    <w:rsid w:val="000C60BB"/>
    <w:rsid w:val="000C6346"/>
    <w:rsid w:val="000C6411"/>
    <w:rsid w:val="000C64F6"/>
    <w:rsid w:val="000C6787"/>
    <w:rsid w:val="000C68E6"/>
    <w:rsid w:val="000C691F"/>
    <w:rsid w:val="000C6B7F"/>
    <w:rsid w:val="000C6D5F"/>
    <w:rsid w:val="000C6DD7"/>
    <w:rsid w:val="000C6EC5"/>
    <w:rsid w:val="000C7050"/>
    <w:rsid w:val="000C70F2"/>
    <w:rsid w:val="000C7124"/>
    <w:rsid w:val="000C73F5"/>
    <w:rsid w:val="000C7410"/>
    <w:rsid w:val="000C746A"/>
    <w:rsid w:val="000C747E"/>
    <w:rsid w:val="000C74D1"/>
    <w:rsid w:val="000C76BE"/>
    <w:rsid w:val="000C77F1"/>
    <w:rsid w:val="000C7990"/>
    <w:rsid w:val="000C79C9"/>
    <w:rsid w:val="000C7A89"/>
    <w:rsid w:val="000C7B2B"/>
    <w:rsid w:val="000C7B44"/>
    <w:rsid w:val="000C7BE2"/>
    <w:rsid w:val="000C7BF8"/>
    <w:rsid w:val="000C7D06"/>
    <w:rsid w:val="000C7D60"/>
    <w:rsid w:val="000C7DB1"/>
    <w:rsid w:val="000C7DC2"/>
    <w:rsid w:val="000C7E79"/>
    <w:rsid w:val="000C7EC9"/>
    <w:rsid w:val="000C7F74"/>
    <w:rsid w:val="000C7F84"/>
    <w:rsid w:val="000C7FA9"/>
    <w:rsid w:val="000D000C"/>
    <w:rsid w:val="000D0045"/>
    <w:rsid w:val="000D00A3"/>
    <w:rsid w:val="000D019E"/>
    <w:rsid w:val="000D021A"/>
    <w:rsid w:val="000D0243"/>
    <w:rsid w:val="000D0247"/>
    <w:rsid w:val="000D02AC"/>
    <w:rsid w:val="000D03EC"/>
    <w:rsid w:val="000D05AD"/>
    <w:rsid w:val="000D05BF"/>
    <w:rsid w:val="000D066B"/>
    <w:rsid w:val="000D0686"/>
    <w:rsid w:val="000D0733"/>
    <w:rsid w:val="000D0789"/>
    <w:rsid w:val="000D089B"/>
    <w:rsid w:val="000D0912"/>
    <w:rsid w:val="000D09E5"/>
    <w:rsid w:val="000D0A19"/>
    <w:rsid w:val="000D0A27"/>
    <w:rsid w:val="000D0B99"/>
    <w:rsid w:val="000D0C7B"/>
    <w:rsid w:val="000D0D15"/>
    <w:rsid w:val="000D0E0A"/>
    <w:rsid w:val="000D0E7D"/>
    <w:rsid w:val="000D0EC6"/>
    <w:rsid w:val="000D0FA1"/>
    <w:rsid w:val="000D0FC0"/>
    <w:rsid w:val="000D1132"/>
    <w:rsid w:val="000D11A1"/>
    <w:rsid w:val="000D1203"/>
    <w:rsid w:val="000D124D"/>
    <w:rsid w:val="000D12F2"/>
    <w:rsid w:val="000D1304"/>
    <w:rsid w:val="000D1536"/>
    <w:rsid w:val="000D15A8"/>
    <w:rsid w:val="000D162E"/>
    <w:rsid w:val="000D16C7"/>
    <w:rsid w:val="000D16F7"/>
    <w:rsid w:val="000D1701"/>
    <w:rsid w:val="000D172F"/>
    <w:rsid w:val="000D1800"/>
    <w:rsid w:val="000D1990"/>
    <w:rsid w:val="000D1AB8"/>
    <w:rsid w:val="000D1B93"/>
    <w:rsid w:val="000D1C1D"/>
    <w:rsid w:val="000D1E54"/>
    <w:rsid w:val="000D1E74"/>
    <w:rsid w:val="000D1E7C"/>
    <w:rsid w:val="000D1E7F"/>
    <w:rsid w:val="000D1FA4"/>
    <w:rsid w:val="000D2008"/>
    <w:rsid w:val="000D201B"/>
    <w:rsid w:val="000D2025"/>
    <w:rsid w:val="000D2031"/>
    <w:rsid w:val="000D20EA"/>
    <w:rsid w:val="000D2140"/>
    <w:rsid w:val="000D21B7"/>
    <w:rsid w:val="000D2220"/>
    <w:rsid w:val="000D222F"/>
    <w:rsid w:val="000D2260"/>
    <w:rsid w:val="000D245F"/>
    <w:rsid w:val="000D2494"/>
    <w:rsid w:val="000D24BC"/>
    <w:rsid w:val="000D25B1"/>
    <w:rsid w:val="000D2659"/>
    <w:rsid w:val="000D296C"/>
    <w:rsid w:val="000D29A9"/>
    <w:rsid w:val="000D2A86"/>
    <w:rsid w:val="000D2C29"/>
    <w:rsid w:val="000D2DA5"/>
    <w:rsid w:val="000D2DD4"/>
    <w:rsid w:val="000D2E01"/>
    <w:rsid w:val="000D2E0D"/>
    <w:rsid w:val="000D2E97"/>
    <w:rsid w:val="000D2EAA"/>
    <w:rsid w:val="000D2F8B"/>
    <w:rsid w:val="000D2F96"/>
    <w:rsid w:val="000D2F9E"/>
    <w:rsid w:val="000D3080"/>
    <w:rsid w:val="000D3252"/>
    <w:rsid w:val="000D33BA"/>
    <w:rsid w:val="000D33FE"/>
    <w:rsid w:val="000D3485"/>
    <w:rsid w:val="000D34AF"/>
    <w:rsid w:val="000D3527"/>
    <w:rsid w:val="000D356D"/>
    <w:rsid w:val="000D369D"/>
    <w:rsid w:val="000D36B9"/>
    <w:rsid w:val="000D3791"/>
    <w:rsid w:val="000D3845"/>
    <w:rsid w:val="000D3846"/>
    <w:rsid w:val="000D389F"/>
    <w:rsid w:val="000D3B1F"/>
    <w:rsid w:val="000D3B71"/>
    <w:rsid w:val="000D3BC3"/>
    <w:rsid w:val="000D3E64"/>
    <w:rsid w:val="000D4024"/>
    <w:rsid w:val="000D40A9"/>
    <w:rsid w:val="000D4372"/>
    <w:rsid w:val="000D4391"/>
    <w:rsid w:val="000D45F6"/>
    <w:rsid w:val="000D45F8"/>
    <w:rsid w:val="000D47C7"/>
    <w:rsid w:val="000D4807"/>
    <w:rsid w:val="000D48B0"/>
    <w:rsid w:val="000D496D"/>
    <w:rsid w:val="000D49DD"/>
    <w:rsid w:val="000D4ACD"/>
    <w:rsid w:val="000D4BCE"/>
    <w:rsid w:val="000D4C29"/>
    <w:rsid w:val="000D4D03"/>
    <w:rsid w:val="000D4D33"/>
    <w:rsid w:val="000D4DF2"/>
    <w:rsid w:val="000D4E27"/>
    <w:rsid w:val="000D4F3B"/>
    <w:rsid w:val="000D4FC6"/>
    <w:rsid w:val="000D50AE"/>
    <w:rsid w:val="000D5256"/>
    <w:rsid w:val="000D5260"/>
    <w:rsid w:val="000D52A8"/>
    <w:rsid w:val="000D541A"/>
    <w:rsid w:val="000D546F"/>
    <w:rsid w:val="000D5531"/>
    <w:rsid w:val="000D55C8"/>
    <w:rsid w:val="000D5635"/>
    <w:rsid w:val="000D56A2"/>
    <w:rsid w:val="000D56DB"/>
    <w:rsid w:val="000D5734"/>
    <w:rsid w:val="000D57BC"/>
    <w:rsid w:val="000D5827"/>
    <w:rsid w:val="000D585B"/>
    <w:rsid w:val="000D593F"/>
    <w:rsid w:val="000D59A9"/>
    <w:rsid w:val="000D5B11"/>
    <w:rsid w:val="000D5B50"/>
    <w:rsid w:val="000D5BE8"/>
    <w:rsid w:val="000D5C93"/>
    <w:rsid w:val="000D5EB9"/>
    <w:rsid w:val="000D6104"/>
    <w:rsid w:val="000D61FE"/>
    <w:rsid w:val="000D63CF"/>
    <w:rsid w:val="000D6673"/>
    <w:rsid w:val="000D66EF"/>
    <w:rsid w:val="000D6785"/>
    <w:rsid w:val="000D6923"/>
    <w:rsid w:val="000D6B4B"/>
    <w:rsid w:val="000D6E66"/>
    <w:rsid w:val="000D704E"/>
    <w:rsid w:val="000D7059"/>
    <w:rsid w:val="000D70B4"/>
    <w:rsid w:val="000D70CA"/>
    <w:rsid w:val="000D7118"/>
    <w:rsid w:val="000D7172"/>
    <w:rsid w:val="000D7255"/>
    <w:rsid w:val="000D72A0"/>
    <w:rsid w:val="000D7382"/>
    <w:rsid w:val="000D7404"/>
    <w:rsid w:val="000D7405"/>
    <w:rsid w:val="000D742A"/>
    <w:rsid w:val="000D753F"/>
    <w:rsid w:val="000D7540"/>
    <w:rsid w:val="000D75A0"/>
    <w:rsid w:val="000D7659"/>
    <w:rsid w:val="000D7699"/>
    <w:rsid w:val="000D777E"/>
    <w:rsid w:val="000D779A"/>
    <w:rsid w:val="000D77A7"/>
    <w:rsid w:val="000D784C"/>
    <w:rsid w:val="000D78A7"/>
    <w:rsid w:val="000D7A11"/>
    <w:rsid w:val="000D7A78"/>
    <w:rsid w:val="000D7B16"/>
    <w:rsid w:val="000D7C72"/>
    <w:rsid w:val="000D7CE8"/>
    <w:rsid w:val="000D7DAE"/>
    <w:rsid w:val="000D7E62"/>
    <w:rsid w:val="000D7F23"/>
    <w:rsid w:val="000E0043"/>
    <w:rsid w:val="000E00CC"/>
    <w:rsid w:val="000E0181"/>
    <w:rsid w:val="000E0207"/>
    <w:rsid w:val="000E02A4"/>
    <w:rsid w:val="000E0456"/>
    <w:rsid w:val="000E047F"/>
    <w:rsid w:val="000E0492"/>
    <w:rsid w:val="000E051F"/>
    <w:rsid w:val="000E0595"/>
    <w:rsid w:val="000E05A3"/>
    <w:rsid w:val="000E05C8"/>
    <w:rsid w:val="000E0722"/>
    <w:rsid w:val="000E0848"/>
    <w:rsid w:val="000E08B9"/>
    <w:rsid w:val="000E0909"/>
    <w:rsid w:val="000E0A01"/>
    <w:rsid w:val="000E0C0E"/>
    <w:rsid w:val="000E0C29"/>
    <w:rsid w:val="000E0C7F"/>
    <w:rsid w:val="000E0C95"/>
    <w:rsid w:val="000E0CFC"/>
    <w:rsid w:val="000E0DE4"/>
    <w:rsid w:val="000E0ECA"/>
    <w:rsid w:val="000E1034"/>
    <w:rsid w:val="000E10DA"/>
    <w:rsid w:val="000E11A8"/>
    <w:rsid w:val="000E1282"/>
    <w:rsid w:val="000E1311"/>
    <w:rsid w:val="000E134C"/>
    <w:rsid w:val="000E14D8"/>
    <w:rsid w:val="000E1647"/>
    <w:rsid w:val="000E16A1"/>
    <w:rsid w:val="000E16B3"/>
    <w:rsid w:val="000E16B6"/>
    <w:rsid w:val="000E16D5"/>
    <w:rsid w:val="000E1779"/>
    <w:rsid w:val="000E1888"/>
    <w:rsid w:val="000E18AA"/>
    <w:rsid w:val="000E18B4"/>
    <w:rsid w:val="000E195F"/>
    <w:rsid w:val="000E19A0"/>
    <w:rsid w:val="000E1A11"/>
    <w:rsid w:val="000E1A12"/>
    <w:rsid w:val="000E1B70"/>
    <w:rsid w:val="000E1BA9"/>
    <w:rsid w:val="000E1BFA"/>
    <w:rsid w:val="000E1C06"/>
    <w:rsid w:val="000E1C65"/>
    <w:rsid w:val="000E1DB2"/>
    <w:rsid w:val="000E1F4E"/>
    <w:rsid w:val="000E2023"/>
    <w:rsid w:val="000E20D6"/>
    <w:rsid w:val="000E216F"/>
    <w:rsid w:val="000E23EA"/>
    <w:rsid w:val="000E2417"/>
    <w:rsid w:val="000E2462"/>
    <w:rsid w:val="000E24DA"/>
    <w:rsid w:val="000E24E0"/>
    <w:rsid w:val="000E256F"/>
    <w:rsid w:val="000E268D"/>
    <w:rsid w:val="000E2739"/>
    <w:rsid w:val="000E27D7"/>
    <w:rsid w:val="000E283C"/>
    <w:rsid w:val="000E2881"/>
    <w:rsid w:val="000E29B0"/>
    <w:rsid w:val="000E29B2"/>
    <w:rsid w:val="000E2A2C"/>
    <w:rsid w:val="000E2A80"/>
    <w:rsid w:val="000E2AA8"/>
    <w:rsid w:val="000E2AD4"/>
    <w:rsid w:val="000E2BAE"/>
    <w:rsid w:val="000E2C63"/>
    <w:rsid w:val="000E2C6D"/>
    <w:rsid w:val="000E2E08"/>
    <w:rsid w:val="000E302D"/>
    <w:rsid w:val="000E3086"/>
    <w:rsid w:val="000E30CB"/>
    <w:rsid w:val="000E31E9"/>
    <w:rsid w:val="000E331E"/>
    <w:rsid w:val="000E3328"/>
    <w:rsid w:val="000E345B"/>
    <w:rsid w:val="000E349C"/>
    <w:rsid w:val="000E34A7"/>
    <w:rsid w:val="000E34E6"/>
    <w:rsid w:val="000E35DF"/>
    <w:rsid w:val="000E36AE"/>
    <w:rsid w:val="000E3736"/>
    <w:rsid w:val="000E377B"/>
    <w:rsid w:val="000E38AB"/>
    <w:rsid w:val="000E391F"/>
    <w:rsid w:val="000E397B"/>
    <w:rsid w:val="000E39E6"/>
    <w:rsid w:val="000E39EC"/>
    <w:rsid w:val="000E3A36"/>
    <w:rsid w:val="000E3C00"/>
    <w:rsid w:val="000E3C4B"/>
    <w:rsid w:val="000E3D69"/>
    <w:rsid w:val="000E3DEB"/>
    <w:rsid w:val="000E3E0F"/>
    <w:rsid w:val="000E3EE9"/>
    <w:rsid w:val="000E3F3F"/>
    <w:rsid w:val="000E3F6B"/>
    <w:rsid w:val="000E3FB5"/>
    <w:rsid w:val="000E400C"/>
    <w:rsid w:val="000E4035"/>
    <w:rsid w:val="000E405F"/>
    <w:rsid w:val="000E4060"/>
    <w:rsid w:val="000E437B"/>
    <w:rsid w:val="000E43EF"/>
    <w:rsid w:val="000E449D"/>
    <w:rsid w:val="000E44CA"/>
    <w:rsid w:val="000E4581"/>
    <w:rsid w:val="000E4693"/>
    <w:rsid w:val="000E472A"/>
    <w:rsid w:val="000E477C"/>
    <w:rsid w:val="000E4802"/>
    <w:rsid w:val="000E483C"/>
    <w:rsid w:val="000E484B"/>
    <w:rsid w:val="000E49C1"/>
    <w:rsid w:val="000E4A32"/>
    <w:rsid w:val="000E4A3A"/>
    <w:rsid w:val="000E4AEE"/>
    <w:rsid w:val="000E4C0F"/>
    <w:rsid w:val="000E4C97"/>
    <w:rsid w:val="000E4E40"/>
    <w:rsid w:val="000E4EA6"/>
    <w:rsid w:val="000E4F95"/>
    <w:rsid w:val="000E4FAD"/>
    <w:rsid w:val="000E5042"/>
    <w:rsid w:val="000E5123"/>
    <w:rsid w:val="000E51D3"/>
    <w:rsid w:val="000E52C3"/>
    <w:rsid w:val="000E52EF"/>
    <w:rsid w:val="000E5305"/>
    <w:rsid w:val="000E531F"/>
    <w:rsid w:val="000E532A"/>
    <w:rsid w:val="000E5445"/>
    <w:rsid w:val="000E546D"/>
    <w:rsid w:val="000E54E0"/>
    <w:rsid w:val="000E559D"/>
    <w:rsid w:val="000E5627"/>
    <w:rsid w:val="000E5657"/>
    <w:rsid w:val="000E5687"/>
    <w:rsid w:val="000E56A1"/>
    <w:rsid w:val="000E56A6"/>
    <w:rsid w:val="000E571A"/>
    <w:rsid w:val="000E584F"/>
    <w:rsid w:val="000E5876"/>
    <w:rsid w:val="000E58B3"/>
    <w:rsid w:val="000E5932"/>
    <w:rsid w:val="000E5980"/>
    <w:rsid w:val="000E5AFA"/>
    <w:rsid w:val="000E5CC7"/>
    <w:rsid w:val="000E5CEA"/>
    <w:rsid w:val="000E5D02"/>
    <w:rsid w:val="000E5D9F"/>
    <w:rsid w:val="000E5DD6"/>
    <w:rsid w:val="000E5E47"/>
    <w:rsid w:val="000E5F1B"/>
    <w:rsid w:val="000E5F3D"/>
    <w:rsid w:val="000E6024"/>
    <w:rsid w:val="000E6048"/>
    <w:rsid w:val="000E604C"/>
    <w:rsid w:val="000E609E"/>
    <w:rsid w:val="000E60B8"/>
    <w:rsid w:val="000E6137"/>
    <w:rsid w:val="000E61F6"/>
    <w:rsid w:val="000E626F"/>
    <w:rsid w:val="000E62DC"/>
    <w:rsid w:val="000E62EB"/>
    <w:rsid w:val="000E635D"/>
    <w:rsid w:val="000E6694"/>
    <w:rsid w:val="000E674B"/>
    <w:rsid w:val="000E685D"/>
    <w:rsid w:val="000E695D"/>
    <w:rsid w:val="000E69D0"/>
    <w:rsid w:val="000E6AFC"/>
    <w:rsid w:val="000E6B08"/>
    <w:rsid w:val="000E6B42"/>
    <w:rsid w:val="000E6B5D"/>
    <w:rsid w:val="000E6CAE"/>
    <w:rsid w:val="000E6E93"/>
    <w:rsid w:val="000E6F20"/>
    <w:rsid w:val="000E6FA5"/>
    <w:rsid w:val="000E710D"/>
    <w:rsid w:val="000E7118"/>
    <w:rsid w:val="000E7329"/>
    <w:rsid w:val="000E752D"/>
    <w:rsid w:val="000E763B"/>
    <w:rsid w:val="000E7717"/>
    <w:rsid w:val="000E772C"/>
    <w:rsid w:val="000E779D"/>
    <w:rsid w:val="000E77DA"/>
    <w:rsid w:val="000E798D"/>
    <w:rsid w:val="000E7AC1"/>
    <w:rsid w:val="000E7B1A"/>
    <w:rsid w:val="000E7B31"/>
    <w:rsid w:val="000E7BD6"/>
    <w:rsid w:val="000E7BDC"/>
    <w:rsid w:val="000E7C09"/>
    <w:rsid w:val="000E7E0D"/>
    <w:rsid w:val="000E7E8C"/>
    <w:rsid w:val="000E7EAC"/>
    <w:rsid w:val="000E7ED9"/>
    <w:rsid w:val="000E7EF1"/>
    <w:rsid w:val="000F00BF"/>
    <w:rsid w:val="000F0205"/>
    <w:rsid w:val="000F034A"/>
    <w:rsid w:val="000F039A"/>
    <w:rsid w:val="000F0408"/>
    <w:rsid w:val="000F050B"/>
    <w:rsid w:val="000F0593"/>
    <w:rsid w:val="000F05EF"/>
    <w:rsid w:val="000F0871"/>
    <w:rsid w:val="000F0A7D"/>
    <w:rsid w:val="000F0ADD"/>
    <w:rsid w:val="000F0B5D"/>
    <w:rsid w:val="000F0CC7"/>
    <w:rsid w:val="000F0D8C"/>
    <w:rsid w:val="000F0DD8"/>
    <w:rsid w:val="000F0E84"/>
    <w:rsid w:val="000F0F5B"/>
    <w:rsid w:val="000F100B"/>
    <w:rsid w:val="000F10B1"/>
    <w:rsid w:val="000F111F"/>
    <w:rsid w:val="000F1121"/>
    <w:rsid w:val="000F11FC"/>
    <w:rsid w:val="000F1215"/>
    <w:rsid w:val="000F12F0"/>
    <w:rsid w:val="000F13A5"/>
    <w:rsid w:val="000F14FD"/>
    <w:rsid w:val="000F1514"/>
    <w:rsid w:val="000F16DF"/>
    <w:rsid w:val="000F1789"/>
    <w:rsid w:val="000F1808"/>
    <w:rsid w:val="000F1908"/>
    <w:rsid w:val="000F197A"/>
    <w:rsid w:val="000F19FF"/>
    <w:rsid w:val="000F1ADF"/>
    <w:rsid w:val="000F1BF5"/>
    <w:rsid w:val="000F1C0C"/>
    <w:rsid w:val="000F1D5E"/>
    <w:rsid w:val="000F1E93"/>
    <w:rsid w:val="000F1EA8"/>
    <w:rsid w:val="000F1FB3"/>
    <w:rsid w:val="000F20BA"/>
    <w:rsid w:val="000F211B"/>
    <w:rsid w:val="000F2256"/>
    <w:rsid w:val="000F225F"/>
    <w:rsid w:val="000F22B4"/>
    <w:rsid w:val="000F2339"/>
    <w:rsid w:val="000F239F"/>
    <w:rsid w:val="000F243A"/>
    <w:rsid w:val="000F2502"/>
    <w:rsid w:val="000F2541"/>
    <w:rsid w:val="000F2544"/>
    <w:rsid w:val="000F2577"/>
    <w:rsid w:val="000F25A9"/>
    <w:rsid w:val="000F25BF"/>
    <w:rsid w:val="000F2613"/>
    <w:rsid w:val="000F2682"/>
    <w:rsid w:val="000F288E"/>
    <w:rsid w:val="000F28E8"/>
    <w:rsid w:val="000F293B"/>
    <w:rsid w:val="000F296D"/>
    <w:rsid w:val="000F2A52"/>
    <w:rsid w:val="000F2B24"/>
    <w:rsid w:val="000F2B37"/>
    <w:rsid w:val="000F2CAE"/>
    <w:rsid w:val="000F2D16"/>
    <w:rsid w:val="000F2D75"/>
    <w:rsid w:val="000F2DF7"/>
    <w:rsid w:val="000F2F90"/>
    <w:rsid w:val="000F2F91"/>
    <w:rsid w:val="000F2F9E"/>
    <w:rsid w:val="000F2FDB"/>
    <w:rsid w:val="000F2FF4"/>
    <w:rsid w:val="000F301B"/>
    <w:rsid w:val="000F30DB"/>
    <w:rsid w:val="000F33D6"/>
    <w:rsid w:val="000F342D"/>
    <w:rsid w:val="000F3479"/>
    <w:rsid w:val="000F35A9"/>
    <w:rsid w:val="000F35B4"/>
    <w:rsid w:val="000F35C0"/>
    <w:rsid w:val="000F37D1"/>
    <w:rsid w:val="000F383E"/>
    <w:rsid w:val="000F394F"/>
    <w:rsid w:val="000F3A6A"/>
    <w:rsid w:val="000F3B8D"/>
    <w:rsid w:val="000F3D14"/>
    <w:rsid w:val="000F3D81"/>
    <w:rsid w:val="000F3D99"/>
    <w:rsid w:val="000F3E34"/>
    <w:rsid w:val="000F3E88"/>
    <w:rsid w:val="000F401D"/>
    <w:rsid w:val="000F40E1"/>
    <w:rsid w:val="000F4141"/>
    <w:rsid w:val="000F4206"/>
    <w:rsid w:val="000F4230"/>
    <w:rsid w:val="000F43AF"/>
    <w:rsid w:val="000F4438"/>
    <w:rsid w:val="000F4667"/>
    <w:rsid w:val="000F4A68"/>
    <w:rsid w:val="000F4AD8"/>
    <w:rsid w:val="000F4AE2"/>
    <w:rsid w:val="000F4BC8"/>
    <w:rsid w:val="000F4C0C"/>
    <w:rsid w:val="000F4D04"/>
    <w:rsid w:val="000F4E0E"/>
    <w:rsid w:val="000F5062"/>
    <w:rsid w:val="000F50B3"/>
    <w:rsid w:val="000F5183"/>
    <w:rsid w:val="000F519D"/>
    <w:rsid w:val="000F52E6"/>
    <w:rsid w:val="000F5309"/>
    <w:rsid w:val="000F540A"/>
    <w:rsid w:val="000F5414"/>
    <w:rsid w:val="000F541E"/>
    <w:rsid w:val="000F5747"/>
    <w:rsid w:val="000F5760"/>
    <w:rsid w:val="000F57AB"/>
    <w:rsid w:val="000F5807"/>
    <w:rsid w:val="000F583A"/>
    <w:rsid w:val="000F59CD"/>
    <w:rsid w:val="000F5A86"/>
    <w:rsid w:val="000F5AAF"/>
    <w:rsid w:val="000F5AD3"/>
    <w:rsid w:val="000F5B13"/>
    <w:rsid w:val="000F5B62"/>
    <w:rsid w:val="000F5BD5"/>
    <w:rsid w:val="000F5ED8"/>
    <w:rsid w:val="000F600B"/>
    <w:rsid w:val="000F60FC"/>
    <w:rsid w:val="000F610F"/>
    <w:rsid w:val="000F6138"/>
    <w:rsid w:val="000F6217"/>
    <w:rsid w:val="000F6276"/>
    <w:rsid w:val="000F63CA"/>
    <w:rsid w:val="000F6411"/>
    <w:rsid w:val="000F651D"/>
    <w:rsid w:val="000F661D"/>
    <w:rsid w:val="000F6621"/>
    <w:rsid w:val="000F6654"/>
    <w:rsid w:val="000F66E2"/>
    <w:rsid w:val="000F6793"/>
    <w:rsid w:val="000F67D0"/>
    <w:rsid w:val="000F67F1"/>
    <w:rsid w:val="000F6931"/>
    <w:rsid w:val="000F6992"/>
    <w:rsid w:val="000F6CDA"/>
    <w:rsid w:val="000F6D39"/>
    <w:rsid w:val="000F6D6F"/>
    <w:rsid w:val="000F6DCC"/>
    <w:rsid w:val="000F6DE4"/>
    <w:rsid w:val="000F6E71"/>
    <w:rsid w:val="000F6F06"/>
    <w:rsid w:val="000F6F6B"/>
    <w:rsid w:val="000F70DD"/>
    <w:rsid w:val="000F7264"/>
    <w:rsid w:val="000F72AC"/>
    <w:rsid w:val="000F7369"/>
    <w:rsid w:val="000F737C"/>
    <w:rsid w:val="000F744A"/>
    <w:rsid w:val="000F75EC"/>
    <w:rsid w:val="000F788D"/>
    <w:rsid w:val="000F793D"/>
    <w:rsid w:val="000F79C6"/>
    <w:rsid w:val="000F7AAF"/>
    <w:rsid w:val="000F7B49"/>
    <w:rsid w:val="000F7BAD"/>
    <w:rsid w:val="000F7BBB"/>
    <w:rsid w:val="000F7CBE"/>
    <w:rsid w:val="000F7D66"/>
    <w:rsid w:val="000F7E5E"/>
    <w:rsid w:val="000F7EB9"/>
    <w:rsid w:val="000F7ED7"/>
    <w:rsid w:val="000F7F6E"/>
    <w:rsid w:val="000F7F86"/>
    <w:rsid w:val="001000A8"/>
    <w:rsid w:val="00100111"/>
    <w:rsid w:val="00100137"/>
    <w:rsid w:val="001001A4"/>
    <w:rsid w:val="00100204"/>
    <w:rsid w:val="0010020F"/>
    <w:rsid w:val="00100285"/>
    <w:rsid w:val="001004B4"/>
    <w:rsid w:val="001004D6"/>
    <w:rsid w:val="001004DC"/>
    <w:rsid w:val="00100533"/>
    <w:rsid w:val="001005D8"/>
    <w:rsid w:val="00100618"/>
    <w:rsid w:val="00100736"/>
    <w:rsid w:val="00100763"/>
    <w:rsid w:val="001007A0"/>
    <w:rsid w:val="0010086E"/>
    <w:rsid w:val="00100898"/>
    <w:rsid w:val="00100948"/>
    <w:rsid w:val="00100AC0"/>
    <w:rsid w:val="00100B9B"/>
    <w:rsid w:val="00100BBD"/>
    <w:rsid w:val="00100CE2"/>
    <w:rsid w:val="00100D3D"/>
    <w:rsid w:val="00100D74"/>
    <w:rsid w:val="00100DC1"/>
    <w:rsid w:val="00100E9A"/>
    <w:rsid w:val="00100EB0"/>
    <w:rsid w:val="00100EB2"/>
    <w:rsid w:val="00101013"/>
    <w:rsid w:val="00101091"/>
    <w:rsid w:val="001011BA"/>
    <w:rsid w:val="00101253"/>
    <w:rsid w:val="001012AC"/>
    <w:rsid w:val="001012D8"/>
    <w:rsid w:val="001013E6"/>
    <w:rsid w:val="001013F3"/>
    <w:rsid w:val="001014E1"/>
    <w:rsid w:val="00101504"/>
    <w:rsid w:val="0010150C"/>
    <w:rsid w:val="00101537"/>
    <w:rsid w:val="0010169A"/>
    <w:rsid w:val="00101802"/>
    <w:rsid w:val="001018C6"/>
    <w:rsid w:val="00101A03"/>
    <w:rsid w:val="00101A17"/>
    <w:rsid w:val="00101AD1"/>
    <w:rsid w:val="00101B02"/>
    <w:rsid w:val="00101BE1"/>
    <w:rsid w:val="00101C6F"/>
    <w:rsid w:val="00101DCF"/>
    <w:rsid w:val="00101E3F"/>
    <w:rsid w:val="00101E7C"/>
    <w:rsid w:val="00101F3B"/>
    <w:rsid w:val="00101FF2"/>
    <w:rsid w:val="00102165"/>
    <w:rsid w:val="00102220"/>
    <w:rsid w:val="001022CE"/>
    <w:rsid w:val="0010235E"/>
    <w:rsid w:val="00102386"/>
    <w:rsid w:val="00102473"/>
    <w:rsid w:val="001024D5"/>
    <w:rsid w:val="00102748"/>
    <w:rsid w:val="001027FA"/>
    <w:rsid w:val="0010289D"/>
    <w:rsid w:val="00102A22"/>
    <w:rsid w:val="00102B71"/>
    <w:rsid w:val="00102BAF"/>
    <w:rsid w:val="00102BD9"/>
    <w:rsid w:val="00102BEA"/>
    <w:rsid w:val="00102C03"/>
    <w:rsid w:val="00102C7C"/>
    <w:rsid w:val="00102E37"/>
    <w:rsid w:val="00102E60"/>
    <w:rsid w:val="00102F29"/>
    <w:rsid w:val="00103127"/>
    <w:rsid w:val="0010324E"/>
    <w:rsid w:val="00103252"/>
    <w:rsid w:val="001033A6"/>
    <w:rsid w:val="0010341E"/>
    <w:rsid w:val="00103495"/>
    <w:rsid w:val="001035C0"/>
    <w:rsid w:val="001035C9"/>
    <w:rsid w:val="00103685"/>
    <w:rsid w:val="001039D5"/>
    <w:rsid w:val="001039EB"/>
    <w:rsid w:val="00103B60"/>
    <w:rsid w:val="00103C1C"/>
    <w:rsid w:val="00103C55"/>
    <w:rsid w:val="00103D7D"/>
    <w:rsid w:val="00103EF6"/>
    <w:rsid w:val="00104093"/>
    <w:rsid w:val="00104170"/>
    <w:rsid w:val="001042E0"/>
    <w:rsid w:val="0010430C"/>
    <w:rsid w:val="001043B4"/>
    <w:rsid w:val="00104405"/>
    <w:rsid w:val="00104427"/>
    <w:rsid w:val="00104444"/>
    <w:rsid w:val="001044DC"/>
    <w:rsid w:val="001044E1"/>
    <w:rsid w:val="001044F8"/>
    <w:rsid w:val="001046FC"/>
    <w:rsid w:val="00104741"/>
    <w:rsid w:val="0010478E"/>
    <w:rsid w:val="00104951"/>
    <w:rsid w:val="00104957"/>
    <w:rsid w:val="001049B2"/>
    <w:rsid w:val="001049CF"/>
    <w:rsid w:val="001049EB"/>
    <w:rsid w:val="001049EC"/>
    <w:rsid w:val="00104AFF"/>
    <w:rsid w:val="00104B12"/>
    <w:rsid w:val="00104B79"/>
    <w:rsid w:val="00104BB7"/>
    <w:rsid w:val="00104C89"/>
    <w:rsid w:val="00104DC1"/>
    <w:rsid w:val="00104EEC"/>
    <w:rsid w:val="00104F24"/>
    <w:rsid w:val="00105101"/>
    <w:rsid w:val="00105112"/>
    <w:rsid w:val="00105135"/>
    <w:rsid w:val="0010526F"/>
    <w:rsid w:val="00105309"/>
    <w:rsid w:val="001054FB"/>
    <w:rsid w:val="00105555"/>
    <w:rsid w:val="0010565D"/>
    <w:rsid w:val="001056C8"/>
    <w:rsid w:val="001058B1"/>
    <w:rsid w:val="0010594D"/>
    <w:rsid w:val="00105A5D"/>
    <w:rsid w:val="00105C3B"/>
    <w:rsid w:val="00105CE3"/>
    <w:rsid w:val="00105D28"/>
    <w:rsid w:val="00105DD6"/>
    <w:rsid w:val="00105F26"/>
    <w:rsid w:val="00105F5A"/>
    <w:rsid w:val="00105FFF"/>
    <w:rsid w:val="00106019"/>
    <w:rsid w:val="00106204"/>
    <w:rsid w:val="001062D9"/>
    <w:rsid w:val="0010634B"/>
    <w:rsid w:val="0010635E"/>
    <w:rsid w:val="00106361"/>
    <w:rsid w:val="001064CA"/>
    <w:rsid w:val="00106535"/>
    <w:rsid w:val="0010655E"/>
    <w:rsid w:val="001065C1"/>
    <w:rsid w:val="00106689"/>
    <w:rsid w:val="0010680D"/>
    <w:rsid w:val="00106892"/>
    <w:rsid w:val="00106953"/>
    <w:rsid w:val="001069E3"/>
    <w:rsid w:val="00106A6B"/>
    <w:rsid w:val="00106AA9"/>
    <w:rsid w:val="00106B61"/>
    <w:rsid w:val="00106BB8"/>
    <w:rsid w:val="00106CA5"/>
    <w:rsid w:val="00106CDB"/>
    <w:rsid w:val="00106CFC"/>
    <w:rsid w:val="00106F1F"/>
    <w:rsid w:val="00106F8A"/>
    <w:rsid w:val="0010700C"/>
    <w:rsid w:val="00107101"/>
    <w:rsid w:val="00107385"/>
    <w:rsid w:val="0010756D"/>
    <w:rsid w:val="0010785B"/>
    <w:rsid w:val="001078E3"/>
    <w:rsid w:val="001079BD"/>
    <w:rsid w:val="00107A07"/>
    <w:rsid w:val="00107A0A"/>
    <w:rsid w:val="00107A7A"/>
    <w:rsid w:val="00107A90"/>
    <w:rsid w:val="00107AED"/>
    <w:rsid w:val="00107B0B"/>
    <w:rsid w:val="00107B6E"/>
    <w:rsid w:val="00107D0D"/>
    <w:rsid w:val="00107D40"/>
    <w:rsid w:val="00107D6D"/>
    <w:rsid w:val="00107E11"/>
    <w:rsid w:val="00107E2F"/>
    <w:rsid w:val="00107F31"/>
    <w:rsid w:val="00110056"/>
    <w:rsid w:val="0011019A"/>
    <w:rsid w:val="001101AD"/>
    <w:rsid w:val="00110320"/>
    <w:rsid w:val="0011035A"/>
    <w:rsid w:val="001103DB"/>
    <w:rsid w:val="00110408"/>
    <w:rsid w:val="00110416"/>
    <w:rsid w:val="001104F3"/>
    <w:rsid w:val="00110500"/>
    <w:rsid w:val="00110578"/>
    <w:rsid w:val="00110623"/>
    <w:rsid w:val="001106A8"/>
    <w:rsid w:val="0011080C"/>
    <w:rsid w:val="00110844"/>
    <w:rsid w:val="00110870"/>
    <w:rsid w:val="001108F3"/>
    <w:rsid w:val="0011093C"/>
    <w:rsid w:val="00110B79"/>
    <w:rsid w:val="00110B85"/>
    <w:rsid w:val="00110BD2"/>
    <w:rsid w:val="00110CD6"/>
    <w:rsid w:val="00110D01"/>
    <w:rsid w:val="00110DD8"/>
    <w:rsid w:val="00110E10"/>
    <w:rsid w:val="00110E20"/>
    <w:rsid w:val="00110FE5"/>
    <w:rsid w:val="00111104"/>
    <w:rsid w:val="001113C9"/>
    <w:rsid w:val="0011151C"/>
    <w:rsid w:val="00111607"/>
    <w:rsid w:val="0011160C"/>
    <w:rsid w:val="001116E2"/>
    <w:rsid w:val="0011191C"/>
    <w:rsid w:val="00111975"/>
    <w:rsid w:val="001119BD"/>
    <w:rsid w:val="00111A83"/>
    <w:rsid w:val="00111B24"/>
    <w:rsid w:val="00111BB4"/>
    <w:rsid w:val="00111C5D"/>
    <w:rsid w:val="00111DC2"/>
    <w:rsid w:val="00111EC3"/>
    <w:rsid w:val="00111F33"/>
    <w:rsid w:val="00111FAA"/>
    <w:rsid w:val="001122DA"/>
    <w:rsid w:val="00112309"/>
    <w:rsid w:val="00112537"/>
    <w:rsid w:val="00112686"/>
    <w:rsid w:val="0011277E"/>
    <w:rsid w:val="00112AC1"/>
    <w:rsid w:val="00112C20"/>
    <w:rsid w:val="00112D1D"/>
    <w:rsid w:val="00112DB5"/>
    <w:rsid w:val="00112E10"/>
    <w:rsid w:val="00112E3D"/>
    <w:rsid w:val="00112FEC"/>
    <w:rsid w:val="00113031"/>
    <w:rsid w:val="00113046"/>
    <w:rsid w:val="00113138"/>
    <w:rsid w:val="001131A9"/>
    <w:rsid w:val="001131EF"/>
    <w:rsid w:val="001132B6"/>
    <w:rsid w:val="0011330F"/>
    <w:rsid w:val="00113365"/>
    <w:rsid w:val="001134B7"/>
    <w:rsid w:val="001134D2"/>
    <w:rsid w:val="0011364B"/>
    <w:rsid w:val="001136AD"/>
    <w:rsid w:val="00113975"/>
    <w:rsid w:val="00113B1E"/>
    <w:rsid w:val="00113BEF"/>
    <w:rsid w:val="00113C9D"/>
    <w:rsid w:val="00113CD0"/>
    <w:rsid w:val="00113D1F"/>
    <w:rsid w:val="00113D43"/>
    <w:rsid w:val="00113E2F"/>
    <w:rsid w:val="00113EC5"/>
    <w:rsid w:val="00113ED0"/>
    <w:rsid w:val="00113ED9"/>
    <w:rsid w:val="00113F39"/>
    <w:rsid w:val="0011402F"/>
    <w:rsid w:val="00114352"/>
    <w:rsid w:val="00114373"/>
    <w:rsid w:val="001143B3"/>
    <w:rsid w:val="001143C9"/>
    <w:rsid w:val="00114492"/>
    <w:rsid w:val="00114497"/>
    <w:rsid w:val="001144B5"/>
    <w:rsid w:val="0011462A"/>
    <w:rsid w:val="0011465A"/>
    <w:rsid w:val="00114745"/>
    <w:rsid w:val="0011481A"/>
    <w:rsid w:val="001148AD"/>
    <w:rsid w:val="001148AE"/>
    <w:rsid w:val="0011490D"/>
    <w:rsid w:val="0011492B"/>
    <w:rsid w:val="00114B0C"/>
    <w:rsid w:val="00114C1E"/>
    <w:rsid w:val="00114C7A"/>
    <w:rsid w:val="00114CB6"/>
    <w:rsid w:val="00114D63"/>
    <w:rsid w:val="00114DA8"/>
    <w:rsid w:val="00114E45"/>
    <w:rsid w:val="00114F6F"/>
    <w:rsid w:val="00114F9F"/>
    <w:rsid w:val="00115057"/>
    <w:rsid w:val="001150A0"/>
    <w:rsid w:val="0011510D"/>
    <w:rsid w:val="0011510F"/>
    <w:rsid w:val="0011513F"/>
    <w:rsid w:val="001151A5"/>
    <w:rsid w:val="001151D6"/>
    <w:rsid w:val="001152B6"/>
    <w:rsid w:val="001153DD"/>
    <w:rsid w:val="00115567"/>
    <w:rsid w:val="001155C2"/>
    <w:rsid w:val="001156C3"/>
    <w:rsid w:val="0011570A"/>
    <w:rsid w:val="00115732"/>
    <w:rsid w:val="001157AF"/>
    <w:rsid w:val="001157B6"/>
    <w:rsid w:val="00115ACB"/>
    <w:rsid w:val="00115B22"/>
    <w:rsid w:val="00115B27"/>
    <w:rsid w:val="00115CE3"/>
    <w:rsid w:val="00115CFF"/>
    <w:rsid w:val="00115D96"/>
    <w:rsid w:val="00115E4A"/>
    <w:rsid w:val="00115EAF"/>
    <w:rsid w:val="0011626E"/>
    <w:rsid w:val="001163FB"/>
    <w:rsid w:val="00116422"/>
    <w:rsid w:val="0011644E"/>
    <w:rsid w:val="001165A0"/>
    <w:rsid w:val="001166C9"/>
    <w:rsid w:val="00116789"/>
    <w:rsid w:val="001168AD"/>
    <w:rsid w:val="00116911"/>
    <w:rsid w:val="0011693F"/>
    <w:rsid w:val="0011694A"/>
    <w:rsid w:val="001169B1"/>
    <w:rsid w:val="00116AA8"/>
    <w:rsid w:val="00116BC6"/>
    <w:rsid w:val="00116BF6"/>
    <w:rsid w:val="00116C65"/>
    <w:rsid w:val="00116D0B"/>
    <w:rsid w:val="00116E96"/>
    <w:rsid w:val="00116EAA"/>
    <w:rsid w:val="00116F54"/>
    <w:rsid w:val="00117047"/>
    <w:rsid w:val="001170BC"/>
    <w:rsid w:val="00117127"/>
    <w:rsid w:val="0011716F"/>
    <w:rsid w:val="00117292"/>
    <w:rsid w:val="001172DC"/>
    <w:rsid w:val="001172EB"/>
    <w:rsid w:val="00117396"/>
    <w:rsid w:val="0011747E"/>
    <w:rsid w:val="001174D6"/>
    <w:rsid w:val="0011750E"/>
    <w:rsid w:val="0011771B"/>
    <w:rsid w:val="00117755"/>
    <w:rsid w:val="0011776D"/>
    <w:rsid w:val="0011783B"/>
    <w:rsid w:val="00117994"/>
    <w:rsid w:val="00117B9B"/>
    <w:rsid w:val="00117BD0"/>
    <w:rsid w:val="00117C1D"/>
    <w:rsid w:val="00117C90"/>
    <w:rsid w:val="00117CD0"/>
    <w:rsid w:val="00117CD4"/>
    <w:rsid w:val="00117CD8"/>
    <w:rsid w:val="00117D9D"/>
    <w:rsid w:val="00117DCB"/>
    <w:rsid w:val="00117DCE"/>
    <w:rsid w:val="00117DD9"/>
    <w:rsid w:val="00117E97"/>
    <w:rsid w:val="00120234"/>
    <w:rsid w:val="001204C5"/>
    <w:rsid w:val="001205E1"/>
    <w:rsid w:val="001206C9"/>
    <w:rsid w:val="001206EF"/>
    <w:rsid w:val="00120751"/>
    <w:rsid w:val="001207BB"/>
    <w:rsid w:val="001207C6"/>
    <w:rsid w:val="001207D4"/>
    <w:rsid w:val="0012093E"/>
    <w:rsid w:val="00120953"/>
    <w:rsid w:val="00120B62"/>
    <w:rsid w:val="00120BA1"/>
    <w:rsid w:val="00120C0E"/>
    <w:rsid w:val="00120CC5"/>
    <w:rsid w:val="00120CF6"/>
    <w:rsid w:val="00120D1D"/>
    <w:rsid w:val="00120E7A"/>
    <w:rsid w:val="00120F6A"/>
    <w:rsid w:val="001210D3"/>
    <w:rsid w:val="00121103"/>
    <w:rsid w:val="00121285"/>
    <w:rsid w:val="00121386"/>
    <w:rsid w:val="0012139B"/>
    <w:rsid w:val="001213D8"/>
    <w:rsid w:val="001214BA"/>
    <w:rsid w:val="001216D4"/>
    <w:rsid w:val="0012176B"/>
    <w:rsid w:val="001218AC"/>
    <w:rsid w:val="00121909"/>
    <w:rsid w:val="0012190E"/>
    <w:rsid w:val="001219C7"/>
    <w:rsid w:val="00121AA4"/>
    <w:rsid w:val="00121ACA"/>
    <w:rsid w:val="00121AE5"/>
    <w:rsid w:val="00121BD4"/>
    <w:rsid w:val="00121C45"/>
    <w:rsid w:val="00121C85"/>
    <w:rsid w:val="00121E2F"/>
    <w:rsid w:val="00121E5F"/>
    <w:rsid w:val="00121F8A"/>
    <w:rsid w:val="00121F94"/>
    <w:rsid w:val="00121FCE"/>
    <w:rsid w:val="00122219"/>
    <w:rsid w:val="00122243"/>
    <w:rsid w:val="00122375"/>
    <w:rsid w:val="00122398"/>
    <w:rsid w:val="001223C2"/>
    <w:rsid w:val="00122726"/>
    <w:rsid w:val="001227A5"/>
    <w:rsid w:val="001227D3"/>
    <w:rsid w:val="00122846"/>
    <w:rsid w:val="001228B7"/>
    <w:rsid w:val="001228C7"/>
    <w:rsid w:val="001228DB"/>
    <w:rsid w:val="00122922"/>
    <w:rsid w:val="00122973"/>
    <w:rsid w:val="001229E6"/>
    <w:rsid w:val="00122AA0"/>
    <w:rsid w:val="00122B68"/>
    <w:rsid w:val="00122BD4"/>
    <w:rsid w:val="00122C04"/>
    <w:rsid w:val="00122CC6"/>
    <w:rsid w:val="00122D21"/>
    <w:rsid w:val="00122D57"/>
    <w:rsid w:val="00122D6C"/>
    <w:rsid w:val="00122DA6"/>
    <w:rsid w:val="00122DA7"/>
    <w:rsid w:val="00122DBB"/>
    <w:rsid w:val="00122DD9"/>
    <w:rsid w:val="00122E15"/>
    <w:rsid w:val="00122F28"/>
    <w:rsid w:val="00122F40"/>
    <w:rsid w:val="00122F8E"/>
    <w:rsid w:val="00123026"/>
    <w:rsid w:val="001230B4"/>
    <w:rsid w:val="001230CB"/>
    <w:rsid w:val="001231C5"/>
    <w:rsid w:val="001231CB"/>
    <w:rsid w:val="00123262"/>
    <w:rsid w:val="001232F0"/>
    <w:rsid w:val="00123306"/>
    <w:rsid w:val="001233D2"/>
    <w:rsid w:val="00123533"/>
    <w:rsid w:val="00123574"/>
    <w:rsid w:val="00123590"/>
    <w:rsid w:val="00123758"/>
    <w:rsid w:val="00123789"/>
    <w:rsid w:val="00123797"/>
    <w:rsid w:val="001237B7"/>
    <w:rsid w:val="001237D3"/>
    <w:rsid w:val="00123845"/>
    <w:rsid w:val="00123884"/>
    <w:rsid w:val="001238B2"/>
    <w:rsid w:val="001238C1"/>
    <w:rsid w:val="00123A04"/>
    <w:rsid w:val="00123A49"/>
    <w:rsid w:val="00123AB3"/>
    <w:rsid w:val="00123ACA"/>
    <w:rsid w:val="00123AF6"/>
    <w:rsid w:val="00123B4F"/>
    <w:rsid w:val="00123BD1"/>
    <w:rsid w:val="00123C4A"/>
    <w:rsid w:val="00123D26"/>
    <w:rsid w:val="00123F7B"/>
    <w:rsid w:val="00123F9D"/>
    <w:rsid w:val="001240EA"/>
    <w:rsid w:val="0012415B"/>
    <w:rsid w:val="001241D6"/>
    <w:rsid w:val="00124249"/>
    <w:rsid w:val="00124432"/>
    <w:rsid w:val="001244F6"/>
    <w:rsid w:val="00124636"/>
    <w:rsid w:val="00124689"/>
    <w:rsid w:val="00124711"/>
    <w:rsid w:val="00124878"/>
    <w:rsid w:val="001248C7"/>
    <w:rsid w:val="00124912"/>
    <w:rsid w:val="00124ADD"/>
    <w:rsid w:val="00124BDB"/>
    <w:rsid w:val="00124C60"/>
    <w:rsid w:val="00124CC5"/>
    <w:rsid w:val="00124CE1"/>
    <w:rsid w:val="00124CFC"/>
    <w:rsid w:val="00124E17"/>
    <w:rsid w:val="00124F0E"/>
    <w:rsid w:val="00125117"/>
    <w:rsid w:val="00125136"/>
    <w:rsid w:val="0012539D"/>
    <w:rsid w:val="001253EC"/>
    <w:rsid w:val="001255AA"/>
    <w:rsid w:val="00125706"/>
    <w:rsid w:val="00125804"/>
    <w:rsid w:val="00125807"/>
    <w:rsid w:val="0012581A"/>
    <w:rsid w:val="001258A9"/>
    <w:rsid w:val="00125909"/>
    <w:rsid w:val="0012592A"/>
    <w:rsid w:val="001259F1"/>
    <w:rsid w:val="00125A34"/>
    <w:rsid w:val="00125B5E"/>
    <w:rsid w:val="00125BD9"/>
    <w:rsid w:val="00125C3C"/>
    <w:rsid w:val="00125D5D"/>
    <w:rsid w:val="00125DF5"/>
    <w:rsid w:val="00125E59"/>
    <w:rsid w:val="00125E8F"/>
    <w:rsid w:val="00125E9B"/>
    <w:rsid w:val="00125F97"/>
    <w:rsid w:val="001261E0"/>
    <w:rsid w:val="00126397"/>
    <w:rsid w:val="001263FB"/>
    <w:rsid w:val="00126590"/>
    <w:rsid w:val="001265B2"/>
    <w:rsid w:val="0012661A"/>
    <w:rsid w:val="001266EC"/>
    <w:rsid w:val="001267BA"/>
    <w:rsid w:val="001267C7"/>
    <w:rsid w:val="00126949"/>
    <w:rsid w:val="001269E6"/>
    <w:rsid w:val="00126ADD"/>
    <w:rsid w:val="00126B0B"/>
    <w:rsid w:val="00126B19"/>
    <w:rsid w:val="00126B66"/>
    <w:rsid w:val="00126C5C"/>
    <w:rsid w:val="00126C62"/>
    <w:rsid w:val="00126C91"/>
    <w:rsid w:val="00126E51"/>
    <w:rsid w:val="00126F0D"/>
    <w:rsid w:val="00126F97"/>
    <w:rsid w:val="00126FE8"/>
    <w:rsid w:val="001270A0"/>
    <w:rsid w:val="00127105"/>
    <w:rsid w:val="00127215"/>
    <w:rsid w:val="0012730F"/>
    <w:rsid w:val="00127491"/>
    <w:rsid w:val="00127499"/>
    <w:rsid w:val="001274D3"/>
    <w:rsid w:val="00127504"/>
    <w:rsid w:val="0012765A"/>
    <w:rsid w:val="001276C6"/>
    <w:rsid w:val="00127740"/>
    <w:rsid w:val="001277C1"/>
    <w:rsid w:val="001277CA"/>
    <w:rsid w:val="00127803"/>
    <w:rsid w:val="0012786C"/>
    <w:rsid w:val="00127897"/>
    <w:rsid w:val="001278F9"/>
    <w:rsid w:val="00127903"/>
    <w:rsid w:val="001279B9"/>
    <w:rsid w:val="00127AD7"/>
    <w:rsid w:val="00127D0A"/>
    <w:rsid w:val="00127EF3"/>
    <w:rsid w:val="00127EF6"/>
    <w:rsid w:val="00127F33"/>
    <w:rsid w:val="00127F85"/>
    <w:rsid w:val="0013006B"/>
    <w:rsid w:val="00130158"/>
    <w:rsid w:val="001303D5"/>
    <w:rsid w:val="0013045E"/>
    <w:rsid w:val="00130535"/>
    <w:rsid w:val="001305C4"/>
    <w:rsid w:val="00130653"/>
    <w:rsid w:val="0013065B"/>
    <w:rsid w:val="001307B0"/>
    <w:rsid w:val="001307C0"/>
    <w:rsid w:val="001307CA"/>
    <w:rsid w:val="001307F3"/>
    <w:rsid w:val="001308C3"/>
    <w:rsid w:val="001309AE"/>
    <w:rsid w:val="00130A0D"/>
    <w:rsid w:val="00130A22"/>
    <w:rsid w:val="00130A51"/>
    <w:rsid w:val="00130AE0"/>
    <w:rsid w:val="00130B3E"/>
    <w:rsid w:val="00130B67"/>
    <w:rsid w:val="00130C4B"/>
    <w:rsid w:val="00130C91"/>
    <w:rsid w:val="00130CBA"/>
    <w:rsid w:val="00130CEA"/>
    <w:rsid w:val="00130D09"/>
    <w:rsid w:val="00130DE0"/>
    <w:rsid w:val="00130DEB"/>
    <w:rsid w:val="00130EC3"/>
    <w:rsid w:val="00131027"/>
    <w:rsid w:val="001310DC"/>
    <w:rsid w:val="0013114D"/>
    <w:rsid w:val="0013122A"/>
    <w:rsid w:val="0013124D"/>
    <w:rsid w:val="00131285"/>
    <w:rsid w:val="001312B6"/>
    <w:rsid w:val="0013131F"/>
    <w:rsid w:val="001314E6"/>
    <w:rsid w:val="0013169C"/>
    <w:rsid w:val="001318E6"/>
    <w:rsid w:val="001319EA"/>
    <w:rsid w:val="00131AE1"/>
    <w:rsid w:val="00131AE6"/>
    <w:rsid w:val="00131D0C"/>
    <w:rsid w:val="00131DFE"/>
    <w:rsid w:val="00131E1C"/>
    <w:rsid w:val="00131E89"/>
    <w:rsid w:val="00131F07"/>
    <w:rsid w:val="00131F70"/>
    <w:rsid w:val="00132050"/>
    <w:rsid w:val="001320AB"/>
    <w:rsid w:val="001321D4"/>
    <w:rsid w:val="00132206"/>
    <w:rsid w:val="0013229E"/>
    <w:rsid w:val="001322A7"/>
    <w:rsid w:val="001323AF"/>
    <w:rsid w:val="001324CD"/>
    <w:rsid w:val="0013255A"/>
    <w:rsid w:val="0013269F"/>
    <w:rsid w:val="001326A7"/>
    <w:rsid w:val="001328A7"/>
    <w:rsid w:val="00132966"/>
    <w:rsid w:val="00132998"/>
    <w:rsid w:val="00132B33"/>
    <w:rsid w:val="00132B3F"/>
    <w:rsid w:val="00132B57"/>
    <w:rsid w:val="00132C14"/>
    <w:rsid w:val="00132C22"/>
    <w:rsid w:val="00132CC1"/>
    <w:rsid w:val="00132CDB"/>
    <w:rsid w:val="00132D0C"/>
    <w:rsid w:val="00132D28"/>
    <w:rsid w:val="00132DCC"/>
    <w:rsid w:val="00132E37"/>
    <w:rsid w:val="00132F37"/>
    <w:rsid w:val="00132F95"/>
    <w:rsid w:val="00132F9E"/>
    <w:rsid w:val="00132FE2"/>
    <w:rsid w:val="00133014"/>
    <w:rsid w:val="001330C0"/>
    <w:rsid w:val="001331BE"/>
    <w:rsid w:val="00133209"/>
    <w:rsid w:val="00133230"/>
    <w:rsid w:val="001332DF"/>
    <w:rsid w:val="0013337D"/>
    <w:rsid w:val="001333AC"/>
    <w:rsid w:val="001334AE"/>
    <w:rsid w:val="0013353D"/>
    <w:rsid w:val="00133669"/>
    <w:rsid w:val="00133672"/>
    <w:rsid w:val="00133A30"/>
    <w:rsid w:val="00133BD1"/>
    <w:rsid w:val="00133BF4"/>
    <w:rsid w:val="00133C6E"/>
    <w:rsid w:val="00133D6B"/>
    <w:rsid w:val="00133D92"/>
    <w:rsid w:val="00133D96"/>
    <w:rsid w:val="00133EB1"/>
    <w:rsid w:val="00133FD1"/>
    <w:rsid w:val="001340A1"/>
    <w:rsid w:val="001340FF"/>
    <w:rsid w:val="0013418E"/>
    <w:rsid w:val="0013431D"/>
    <w:rsid w:val="0013438A"/>
    <w:rsid w:val="001343BB"/>
    <w:rsid w:val="0013446F"/>
    <w:rsid w:val="001344A2"/>
    <w:rsid w:val="001344D0"/>
    <w:rsid w:val="001344E9"/>
    <w:rsid w:val="0013453F"/>
    <w:rsid w:val="001345B3"/>
    <w:rsid w:val="00134696"/>
    <w:rsid w:val="00134811"/>
    <w:rsid w:val="00134ADE"/>
    <w:rsid w:val="00134B6E"/>
    <w:rsid w:val="00134BF6"/>
    <w:rsid w:val="00134C2D"/>
    <w:rsid w:val="00134CBD"/>
    <w:rsid w:val="00134DCE"/>
    <w:rsid w:val="00134F61"/>
    <w:rsid w:val="0013507A"/>
    <w:rsid w:val="001350A9"/>
    <w:rsid w:val="00135258"/>
    <w:rsid w:val="00135295"/>
    <w:rsid w:val="001352BC"/>
    <w:rsid w:val="00135350"/>
    <w:rsid w:val="00135358"/>
    <w:rsid w:val="0013535A"/>
    <w:rsid w:val="0013553A"/>
    <w:rsid w:val="00135624"/>
    <w:rsid w:val="00135738"/>
    <w:rsid w:val="00135840"/>
    <w:rsid w:val="00135939"/>
    <w:rsid w:val="001359B2"/>
    <w:rsid w:val="00135A05"/>
    <w:rsid w:val="00135A2A"/>
    <w:rsid w:val="00135B26"/>
    <w:rsid w:val="00135B5A"/>
    <w:rsid w:val="00135BC5"/>
    <w:rsid w:val="00135C37"/>
    <w:rsid w:val="00135C3A"/>
    <w:rsid w:val="00135C6A"/>
    <w:rsid w:val="00135D4B"/>
    <w:rsid w:val="00135E10"/>
    <w:rsid w:val="00135E60"/>
    <w:rsid w:val="00135E87"/>
    <w:rsid w:val="00135E9D"/>
    <w:rsid w:val="00135EE2"/>
    <w:rsid w:val="00135F56"/>
    <w:rsid w:val="001360B8"/>
    <w:rsid w:val="0013634F"/>
    <w:rsid w:val="001365B5"/>
    <w:rsid w:val="0013669D"/>
    <w:rsid w:val="0013671F"/>
    <w:rsid w:val="00136742"/>
    <w:rsid w:val="00136806"/>
    <w:rsid w:val="0013681F"/>
    <w:rsid w:val="00136872"/>
    <w:rsid w:val="001368FA"/>
    <w:rsid w:val="00136987"/>
    <w:rsid w:val="001369C2"/>
    <w:rsid w:val="001369F1"/>
    <w:rsid w:val="00136A14"/>
    <w:rsid w:val="00136A85"/>
    <w:rsid w:val="00136AAA"/>
    <w:rsid w:val="00136AC6"/>
    <w:rsid w:val="00136B6D"/>
    <w:rsid w:val="00136BFE"/>
    <w:rsid w:val="00136D0D"/>
    <w:rsid w:val="00136DB2"/>
    <w:rsid w:val="00136E08"/>
    <w:rsid w:val="00136E9C"/>
    <w:rsid w:val="00136FEE"/>
    <w:rsid w:val="0013701C"/>
    <w:rsid w:val="001370A9"/>
    <w:rsid w:val="00137228"/>
    <w:rsid w:val="001372B3"/>
    <w:rsid w:val="00137437"/>
    <w:rsid w:val="001374BB"/>
    <w:rsid w:val="001375B0"/>
    <w:rsid w:val="0013765E"/>
    <w:rsid w:val="001376A3"/>
    <w:rsid w:val="001376B0"/>
    <w:rsid w:val="001378EF"/>
    <w:rsid w:val="0013792D"/>
    <w:rsid w:val="001379E9"/>
    <w:rsid w:val="001379F4"/>
    <w:rsid w:val="00137B7A"/>
    <w:rsid w:val="00137BD0"/>
    <w:rsid w:val="00137BEA"/>
    <w:rsid w:val="00137C72"/>
    <w:rsid w:val="00137D17"/>
    <w:rsid w:val="00137D96"/>
    <w:rsid w:val="00137D9F"/>
    <w:rsid w:val="00137E09"/>
    <w:rsid w:val="00137E1E"/>
    <w:rsid w:val="00137EC7"/>
    <w:rsid w:val="001400BF"/>
    <w:rsid w:val="0014027B"/>
    <w:rsid w:val="001402B4"/>
    <w:rsid w:val="001403B2"/>
    <w:rsid w:val="00140406"/>
    <w:rsid w:val="001405AB"/>
    <w:rsid w:val="001405E1"/>
    <w:rsid w:val="0014062D"/>
    <w:rsid w:val="00140670"/>
    <w:rsid w:val="00140729"/>
    <w:rsid w:val="00140A43"/>
    <w:rsid w:val="00140AA0"/>
    <w:rsid w:val="00140B0E"/>
    <w:rsid w:val="00140B74"/>
    <w:rsid w:val="00140C54"/>
    <w:rsid w:val="00140E18"/>
    <w:rsid w:val="00141038"/>
    <w:rsid w:val="0014114B"/>
    <w:rsid w:val="0014131E"/>
    <w:rsid w:val="00141353"/>
    <w:rsid w:val="0014136B"/>
    <w:rsid w:val="001416BA"/>
    <w:rsid w:val="00141771"/>
    <w:rsid w:val="00141784"/>
    <w:rsid w:val="00141A3D"/>
    <w:rsid w:val="00141ABD"/>
    <w:rsid w:val="00141AD1"/>
    <w:rsid w:val="00141AE6"/>
    <w:rsid w:val="00141C7C"/>
    <w:rsid w:val="00141D54"/>
    <w:rsid w:val="00141DA0"/>
    <w:rsid w:val="00141EB8"/>
    <w:rsid w:val="00141F1F"/>
    <w:rsid w:val="00141F95"/>
    <w:rsid w:val="0014203D"/>
    <w:rsid w:val="00142062"/>
    <w:rsid w:val="001420C3"/>
    <w:rsid w:val="001420CD"/>
    <w:rsid w:val="0014216A"/>
    <w:rsid w:val="0014216C"/>
    <w:rsid w:val="00142266"/>
    <w:rsid w:val="00142481"/>
    <w:rsid w:val="001424D9"/>
    <w:rsid w:val="001425B1"/>
    <w:rsid w:val="001425F5"/>
    <w:rsid w:val="00142611"/>
    <w:rsid w:val="00142873"/>
    <w:rsid w:val="00142931"/>
    <w:rsid w:val="001429BB"/>
    <w:rsid w:val="001429CA"/>
    <w:rsid w:val="001429F7"/>
    <w:rsid w:val="00142A90"/>
    <w:rsid w:val="00142B1F"/>
    <w:rsid w:val="00142B26"/>
    <w:rsid w:val="00142B2C"/>
    <w:rsid w:val="00142B8D"/>
    <w:rsid w:val="00142BF8"/>
    <w:rsid w:val="00142D23"/>
    <w:rsid w:val="00142D76"/>
    <w:rsid w:val="00142D96"/>
    <w:rsid w:val="00142E7C"/>
    <w:rsid w:val="00142EE2"/>
    <w:rsid w:val="00142F60"/>
    <w:rsid w:val="00143090"/>
    <w:rsid w:val="001432D1"/>
    <w:rsid w:val="00143303"/>
    <w:rsid w:val="00143364"/>
    <w:rsid w:val="001434AD"/>
    <w:rsid w:val="00143519"/>
    <w:rsid w:val="00143557"/>
    <w:rsid w:val="00143584"/>
    <w:rsid w:val="0014382C"/>
    <w:rsid w:val="00143881"/>
    <w:rsid w:val="001438FE"/>
    <w:rsid w:val="00143B8A"/>
    <w:rsid w:val="00143BBD"/>
    <w:rsid w:val="00143BFC"/>
    <w:rsid w:val="00143C36"/>
    <w:rsid w:val="00143C89"/>
    <w:rsid w:val="00143CEF"/>
    <w:rsid w:val="00143D8D"/>
    <w:rsid w:val="00143E07"/>
    <w:rsid w:val="00143E22"/>
    <w:rsid w:val="00143E91"/>
    <w:rsid w:val="00143EF5"/>
    <w:rsid w:val="00143F42"/>
    <w:rsid w:val="00143F5D"/>
    <w:rsid w:val="00143F89"/>
    <w:rsid w:val="00143F9C"/>
    <w:rsid w:val="00143FD8"/>
    <w:rsid w:val="00144012"/>
    <w:rsid w:val="00144043"/>
    <w:rsid w:val="001440C6"/>
    <w:rsid w:val="001440ED"/>
    <w:rsid w:val="00144264"/>
    <w:rsid w:val="0014428C"/>
    <w:rsid w:val="0014444C"/>
    <w:rsid w:val="001444E8"/>
    <w:rsid w:val="00144590"/>
    <w:rsid w:val="001446EF"/>
    <w:rsid w:val="001447AE"/>
    <w:rsid w:val="0014496E"/>
    <w:rsid w:val="00144984"/>
    <w:rsid w:val="001449E0"/>
    <w:rsid w:val="00144A65"/>
    <w:rsid w:val="00144AA8"/>
    <w:rsid w:val="00144ACD"/>
    <w:rsid w:val="00144AE6"/>
    <w:rsid w:val="00144C2C"/>
    <w:rsid w:val="00144CA8"/>
    <w:rsid w:val="00144D26"/>
    <w:rsid w:val="00144D96"/>
    <w:rsid w:val="00144E6C"/>
    <w:rsid w:val="00144E82"/>
    <w:rsid w:val="00144F1B"/>
    <w:rsid w:val="00144F1F"/>
    <w:rsid w:val="00144F79"/>
    <w:rsid w:val="00145062"/>
    <w:rsid w:val="001451AB"/>
    <w:rsid w:val="00145224"/>
    <w:rsid w:val="0014523F"/>
    <w:rsid w:val="00145253"/>
    <w:rsid w:val="00145298"/>
    <w:rsid w:val="001452A9"/>
    <w:rsid w:val="001452DC"/>
    <w:rsid w:val="0014538C"/>
    <w:rsid w:val="00145431"/>
    <w:rsid w:val="001454EC"/>
    <w:rsid w:val="00145504"/>
    <w:rsid w:val="001455B7"/>
    <w:rsid w:val="001456F2"/>
    <w:rsid w:val="00145704"/>
    <w:rsid w:val="00145730"/>
    <w:rsid w:val="00145761"/>
    <w:rsid w:val="00145790"/>
    <w:rsid w:val="001457D9"/>
    <w:rsid w:val="0014583F"/>
    <w:rsid w:val="0014593B"/>
    <w:rsid w:val="00145ADB"/>
    <w:rsid w:val="00145B00"/>
    <w:rsid w:val="00145D0A"/>
    <w:rsid w:val="00145D62"/>
    <w:rsid w:val="00145E6D"/>
    <w:rsid w:val="00145E7D"/>
    <w:rsid w:val="00145F66"/>
    <w:rsid w:val="00145F96"/>
    <w:rsid w:val="00145FA8"/>
    <w:rsid w:val="00145FAB"/>
    <w:rsid w:val="00145FAC"/>
    <w:rsid w:val="00145FD9"/>
    <w:rsid w:val="0014603A"/>
    <w:rsid w:val="001460B2"/>
    <w:rsid w:val="001461D6"/>
    <w:rsid w:val="00146300"/>
    <w:rsid w:val="00146302"/>
    <w:rsid w:val="00146318"/>
    <w:rsid w:val="001463CB"/>
    <w:rsid w:val="001463CC"/>
    <w:rsid w:val="00146412"/>
    <w:rsid w:val="00146455"/>
    <w:rsid w:val="00146499"/>
    <w:rsid w:val="0014649B"/>
    <w:rsid w:val="001464DA"/>
    <w:rsid w:val="001465CC"/>
    <w:rsid w:val="001465DA"/>
    <w:rsid w:val="00146653"/>
    <w:rsid w:val="00146755"/>
    <w:rsid w:val="00146760"/>
    <w:rsid w:val="001468B0"/>
    <w:rsid w:val="00146918"/>
    <w:rsid w:val="001469EE"/>
    <w:rsid w:val="00146A16"/>
    <w:rsid w:val="00146B23"/>
    <w:rsid w:val="00146C0A"/>
    <w:rsid w:val="00146C37"/>
    <w:rsid w:val="00146DD7"/>
    <w:rsid w:val="00146DE4"/>
    <w:rsid w:val="00146EAB"/>
    <w:rsid w:val="00146FDC"/>
    <w:rsid w:val="00147052"/>
    <w:rsid w:val="00147059"/>
    <w:rsid w:val="0014719B"/>
    <w:rsid w:val="00147306"/>
    <w:rsid w:val="00147490"/>
    <w:rsid w:val="0014749F"/>
    <w:rsid w:val="001474C8"/>
    <w:rsid w:val="001474CC"/>
    <w:rsid w:val="0014751D"/>
    <w:rsid w:val="00147553"/>
    <w:rsid w:val="001475BB"/>
    <w:rsid w:val="00147659"/>
    <w:rsid w:val="0014769F"/>
    <w:rsid w:val="001476C3"/>
    <w:rsid w:val="0014786D"/>
    <w:rsid w:val="00147999"/>
    <w:rsid w:val="00147B25"/>
    <w:rsid w:val="00147C19"/>
    <w:rsid w:val="00147C4B"/>
    <w:rsid w:val="00147CC6"/>
    <w:rsid w:val="00147DA8"/>
    <w:rsid w:val="00147DC1"/>
    <w:rsid w:val="00147DE9"/>
    <w:rsid w:val="00147F97"/>
    <w:rsid w:val="00150064"/>
    <w:rsid w:val="00150320"/>
    <w:rsid w:val="00150414"/>
    <w:rsid w:val="0015045D"/>
    <w:rsid w:val="0015046D"/>
    <w:rsid w:val="001504B9"/>
    <w:rsid w:val="001504D6"/>
    <w:rsid w:val="00150501"/>
    <w:rsid w:val="0015050B"/>
    <w:rsid w:val="001505B7"/>
    <w:rsid w:val="001505BA"/>
    <w:rsid w:val="00150609"/>
    <w:rsid w:val="00150626"/>
    <w:rsid w:val="001508AE"/>
    <w:rsid w:val="001509D3"/>
    <w:rsid w:val="00150A36"/>
    <w:rsid w:val="00150A3D"/>
    <w:rsid w:val="00150A4B"/>
    <w:rsid w:val="00150A5C"/>
    <w:rsid w:val="00150B40"/>
    <w:rsid w:val="00150B81"/>
    <w:rsid w:val="00150C55"/>
    <w:rsid w:val="00150D31"/>
    <w:rsid w:val="00150DEC"/>
    <w:rsid w:val="00150E1C"/>
    <w:rsid w:val="00150F1A"/>
    <w:rsid w:val="00150F93"/>
    <w:rsid w:val="00151076"/>
    <w:rsid w:val="0015116E"/>
    <w:rsid w:val="001511AA"/>
    <w:rsid w:val="0015127A"/>
    <w:rsid w:val="001513D9"/>
    <w:rsid w:val="001513F5"/>
    <w:rsid w:val="00151490"/>
    <w:rsid w:val="001514E0"/>
    <w:rsid w:val="0015164B"/>
    <w:rsid w:val="00151678"/>
    <w:rsid w:val="00151683"/>
    <w:rsid w:val="001517AC"/>
    <w:rsid w:val="0015180E"/>
    <w:rsid w:val="00151866"/>
    <w:rsid w:val="001518CC"/>
    <w:rsid w:val="001519BC"/>
    <w:rsid w:val="00151B02"/>
    <w:rsid w:val="00151BA2"/>
    <w:rsid w:val="00151BA3"/>
    <w:rsid w:val="00151BB5"/>
    <w:rsid w:val="00151BE2"/>
    <w:rsid w:val="00151BFA"/>
    <w:rsid w:val="00151C03"/>
    <w:rsid w:val="00151D63"/>
    <w:rsid w:val="00151D8A"/>
    <w:rsid w:val="00151E81"/>
    <w:rsid w:val="001521BD"/>
    <w:rsid w:val="00152209"/>
    <w:rsid w:val="0015225C"/>
    <w:rsid w:val="0015244D"/>
    <w:rsid w:val="00152461"/>
    <w:rsid w:val="001524F4"/>
    <w:rsid w:val="001525F9"/>
    <w:rsid w:val="0015260F"/>
    <w:rsid w:val="0015270E"/>
    <w:rsid w:val="001527AF"/>
    <w:rsid w:val="001527E7"/>
    <w:rsid w:val="001528F1"/>
    <w:rsid w:val="001528FF"/>
    <w:rsid w:val="0015290F"/>
    <w:rsid w:val="00152943"/>
    <w:rsid w:val="0015295F"/>
    <w:rsid w:val="001529D0"/>
    <w:rsid w:val="00152BC0"/>
    <w:rsid w:val="00152C95"/>
    <w:rsid w:val="00152CAD"/>
    <w:rsid w:val="00152D0B"/>
    <w:rsid w:val="00152D4B"/>
    <w:rsid w:val="00152D96"/>
    <w:rsid w:val="00152DAC"/>
    <w:rsid w:val="00152DD0"/>
    <w:rsid w:val="00152E73"/>
    <w:rsid w:val="00152EB6"/>
    <w:rsid w:val="00152EEE"/>
    <w:rsid w:val="00152F45"/>
    <w:rsid w:val="00152FFB"/>
    <w:rsid w:val="001531D3"/>
    <w:rsid w:val="001531DA"/>
    <w:rsid w:val="00153311"/>
    <w:rsid w:val="0015336A"/>
    <w:rsid w:val="001533E7"/>
    <w:rsid w:val="001534E1"/>
    <w:rsid w:val="001536D4"/>
    <w:rsid w:val="00153751"/>
    <w:rsid w:val="0015376A"/>
    <w:rsid w:val="001537D5"/>
    <w:rsid w:val="001537EA"/>
    <w:rsid w:val="00153922"/>
    <w:rsid w:val="00153996"/>
    <w:rsid w:val="0015399F"/>
    <w:rsid w:val="001539A4"/>
    <w:rsid w:val="001539CB"/>
    <w:rsid w:val="001539DD"/>
    <w:rsid w:val="00153A31"/>
    <w:rsid w:val="00153AB2"/>
    <w:rsid w:val="00153ADE"/>
    <w:rsid w:val="00153B13"/>
    <w:rsid w:val="00153B89"/>
    <w:rsid w:val="00153C0C"/>
    <w:rsid w:val="00153C32"/>
    <w:rsid w:val="00153C81"/>
    <w:rsid w:val="00153DD1"/>
    <w:rsid w:val="00153F86"/>
    <w:rsid w:val="00153FAA"/>
    <w:rsid w:val="00154027"/>
    <w:rsid w:val="001540DE"/>
    <w:rsid w:val="001540E1"/>
    <w:rsid w:val="0015414F"/>
    <w:rsid w:val="00154274"/>
    <w:rsid w:val="0015434A"/>
    <w:rsid w:val="0015439C"/>
    <w:rsid w:val="001543A1"/>
    <w:rsid w:val="0015463C"/>
    <w:rsid w:val="0015471C"/>
    <w:rsid w:val="001547AB"/>
    <w:rsid w:val="00154821"/>
    <w:rsid w:val="00154896"/>
    <w:rsid w:val="00154A10"/>
    <w:rsid w:val="00154ACE"/>
    <w:rsid w:val="00154B30"/>
    <w:rsid w:val="00154B3D"/>
    <w:rsid w:val="00154B3F"/>
    <w:rsid w:val="00154C0E"/>
    <w:rsid w:val="00154C31"/>
    <w:rsid w:val="00154C37"/>
    <w:rsid w:val="00154C95"/>
    <w:rsid w:val="00154CB8"/>
    <w:rsid w:val="00154D11"/>
    <w:rsid w:val="00154D12"/>
    <w:rsid w:val="00154E08"/>
    <w:rsid w:val="00154E6A"/>
    <w:rsid w:val="00154F04"/>
    <w:rsid w:val="00154F68"/>
    <w:rsid w:val="00154F89"/>
    <w:rsid w:val="001550B0"/>
    <w:rsid w:val="00155110"/>
    <w:rsid w:val="0015523D"/>
    <w:rsid w:val="0015529F"/>
    <w:rsid w:val="0015531D"/>
    <w:rsid w:val="001553A0"/>
    <w:rsid w:val="001553C3"/>
    <w:rsid w:val="00155598"/>
    <w:rsid w:val="001555BF"/>
    <w:rsid w:val="0015560F"/>
    <w:rsid w:val="001556CB"/>
    <w:rsid w:val="001558E8"/>
    <w:rsid w:val="001558EF"/>
    <w:rsid w:val="001559A0"/>
    <w:rsid w:val="001559A5"/>
    <w:rsid w:val="001559F3"/>
    <w:rsid w:val="00155A58"/>
    <w:rsid w:val="00155B89"/>
    <w:rsid w:val="00155BAC"/>
    <w:rsid w:val="00155C1E"/>
    <w:rsid w:val="00155C8D"/>
    <w:rsid w:val="00155C9A"/>
    <w:rsid w:val="00155CC2"/>
    <w:rsid w:val="00155D12"/>
    <w:rsid w:val="00155D29"/>
    <w:rsid w:val="00155DC6"/>
    <w:rsid w:val="00155DE9"/>
    <w:rsid w:val="00155E16"/>
    <w:rsid w:val="00155E80"/>
    <w:rsid w:val="00155E8F"/>
    <w:rsid w:val="00155E95"/>
    <w:rsid w:val="00155EB1"/>
    <w:rsid w:val="0015609F"/>
    <w:rsid w:val="00156157"/>
    <w:rsid w:val="001561E5"/>
    <w:rsid w:val="00156234"/>
    <w:rsid w:val="00156267"/>
    <w:rsid w:val="0015637F"/>
    <w:rsid w:val="00156417"/>
    <w:rsid w:val="00156421"/>
    <w:rsid w:val="001565D5"/>
    <w:rsid w:val="0015665F"/>
    <w:rsid w:val="001566DE"/>
    <w:rsid w:val="00156862"/>
    <w:rsid w:val="001568CC"/>
    <w:rsid w:val="001569A7"/>
    <w:rsid w:val="00156AF3"/>
    <w:rsid w:val="00156BD0"/>
    <w:rsid w:val="00156BFA"/>
    <w:rsid w:val="00156C21"/>
    <w:rsid w:val="00156DCD"/>
    <w:rsid w:val="00156E1F"/>
    <w:rsid w:val="00156F45"/>
    <w:rsid w:val="00156FE4"/>
    <w:rsid w:val="00157257"/>
    <w:rsid w:val="0015739D"/>
    <w:rsid w:val="00157594"/>
    <w:rsid w:val="0015775E"/>
    <w:rsid w:val="0015788C"/>
    <w:rsid w:val="00157A21"/>
    <w:rsid w:val="00157BAF"/>
    <w:rsid w:val="00157C79"/>
    <w:rsid w:val="00157CDB"/>
    <w:rsid w:val="00157D32"/>
    <w:rsid w:val="00157D52"/>
    <w:rsid w:val="00157DB9"/>
    <w:rsid w:val="00157EC1"/>
    <w:rsid w:val="00157F0E"/>
    <w:rsid w:val="00160041"/>
    <w:rsid w:val="00160047"/>
    <w:rsid w:val="0016006E"/>
    <w:rsid w:val="00160081"/>
    <w:rsid w:val="001601A5"/>
    <w:rsid w:val="001601BC"/>
    <w:rsid w:val="0016023F"/>
    <w:rsid w:val="0016027D"/>
    <w:rsid w:val="00160320"/>
    <w:rsid w:val="001603CD"/>
    <w:rsid w:val="001603FB"/>
    <w:rsid w:val="00160463"/>
    <w:rsid w:val="00160496"/>
    <w:rsid w:val="001604DA"/>
    <w:rsid w:val="0016060E"/>
    <w:rsid w:val="001607FB"/>
    <w:rsid w:val="00160802"/>
    <w:rsid w:val="0016082E"/>
    <w:rsid w:val="00160838"/>
    <w:rsid w:val="00160A7C"/>
    <w:rsid w:val="00160C1F"/>
    <w:rsid w:val="00160CFA"/>
    <w:rsid w:val="00160DF8"/>
    <w:rsid w:val="001610DB"/>
    <w:rsid w:val="001610DF"/>
    <w:rsid w:val="00161134"/>
    <w:rsid w:val="001612A7"/>
    <w:rsid w:val="00161451"/>
    <w:rsid w:val="00161586"/>
    <w:rsid w:val="001616ED"/>
    <w:rsid w:val="00161744"/>
    <w:rsid w:val="0016179D"/>
    <w:rsid w:val="00161929"/>
    <w:rsid w:val="001619BC"/>
    <w:rsid w:val="00161AF7"/>
    <w:rsid w:val="00161B6F"/>
    <w:rsid w:val="00161BED"/>
    <w:rsid w:val="00161E2F"/>
    <w:rsid w:val="00161E70"/>
    <w:rsid w:val="00161F01"/>
    <w:rsid w:val="00161F5F"/>
    <w:rsid w:val="00161FCC"/>
    <w:rsid w:val="00162143"/>
    <w:rsid w:val="0016229D"/>
    <w:rsid w:val="001622CA"/>
    <w:rsid w:val="0016232A"/>
    <w:rsid w:val="001623A2"/>
    <w:rsid w:val="00162419"/>
    <w:rsid w:val="00162677"/>
    <w:rsid w:val="00162714"/>
    <w:rsid w:val="00162758"/>
    <w:rsid w:val="00162875"/>
    <w:rsid w:val="00162A05"/>
    <w:rsid w:val="00162A43"/>
    <w:rsid w:val="00162BA5"/>
    <w:rsid w:val="00162BD4"/>
    <w:rsid w:val="00162D0D"/>
    <w:rsid w:val="00162D77"/>
    <w:rsid w:val="00162D89"/>
    <w:rsid w:val="00162E66"/>
    <w:rsid w:val="00162F8E"/>
    <w:rsid w:val="0016304E"/>
    <w:rsid w:val="00163130"/>
    <w:rsid w:val="001631DC"/>
    <w:rsid w:val="00163259"/>
    <w:rsid w:val="001632BF"/>
    <w:rsid w:val="001633C3"/>
    <w:rsid w:val="001633DC"/>
    <w:rsid w:val="00163628"/>
    <w:rsid w:val="0016390C"/>
    <w:rsid w:val="00163926"/>
    <w:rsid w:val="00163C7D"/>
    <w:rsid w:val="00163CEC"/>
    <w:rsid w:val="00163EE0"/>
    <w:rsid w:val="00163F12"/>
    <w:rsid w:val="00163FCE"/>
    <w:rsid w:val="001640E5"/>
    <w:rsid w:val="0016418F"/>
    <w:rsid w:val="00164245"/>
    <w:rsid w:val="001642F1"/>
    <w:rsid w:val="00164398"/>
    <w:rsid w:val="001643EF"/>
    <w:rsid w:val="0016466B"/>
    <w:rsid w:val="001647A9"/>
    <w:rsid w:val="00164809"/>
    <w:rsid w:val="00164839"/>
    <w:rsid w:val="001648B5"/>
    <w:rsid w:val="001648F3"/>
    <w:rsid w:val="00164991"/>
    <w:rsid w:val="00164B9F"/>
    <w:rsid w:val="00164CD0"/>
    <w:rsid w:val="00164D12"/>
    <w:rsid w:val="00164E8C"/>
    <w:rsid w:val="00164EAA"/>
    <w:rsid w:val="00165029"/>
    <w:rsid w:val="001650D2"/>
    <w:rsid w:val="00165214"/>
    <w:rsid w:val="00165385"/>
    <w:rsid w:val="0016538B"/>
    <w:rsid w:val="00165424"/>
    <w:rsid w:val="0016542D"/>
    <w:rsid w:val="0016558F"/>
    <w:rsid w:val="0016561D"/>
    <w:rsid w:val="00165731"/>
    <w:rsid w:val="001657ED"/>
    <w:rsid w:val="00165852"/>
    <w:rsid w:val="00165869"/>
    <w:rsid w:val="00165923"/>
    <w:rsid w:val="0016592B"/>
    <w:rsid w:val="00165951"/>
    <w:rsid w:val="00165A5D"/>
    <w:rsid w:val="00165C36"/>
    <w:rsid w:val="00165CCC"/>
    <w:rsid w:val="00165D38"/>
    <w:rsid w:val="00165D87"/>
    <w:rsid w:val="00165EBE"/>
    <w:rsid w:val="0016603E"/>
    <w:rsid w:val="00166090"/>
    <w:rsid w:val="001661BD"/>
    <w:rsid w:val="00166255"/>
    <w:rsid w:val="001662C1"/>
    <w:rsid w:val="00166330"/>
    <w:rsid w:val="001663DD"/>
    <w:rsid w:val="001664E5"/>
    <w:rsid w:val="00166585"/>
    <w:rsid w:val="00166710"/>
    <w:rsid w:val="0016677F"/>
    <w:rsid w:val="001667AC"/>
    <w:rsid w:val="001667BD"/>
    <w:rsid w:val="00166898"/>
    <w:rsid w:val="001668A9"/>
    <w:rsid w:val="00166946"/>
    <w:rsid w:val="00166992"/>
    <w:rsid w:val="001669E7"/>
    <w:rsid w:val="00166A30"/>
    <w:rsid w:val="00166A32"/>
    <w:rsid w:val="00166A46"/>
    <w:rsid w:val="00166B8E"/>
    <w:rsid w:val="00166CCA"/>
    <w:rsid w:val="00166CEA"/>
    <w:rsid w:val="00166D08"/>
    <w:rsid w:val="00166D44"/>
    <w:rsid w:val="00166D8B"/>
    <w:rsid w:val="00166E55"/>
    <w:rsid w:val="00166E58"/>
    <w:rsid w:val="00166FC5"/>
    <w:rsid w:val="0016704C"/>
    <w:rsid w:val="001670D1"/>
    <w:rsid w:val="001670D2"/>
    <w:rsid w:val="00167160"/>
    <w:rsid w:val="001672CA"/>
    <w:rsid w:val="001672E2"/>
    <w:rsid w:val="0016735D"/>
    <w:rsid w:val="001674B5"/>
    <w:rsid w:val="001674B9"/>
    <w:rsid w:val="001675B5"/>
    <w:rsid w:val="00167736"/>
    <w:rsid w:val="0016775B"/>
    <w:rsid w:val="0016785B"/>
    <w:rsid w:val="00167863"/>
    <w:rsid w:val="00167933"/>
    <w:rsid w:val="00167988"/>
    <w:rsid w:val="00167AAC"/>
    <w:rsid w:val="00167BBD"/>
    <w:rsid w:val="00167DF1"/>
    <w:rsid w:val="00167E6F"/>
    <w:rsid w:val="00167E87"/>
    <w:rsid w:val="00167ECF"/>
    <w:rsid w:val="00170055"/>
    <w:rsid w:val="00170325"/>
    <w:rsid w:val="00170361"/>
    <w:rsid w:val="00170605"/>
    <w:rsid w:val="0017064D"/>
    <w:rsid w:val="00170713"/>
    <w:rsid w:val="0017073D"/>
    <w:rsid w:val="00170797"/>
    <w:rsid w:val="001707B3"/>
    <w:rsid w:val="001707DD"/>
    <w:rsid w:val="0017081C"/>
    <w:rsid w:val="001709FF"/>
    <w:rsid w:val="00170A73"/>
    <w:rsid w:val="00170B2A"/>
    <w:rsid w:val="00170B81"/>
    <w:rsid w:val="00170C07"/>
    <w:rsid w:val="00170C40"/>
    <w:rsid w:val="00170C55"/>
    <w:rsid w:val="00170C9D"/>
    <w:rsid w:val="00170CD7"/>
    <w:rsid w:val="00170D18"/>
    <w:rsid w:val="00170D4C"/>
    <w:rsid w:val="00170F75"/>
    <w:rsid w:val="00170FFE"/>
    <w:rsid w:val="0017106C"/>
    <w:rsid w:val="001710C0"/>
    <w:rsid w:val="00171260"/>
    <w:rsid w:val="0017127F"/>
    <w:rsid w:val="001712CB"/>
    <w:rsid w:val="001713C6"/>
    <w:rsid w:val="001713E4"/>
    <w:rsid w:val="0017142A"/>
    <w:rsid w:val="001714DC"/>
    <w:rsid w:val="001714FB"/>
    <w:rsid w:val="00171625"/>
    <w:rsid w:val="001716C5"/>
    <w:rsid w:val="001716D7"/>
    <w:rsid w:val="00171796"/>
    <w:rsid w:val="00171A14"/>
    <w:rsid w:val="00171A3B"/>
    <w:rsid w:val="00171AAE"/>
    <w:rsid w:val="00171C43"/>
    <w:rsid w:val="00171D53"/>
    <w:rsid w:val="00171EDE"/>
    <w:rsid w:val="00171EE0"/>
    <w:rsid w:val="0017201E"/>
    <w:rsid w:val="00172044"/>
    <w:rsid w:val="0017213F"/>
    <w:rsid w:val="00172158"/>
    <w:rsid w:val="001721EC"/>
    <w:rsid w:val="00172263"/>
    <w:rsid w:val="001722EE"/>
    <w:rsid w:val="001723CC"/>
    <w:rsid w:val="00172405"/>
    <w:rsid w:val="00172411"/>
    <w:rsid w:val="001724A9"/>
    <w:rsid w:val="0017250D"/>
    <w:rsid w:val="0017255E"/>
    <w:rsid w:val="00172591"/>
    <w:rsid w:val="00172616"/>
    <w:rsid w:val="0017263B"/>
    <w:rsid w:val="00172671"/>
    <w:rsid w:val="00172688"/>
    <w:rsid w:val="001726A2"/>
    <w:rsid w:val="00172785"/>
    <w:rsid w:val="0017279E"/>
    <w:rsid w:val="00172827"/>
    <w:rsid w:val="00172921"/>
    <w:rsid w:val="001729BE"/>
    <w:rsid w:val="00172A6B"/>
    <w:rsid w:val="00172A88"/>
    <w:rsid w:val="00172B23"/>
    <w:rsid w:val="00172B63"/>
    <w:rsid w:val="00172CA1"/>
    <w:rsid w:val="00172CCA"/>
    <w:rsid w:val="00172CFD"/>
    <w:rsid w:val="00172D47"/>
    <w:rsid w:val="00172D5F"/>
    <w:rsid w:val="00172D8C"/>
    <w:rsid w:val="00172D9B"/>
    <w:rsid w:val="00172DAE"/>
    <w:rsid w:val="00172DFB"/>
    <w:rsid w:val="00172E41"/>
    <w:rsid w:val="00172E60"/>
    <w:rsid w:val="00172ED1"/>
    <w:rsid w:val="00172F2B"/>
    <w:rsid w:val="00172F5D"/>
    <w:rsid w:val="00172F6A"/>
    <w:rsid w:val="00173117"/>
    <w:rsid w:val="00173133"/>
    <w:rsid w:val="001733B6"/>
    <w:rsid w:val="00173549"/>
    <w:rsid w:val="0017354D"/>
    <w:rsid w:val="00173634"/>
    <w:rsid w:val="0017364D"/>
    <w:rsid w:val="0017370E"/>
    <w:rsid w:val="00173723"/>
    <w:rsid w:val="00173743"/>
    <w:rsid w:val="001737CD"/>
    <w:rsid w:val="001737F1"/>
    <w:rsid w:val="001738F9"/>
    <w:rsid w:val="001739BC"/>
    <w:rsid w:val="00173ABE"/>
    <w:rsid w:val="00173ACC"/>
    <w:rsid w:val="00173B29"/>
    <w:rsid w:val="00173B97"/>
    <w:rsid w:val="00173C39"/>
    <w:rsid w:val="00173C6E"/>
    <w:rsid w:val="00173CAB"/>
    <w:rsid w:val="00173DFA"/>
    <w:rsid w:val="00173E4E"/>
    <w:rsid w:val="00173E8E"/>
    <w:rsid w:val="00173EA6"/>
    <w:rsid w:val="00173EA9"/>
    <w:rsid w:val="00173ECC"/>
    <w:rsid w:val="00173FD8"/>
    <w:rsid w:val="00174034"/>
    <w:rsid w:val="00174109"/>
    <w:rsid w:val="00174196"/>
    <w:rsid w:val="001741B4"/>
    <w:rsid w:val="00174364"/>
    <w:rsid w:val="001745D5"/>
    <w:rsid w:val="00174603"/>
    <w:rsid w:val="0017465F"/>
    <w:rsid w:val="001746BE"/>
    <w:rsid w:val="00174706"/>
    <w:rsid w:val="001747DB"/>
    <w:rsid w:val="0017483F"/>
    <w:rsid w:val="00174AFB"/>
    <w:rsid w:val="00174B0A"/>
    <w:rsid w:val="00174B24"/>
    <w:rsid w:val="00174B83"/>
    <w:rsid w:val="00174B92"/>
    <w:rsid w:val="00174CF8"/>
    <w:rsid w:val="00174D6A"/>
    <w:rsid w:val="00174F85"/>
    <w:rsid w:val="00174FC1"/>
    <w:rsid w:val="00175005"/>
    <w:rsid w:val="0017509A"/>
    <w:rsid w:val="001750A6"/>
    <w:rsid w:val="001750D5"/>
    <w:rsid w:val="0017538E"/>
    <w:rsid w:val="001753B2"/>
    <w:rsid w:val="001753C2"/>
    <w:rsid w:val="001754CD"/>
    <w:rsid w:val="0017558E"/>
    <w:rsid w:val="001755A3"/>
    <w:rsid w:val="00175697"/>
    <w:rsid w:val="00175754"/>
    <w:rsid w:val="001758D3"/>
    <w:rsid w:val="00175A2E"/>
    <w:rsid w:val="00175A83"/>
    <w:rsid w:val="00175A8A"/>
    <w:rsid w:val="00175B30"/>
    <w:rsid w:val="00175BE4"/>
    <w:rsid w:val="00175CDD"/>
    <w:rsid w:val="00175D06"/>
    <w:rsid w:val="00175DB6"/>
    <w:rsid w:val="00175E0D"/>
    <w:rsid w:val="00175F66"/>
    <w:rsid w:val="00175FAF"/>
    <w:rsid w:val="00176003"/>
    <w:rsid w:val="00176093"/>
    <w:rsid w:val="001760D8"/>
    <w:rsid w:val="0017619A"/>
    <w:rsid w:val="001761A2"/>
    <w:rsid w:val="001762A1"/>
    <w:rsid w:val="001766C4"/>
    <w:rsid w:val="00176700"/>
    <w:rsid w:val="001767D6"/>
    <w:rsid w:val="001769D1"/>
    <w:rsid w:val="001769D4"/>
    <w:rsid w:val="001769F8"/>
    <w:rsid w:val="00176AE8"/>
    <w:rsid w:val="00176BAF"/>
    <w:rsid w:val="00176D80"/>
    <w:rsid w:val="00176E0B"/>
    <w:rsid w:val="00176E90"/>
    <w:rsid w:val="00176F27"/>
    <w:rsid w:val="0017714E"/>
    <w:rsid w:val="00177153"/>
    <w:rsid w:val="00177172"/>
    <w:rsid w:val="00177174"/>
    <w:rsid w:val="0017719C"/>
    <w:rsid w:val="0017720D"/>
    <w:rsid w:val="0017732D"/>
    <w:rsid w:val="00177372"/>
    <w:rsid w:val="00177390"/>
    <w:rsid w:val="00177462"/>
    <w:rsid w:val="001775FF"/>
    <w:rsid w:val="00177624"/>
    <w:rsid w:val="00177662"/>
    <w:rsid w:val="001776BA"/>
    <w:rsid w:val="00177824"/>
    <w:rsid w:val="0017786E"/>
    <w:rsid w:val="001779EF"/>
    <w:rsid w:val="001779FB"/>
    <w:rsid w:val="00177A49"/>
    <w:rsid w:val="00177AB6"/>
    <w:rsid w:val="00177AD1"/>
    <w:rsid w:val="00177D2E"/>
    <w:rsid w:val="00177D6C"/>
    <w:rsid w:val="00177E3D"/>
    <w:rsid w:val="00177E5C"/>
    <w:rsid w:val="00180034"/>
    <w:rsid w:val="00180077"/>
    <w:rsid w:val="0018007E"/>
    <w:rsid w:val="0018015F"/>
    <w:rsid w:val="00180173"/>
    <w:rsid w:val="001801D4"/>
    <w:rsid w:val="00180235"/>
    <w:rsid w:val="00180294"/>
    <w:rsid w:val="0018042A"/>
    <w:rsid w:val="001804F5"/>
    <w:rsid w:val="00180567"/>
    <w:rsid w:val="001805DB"/>
    <w:rsid w:val="001807F7"/>
    <w:rsid w:val="0018098B"/>
    <w:rsid w:val="00180991"/>
    <w:rsid w:val="00180B22"/>
    <w:rsid w:val="00180B80"/>
    <w:rsid w:val="00180DBD"/>
    <w:rsid w:val="00180EC8"/>
    <w:rsid w:val="0018103C"/>
    <w:rsid w:val="0018114A"/>
    <w:rsid w:val="0018117C"/>
    <w:rsid w:val="001811E1"/>
    <w:rsid w:val="00181232"/>
    <w:rsid w:val="0018124F"/>
    <w:rsid w:val="0018127B"/>
    <w:rsid w:val="0018132B"/>
    <w:rsid w:val="00181380"/>
    <w:rsid w:val="001813F3"/>
    <w:rsid w:val="0018155E"/>
    <w:rsid w:val="00181574"/>
    <w:rsid w:val="0018157E"/>
    <w:rsid w:val="001815B0"/>
    <w:rsid w:val="001816F9"/>
    <w:rsid w:val="0018170F"/>
    <w:rsid w:val="00181720"/>
    <w:rsid w:val="0018185D"/>
    <w:rsid w:val="00181863"/>
    <w:rsid w:val="00181899"/>
    <w:rsid w:val="0018192D"/>
    <w:rsid w:val="0018193B"/>
    <w:rsid w:val="00181977"/>
    <w:rsid w:val="00181A0E"/>
    <w:rsid w:val="00181A25"/>
    <w:rsid w:val="00181A2A"/>
    <w:rsid w:val="00181AB2"/>
    <w:rsid w:val="00181B63"/>
    <w:rsid w:val="00181C87"/>
    <w:rsid w:val="00181D5C"/>
    <w:rsid w:val="00181DC1"/>
    <w:rsid w:val="00181DCD"/>
    <w:rsid w:val="00181EAC"/>
    <w:rsid w:val="00181EDC"/>
    <w:rsid w:val="00181F1A"/>
    <w:rsid w:val="00181F98"/>
    <w:rsid w:val="001820FF"/>
    <w:rsid w:val="0018218C"/>
    <w:rsid w:val="001822F2"/>
    <w:rsid w:val="001823ED"/>
    <w:rsid w:val="00182424"/>
    <w:rsid w:val="0018244B"/>
    <w:rsid w:val="00182493"/>
    <w:rsid w:val="0018267B"/>
    <w:rsid w:val="0018268A"/>
    <w:rsid w:val="00182691"/>
    <w:rsid w:val="001826BD"/>
    <w:rsid w:val="001826C1"/>
    <w:rsid w:val="0018273F"/>
    <w:rsid w:val="00182861"/>
    <w:rsid w:val="00182871"/>
    <w:rsid w:val="00182911"/>
    <w:rsid w:val="00182935"/>
    <w:rsid w:val="00182A3D"/>
    <w:rsid w:val="00182B3B"/>
    <w:rsid w:val="00182BB7"/>
    <w:rsid w:val="00182C70"/>
    <w:rsid w:val="00182D41"/>
    <w:rsid w:val="00182D47"/>
    <w:rsid w:val="00182DE7"/>
    <w:rsid w:val="00182DF9"/>
    <w:rsid w:val="00182EA0"/>
    <w:rsid w:val="00183101"/>
    <w:rsid w:val="001832B2"/>
    <w:rsid w:val="0018333B"/>
    <w:rsid w:val="0018336E"/>
    <w:rsid w:val="0018337A"/>
    <w:rsid w:val="001834A6"/>
    <w:rsid w:val="001834CF"/>
    <w:rsid w:val="0018369C"/>
    <w:rsid w:val="00183714"/>
    <w:rsid w:val="00183799"/>
    <w:rsid w:val="001838FA"/>
    <w:rsid w:val="00183A70"/>
    <w:rsid w:val="00183A86"/>
    <w:rsid w:val="00183B74"/>
    <w:rsid w:val="00183D6B"/>
    <w:rsid w:val="00183D94"/>
    <w:rsid w:val="00183D9C"/>
    <w:rsid w:val="00183E33"/>
    <w:rsid w:val="00184200"/>
    <w:rsid w:val="001842D2"/>
    <w:rsid w:val="00184327"/>
    <w:rsid w:val="00184402"/>
    <w:rsid w:val="001844DC"/>
    <w:rsid w:val="00184522"/>
    <w:rsid w:val="00184567"/>
    <w:rsid w:val="001846DD"/>
    <w:rsid w:val="00184740"/>
    <w:rsid w:val="00184763"/>
    <w:rsid w:val="00184770"/>
    <w:rsid w:val="00184891"/>
    <w:rsid w:val="001848D1"/>
    <w:rsid w:val="001848DF"/>
    <w:rsid w:val="00184980"/>
    <w:rsid w:val="00184ACC"/>
    <w:rsid w:val="00184B40"/>
    <w:rsid w:val="00184BBC"/>
    <w:rsid w:val="00184D16"/>
    <w:rsid w:val="00184FDC"/>
    <w:rsid w:val="00184FF5"/>
    <w:rsid w:val="0018510D"/>
    <w:rsid w:val="001851DF"/>
    <w:rsid w:val="0018539A"/>
    <w:rsid w:val="001853E0"/>
    <w:rsid w:val="001854E9"/>
    <w:rsid w:val="00185755"/>
    <w:rsid w:val="0018582B"/>
    <w:rsid w:val="00185850"/>
    <w:rsid w:val="00185876"/>
    <w:rsid w:val="0018595C"/>
    <w:rsid w:val="00185A8B"/>
    <w:rsid w:val="00185B57"/>
    <w:rsid w:val="00185BFE"/>
    <w:rsid w:val="00185C1B"/>
    <w:rsid w:val="00185C79"/>
    <w:rsid w:val="00185C88"/>
    <w:rsid w:val="00185CFB"/>
    <w:rsid w:val="00185D0C"/>
    <w:rsid w:val="00185F11"/>
    <w:rsid w:val="00185F82"/>
    <w:rsid w:val="00185FA1"/>
    <w:rsid w:val="00186040"/>
    <w:rsid w:val="0018605E"/>
    <w:rsid w:val="0018608C"/>
    <w:rsid w:val="001860DB"/>
    <w:rsid w:val="001860DE"/>
    <w:rsid w:val="0018613D"/>
    <w:rsid w:val="00186168"/>
    <w:rsid w:val="001862F7"/>
    <w:rsid w:val="0018633E"/>
    <w:rsid w:val="001863E5"/>
    <w:rsid w:val="00186430"/>
    <w:rsid w:val="0018661D"/>
    <w:rsid w:val="00186642"/>
    <w:rsid w:val="001866AD"/>
    <w:rsid w:val="001866C8"/>
    <w:rsid w:val="00186733"/>
    <w:rsid w:val="0018673A"/>
    <w:rsid w:val="00186777"/>
    <w:rsid w:val="0018680F"/>
    <w:rsid w:val="0018687B"/>
    <w:rsid w:val="00186900"/>
    <w:rsid w:val="0018695B"/>
    <w:rsid w:val="001869D3"/>
    <w:rsid w:val="001869FB"/>
    <w:rsid w:val="00186AB6"/>
    <w:rsid w:val="00186C07"/>
    <w:rsid w:val="00186C64"/>
    <w:rsid w:val="00186D4C"/>
    <w:rsid w:val="00186DAA"/>
    <w:rsid w:val="00186E79"/>
    <w:rsid w:val="00186EEC"/>
    <w:rsid w:val="001870BA"/>
    <w:rsid w:val="001870E5"/>
    <w:rsid w:val="0018714A"/>
    <w:rsid w:val="001871B7"/>
    <w:rsid w:val="001871C8"/>
    <w:rsid w:val="00187285"/>
    <w:rsid w:val="00187424"/>
    <w:rsid w:val="0018743B"/>
    <w:rsid w:val="001874E1"/>
    <w:rsid w:val="0018750D"/>
    <w:rsid w:val="00187569"/>
    <w:rsid w:val="0018769D"/>
    <w:rsid w:val="00187771"/>
    <w:rsid w:val="001877C3"/>
    <w:rsid w:val="0018780B"/>
    <w:rsid w:val="00187914"/>
    <w:rsid w:val="00187920"/>
    <w:rsid w:val="00187A3B"/>
    <w:rsid w:val="00187A6B"/>
    <w:rsid w:val="00187A88"/>
    <w:rsid w:val="00187AB6"/>
    <w:rsid w:val="00187B0B"/>
    <w:rsid w:val="00187B15"/>
    <w:rsid w:val="00187B53"/>
    <w:rsid w:val="00187C1A"/>
    <w:rsid w:val="00187C1D"/>
    <w:rsid w:val="00187D75"/>
    <w:rsid w:val="00187D81"/>
    <w:rsid w:val="00187E97"/>
    <w:rsid w:val="00187EA2"/>
    <w:rsid w:val="00187FDF"/>
    <w:rsid w:val="0019032C"/>
    <w:rsid w:val="001903DA"/>
    <w:rsid w:val="00190483"/>
    <w:rsid w:val="00190509"/>
    <w:rsid w:val="0019052D"/>
    <w:rsid w:val="00190570"/>
    <w:rsid w:val="00190624"/>
    <w:rsid w:val="0019066F"/>
    <w:rsid w:val="00190706"/>
    <w:rsid w:val="0019070D"/>
    <w:rsid w:val="00190725"/>
    <w:rsid w:val="00190A0D"/>
    <w:rsid w:val="00190A53"/>
    <w:rsid w:val="00190AE1"/>
    <w:rsid w:val="00190AEB"/>
    <w:rsid w:val="00190C27"/>
    <w:rsid w:val="00190CB2"/>
    <w:rsid w:val="00190D21"/>
    <w:rsid w:val="00190D9D"/>
    <w:rsid w:val="00190DF6"/>
    <w:rsid w:val="00190E04"/>
    <w:rsid w:val="00190F90"/>
    <w:rsid w:val="00190FF1"/>
    <w:rsid w:val="0019104A"/>
    <w:rsid w:val="0019107C"/>
    <w:rsid w:val="001910B6"/>
    <w:rsid w:val="00191186"/>
    <w:rsid w:val="00191198"/>
    <w:rsid w:val="001912FA"/>
    <w:rsid w:val="001913D1"/>
    <w:rsid w:val="001913F1"/>
    <w:rsid w:val="001914C9"/>
    <w:rsid w:val="0019155C"/>
    <w:rsid w:val="001916BD"/>
    <w:rsid w:val="00191703"/>
    <w:rsid w:val="00191883"/>
    <w:rsid w:val="00191AB9"/>
    <w:rsid w:val="00191BF5"/>
    <w:rsid w:val="00191C94"/>
    <w:rsid w:val="00191F5B"/>
    <w:rsid w:val="00191F77"/>
    <w:rsid w:val="001920C8"/>
    <w:rsid w:val="00192180"/>
    <w:rsid w:val="001921EE"/>
    <w:rsid w:val="00192218"/>
    <w:rsid w:val="001923B5"/>
    <w:rsid w:val="001923DB"/>
    <w:rsid w:val="001923F2"/>
    <w:rsid w:val="00192548"/>
    <w:rsid w:val="001925F5"/>
    <w:rsid w:val="00192677"/>
    <w:rsid w:val="0019276D"/>
    <w:rsid w:val="00192779"/>
    <w:rsid w:val="00192812"/>
    <w:rsid w:val="00192957"/>
    <w:rsid w:val="001929B6"/>
    <w:rsid w:val="001929BD"/>
    <w:rsid w:val="001929E0"/>
    <w:rsid w:val="00192A67"/>
    <w:rsid w:val="00192BBE"/>
    <w:rsid w:val="00192CCB"/>
    <w:rsid w:val="00192D36"/>
    <w:rsid w:val="00192DF6"/>
    <w:rsid w:val="00192F1B"/>
    <w:rsid w:val="00192F9C"/>
    <w:rsid w:val="0019305B"/>
    <w:rsid w:val="00193121"/>
    <w:rsid w:val="001931BE"/>
    <w:rsid w:val="00193292"/>
    <w:rsid w:val="00193330"/>
    <w:rsid w:val="00193455"/>
    <w:rsid w:val="00193499"/>
    <w:rsid w:val="00193535"/>
    <w:rsid w:val="001935DD"/>
    <w:rsid w:val="001935ED"/>
    <w:rsid w:val="00193643"/>
    <w:rsid w:val="00193996"/>
    <w:rsid w:val="001939B4"/>
    <w:rsid w:val="00193A04"/>
    <w:rsid w:val="00193A12"/>
    <w:rsid w:val="00193BCE"/>
    <w:rsid w:val="00193C75"/>
    <w:rsid w:val="00193CAC"/>
    <w:rsid w:val="00193D4F"/>
    <w:rsid w:val="00193EFC"/>
    <w:rsid w:val="00193FFC"/>
    <w:rsid w:val="00194044"/>
    <w:rsid w:val="00194075"/>
    <w:rsid w:val="00194434"/>
    <w:rsid w:val="0019468D"/>
    <w:rsid w:val="001946A0"/>
    <w:rsid w:val="00194784"/>
    <w:rsid w:val="0019478E"/>
    <w:rsid w:val="001947DB"/>
    <w:rsid w:val="001947EF"/>
    <w:rsid w:val="00194817"/>
    <w:rsid w:val="00194888"/>
    <w:rsid w:val="00194C12"/>
    <w:rsid w:val="00194D01"/>
    <w:rsid w:val="00194D45"/>
    <w:rsid w:val="00194D6D"/>
    <w:rsid w:val="001951EE"/>
    <w:rsid w:val="00195210"/>
    <w:rsid w:val="00195287"/>
    <w:rsid w:val="001952C3"/>
    <w:rsid w:val="0019530C"/>
    <w:rsid w:val="00195317"/>
    <w:rsid w:val="00195401"/>
    <w:rsid w:val="001954EB"/>
    <w:rsid w:val="001955F8"/>
    <w:rsid w:val="0019562B"/>
    <w:rsid w:val="00195669"/>
    <w:rsid w:val="00195699"/>
    <w:rsid w:val="001956EB"/>
    <w:rsid w:val="00195722"/>
    <w:rsid w:val="00195796"/>
    <w:rsid w:val="00195946"/>
    <w:rsid w:val="001959DC"/>
    <w:rsid w:val="00195A30"/>
    <w:rsid w:val="00195A8A"/>
    <w:rsid w:val="00195B66"/>
    <w:rsid w:val="00195D8A"/>
    <w:rsid w:val="00195F5F"/>
    <w:rsid w:val="00195F7A"/>
    <w:rsid w:val="00196240"/>
    <w:rsid w:val="001964D4"/>
    <w:rsid w:val="0019681F"/>
    <w:rsid w:val="00196850"/>
    <w:rsid w:val="001968D2"/>
    <w:rsid w:val="0019698A"/>
    <w:rsid w:val="001969AA"/>
    <w:rsid w:val="00196A17"/>
    <w:rsid w:val="00196A5F"/>
    <w:rsid w:val="00196A95"/>
    <w:rsid w:val="00196B49"/>
    <w:rsid w:val="00196BA5"/>
    <w:rsid w:val="00196C33"/>
    <w:rsid w:val="00196E2E"/>
    <w:rsid w:val="00196E6F"/>
    <w:rsid w:val="00196FCB"/>
    <w:rsid w:val="00196FF2"/>
    <w:rsid w:val="0019720F"/>
    <w:rsid w:val="00197221"/>
    <w:rsid w:val="001972B9"/>
    <w:rsid w:val="001972C9"/>
    <w:rsid w:val="00197323"/>
    <w:rsid w:val="00197397"/>
    <w:rsid w:val="001974A2"/>
    <w:rsid w:val="0019756E"/>
    <w:rsid w:val="001976EC"/>
    <w:rsid w:val="001976F2"/>
    <w:rsid w:val="00197746"/>
    <w:rsid w:val="0019777C"/>
    <w:rsid w:val="00197786"/>
    <w:rsid w:val="00197844"/>
    <w:rsid w:val="00197904"/>
    <w:rsid w:val="0019797D"/>
    <w:rsid w:val="0019798A"/>
    <w:rsid w:val="00197B01"/>
    <w:rsid w:val="00197B48"/>
    <w:rsid w:val="00197C97"/>
    <w:rsid w:val="00197CE8"/>
    <w:rsid w:val="00197DBD"/>
    <w:rsid w:val="00197DD3"/>
    <w:rsid w:val="00197EB4"/>
    <w:rsid w:val="00197EF9"/>
    <w:rsid w:val="00197F24"/>
    <w:rsid w:val="00197F60"/>
    <w:rsid w:val="00197FEF"/>
    <w:rsid w:val="001A0068"/>
    <w:rsid w:val="001A00A6"/>
    <w:rsid w:val="001A0220"/>
    <w:rsid w:val="001A05A0"/>
    <w:rsid w:val="001A0722"/>
    <w:rsid w:val="001A0754"/>
    <w:rsid w:val="001A086F"/>
    <w:rsid w:val="001A09E8"/>
    <w:rsid w:val="001A0A24"/>
    <w:rsid w:val="001A0A88"/>
    <w:rsid w:val="001A0AF9"/>
    <w:rsid w:val="001A0AFE"/>
    <w:rsid w:val="001A0E4B"/>
    <w:rsid w:val="001A0F58"/>
    <w:rsid w:val="001A106C"/>
    <w:rsid w:val="001A1127"/>
    <w:rsid w:val="001A11FE"/>
    <w:rsid w:val="001A1314"/>
    <w:rsid w:val="001A133E"/>
    <w:rsid w:val="001A13AF"/>
    <w:rsid w:val="001A14D0"/>
    <w:rsid w:val="001A14EF"/>
    <w:rsid w:val="001A1687"/>
    <w:rsid w:val="001A16D8"/>
    <w:rsid w:val="001A1721"/>
    <w:rsid w:val="001A1801"/>
    <w:rsid w:val="001A1A56"/>
    <w:rsid w:val="001A1CEB"/>
    <w:rsid w:val="001A1D66"/>
    <w:rsid w:val="001A1E42"/>
    <w:rsid w:val="001A1E55"/>
    <w:rsid w:val="001A204C"/>
    <w:rsid w:val="001A21E7"/>
    <w:rsid w:val="001A22BF"/>
    <w:rsid w:val="001A22D9"/>
    <w:rsid w:val="001A2544"/>
    <w:rsid w:val="001A2567"/>
    <w:rsid w:val="001A25D2"/>
    <w:rsid w:val="001A2683"/>
    <w:rsid w:val="001A2709"/>
    <w:rsid w:val="001A271F"/>
    <w:rsid w:val="001A2786"/>
    <w:rsid w:val="001A288F"/>
    <w:rsid w:val="001A28D7"/>
    <w:rsid w:val="001A2921"/>
    <w:rsid w:val="001A2A9A"/>
    <w:rsid w:val="001A2C0A"/>
    <w:rsid w:val="001A2C38"/>
    <w:rsid w:val="001A2C91"/>
    <w:rsid w:val="001A2C9A"/>
    <w:rsid w:val="001A2D2D"/>
    <w:rsid w:val="001A2E2D"/>
    <w:rsid w:val="001A2E41"/>
    <w:rsid w:val="001A2E82"/>
    <w:rsid w:val="001A2EBD"/>
    <w:rsid w:val="001A3037"/>
    <w:rsid w:val="001A3233"/>
    <w:rsid w:val="001A3285"/>
    <w:rsid w:val="001A3306"/>
    <w:rsid w:val="001A3329"/>
    <w:rsid w:val="001A33DA"/>
    <w:rsid w:val="001A3451"/>
    <w:rsid w:val="001A34B7"/>
    <w:rsid w:val="001A34F0"/>
    <w:rsid w:val="001A3564"/>
    <w:rsid w:val="001A3582"/>
    <w:rsid w:val="001A36FF"/>
    <w:rsid w:val="001A37AD"/>
    <w:rsid w:val="001A37B6"/>
    <w:rsid w:val="001A37D7"/>
    <w:rsid w:val="001A37FE"/>
    <w:rsid w:val="001A3816"/>
    <w:rsid w:val="001A3843"/>
    <w:rsid w:val="001A390C"/>
    <w:rsid w:val="001A39DC"/>
    <w:rsid w:val="001A3A05"/>
    <w:rsid w:val="001A3A09"/>
    <w:rsid w:val="001A3ACE"/>
    <w:rsid w:val="001A3B0B"/>
    <w:rsid w:val="001A3B86"/>
    <w:rsid w:val="001A3BBD"/>
    <w:rsid w:val="001A3CC9"/>
    <w:rsid w:val="001A3D4B"/>
    <w:rsid w:val="001A3D90"/>
    <w:rsid w:val="001A3E3E"/>
    <w:rsid w:val="001A3EBC"/>
    <w:rsid w:val="001A3EED"/>
    <w:rsid w:val="001A3EEE"/>
    <w:rsid w:val="001A3F77"/>
    <w:rsid w:val="001A3F89"/>
    <w:rsid w:val="001A4007"/>
    <w:rsid w:val="001A40CE"/>
    <w:rsid w:val="001A40FD"/>
    <w:rsid w:val="001A41B4"/>
    <w:rsid w:val="001A429A"/>
    <w:rsid w:val="001A42F3"/>
    <w:rsid w:val="001A4308"/>
    <w:rsid w:val="001A437D"/>
    <w:rsid w:val="001A43FA"/>
    <w:rsid w:val="001A4477"/>
    <w:rsid w:val="001A44AC"/>
    <w:rsid w:val="001A4550"/>
    <w:rsid w:val="001A45BA"/>
    <w:rsid w:val="001A4638"/>
    <w:rsid w:val="001A464F"/>
    <w:rsid w:val="001A46C7"/>
    <w:rsid w:val="001A4707"/>
    <w:rsid w:val="001A4709"/>
    <w:rsid w:val="001A47BE"/>
    <w:rsid w:val="001A483C"/>
    <w:rsid w:val="001A4866"/>
    <w:rsid w:val="001A4947"/>
    <w:rsid w:val="001A49BB"/>
    <w:rsid w:val="001A4A59"/>
    <w:rsid w:val="001A4B04"/>
    <w:rsid w:val="001A4BD2"/>
    <w:rsid w:val="001A4BFB"/>
    <w:rsid w:val="001A4D86"/>
    <w:rsid w:val="001A4EFE"/>
    <w:rsid w:val="001A4FA3"/>
    <w:rsid w:val="001A51AE"/>
    <w:rsid w:val="001A5289"/>
    <w:rsid w:val="001A529D"/>
    <w:rsid w:val="001A5354"/>
    <w:rsid w:val="001A536A"/>
    <w:rsid w:val="001A5448"/>
    <w:rsid w:val="001A54C9"/>
    <w:rsid w:val="001A54E3"/>
    <w:rsid w:val="001A54EE"/>
    <w:rsid w:val="001A5524"/>
    <w:rsid w:val="001A5595"/>
    <w:rsid w:val="001A5658"/>
    <w:rsid w:val="001A56CE"/>
    <w:rsid w:val="001A581E"/>
    <w:rsid w:val="001A58D1"/>
    <w:rsid w:val="001A59DC"/>
    <w:rsid w:val="001A5BB9"/>
    <w:rsid w:val="001A5BEC"/>
    <w:rsid w:val="001A5C6E"/>
    <w:rsid w:val="001A5D14"/>
    <w:rsid w:val="001A5D31"/>
    <w:rsid w:val="001A5DAE"/>
    <w:rsid w:val="001A5DB3"/>
    <w:rsid w:val="001A5E8C"/>
    <w:rsid w:val="001A5EA4"/>
    <w:rsid w:val="001A5F26"/>
    <w:rsid w:val="001A611C"/>
    <w:rsid w:val="001A6142"/>
    <w:rsid w:val="001A6150"/>
    <w:rsid w:val="001A6184"/>
    <w:rsid w:val="001A6187"/>
    <w:rsid w:val="001A6295"/>
    <w:rsid w:val="001A63F1"/>
    <w:rsid w:val="001A6412"/>
    <w:rsid w:val="001A6416"/>
    <w:rsid w:val="001A644B"/>
    <w:rsid w:val="001A64F2"/>
    <w:rsid w:val="001A650D"/>
    <w:rsid w:val="001A65C5"/>
    <w:rsid w:val="001A661D"/>
    <w:rsid w:val="001A6620"/>
    <w:rsid w:val="001A66F2"/>
    <w:rsid w:val="001A675C"/>
    <w:rsid w:val="001A67D7"/>
    <w:rsid w:val="001A67FB"/>
    <w:rsid w:val="001A6973"/>
    <w:rsid w:val="001A6989"/>
    <w:rsid w:val="001A6BC5"/>
    <w:rsid w:val="001A6BE2"/>
    <w:rsid w:val="001A6CFE"/>
    <w:rsid w:val="001A6D7C"/>
    <w:rsid w:val="001A6DCD"/>
    <w:rsid w:val="001A7098"/>
    <w:rsid w:val="001A709F"/>
    <w:rsid w:val="001A70A7"/>
    <w:rsid w:val="001A71AC"/>
    <w:rsid w:val="001A737B"/>
    <w:rsid w:val="001A7411"/>
    <w:rsid w:val="001A7437"/>
    <w:rsid w:val="001A74AE"/>
    <w:rsid w:val="001A7509"/>
    <w:rsid w:val="001A750C"/>
    <w:rsid w:val="001A76F6"/>
    <w:rsid w:val="001A771F"/>
    <w:rsid w:val="001A7765"/>
    <w:rsid w:val="001A7899"/>
    <w:rsid w:val="001A78DF"/>
    <w:rsid w:val="001A7B9F"/>
    <w:rsid w:val="001A7BE9"/>
    <w:rsid w:val="001A7C83"/>
    <w:rsid w:val="001A7CB5"/>
    <w:rsid w:val="001A7E7C"/>
    <w:rsid w:val="001A7F64"/>
    <w:rsid w:val="001B0025"/>
    <w:rsid w:val="001B0027"/>
    <w:rsid w:val="001B008D"/>
    <w:rsid w:val="001B00A9"/>
    <w:rsid w:val="001B00E1"/>
    <w:rsid w:val="001B0161"/>
    <w:rsid w:val="001B017C"/>
    <w:rsid w:val="001B02C9"/>
    <w:rsid w:val="001B0341"/>
    <w:rsid w:val="001B0379"/>
    <w:rsid w:val="001B04F4"/>
    <w:rsid w:val="001B05A4"/>
    <w:rsid w:val="001B0702"/>
    <w:rsid w:val="001B073F"/>
    <w:rsid w:val="001B0779"/>
    <w:rsid w:val="001B07BB"/>
    <w:rsid w:val="001B07E9"/>
    <w:rsid w:val="001B07EA"/>
    <w:rsid w:val="001B0857"/>
    <w:rsid w:val="001B08A8"/>
    <w:rsid w:val="001B08AE"/>
    <w:rsid w:val="001B092F"/>
    <w:rsid w:val="001B0935"/>
    <w:rsid w:val="001B0971"/>
    <w:rsid w:val="001B09B4"/>
    <w:rsid w:val="001B0A13"/>
    <w:rsid w:val="001B0A33"/>
    <w:rsid w:val="001B0A48"/>
    <w:rsid w:val="001B0B0D"/>
    <w:rsid w:val="001B0B0F"/>
    <w:rsid w:val="001B0C18"/>
    <w:rsid w:val="001B0C39"/>
    <w:rsid w:val="001B0D18"/>
    <w:rsid w:val="001B0D4B"/>
    <w:rsid w:val="001B0D84"/>
    <w:rsid w:val="001B0D9F"/>
    <w:rsid w:val="001B0E2C"/>
    <w:rsid w:val="001B0EC6"/>
    <w:rsid w:val="001B102F"/>
    <w:rsid w:val="001B1044"/>
    <w:rsid w:val="001B1080"/>
    <w:rsid w:val="001B10E6"/>
    <w:rsid w:val="001B1100"/>
    <w:rsid w:val="001B11CC"/>
    <w:rsid w:val="001B12AB"/>
    <w:rsid w:val="001B12B1"/>
    <w:rsid w:val="001B13E2"/>
    <w:rsid w:val="001B1567"/>
    <w:rsid w:val="001B156F"/>
    <w:rsid w:val="001B165D"/>
    <w:rsid w:val="001B1709"/>
    <w:rsid w:val="001B17F0"/>
    <w:rsid w:val="001B185C"/>
    <w:rsid w:val="001B186C"/>
    <w:rsid w:val="001B18B3"/>
    <w:rsid w:val="001B18C5"/>
    <w:rsid w:val="001B197D"/>
    <w:rsid w:val="001B198F"/>
    <w:rsid w:val="001B19DA"/>
    <w:rsid w:val="001B1B54"/>
    <w:rsid w:val="001B1BB8"/>
    <w:rsid w:val="001B1C19"/>
    <w:rsid w:val="001B1C51"/>
    <w:rsid w:val="001B1D42"/>
    <w:rsid w:val="001B1D46"/>
    <w:rsid w:val="001B1D5E"/>
    <w:rsid w:val="001B1EC9"/>
    <w:rsid w:val="001B1F1B"/>
    <w:rsid w:val="001B20A7"/>
    <w:rsid w:val="001B2143"/>
    <w:rsid w:val="001B2149"/>
    <w:rsid w:val="001B21EC"/>
    <w:rsid w:val="001B243C"/>
    <w:rsid w:val="001B2441"/>
    <w:rsid w:val="001B248A"/>
    <w:rsid w:val="001B26F2"/>
    <w:rsid w:val="001B2AB8"/>
    <w:rsid w:val="001B2B13"/>
    <w:rsid w:val="001B2B1C"/>
    <w:rsid w:val="001B2B4B"/>
    <w:rsid w:val="001B2B8D"/>
    <w:rsid w:val="001B2C2C"/>
    <w:rsid w:val="001B2C65"/>
    <w:rsid w:val="001B2CB0"/>
    <w:rsid w:val="001B2D45"/>
    <w:rsid w:val="001B2D83"/>
    <w:rsid w:val="001B2D9F"/>
    <w:rsid w:val="001B2DAD"/>
    <w:rsid w:val="001B2E0C"/>
    <w:rsid w:val="001B2E34"/>
    <w:rsid w:val="001B302A"/>
    <w:rsid w:val="001B3181"/>
    <w:rsid w:val="001B31DF"/>
    <w:rsid w:val="001B329D"/>
    <w:rsid w:val="001B329E"/>
    <w:rsid w:val="001B32DD"/>
    <w:rsid w:val="001B3311"/>
    <w:rsid w:val="001B3346"/>
    <w:rsid w:val="001B349B"/>
    <w:rsid w:val="001B361B"/>
    <w:rsid w:val="001B38EE"/>
    <w:rsid w:val="001B38FB"/>
    <w:rsid w:val="001B393E"/>
    <w:rsid w:val="001B3965"/>
    <w:rsid w:val="001B39CD"/>
    <w:rsid w:val="001B39D3"/>
    <w:rsid w:val="001B39DA"/>
    <w:rsid w:val="001B39DD"/>
    <w:rsid w:val="001B3A90"/>
    <w:rsid w:val="001B3AB7"/>
    <w:rsid w:val="001B3E09"/>
    <w:rsid w:val="001B3E22"/>
    <w:rsid w:val="001B3EDB"/>
    <w:rsid w:val="001B3EF3"/>
    <w:rsid w:val="001B3F51"/>
    <w:rsid w:val="001B4049"/>
    <w:rsid w:val="001B4139"/>
    <w:rsid w:val="001B4158"/>
    <w:rsid w:val="001B41BB"/>
    <w:rsid w:val="001B41F9"/>
    <w:rsid w:val="001B428F"/>
    <w:rsid w:val="001B42A8"/>
    <w:rsid w:val="001B4326"/>
    <w:rsid w:val="001B4371"/>
    <w:rsid w:val="001B4389"/>
    <w:rsid w:val="001B438B"/>
    <w:rsid w:val="001B45A8"/>
    <w:rsid w:val="001B46CB"/>
    <w:rsid w:val="001B480D"/>
    <w:rsid w:val="001B481B"/>
    <w:rsid w:val="001B4A45"/>
    <w:rsid w:val="001B4ACA"/>
    <w:rsid w:val="001B4B92"/>
    <w:rsid w:val="001B4BEA"/>
    <w:rsid w:val="001B4D87"/>
    <w:rsid w:val="001B4D95"/>
    <w:rsid w:val="001B4DD2"/>
    <w:rsid w:val="001B4E93"/>
    <w:rsid w:val="001B5114"/>
    <w:rsid w:val="001B5126"/>
    <w:rsid w:val="001B52A6"/>
    <w:rsid w:val="001B52D0"/>
    <w:rsid w:val="001B5331"/>
    <w:rsid w:val="001B552E"/>
    <w:rsid w:val="001B5554"/>
    <w:rsid w:val="001B5697"/>
    <w:rsid w:val="001B56B9"/>
    <w:rsid w:val="001B5749"/>
    <w:rsid w:val="001B578F"/>
    <w:rsid w:val="001B5828"/>
    <w:rsid w:val="001B5844"/>
    <w:rsid w:val="001B589C"/>
    <w:rsid w:val="001B5947"/>
    <w:rsid w:val="001B595C"/>
    <w:rsid w:val="001B5994"/>
    <w:rsid w:val="001B5A9D"/>
    <w:rsid w:val="001B5AEB"/>
    <w:rsid w:val="001B5D03"/>
    <w:rsid w:val="001B5D9D"/>
    <w:rsid w:val="001B5DFD"/>
    <w:rsid w:val="001B5EE3"/>
    <w:rsid w:val="001B60B2"/>
    <w:rsid w:val="001B61B8"/>
    <w:rsid w:val="001B61FB"/>
    <w:rsid w:val="001B6329"/>
    <w:rsid w:val="001B6367"/>
    <w:rsid w:val="001B639D"/>
    <w:rsid w:val="001B63E9"/>
    <w:rsid w:val="001B640A"/>
    <w:rsid w:val="001B643F"/>
    <w:rsid w:val="001B651B"/>
    <w:rsid w:val="001B65E9"/>
    <w:rsid w:val="001B6772"/>
    <w:rsid w:val="001B686E"/>
    <w:rsid w:val="001B6903"/>
    <w:rsid w:val="001B690C"/>
    <w:rsid w:val="001B6946"/>
    <w:rsid w:val="001B69DC"/>
    <w:rsid w:val="001B6AAF"/>
    <w:rsid w:val="001B6B1D"/>
    <w:rsid w:val="001B6B43"/>
    <w:rsid w:val="001B6BAA"/>
    <w:rsid w:val="001B6BDB"/>
    <w:rsid w:val="001B6C2C"/>
    <w:rsid w:val="001B6D20"/>
    <w:rsid w:val="001B6DE7"/>
    <w:rsid w:val="001B71EC"/>
    <w:rsid w:val="001B739D"/>
    <w:rsid w:val="001B73A4"/>
    <w:rsid w:val="001B73E6"/>
    <w:rsid w:val="001B7486"/>
    <w:rsid w:val="001B74C4"/>
    <w:rsid w:val="001B7501"/>
    <w:rsid w:val="001B7515"/>
    <w:rsid w:val="001B75FF"/>
    <w:rsid w:val="001B7701"/>
    <w:rsid w:val="001B77D5"/>
    <w:rsid w:val="001B7803"/>
    <w:rsid w:val="001B7835"/>
    <w:rsid w:val="001B7887"/>
    <w:rsid w:val="001B78E6"/>
    <w:rsid w:val="001B7A43"/>
    <w:rsid w:val="001B7A48"/>
    <w:rsid w:val="001B7B26"/>
    <w:rsid w:val="001B7BA0"/>
    <w:rsid w:val="001B7BC8"/>
    <w:rsid w:val="001B7C1B"/>
    <w:rsid w:val="001B7CC9"/>
    <w:rsid w:val="001B7CFC"/>
    <w:rsid w:val="001B7D4C"/>
    <w:rsid w:val="001B7E33"/>
    <w:rsid w:val="001B7E38"/>
    <w:rsid w:val="001B7E4A"/>
    <w:rsid w:val="001B7E61"/>
    <w:rsid w:val="001B7E95"/>
    <w:rsid w:val="001B7E9F"/>
    <w:rsid w:val="001B7EC9"/>
    <w:rsid w:val="001C002E"/>
    <w:rsid w:val="001C0071"/>
    <w:rsid w:val="001C00B0"/>
    <w:rsid w:val="001C0289"/>
    <w:rsid w:val="001C0333"/>
    <w:rsid w:val="001C0431"/>
    <w:rsid w:val="001C06B5"/>
    <w:rsid w:val="001C06DF"/>
    <w:rsid w:val="001C08B8"/>
    <w:rsid w:val="001C0912"/>
    <w:rsid w:val="001C0A25"/>
    <w:rsid w:val="001C0BFB"/>
    <w:rsid w:val="001C0C3E"/>
    <w:rsid w:val="001C0CE5"/>
    <w:rsid w:val="001C0D2F"/>
    <w:rsid w:val="001C0D60"/>
    <w:rsid w:val="001C0DCF"/>
    <w:rsid w:val="001C0E01"/>
    <w:rsid w:val="001C0E57"/>
    <w:rsid w:val="001C0EC4"/>
    <w:rsid w:val="001C105E"/>
    <w:rsid w:val="001C126E"/>
    <w:rsid w:val="001C12C2"/>
    <w:rsid w:val="001C1377"/>
    <w:rsid w:val="001C13FF"/>
    <w:rsid w:val="001C144D"/>
    <w:rsid w:val="001C15DF"/>
    <w:rsid w:val="001C162C"/>
    <w:rsid w:val="001C1693"/>
    <w:rsid w:val="001C16A7"/>
    <w:rsid w:val="001C1885"/>
    <w:rsid w:val="001C18B5"/>
    <w:rsid w:val="001C19BF"/>
    <w:rsid w:val="001C1C1D"/>
    <w:rsid w:val="001C1C8C"/>
    <w:rsid w:val="001C1CB9"/>
    <w:rsid w:val="001C1CC4"/>
    <w:rsid w:val="001C1CDB"/>
    <w:rsid w:val="001C1D36"/>
    <w:rsid w:val="001C1E4B"/>
    <w:rsid w:val="001C1E68"/>
    <w:rsid w:val="001C2124"/>
    <w:rsid w:val="001C25A2"/>
    <w:rsid w:val="001C25A7"/>
    <w:rsid w:val="001C2741"/>
    <w:rsid w:val="001C2813"/>
    <w:rsid w:val="001C28C0"/>
    <w:rsid w:val="001C2929"/>
    <w:rsid w:val="001C29A5"/>
    <w:rsid w:val="001C2A4D"/>
    <w:rsid w:val="001C2B1F"/>
    <w:rsid w:val="001C2B65"/>
    <w:rsid w:val="001C2DB9"/>
    <w:rsid w:val="001C2EDF"/>
    <w:rsid w:val="001C319A"/>
    <w:rsid w:val="001C323D"/>
    <w:rsid w:val="001C326A"/>
    <w:rsid w:val="001C3277"/>
    <w:rsid w:val="001C3305"/>
    <w:rsid w:val="001C3351"/>
    <w:rsid w:val="001C3406"/>
    <w:rsid w:val="001C3447"/>
    <w:rsid w:val="001C34C5"/>
    <w:rsid w:val="001C3622"/>
    <w:rsid w:val="001C372E"/>
    <w:rsid w:val="001C37E8"/>
    <w:rsid w:val="001C38C2"/>
    <w:rsid w:val="001C39C8"/>
    <w:rsid w:val="001C3B2D"/>
    <w:rsid w:val="001C3B51"/>
    <w:rsid w:val="001C3B81"/>
    <w:rsid w:val="001C3BE0"/>
    <w:rsid w:val="001C3C29"/>
    <w:rsid w:val="001C3D32"/>
    <w:rsid w:val="001C3EF4"/>
    <w:rsid w:val="001C3EF6"/>
    <w:rsid w:val="001C3F1F"/>
    <w:rsid w:val="001C405B"/>
    <w:rsid w:val="001C40BA"/>
    <w:rsid w:val="001C4344"/>
    <w:rsid w:val="001C4353"/>
    <w:rsid w:val="001C43C7"/>
    <w:rsid w:val="001C4440"/>
    <w:rsid w:val="001C4443"/>
    <w:rsid w:val="001C4453"/>
    <w:rsid w:val="001C44C6"/>
    <w:rsid w:val="001C44CA"/>
    <w:rsid w:val="001C4722"/>
    <w:rsid w:val="001C4775"/>
    <w:rsid w:val="001C47A3"/>
    <w:rsid w:val="001C48A1"/>
    <w:rsid w:val="001C48D4"/>
    <w:rsid w:val="001C4A03"/>
    <w:rsid w:val="001C4AAF"/>
    <w:rsid w:val="001C4AC9"/>
    <w:rsid w:val="001C4BE0"/>
    <w:rsid w:val="001C4C67"/>
    <w:rsid w:val="001C4E15"/>
    <w:rsid w:val="001C4E60"/>
    <w:rsid w:val="001C4EC7"/>
    <w:rsid w:val="001C4ED1"/>
    <w:rsid w:val="001C4F33"/>
    <w:rsid w:val="001C4F4A"/>
    <w:rsid w:val="001C4F88"/>
    <w:rsid w:val="001C51D3"/>
    <w:rsid w:val="001C5209"/>
    <w:rsid w:val="001C5257"/>
    <w:rsid w:val="001C53C0"/>
    <w:rsid w:val="001C53C2"/>
    <w:rsid w:val="001C54D3"/>
    <w:rsid w:val="001C553A"/>
    <w:rsid w:val="001C554F"/>
    <w:rsid w:val="001C556E"/>
    <w:rsid w:val="001C5590"/>
    <w:rsid w:val="001C5751"/>
    <w:rsid w:val="001C585B"/>
    <w:rsid w:val="001C58BB"/>
    <w:rsid w:val="001C597D"/>
    <w:rsid w:val="001C5A7B"/>
    <w:rsid w:val="001C5BC1"/>
    <w:rsid w:val="001C5BFF"/>
    <w:rsid w:val="001C5DDD"/>
    <w:rsid w:val="001C5E91"/>
    <w:rsid w:val="001C5F31"/>
    <w:rsid w:val="001C5FF1"/>
    <w:rsid w:val="001C6136"/>
    <w:rsid w:val="001C62F1"/>
    <w:rsid w:val="001C62F2"/>
    <w:rsid w:val="001C6304"/>
    <w:rsid w:val="001C64D4"/>
    <w:rsid w:val="001C653B"/>
    <w:rsid w:val="001C6700"/>
    <w:rsid w:val="001C671F"/>
    <w:rsid w:val="001C67C9"/>
    <w:rsid w:val="001C6806"/>
    <w:rsid w:val="001C6817"/>
    <w:rsid w:val="001C6821"/>
    <w:rsid w:val="001C69CC"/>
    <w:rsid w:val="001C6A96"/>
    <w:rsid w:val="001C6A98"/>
    <w:rsid w:val="001C6B37"/>
    <w:rsid w:val="001C6B4A"/>
    <w:rsid w:val="001C6B98"/>
    <w:rsid w:val="001C6C0E"/>
    <w:rsid w:val="001C6C2B"/>
    <w:rsid w:val="001C6C58"/>
    <w:rsid w:val="001C6CC3"/>
    <w:rsid w:val="001C6CC9"/>
    <w:rsid w:val="001C6D3F"/>
    <w:rsid w:val="001C6D68"/>
    <w:rsid w:val="001C6EC7"/>
    <w:rsid w:val="001C6EEE"/>
    <w:rsid w:val="001C6FF6"/>
    <w:rsid w:val="001C7024"/>
    <w:rsid w:val="001C717C"/>
    <w:rsid w:val="001C71C1"/>
    <w:rsid w:val="001C71CB"/>
    <w:rsid w:val="001C721C"/>
    <w:rsid w:val="001C72AE"/>
    <w:rsid w:val="001C732B"/>
    <w:rsid w:val="001C73FE"/>
    <w:rsid w:val="001C7451"/>
    <w:rsid w:val="001C7683"/>
    <w:rsid w:val="001C776C"/>
    <w:rsid w:val="001C778D"/>
    <w:rsid w:val="001C78C7"/>
    <w:rsid w:val="001C79A1"/>
    <w:rsid w:val="001C79DB"/>
    <w:rsid w:val="001C7A73"/>
    <w:rsid w:val="001C7C4C"/>
    <w:rsid w:val="001C7C5D"/>
    <w:rsid w:val="001C7D64"/>
    <w:rsid w:val="001C7DB8"/>
    <w:rsid w:val="001C7E14"/>
    <w:rsid w:val="001C7E47"/>
    <w:rsid w:val="001C7EBB"/>
    <w:rsid w:val="001C7ED4"/>
    <w:rsid w:val="001C7FE5"/>
    <w:rsid w:val="001C7FE9"/>
    <w:rsid w:val="001D009B"/>
    <w:rsid w:val="001D0174"/>
    <w:rsid w:val="001D0314"/>
    <w:rsid w:val="001D03AE"/>
    <w:rsid w:val="001D050A"/>
    <w:rsid w:val="001D05A1"/>
    <w:rsid w:val="001D0612"/>
    <w:rsid w:val="001D062C"/>
    <w:rsid w:val="001D062F"/>
    <w:rsid w:val="001D0654"/>
    <w:rsid w:val="001D0727"/>
    <w:rsid w:val="001D08C2"/>
    <w:rsid w:val="001D08CB"/>
    <w:rsid w:val="001D0916"/>
    <w:rsid w:val="001D0A24"/>
    <w:rsid w:val="001D0A2D"/>
    <w:rsid w:val="001D0AF9"/>
    <w:rsid w:val="001D0B30"/>
    <w:rsid w:val="001D0B43"/>
    <w:rsid w:val="001D0CC5"/>
    <w:rsid w:val="001D0CE2"/>
    <w:rsid w:val="001D0D16"/>
    <w:rsid w:val="001D0D67"/>
    <w:rsid w:val="001D0DD1"/>
    <w:rsid w:val="001D0DF0"/>
    <w:rsid w:val="001D0E02"/>
    <w:rsid w:val="001D0E35"/>
    <w:rsid w:val="001D0E6E"/>
    <w:rsid w:val="001D0EF1"/>
    <w:rsid w:val="001D1087"/>
    <w:rsid w:val="001D10A1"/>
    <w:rsid w:val="001D1152"/>
    <w:rsid w:val="001D117B"/>
    <w:rsid w:val="001D11DA"/>
    <w:rsid w:val="001D1225"/>
    <w:rsid w:val="001D1281"/>
    <w:rsid w:val="001D12E7"/>
    <w:rsid w:val="001D1352"/>
    <w:rsid w:val="001D13B0"/>
    <w:rsid w:val="001D14BF"/>
    <w:rsid w:val="001D15F0"/>
    <w:rsid w:val="001D164D"/>
    <w:rsid w:val="001D1825"/>
    <w:rsid w:val="001D19CE"/>
    <w:rsid w:val="001D1A71"/>
    <w:rsid w:val="001D1AB5"/>
    <w:rsid w:val="001D1BF1"/>
    <w:rsid w:val="001D1C2A"/>
    <w:rsid w:val="001D1D14"/>
    <w:rsid w:val="001D1D57"/>
    <w:rsid w:val="001D202A"/>
    <w:rsid w:val="001D204C"/>
    <w:rsid w:val="001D2050"/>
    <w:rsid w:val="001D2205"/>
    <w:rsid w:val="001D22F7"/>
    <w:rsid w:val="001D2300"/>
    <w:rsid w:val="001D2398"/>
    <w:rsid w:val="001D23A3"/>
    <w:rsid w:val="001D23EF"/>
    <w:rsid w:val="001D2574"/>
    <w:rsid w:val="001D262F"/>
    <w:rsid w:val="001D2644"/>
    <w:rsid w:val="001D2733"/>
    <w:rsid w:val="001D2779"/>
    <w:rsid w:val="001D2789"/>
    <w:rsid w:val="001D281D"/>
    <w:rsid w:val="001D2967"/>
    <w:rsid w:val="001D29E5"/>
    <w:rsid w:val="001D2B6C"/>
    <w:rsid w:val="001D2C36"/>
    <w:rsid w:val="001D2D4E"/>
    <w:rsid w:val="001D2D93"/>
    <w:rsid w:val="001D2E30"/>
    <w:rsid w:val="001D2EE5"/>
    <w:rsid w:val="001D2EF1"/>
    <w:rsid w:val="001D3106"/>
    <w:rsid w:val="001D3128"/>
    <w:rsid w:val="001D31EA"/>
    <w:rsid w:val="001D3530"/>
    <w:rsid w:val="001D3582"/>
    <w:rsid w:val="001D358D"/>
    <w:rsid w:val="001D35B5"/>
    <w:rsid w:val="001D3685"/>
    <w:rsid w:val="001D381F"/>
    <w:rsid w:val="001D3833"/>
    <w:rsid w:val="001D3836"/>
    <w:rsid w:val="001D38B0"/>
    <w:rsid w:val="001D39D9"/>
    <w:rsid w:val="001D3A2B"/>
    <w:rsid w:val="001D3A50"/>
    <w:rsid w:val="001D3A72"/>
    <w:rsid w:val="001D3AE6"/>
    <w:rsid w:val="001D3B48"/>
    <w:rsid w:val="001D3BB8"/>
    <w:rsid w:val="001D3CA7"/>
    <w:rsid w:val="001D3CBA"/>
    <w:rsid w:val="001D3CCE"/>
    <w:rsid w:val="001D3CEE"/>
    <w:rsid w:val="001D3DEB"/>
    <w:rsid w:val="001D3E84"/>
    <w:rsid w:val="001D3F59"/>
    <w:rsid w:val="001D3F8A"/>
    <w:rsid w:val="001D40B4"/>
    <w:rsid w:val="001D4162"/>
    <w:rsid w:val="001D41B9"/>
    <w:rsid w:val="001D41C5"/>
    <w:rsid w:val="001D424A"/>
    <w:rsid w:val="001D42AF"/>
    <w:rsid w:val="001D42CB"/>
    <w:rsid w:val="001D4334"/>
    <w:rsid w:val="001D43C5"/>
    <w:rsid w:val="001D443C"/>
    <w:rsid w:val="001D4488"/>
    <w:rsid w:val="001D4495"/>
    <w:rsid w:val="001D45E7"/>
    <w:rsid w:val="001D4641"/>
    <w:rsid w:val="001D4907"/>
    <w:rsid w:val="001D49FE"/>
    <w:rsid w:val="001D4ABF"/>
    <w:rsid w:val="001D4ADA"/>
    <w:rsid w:val="001D4B33"/>
    <w:rsid w:val="001D4B98"/>
    <w:rsid w:val="001D4BF8"/>
    <w:rsid w:val="001D4C3C"/>
    <w:rsid w:val="001D4CDC"/>
    <w:rsid w:val="001D4D54"/>
    <w:rsid w:val="001D4DC0"/>
    <w:rsid w:val="001D4DD8"/>
    <w:rsid w:val="001D4E25"/>
    <w:rsid w:val="001D4E33"/>
    <w:rsid w:val="001D4EDB"/>
    <w:rsid w:val="001D4F22"/>
    <w:rsid w:val="001D4F6A"/>
    <w:rsid w:val="001D5118"/>
    <w:rsid w:val="001D515D"/>
    <w:rsid w:val="001D51BC"/>
    <w:rsid w:val="001D5287"/>
    <w:rsid w:val="001D54F5"/>
    <w:rsid w:val="001D557F"/>
    <w:rsid w:val="001D55CB"/>
    <w:rsid w:val="001D5649"/>
    <w:rsid w:val="001D56CD"/>
    <w:rsid w:val="001D5761"/>
    <w:rsid w:val="001D59A0"/>
    <w:rsid w:val="001D59AD"/>
    <w:rsid w:val="001D5A23"/>
    <w:rsid w:val="001D5B13"/>
    <w:rsid w:val="001D5BBF"/>
    <w:rsid w:val="001D5C59"/>
    <w:rsid w:val="001D5CD6"/>
    <w:rsid w:val="001D5D74"/>
    <w:rsid w:val="001D5DFB"/>
    <w:rsid w:val="001D5E6B"/>
    <w:rsid w:val="001D5EB3"/>
    <w:rsid w:val="001D5F70"/>
    <w:rsid w:val="001D603F"/>
    <w:rsid w:val="001D60A9"/>
    <w:rsid w:val="001D60BD"/>
    <w:rsid w:val="001D62D4"/>
    <w:rsid w:val="001D6352"/>
    <w:rsid w:val="001D638E"/>
    <w:rsid w:val="001D6460"/>
    <w:rsid w:val="001D65D5"/>
    <w:rsid w:val="001D65F9"/>
    <w:rsid w:val="001D6653"/>
    <w:rsid w:val="001D667C"/>
    <w:rsid w:val="001D66A2"/>
    <w:rsid w:val="001D66B9"/>
    <w:rsid w:val="001D673C"/>
    <w:rsid w:val="001D67AE"/>
    <w:rsid w:val="001D6830"/>
    <w:rsid w:val="001D68D4"/>
    <w:rsid w:val="001D6A03"/>
    <w:rsid w:val="001D6B3F"/>
    <w:rsid w:val="001D6C55"/>
    <w:rsid w:val="001D6CF3"/>
    <w:rsid w:val="001D6D28"/>
    <w:rsid w:val="001D6E7D"/>
    <w:rsid w:val="001D6EEF"/>
    <w:rsid w:val="001D6FC2"/>
    <w:rsid w:val="001D7070"/>
    <w:rsid w:val="001D725C"/>
    <w:rsid w:val="001D725D"/>
    <w:rsid w:val="001D738C"/>
    <w:rsid w:val="001D73B5"/>
    <w:rsid w:val="001D73DE"/>
    <w:rsid w:val="001D741B"/>
    <w:rsid w:val="001D7447"/>
    <w:rsid w:val="001D7456"/>
    <w:rsid w:val="001D7560"/>
    <w:rsid w:val="001D75A7"/>
    <w:rsid w:val="001D75DE"/>
    <w:rsid w:val="001D76AE"/>
    <w:rsid w:val="001D7756"/>
    <w:rsid w:val="001D77CC"/>
    <w:rsid w:val="001D783A"/>
    <w:rsid w:val="001D78E4"/>
    <w:rsid w:val="001D7A9C"/>
    <w:rsid w:val="001D7AB6"/>
    <w:rsid w:val="001D7C26"/>
    <w:rsid w:val="001D7C68"/>
    <w:rsid w:val="001D7E5B"/>
    <w:rsid w:val="001D7E84"/>
    <w:rsid w:val="001E0006"/>
    <w:rsid w:val="001E007C"/>
    <w:rsid w:val="001E0088"/>
    <w:rsid w:val="001E026E"/>
    <w:rsid w:val="001E03A3"/>
    <w:rsid w:val="001E03DA"/>
    <w:rsid w:val="001E0681"/>
    <w:rsid w:val="001E06A2"/>
    <w:rsid w:val="001E0742"/>
    <w:rsid w:val="001E0787"/>
    <w:rsid w:val="001E07DF"/>
    <w:rsid w:val="001E07E6"/>
    <w:rsid w:val="001E0941"/>
    <w:rsid w:val="001E0A02"/>
    <w:rsid w:val="001E0A8C"/>
    <w:rsid w:val="001E0BA3"/>
    <w:rsid w:val="001E0BAE"/>
    <w:rsid w:val="001E0C4B"/>
    <w:rsid w:val="001E0CAC"/>
    <w:rsid w:val="001E0CFA"/>
    <w:rsid w:val="001E0E0D"/>
    <w:rsid w:val="001E0FCD"/>
    <w:rsid w:val="001E100A"/>
    <w:rsid w:val="001E1136"/>
    <w:rsid w:val="001E11AA"/>
    <w:rsid w:val="001E11E5"/>
    <w:rsid w:val="001E11ED"/>
    <w:rsid w:val="001E1219"/>
    <w:rsid w:val="001E12BF"/>
    <w:rsid w:val="001E14B9"/>
    <w:rsid w:val="001E150C"/>
    <w:rsid w:val="001E156C"/>
    <w:rsid w:val="001E15C1"/>
    <w:rsid w:val="001E1868"/>
    <w:rsid w:val="001E1888"/>
    <w:rsid w:val="001E19FF"/>
    <w:rsid w:val="001E1A61"/>
    <w:rsid w:val="001E1A96"/>
    <w:rsid w:val="001E1B1E"/>
    <w:rsid w:val="001E1BF2"/>
    <w:rsid w:val="001E1CB9"/>
    <w:rsid w:val="001E1D41"/>
    <w:rsid w:val="001E1DFB"/>
    <w:rsid w:val="001E1E80"/>
    <w:rsid w:val="001E1EE5"/>
    <w:rsid w:val="001E1F2B"/>
    <w:rsid w:val="001E1FB0"/>
    <w:rsid w:val="001E228A"/>
    <w:rsid w:val="001E22D3"/>
    <w:rsid w:val="001E2455"/>
    <w:rsid w:val="001E2479"/>
    <w:rsid w:val="001E2518"/>
    <w:rsid w:val="001E2539"/>
    <w:rsid w:val="001E25C7"/>
    <w:rsid w:val="001E262E"/>
    <w:rsid w:val="001E2770"/>
    <w:rsid w:val="001E289C"/>
    <w:rsid w:val="001E28CC"/>
    <w:rsid w:val="001E2946"/>
    <w:rsid w:val="001E296F"/>
    <w:rsid w:val="001E2B59"/>
    <w:rsid w:val="001E2B6A"/>
    <w:rsid w:val="001E2B8B"/>
    <w:rsid w:val="001E2C8D"/>
    <w:rsid w:val="001E2D31"/>
    <w:rsid w:val="001E2F2F"/>
    <w:rsid w:val="001E2F64"/>
    <w:rsid w:val="001E30CC"/>
    <w:rsid w:val="001E315C"/>
    <w:rsid w:val="001E3197"/>
    <w:rsid w:val="001E32E1"/>
    <w:rsid w:val="001E34CD"/>
    <w:rsid w:val="001E350F"/>
    <w:rsid w:val="001E35B7"/>
    <w:rsid w:val="001E35DA"/>
    <w:rsid w:val="001E35EB"/>
    <w:rsid w:val="001E367B"/>
    <w:rsid w:val="001E37CB"/>
    <w:rsid w:val="001E3829"/>
    <w:rsid w:val="001E3944"/>
    <w:rsid w:val="001E3952"/>
    <w:rsid w:val="001E3DC3"/>
    <w:rsid w:val="001E3E63"/>
    <w:rsid w:val="001E3EB6"/>
    <w:rsid w:val="001E3F49"/>
    <w:rsid w:val="001E3FAA"/>
    <w:rsid w:val="001E4087"/>
    <w:rsid w:val="001E4150"/>
    <w:rsid w:val="001E41DA"/>
    <w:rsid w:val="001E42BD"/>
    <w:rsid w:val="001E4459"/>
    <w:rsid w:val="001E448E"/>
    <w:rsid w:val="001E44A5"/>
    <w:rsid w:val="001E44B0"/>
    <w:rsid w:val="001E44EF"/>
    <w:rsid w:val="001E4509"/>
    <w:rsid w:val="001E452D"/>
    <w:rsid w:val="001E4564"/>
    <w:rsid w:val="001E470D"/>
    <w:rsid w:val="001E4748"/>
    <w:rsid w:val="001E474C"/>
    <w:rsid w:val="001E481A"/>
    <w:rsid w:val="001E4896"/>
    <w:rsid w:val="001E48F7"/>
    <w:rsid w:val="001E4A20"/>
    <w:rsid w:val="001E4B41"/>
    <w:rsid w:val="001E4BCB"/>
    <w:rsid w:val="001E4D33"/>
    <w:rsid w:val="001E4D51"/>
    <w:rsid w:val="001E4D7A"/>
    <w:rsid w:val="001E4F50"/>
    <w:rsid w:val="001E4FC0"/>
    <w:rsid w:val="001E5015"/>
    <w:rsid w:val="001E5055"/>
    <w:rsid w:val="001E5064"/>
    <w:rsid w:val="001E519C"/>
    <w:rsid w:val="001E51C4"/>
    <w:rsid w:val="001E520B"/>
    <w:rsid w:val="001E54DA"/>
    <w:rsid w:val="001E56A7"/>
    <w:rsid w:val="001E56B0"/>
    <w:rsid w:val="001E56BA"/>
    <w:rsid w:val="001E587F"/>
    <w:rsid w:val="001E5AAE"/>
    <w:rsid w:val="001E5AB5"/>
    <w:rsid w:val="001E5B66"/>
    <w:rsid w:val="001E5BD9"/>
    <w:rsid w:val="001E5CB1"/>
    <w:rsid w:val="001E5CE7"/>
    <w:rsid w:val="001E5D30"/>
    <w:rsid w:val="001E5D3D"/>
    <w:rsid w:val="001E605E"/>
    <w:rsid w:val="001E618B"/>
    <w:rsid w:val="001E61D1"/>
    <w:rsid w:val="001E6209"/>
    <w:rsid w:val="001E625A"/>
    <w:rsid w:val="001E629B"/>
    <w:rsid w:val="001E638D"/>
    <w:rsid w:val="001E641A"/>
    <w:rsid w:val="001E652B"/>
    <w:rsid w:val="001E6550"/>
    <w:rsid w:val="001E6585"/>
    <w:rsid w:val="001E6620"/>
    <w:rsid w:val="001E66D9"/>
    <w:rsid w:val="001E6705"/>
    <w:rsid w:val="001E6721"/>
    <w:rsid w:val="001E672D"/>
    <w:rsid w:val="001E67D5"/>
    <w:rsid w:val="001E6A14"/>
    <w:rsid w:val="001E6A6B"/>
    <w:rsid w:val="001E6B79"/>
    <w:rsid w:val="001E6BB2"/>
    <w:rsid w:val="001E6CAC"/>
    <w:rsid w:val="001E6D70"/>
    <w:rsid w:val="001E6DC0"/>
    <w:rsid w:val="001E6F66"/>
    <w:rsid w:val="001E6FC1"/>
    <w:rsid w:val="001E7000"/>
    <w:rsid w:val="001E7064"/>
    <w:rsid w:val="001E70BF"/>
    <w:rsid w:val="001E710F"/>
    <w:rsid w:val="001E7132"/>
    <w:rsid w:val="001E716F"/>
    <w:rsid w:val="001E71AA"/>
    <w:rsid w:val="001E71D0"/>
    <w:rsid w:val="001E7215"/>
    <w:rsid w:val="001E74AA"/>
    <w:rsid w:val="001E75DB"/>
    <w:rsid w:val="001E766B"/>
    <w:rsid w:val="001E76DA"/>
    <w:rsid w:val="001E7817"/>
    <w:rsid w:val="001E7936"/>
    <w:rsid w:val="001E7AB2"/>
    <w:rsid w:val="001E7C56"/>
    <w:rsid w:val="001E7EC7"/>
    <w:rsid w:val="001E7EEB"/>
    <w:rsid w:val="001E7EF0"/>
    <w:rsid w:val="001E7F16"/>
    <w:rsid w:val="001F00D4"/>
    <w:rsid w:val="001F01BE"/>
    <w:rsid w:val="001F01D2"/>
    <w:rsid w:val="001F01E2"/>
    <w:rsid w:val="001F0346"/>
    <w:rsid w:val="001F03D0"/>
    <w:rsid w:val="001F040F"/>
    <w:rsid w:val="001F04B9"/>
    <w:rsid w:val="001F05A0"/>
    <w:rsid w:val="001F0643"/>
    <w:rsid w:val="001F064A"/>
    <w:rsid w:val="001F0663"/>
    <w:rsid w:val="001F066D"/>
    <w:rsid w:val="001F06E2"/>
    <w:rsid w:val="001F0918"/>
    <w:rsid w:val="001F0932"/>
    <w:rsid w:val="001F0968"/>
    <w:rsid w:val="001F09D9"/>
    <w:rsid w:val="001F0B13"/>
    <w:rsid w:val="001F0B26"/>
    <w:rsid w:val="001F0B55"/>
    <w:rsid w:val="001F0BDB"/>
    <w:rsid w:val="001F0C2F"/>
    <w:rsid w:val="001F0C55"/>
    <w:rsid w:val="001F0C6F"/>
    <w:rsid w:val="001F0D48"/>
    <w:rsid w:val="001F0DA2"/>
    <w:rsid w:val="001F0E58"/>
    <w:rsid w:val="001F0EB0"/>
    <w:rsid w:val="001F0F87"/>
    <w:rsid w:val="001F0F95"/>
    <w:rsid w:val="001F0FDB"/>
    <w:rsid w:val="001F0FDE"/>
    <w:rsid w:val="001F1108"/>
    <w:rsid w:val="001F1162"/>
    <w:rsid w:val="001F1420"/>
    <w:rsid w:val="001F14BA"/>
    <w:rsid w:val="001F14BC"/>
    <w:rsid w:val="001F161D"/>
    <w:rsid w:val="001F162E"/>
    <w:rsid w:val="001F167D"/>
    <w:rsid w:val="001F16B3"/>
    <w:rsid w:val="001F16EF"/>
    <w:rsid w:val="001F17A7"/>
    <w:rsid w:val="001F17DB"/>
    <w:rsid w:val="001F17F7"/>
    <w:rsid w:val="001F1870"/>
    <w:rsid w:val="001F1992"/>
    <w:rsid w:val="001F19C7"/>
    <w:rsid w:val="001F19E2"/>
    <w:rsid w:val="001F1A32"/>
    <w:rsid w:val="001F1AB6"/>
    <w:rsid w:val="001F1BCC"/>
    <w:rsid w:val="001F1C7E"/>
    <w:rsid w:val="001F1DE0"/>
    <w:rsid w:val="001F1E8A"/>
    <w:rsid w:val="001F202B"/>
    <w:rsid w:val="001F213A"/>
    <w:rsid w:val="001F2180"/>
    <w:rsid w:val="001F21D9"/>
    <w:rsid w:val="001F21F4"/>
    <w:rsid w:val="001F22B9"/>
    <w:rsid w:val="001F22F8"/>
    <w:rsid w:val="001F237E"/>
    <w:rsid w:val="001F2512"/>
    <w:rsid w:val="001F251E"/>
    <w:rsid w:val="001F255F"/>
    <w:rsid w:val="001F25B8"/>
    <w:rsid w:val="001F2642"/>
    <w:rsid w:val="001F26C8"/>
    <w:rsid w:val="001F27D7"/>
    <w:rsid w:val="001F29D3"/>
    <w:rsid w:val="001F2A56"/>
    <w:rsid w:val="001F2B7B"/>
    <w:rsid w:val="001F2C87"/>
    <w:rsid w:val="001F2CE4"/>
    <w:rsid w:val="001F2D65"/>
    <w:rsid w:val="001F2E0C"/>
    <w:rsid w:val="001F2E17"/>
    <w:rsid w:val="001F2E41"/>
    <w:rsid w:val="001F2EC6"/>
    <w:rsid w:val="001F2EDA"/>
    <w:rsid w:val="001F2EE9"/>
    <w:rsid w:val="001F2EEE"/>
    <w:rsid w:val="001F2F3A"/>
    <w:rsid w:val="001F3075"/>
    <w:rsid w:val="001F30BF"/>
    <w:rsid w:val="001F31EE"/>
    <w:rsid w:val="001F32D9"/>
    <w:rsid w:val="001F338E"/>
    <w:rsid w:val="001F33CE"/>
    <w:rsid w:val="001F366E"/>
    <w:rsid w:val="001F36F9"/>
    <w:rsid w:val="001F379F"/>
    <w:rsid w:val="001F37F9"/>
    <w:rsid w:val="001F3891"/>
    <w:rsid w:val="001F38E1"/>
    <w:rsid w:val="001F392C"/>
    <w:rsid w:val="001F3941"/>
    <w:rsid w:val="001F3B0D"/>
    <w:rsid w:val="001F3B2D"/>
    <w:rsid w:val="001F3CAF"/>
    <w:rsid w:val="001F3CB4"/>
    <w:rsid w:val="001F3D39"/>
    <w:rsid w:val="001F3E1B"/>
    <w:rsid w:val="001F3EF8"/>
    <w:rsid w:val="001F3EF9"/>
    <w:rsid w:val="001F3F1C"/>
    <w:rsid w:val="001F3F78"/>
    <w:rsid w:val="001F407A"/>
    <w:rsid w:val="001F40C4"/>
    <w:rsid w:val="001F40F8"/>
    <w:rsid w:val="001F4122"/>
    <w:rsid w:val="001F416B"/>
    <w:rsid w:val="001F4211"/>
    <w:rsid w:val="001F423E"/>
    <w:rsid w:val="001F42E5"/>
    <w:rsid w:val="001F4357"/>
    <w:rsid w:val="001F44A8"/>
    <w:rsid w:val="001F4532"/>
    <w:rsid w:val="001F4572"/>
    <w:rsid w:val="001F4584"/>
    <w:rsid w:val="001F45C5"/>
    <w:rsid w:val="001F45E5"/>
    <w:rsid w:val="001F4621"/>
    <w:rsid w:val="001F46DE"/>
    <w:rsid w:val="001F4787"/>
    <w:rsid w:val="001F47BD"/>
    <w:rsid w:val="001F4911"/>
    <w:rsid w:val="001F49BD"/>
    <w:rsid w:val="001F4B08"/>
    <w:rsid w:val="001F4BD8"/>
    <w:rsid w:val="001F4C3E"/>
    <w:rsid w:val="001F4CC0"/>
    <w:rsid w:val="001F4CDB"/>
    <w:rsid w:val="001F4E59"/>
    <w:rsid w:val="001F4E74"/>
    <w:rsid w:val="001F4E9E"/>
    <w:rsid w:val="001F4F96"/>
    <w:rsid w:val="001F506C"/>
    <w:rsid w:val="001F5123"/>
    <w:rsid w:val="001F51BA"/>
    <w:rsid w:val="001F51C5"/>
    <w:rsid w:val="001F5253"/>
    <w:rsid w:val="001F52A0"/>
    <w:rsid w:val="001F5317"/>
    <w:rsid w:val="001F5332"/>
    <w:rsid w:val="001F5542"/>
    <w:rsid w:val="001F5556"/>
    <w:rsid w:val="001F558D"/>
    <w:rsid w:val="001F5594"/>
    <w:rsid w:val="001F572D"/>
    <w:rsid w:val="001F5908"/>
    <w:rsid w:val="001F5A20"/>
    <w:rsid w:val="001F5B51"/>
    <w:rsid w:val="001F5C44"/>
    <w:rsid w:val="001F5C45"/>
    <w:rsid w:val="001F5D75"/>
    <w:rsid w:val="001F5D85"/>
    <w:rsid w:val="001F5ED4"/>
    <w:rsid w:val="001F5F1F"/>
    <w:rsid w:val="001F5FB4"/>
    <w:rsid w:val="001F5FF7"/>
    <w:rsid w:val="001F601A"/>
    <w:rsid w:val="001F6020"/>
    <w:rsid w:val="001F60DC"/>
    <w:rsid w:val="001F616D"/>
    <w:rsid w:val="001F6184"/>
    <w:rsid w:val="001F61AB"/>
    <w:rsid w:val="001F61FC"/>
    <w:rsid w:val="001F6242"/>
    <w:rsid w:val="001F629C"/>
    <w:rsid w:val="001F63DF"/>
    <w:rsid w:val="001F63F9"/>
    <w:rsid w:val="001F64D9"/>
    <w:rsid w:val="001F65FF"/>
    <w:rsid w:val="001F662E"/>
    <w:rsid w:val="001F6666"/>
    <w:rsid w:val="001F66C2"/>
    <w:rsid w:val="001F66F4"/>
    <w:rsid w:val="001F6858"/>
    <w:rsid w:val="001F6909"/>
    <w:rsid w:val="001F69A5"/>
    <w:rsid w:val="001F6B62"/>
    <w:rsid w:val="001F6CFF"/>
    <w:rsid w:val="001F6D97"/>
    <w:rsid w:val="001F6E5B"/>
    <w:rsid w:val="001F6EA5"/>
    <w:rsid w:val="001F6EB2"/>
    <w:rsid w:val="001F6F9A"/>
    <w:rsid w:val="001F6FC7"/>
    <w:rsid w:val="001F701A"/>
    <w:rsid w:val="001F7031"/>
    <w:rsid w:val="001F7039"/>
    <w:rsid w:val="001F71BC"/>
    <w:rsid w:val="001F71C5"/>
    <w:rsid w:val="001F730C"/>
    <w:rsid w:val="001F733D"/>
    <w:rsid w:val="001F73B1"/>
    <w:rsid w:val="001F747D"/>
    <w:rsid w:val="001F7496"/>
    <w:rsid w:val="001F75D3"/>
    <w:rsid w:val="001F7725"/>
    <w:rsid w:val="001F77C4"/>
    <w:rsid w:val="001F794D"/>
    <w:rsid w:val="001F795C"/>
    <w:rsid w:val="001F7A0E"/>
    <w:rsid w:val="001F7AB5"/>
    <w:rsid w:val="001F7B24"/>
    <w:rsid w:val="001F7C34"/>
    <w:rsid w:val="001F7CA8"/>
    <w:rsid w:val="001F7D57"/>
    <w:rsid w:val="001F7E04"/>
    <w:rsid w:val="001F7EEF"/>
    <w:rsid w:val="002000F7"/>
    <w:rsid w:val="002001B8"/>
    <w:rsid w:val="002001D1"/>
    <w:rsid w:val="002002C7"/>
    <w:rsid w:val="00200302"/>
    <w:rsid w:val="0020030E"/>
    <w:rsid w:val="00200341"/>
    <w:rsid w:val="00200401"/>
    <w:rsid w:val="0020040F"/>
    <w:rsid w:val="0020048A"/>
    <w:rsid w:val="00200634"/>
    <w:rsid w:val="002006A1"/>
    <w:rsid w:val="00200720"/>
    <w:rsid w:val="00200763"/>
    <w:rsid w:val="002007F2"/>
    <w:rsid w:val="00200804"/>
    <w:rsid w:val="002008A4"/>
    <w:rsid w:val="002008DD"/>
    <w:rsid w:val="00200956"/>
    <w:rsid w:val="00200991"/>
    <w:rsid w:val="002009AB"/>
    <w:rsid w:val="00200A47"/>
    <w:rsid w:val="00200AE1"/>
    <w:rsid w:val="00200D9D"/>
    <w:rsid w:val="00200E5A"/>
    <w:rsid w:val="00201204"/>
    <w:rsid w:val="002012AB"/>
    <w:rsid w:val="002012BE"/>
    <w:rsid w:val="002012F7"/>
    <w:rsid w:val="002013AB"/>
    <w:rsid w:val="00201466"/>
    <w:rsid w:val="002014E1"/>
    <w:rsid w:val="00201641"/>
    <w:rsid w:val="00201659"/>
    <w:rsid w:val="0020168E"/>
    <w:rsid w:val="00201694"/>
    <w:rsid w:val="002017E9"/>
    <w:rsid w:val="00201955"/>
    <w:rsid w:val="00201980"/>
    <w:rsid w:val="00201A5A"/>
    <w:rsid w:val="00201AB6"/>
    <w:rsid w:val="00201C71"/>
    <w:rsid w:val="00201CD7"/>
    <w:rsid w:val="00201CEC"/>
    <w:rsid w:val="00201E3D"/>
    <w:rsid w:val="00201E9F"/>
    <w:rsid w:val="00201EE2"/>
    <w:rsid w:val="00201FED"/>
    <w:rsid w:val="002021F6"/>
    <w:rsid w:val="00202211"/>
    <w:rsid w:val="0020234B"/>
    <w:rsid w:val="0020239B"/>
    <w:rsid w:val="002023BF"/>
    <w:rsid w:val="00202406"/>
    <w:rsid w:val="0020246F"/>
    <w:rsid w:val="002024C2"/>
    <w:rsid w:val="00202683"/>
    <w:rsid w:val="0020296F"/>
    <w:rsid w:val="00202A49"/>
    <w:rsid w:val="00202A52"/>
    <w:rsid w:val="00202A80"/>
    <w:rsid w:val="00202ABE"/>
    <w:rsid w:val="00202B66"/>
    <w:rsid w:val="00202C1A"/>
    <w:rsid w:val="00202C1E"/>
    <w:rsid w:val="00202CBB"/>
    <w:rsid w:val="00202D37"/>
    <w:rsid w:val="00202E16"/>
    <w:rsid w:val="00202EE1"/>
    <w:rsid w:val="00202F9B"/>
    <w:rsid w:val="00202FA8"/>
    <w:rsid w:val="00202FB9"/>
    <w:rsid w:val="00203054"/>
    <w:rsid w:val="0020320C"/>
    <w:rsid w:val="00203274"/>
    <w:rsid w:val="002033FF"/>
    <w:rsid w:val="0020341D"/>
    <w:rsid w:val="00203460"/>
    <w:rsid w:val="002034E4"/>
    <w:rsid w:val="0020350F"/>
    <w:rsid w:val="0020354F"/>
    <w:rsid w:val="002035A6"/>
    <w:rsid w:val="002035E9"/>
    <w:rsid w:val="00203656"/>
    <w:rsid w:val="00203704"/>
    <w:rsid w:val="0020371C"/>
    <w:rsid w:val="0020383E"/>
    <w:rsid w:val="00203844"/>
    <w:rsid w:val="0020388E"/>
    <w:rsid w:val="002038E4"/>
    <w:rsid w:val="00203924"/>
    <w:rsid w:val="0020394B"/>
    <w:rsid w:val="00203BC2"/>
    <w:rsid w:val="00203CAC"/>
    <w:rsid w:val="00203D51"/>
    <w:rsid w:val="00203D58"/>
    <w:rsid w:val="00203EE7"/>
    <w:rsid w:val="00203EF2"/>
    <w:rsid w:val="00203EFA"/>
    <w:rsid w:val="00204075"/>
    <w:rsid w:val="00204082"/>
    <w:rsid w:val="00204084"/>
    <w:rsid w:val="00204139"/>
    <w:rsid w:val="002044F7"/>
    <w:rsid w:val="0020456E"/>
    <w:rsid w:val="00204606"/>
    <w:rsid w:val="0020461D"/>
    <w:rsid w:val="002047F2"/>
    <w:rsid w:val="00204921"/>
    <w:rsid w:val="00204929"/>
    <w:rsid w:val="00204982"/>
    <w:rsid w:val="00204A43"/>
    <w:rsid w:val="00204A45"/>
    <w:rsid w:val="00204A74"/>
    <w:rsid w:val="00204DC9"/>
    <w:rsid w:val="00204E93"/>
    <w:rsid w:val="00204F39"/>
    <w:rsid w:val="00204FEE"/>
    <w:rsid w:val="00205062"/>
    <w:rsid w:val="0020530E"/>
    <w:rsid w:val="002053CF"/>
    <w:rsid w:val="00205412"/>
    <w:rsid w:val="0020549C"/>
    <w:rsid w:val="00205568"/>
    <w:rsid w:val="002055B6"/>
    <w:rsid w:val="0020561C"/>
    <w:rsid w:val="002057F0"/>
    <w:rsid w:val="002057F1"/>
    <w:rsid w:val="0020591A"/>
    <w:rsid w:val="00205A0B"/>
    <w:rsid w:val="00205A4B"/>
    <w:rsid w:val="00205A91"/>
    <w:rsid w:val="00205B0B"/>
    <w:rsid w:val="00205C11"/>
    <w:rsid w:val="00205C99"/>
    <w:rsid w:val="00205D13"/>
    <w:rsid w:val="00205D7D"/>
    <w:rsid w:val="00205E88"/>
    <w:rsid w:val="00205EF3"/>
    <w:rsid w:val="0020602D"/>
    <w:rsid w:val="0020608B"/>
    <w:rsid w:val="00206184"/>
    <w:rsid w:val="00206229"/>
    <w:rsid w:val="00206256"/>
    <w:rsid w:val="0020633A"/>
    <w:rsid w:val="002063D8"/>
    <w:rsid w:val="002064A3"/>
    <w:rsid w:val="00206505"/>
    <w:rsid w:val="0020651C"/>
    <w:rsid w:val="0020653A"/>
    <w:rsid w:val="002065D0"/>
    <w:rsid w:val="0020663C"/>
    <w:rsid w:val="002067CF"/>
    <w:rsid w:val="002067FC"/>
    <w:rsid w:val="00206839"/>
    <w:rsid w:val="002068CB"/>
    <w:rsid w:val="002068ED"/>
    <w:rsid w:val="002069B2"/>
    <w:rsid w:val="002069CD"/>
    <w:rsid w:val="00206A14"/>
    <w:rsid w:val="00206A2F"/>
    <w:rsid w:val="00206A3E"/>
    <w:rsid w:val="00206A54"/>
    <w:rsid w:val="00206A67"/>
    <w:rsid w:val="00206AB6"/>
    <w:rsid w:val="00206B0A"/>
    <w:rsid w:val="00206B17"/>
    <w:rsid w:val="00206CD6"/>
    <w:rsid w:val="00206D9B"/>
    <w:rsid w:val="00206E0A"/>
    <w:rsid w:val="00206E67"/>
    <w:rsid w:val="00207048"/>
    <w:rsid w:val="002070F7"/>
    <w:rsid w:val="002071A9"/>
    <w:rsid w:val="00207270"/>
    <w:rsid w:val="0020730D"/>
    <w:rsid w:val="00207363"/>
    <w:rsid w:val="00207591"/>
    <w:rsid w:val="00207603"/>
    <w:rsid w:val="00207660"/>
    <w:rsid w:val="002076B2"/>
    <w:rsid w:val="0020773C"/>
    <w:rsid w:val="00207753"/>
    <w:rsid w:val="00207848"/>
    <w:rsid w:val="00207B0D"/>
    <w:rsid w:val="00207B53"/>
    <w:rsid w:val="00207BE6"/>
    <w:rsid w:val="00207C58"/>
    <w:rsid w:val="00207C8E"/>
    <w:rsid w:val="00207CAC"/>
    <w:rsid w:val="00207D8C"/>
    <w:rsid w:val="00207E87"/>
    <w:rsid w:val="00207F53"/>
    <w:rsid w:val="00207FB2"/>
    <w:rsid w:val="002100A2"/>
    <w:rsid w:val="002100E2"/>
    <w:rsid w:val="002101B9"/>
    <w:rsid w:val="002101E8"/>
    <w:rsid w:val="002101FC"/>
    <w:rsid w:val="002104A9"/>
    <w:rsid w:val="002104F2"/>
    <w:rsid w:val="00210558"/>
    <w:rsid w:val="00210718"/>
    <w:rsid w:val="0021076C"/>
    <w:rsid w:val="0021083F"/>
    <w:rsid w:val="0021088A"/>
    <w:rsid w:val="0021090F"/>
    <w:rsid w:val="00210930"/>
    <w:rsid w:val="00210A17"/>
    <w:rsid w:val="00210B21"/>
    <w:rsid w:val="00210B48"/>
    <w:rsid w:val="00210BDC"/>
    <w:rsid w:val="00210C4D"/>
    <w:rsid w:val="00210CAA"/>
    <w:rsid w:val="00210CBA"/>
    <w:rsid w:val="00210DA8"/>
    <w:rsid w:val="00210E11"/>
    <w:rsid w:val="00211240"/>
    <w:rsid w:val="0021131E"/>
    <w:rsid w:val="002116A7"/>
    <w:rsid w:val="002116D0"/>
    <w:rsid w:val="0021172B"/>
    <w:rsid w:val="002117BF"/>
    <w:rsid w:val="00211832"/>
    <w:rsid w:val="0021196B"/>
    <w:rsid w:val="00211992"/>
    <w:rsid w:val="00211A82"/>
    <w:rsid w:val="00211B20"/>
    <w:rsid w:val="00211B3A"/>
    <w:rsid w:val="00211C91"/>
    <w:rsid w:val="00211D92"/>
    <w:rsid w:val="00211D9A"/>
    <w:rsid w:val="00211DC4"/>
    <w:rsid w:val="00211E09"/>
    <w:rsid w:val="00211EAC"/>
    <w:rsid w:val="00211F05"/>
    <w:rsid w:val="00211F06"/>
    <w:rsid w:val="0021211E"/>
    <w:rsid w:val="0021214D"/>
    <w:rsid w:val="0021219D"/>
    <w:rsid w:val="00212208"/>
    <w:rsid w:val="00212268"/>
    <w:rsid w:val="0021226B"/>
    <w:rsid w:val="0021229A"/>
    <w:rsid w:val="002122D0"/>
    <w:rsid w:val="00212301"/>
    <w:rsid w:val="00212349"/>
    <w:rsid w:val="00212351"/>
    <w:rsid w:val="00212384"/>
    <w:rsid w:val="0021239D"/>
    <w:rsid w:val="00212403"/>
    <w:rsid w:val="0021250C"/>
    <w:rsid w:val="00212547"/>
    <w:rsid w:val="002126DD"/>
    <w:rsid w:val="00212745"/>
    <w:rsid w:val="002127E9"/>
    <w:rsid w:val="00212815"/>
    <w:rsid w:val="00212B00"/>
    <w:rsid w:val="00212B24"/>
    <w:rsid w:val="00212BA7"/>
    <w:rsid w:val="00212D9F"/>
    <w:rsid w:val="00212DB7"/>
    <w:rsid w:val="00212DDD"/>
    <w:rsid w:val="00212DE8"/>
    <w:rsid w:val="00212FF8"/>
    <w:rsid w:val="00213007"/>
    <w:rsid w:val="00213018"/>
    <w:rsid w:val="00213091"/>
    <w:rsid w:val="0021319F"/>
    <w:rsid w:val="00213225"/>
    <w:rsid w:val="0021328E"/>
    <w:rsid w:val="00213294"/>
    <w:rsid w:val="00213295"/>
    <w:rsid w:val="00213310"/>
    <w:rsid w:val="00213326"/>
    <w:rsid w:val="00213389"/>
    <w:rsid w:val="00213452"/>
    <w:rsid w:val="0021350E"/>
    <w:rsid w:val="0021362A"/>
    <w:rsid w:val="0021363E"/>
    <w:rsid w:val="002136B4"/>
    <w:rsid w:val="002136CF"/>
    <w:rsid w:val="0021383D"/>
    <w:rsid w:val="00213945"/>
    <w:rsid w:val="00213950"/>
    <w:rsid w:val="00213A95"/>
    <w:rsid w:val="00213C26"/>
    <w:rsid w:val="00213C8B"/>
    <w:rsid w:val="00213CFC"/>
    <w:rsid w:val="00213F4E"/>
    <w:rsid w:val="00213F68"/>
    <w:rsid w:val="002141B0"/>
    <w:rsid w:val="002141BB"/>
    <w:rsid w:val="0021434C"/>
    <w:rsid w:val="002143A3"/>
    <w:rsid w:val="00214480"/>
    <w:rsid w:val="00214550"/>
    <w:rsid w:val="00214567"/>
    <w:rsid w:val="002145AF"/>
    <w:rsid w:val="00214651"/>
    <w:rsid w:val="0021470A"/>
    <w:rsid w:val="002148C2"/>
    <w:rsid w:val="002148C6"/>
    <w:rsid w:val="0021492B"/>
    <w:rsid w:val="00214A47"/>
    <w:rsid w:val="00214ABC"/>
    <w:rsid w:val="00214AED"/>
    <w:rsid w:val="00214B4E"/>
    <w:rsid w:val="00214B6E"/>
    <w:rsid w:val="00214C3F"/>
    <w:rsid w:val="00214E0C"/>
    <w:rsid w:val="00214F2D"/>
    <w:rsid w:val="00214F38"/>
    <w:rsid w:val="0021514C"/>
    <w:rsid w:val="002151FE"/>
    <w:rsid w:val="00215360"/>
    <w:rsid w:val="002153F6"/>
    <w:rsid w:val="00215565"/>
    <w:rsid w:val="0021562C"/>
    <w:rsid w:val="0021563C"/>
    <w:rsid w:val="00215684"/>
    <w:rsid w:val="0021568E"/>
    <w:rsid w:val="00215712"/>
    <w:rsid w:val="00215759"/>
    <w:rsid w:val="0021580A"/>
    <w:rsid w:val="0021581A"/>
    <w:rsid w:val="002158D3"/>
    <w:rsid w:val="002158F4"/>
    <w:rsid w:val="00215944"/>
    <w:rsid w:val="00215961"/>
    <w:rsid w:val="00215996"/>
    <w:rsid w:val="002159E3"/>
    <w:rsid w:val="002159E8"/>
    <w:rsid w:val="00215A71"/>
    <w:rsid w:val="00215AE1"/>
    <w:rsid w:val="00215BB8"/>
    <w:rsid w:val="00215C65"/>
    <w:rsid w:val="00215CFE"/>
    <w:rsid w:val="00215D17"/>
    <w:rsid w:val="00215D1F"/>
    <w:rsid w:val="00215D5F"/>
    <w:rsid w:val="00215D81"/>
    <w:rsid w:val="00215DAC"/>
    <w:rsid w:val="00215E58"/>
    <w:rsid w:val="00215E87"/>
    <w:rsid w:val="00215F2C"/>
    <w:rsid w:val="00215FA8"/>
    <w:rsid w:val="00215FC0"/>
    <w:rsid w:val="0021600E"/>
    <w:rsid w:val="00216035"/>
    <w:rsid w:val="0021603F"/>
    <w:rsid w:val="0021604C"/>
    <w:rsid w:val="002160D7"/>
    <w:rsid w:val="00216126"/>
    <w:rsid w:val="0021648F"/>
    <w:rsid w:val="0021665D"/>
    <w:rsid w:val="00216709"/>
    <w:rsid w:val="002168F9"/>
    <w:rsid w:val="002168FA"/>
    <w:rsid w:val="00216978"/>
    <w:rsid w:val="002169C1"/>
    <w:rsid w:val="00216B3F"/>
    <w:rsid w:val="00216D09"/>
    <w:rsid w:val="00216D65"/>
    <w:rsid w:val="00217017"/>
    <w:rsid w:val="00217029"/>
    <w:rsid w:val="002170E2"/>
    <w:rsid w:val="002170EF"/>
    <w:rsid w:val="0021726F"/>
    <w:rsid w:val="00217294"/>
    <w:rsid w:val="00217308"/>
    <w:rsid w:val="002173BF"/>
    <w:rsid w:val="002173FA"/>
    <w:rsid w:val="00217434"/>
    <w:rsid w:val="00217484"/>
    <w:rsid w:val="00217699"/>
    <w:rsid w:val="0021770A"/>
    <w:rsid w:val="00217712"/>
    <w:rsid w:val="0021780F"/>
    <w:rsid w:val="002179B6"/>
    <w:rsid w:val="002179EF"/>
    <w:rsid w:val="00217B2D"/>
    <w:rsid w:val="00217B90"/>
    <w:rsid w:val="00217D88"/>
    <w:rsid w:val="00217D89"/>
    <w:rsid w:val="00217EB4"/>
    <w:rsid w:val="00217FA7"/>
    <w:rsid w:val="00220044"/>
    <w:rsid w:val="00220059"/>
    <w:rsid w:val="0022008E"/>
    <w:rsid w:val="002200CB"/>
    <w:rsid w:val="002200D1"/>
    <w:rsid w:val="002200FE"/>
    <w:rsid w:val="00220136"/>
    <w:rsid w:val="002202AE"/>
    <w:rsid w:val="002202E7"/>
    <w:rsid w:val="00220343"/>
    <w:rsid w:val="00220353"/>
    <w:rsid w:val="00220395"/>
    <w:rsid w:val="002203BC"/>
    <w:rsid w:val="00220497"/>
    <w:rsid w:val="0022049F"/>
    <w:rsid w:val="00220660"/>
    <w:rsid w:val="002206CA"/>
    <w:rsid w:val="002208FA"/>
    <w:rsid w:val="00220A45"/>
    <w:rsid w:val="00220B1C"/>
    <w:rsid w:val="00220B57"/>
    <w:rsid w:val="00220BEB"/>
    <w:rsid w:val="00220D15"/>
    <w:rsid w:val="00220DB5"/>
    <w:rsid w:val="00220EA6"/>
    <w:rsid w:val="0022119C"/>
    <w:rsid w:val="00221255"/>
    <w:rsid w:val="002212CC"/>
    <w:rsid w:val="0022139B"/>
    <w:rsid w:val="002213F6"/>
    <w:rsid w:val="002214F5"/>
    <w:rsid w:val="0022169E"/>
    <w:rsid w:val="002216AA"/>
    <w:rsid w:val="00221744"/>
    <w:rsid w:val="00221784"/>
    <w:rsid w:val="0022194D"/>
    <w:rsid w:val="002219D7"/>
    <w:rsid w:val="00221A11"/>
    <w:rsid w:val="00221A34"/>
    <w:rsid w:val="00221A8C"/>
    <w:rsid w:val="00221A9C"/>
    <w:rsid w:val="00221B59"/>
    <w:rsid w:val="00221C11"/>
    <w:rsid w:val="00221CDC"/>
    <w:rsid w:val="00221DCC"/>
    <w:rsid w:val="00221DF7"/>
    <w:rsid w:val="00221E5C"/>
    <w:rsid w:val="00221E72"/>
    <w:rsid w:val="00221EA1"/>
    <w:rsid w:val="00221F81"/>
    <w:rsid w:val="00221FED"/>
    <w:rsid w:val="0022203E"/>
    <w:rsid w:val="002220F6"/>
    <w:rsid w:val="0022214A"/>
    <w:rsid w:val="002221AF"/>
    <w:rsid w:val="00222260"/>
    <w:rsid w:val="002222D5"/>
    <w:rsid w:val="002222FB"/>
    <w:rsid w:val="002223EE"/>
    <w:rsid w:val="00222589"/>
    <w:rsid w:val="0022258C"/>
    <w:rsid w:val="0022259C"/>
    <w:rsid w:val="002225E0"/>
    <w:rsid w:val="0022263F"/>
    <w:rsid w:val="00222767"/>
    <w:rsid w:val="00222817"/>
    <w:rsid w:val="0022281D"/>
    <w:rsid w:val="0022287E"/>
    <w:rsid w:val="00222A17"/>
    <w:rsid w:val="00222ADE"/>
    <w:rsid w:val="00222B51"/>
    <w:rsid w:val="00222BE7"/>
    <w:rsid w:val="00222CF6"/>
    <w:rsid w:val="00222FFF"/>
    <w:rsid w:val="00223011"/>
    <w:rsid w:val="002230AB"/>
    <w:rsid w:val="002230B8"/>
    <w:rsid w:val="00223113"/>
    <w:rsid w:val="00223135"/>
    <w:rsid w:val="002231CB"/>
    <w:rsid w:val="00223217"/>
    <w:rsid w:val="002232A9"/>
    <w:rsid w:val="002232BF"/>
    <w:rsid w:val="00223380"/>
    <w:rsid w:val="002233AF"/>
    <w:rsid w:val="00223481"/>
    <w:rsid w:val="00223487"/>
    <w:rsid w:val="002234BC"/>
    <w:rsid w:val="002234DE"/>
    <w:rsid w:val="00223711"/>
    <w:rsid w:val="002237CE"/>
    <w:rsid w:val="002237D2"/>
    <w:rsid w:val="0022382A"/>
    <w:rsid w:val="002238AD"/>
    <w:rsid w:val="002238C9"/>
    <w:rsid w:val="0022390D"/>
    <w:rsid w:val="00223A3B"/>
    <w:rsid w:val="00223AA8"/>
    <w:rsid w:val="00223AA9"/>
    <w:rsid w:val="00223BF6"/>
    <w:rsid w:val="00223C3A"/>
    <w:rsid w:val="00223D32"/>
    <w:rsid w:val="00223D59"/>
    <w:rsid w:val="00223D76"/>
    <w:rsid w:val="00223E1E"/>
    <w:rsid w:val="00223EE0"/>
    <w:rsid w:val="00223EE7"/>
    <w:rsid w:val="00223FB7"/>
    <w:rsid w:val="00224016"/>
    <w:rsid w:val="00224093"/>
    <w:rsid w:val="002240F3"/>
    <w:rsid w:val="002241CF"/>
    <w:rsid w:val="002241D0"/>
    <w:rsid w:val="00224227"/>
    <w:rsid w:val="002242C9"/>
    <w:rsid w:val="002242D5"/>
    <w:rsid w:val="002243E4"/>
    <w:rsid w:val="00224461"/>
    <w:rsid w:val="0022466C"/>
    <w:rsid w:val="00224676"/>
    <w:rsid w:val="002246FA"/>
    <w:rsid w:val="002247B7"/>
    <w:rsid w:val="002247FD"/>
    <w:rsid w:val="002248D7"/>
    <w:rsid w:val="00224AE2"/>
    <w:rsid w:val="00224B42"/>
    <w:rsid w:val="00224BF2"/>
    <w:rsid w:val="00224C4D"/>
    <w:rsid w:val="00224D8A"/>
    <w:rsid w:val="00224DB0"/>
    <w:rsid w:val="00224F0F"/>
    <w:rsid w:val="0022513C"/>
    <w:rsid w:val="00225170"/>
    <w:rsid w:val="002251AF"/>
    <w:rsid w:val="0022527D"/>
    <w:rsid w:val="002252CF"/>
    <w:rsid w:val="00225309"/>
    <w:rsid w:val="00225406"/>
    <w:rsid w:val="002254BE"/>
    <w:rsid w:val="002254CC"/>
    <w:rsid w:val="00225589"/>
    <w:rsid w:val="00225662"/>
    <w:rsid w:val="00225695"/>
    <w:rsid w:val="002257AF"/>
    <w:rsid w:val="002257B2"/>
    <w:rsid w:val="0022583A"/>
    <w:rsid w:val="00225986"/>
    <w:rsid w:val="002259ED"/>
    <w:rsid w:val="00225A30"/>
    <w:rsid w:val="00225A51"/>
    <w:rsid w:val="00225A55"/>
    <w:rsid w:val="00225B53"/>
    <w:rsid w:val="00225B7D"/>
    <w:rsid w:val="00225B89"/>
    <w:rsid w:val="00225BF5"/>
    <w:rsid w:val="00225C80"/>
    <w:rsid w:val="00225EDF"/>
    <w:rsid w:val="00225FAC"/>
    <w:rsid w:val="00225FB7"/>
    <w:rsid w:val="0022601F"/>
    <w:rsid w:val="002260DE"/>
    <w:rsid w:val="00226260"/>
    <w:rsid w:val="0022626A"/>
    <w:rsid w:val="00226329"/>
    <w:rsid w:val="0022639F"/>
    <w:rsid w:val="00226584"/>
    <w:rsid w:val="00226593"/>
    <w:rsid w:val="002265C2"/>
    <w:rsid w:val="002266A1"/>
    <w:rsid w:val="00226793"/>
    <w:rsid w:val="002267DC"/>
    <w:rsid w:val="00226A5D"/>
    <w:rsid w:val="00226A65"/>
    <w:rsid w:val="00226AA6"/>
    <w:rsid w:val="00226B41"/>
    <w:rsid w:val="00226C07"/>
    <w:rsid w:val="00226E2B"/>
    <w:rsid w:val="00226F30"/>
    <w:rsid w:val="0022706E"/>
    <w:rsid w:val="00227084"/>
    <w:rsid w:val="002270D7"/>
    <w:rsid w:val="002271A1"/>
    <w:rsid w:val="0022723B"/>
    <w:rsid w:val="00227281"/>
    <w:rsid w:val="00227369"/>
    <w:rsid w:val="00227396"/>
    <w:rsid w:val="002273AF"/>
    <w:rsid w:val="00227403"/>
    <w:rsid w:val="0022747E"/>
    <w:rsid w:val="002274FE"/>
    <w:rsid w:val="00227558"/>
    <w:rsid w:val="002275F3"/>
    <w:rsid w:val="00227604"/>
    <w:rsid w:val="00227616"/>
    <w:rsid w:val="00227625"/>
    <w:rsid w:val="00227667"/>
    <w:rsid w:val="00227670"/>
    <w:rsid w:val="0022767C"/>
    <w:rsid w:val="0022781A"/>
    <w:rsid w:val="0022784C"/>
    <w:rsid w:val="00227883"/>
    <w:rsid w:val="00227895"/>
    <w:rsid w:val="0022796B"/>
    <w:rsid w:val="00227A5F"/>
    <w:rsid w:val="00227AD7"/>
    <w:rsid w:val="00227AF5"/>
    <w:rsid w:val="00227B0C"/>
    <w:rsid w:val="00227C4D"/>
    <w:rsid w:val="00227C73"/>
    <w:rsid w:val="00227C8A"/>
    <w:rsid w:val="00227D10"/>
    <w:rsid w:val="00227D11"/>
    <w:rsid w:val="00227E6E"/>
    <w:rsid w:val="00227ED9"/>
    <w:rsid w:val="0023002C"/>
    <w:rsid w:val="0023019B"/>
    <w:rsid w:val="00230274"/>
    <w:rsid w:val="002302A7"/>
    <w:rsid w:val="002302B7"/>
    <w:rsid w:val="002302F7"/>
    <w:rsid w:val="00230433"/>
    <w:rsid w:val="00230517"/>
    <w:rsid w:val="00230546"/>
    <w:rsid w:val="002306AA"/>
    <w:rsid w:val="0023071E"/>
    <w:rsid w:val="0023072E"/>
    <w:rsid w:val="00230743"/>
    <w:rsid w:val="002308B2"/>
    <w:rsid w:val="002308EA"/>
    <w:rsid w:val="00230970"/>
    <w:rsid w:val="002309B5"/>
    <w:rsid w:val="002309C4"/>
    <w:rsid w:val="002309C7"/>
    <w:rsid w:val="00230B5F"/>
    <w:rsid w:val="00230BA6"/>
    <w:rsid w:val="00230BD7"/>
    <w:rsid w:val="00230BF0"/>
    <w:rsid w:val="00230C27"/>
    <w:rsid w:val="00230C2F"/>
    <w:rsid w:val="00230CA4"/>
    <w:rsid w:val="00230D39"/>
    <w:rsid w:val="00230DF0"/>
    <w:rsid w:val="00230E87"/>
    <w:rsid w:val="00230EDB"/>
    <w:rsid w:val="00230F2E"/>
    <w:rsid w:val="00230FF1"/>
    <w:rsid w:val="0023103F"/>
    <w:rsid w:val="00231081"/>
    <w:rsid w:val="00231108"/>
    <w:rsid w:val="00231158"/>
    <w:rsid w:val="0023133A"/>
    <w:rsid w:val="00231605"/>
    <w:rsid w:val="0023179C"/>
    <w:rsid w:val="002317CA"/>
    <w:rsid w:val="00231963"/>
    <w:rsid w:val="00231B6E"/>
    <w:rsid w:val="00231BC1"/>
    <w:rsid w:val="00231CA5"/>
    <w:rsid w:val="00231CF5"/>
    <w:rsid w:val="00231D2C"/>
    <w:rsid w:val="00231E0C"/>
    <w:rsid w:val="00232074"/>
    <w:rsid w:val="002320A7"/>
    <w:rsid w:val="002320CD"/>
    <w:rsid w:val="0023217E"/>
    <w:rsid w:val="00232395"/>
    <w:rsid w:val="002323E8"/>
    <w:rsid w:val="00232431"/>
    <w:rsid w:val="002324A4"/>
    <w:rsid w:val="002324FD"/>
    <w:rsid w:val="00232578"/>
    <w:rsid w:val="0023259F"/>
    <w:rsid w:val="002325D1"/>
    <w:rsid w:val="00232648"/>
    <w:rsid w:val="0023285B"/>
    <w:rsid w:val="002328A6"/>
    <w:rsid w:val="002328DB"/>
    <w:rsid w:val="00232984"/>
    <w:rsid w:val="002329F8"/>
    <w:rsid w:val="002329FF"/>
    <w:rsid w:val="00232A05"/>
    <w:rsid w:val="00232A29"/>
    <w:rsid w:val="00232A71"/>
    <w:rsid w:val="00232BB2"/>
    <w:rsid w:val="00232BBD"/>
    <w:rsid w:val="00232D04"/>
    <w:rsid w:val="00232D3D"/>
    <w:rsid w:val="00232DD6"/>
    <w:rsid w:val="00232E28"/>
    <w:rsid w:val="00232EE2"/>
    <w:rsid w:val="00232F2D"/>
    <w:rsid w:val="00232FA9"/>
    <w:rsid w:val="00232FEC"/>
    <w:rsid w:val="0023322C"/>
    <w:rsid w:val="00233239"/>
    <w:rsid w:val="002333B1"/>
    <w:rsid w:val="002333E1"/>
    <w:rsid w:val="002334B5"/>
    <w:rsid w:val="002334D8"/>
    <w:rsid w:val="0023353E"/>
    <w:rsid w:val="002335BF"/>
    <w:rsid w:val="00233690"/>
    <w:rsid w:val="00233698"/>
    <w:rsid w:val="00233732"/>
    <w:rsid w:val="00233781"/>
    <w:rsid w:val="002337E0"/>
    <w:rsid w:val="00233820"/>
    <w:rsid w:val="002338CF"/>
    <w:rsid w:val="00233949"/>
    <w:rsid w:val="002339CE"/>
    <w:rsid w:val="00233A82"/>
    <w:rsid w:val="00233B1D"/>
    <w:rsid w:val="00233B4A"/>
    <w:rsid w:val="00233B8C"/>
    <w:rsid w:val="00233BF6"/>
    <w:rsid w:val="00233CAD"/>
    <w:rsid w:val="00233CEB"/>
    <w:rsid w:val="00233D0E"/>
    <w:rsid w:val="00233D6A"/>
    <w:rsid w:val="00233F03"/>
    <w:rsid w:val="00234146"/>
    <w:rsid w:val="002341E4"/>
    <w:rsid w:val="00234286"/>
    <w:rsid w:val="00234383"/>
    <w:rsid w:val="002343D5"/>
    <w:rsid w:val="002343DD"/>
    <w:rsid w:val="00234437"/>
    <w:rsid w:val="00234440"/>
    <w:rsid w:val="0023445A"/>
    <w:rsid w:val="002344B1"/>
    <w:rsid w:val="0023464B"/>
    <w:rsid w:val="0023464F"/>
    <w:rsid w:val="0023497B"/>
    <w:rsid w:val="002349FD"/>
    <w:rsid w:val="00234ADE"/>
    <w:rsid w:val="00234B40"/>
    <w:rsid w:val="00234C19"/>
    <w:rsid w:val="00234CCF"/>
    <w:rsid w:val="00234D1B"/>
    <w:rsid w:val="00234E1D"/>
    <w:rsid w:val="00234EB3"/>
    <w:rsid w:val="00234FA7"/>
    <w:rsid w:val="00235013"/>
    <w:rsid w:val="00235084"/>
    <w:rsid w:val="002350D1"/>
    <w:rsid w:val="00235109"/>
    <w:rsid w:val="00235208"/>
    <w:rsid w:val="00235217"/>
    <w:rsid w:val="0023525C"/>
    <w:rsid w:val="0023527F"/>
    <w:rsid w:val="0023559A"/>
    <w:rsid w:val="00235626"/>
    <w:rsid w:val="00235728"/>
    <w:rsid w:val="00235781"/>
    <w:rsid w:val="00235816"/>
    <w:rsid w:val="00235825"/>
    <w:rsid w:val="00235973"/>
    <w:rsid w:val="00235AA1"/>
    <w:rsid w:val="00235ACD"/>
    <w:rsid w:val="00235AF5"/>
    <w:rsid w:val="00235AFA"/>
    <w:rsid w:val="00235B12"/>
    <w:rsid w:val="00235B63"/>
    <w:rsid w:val="00235D02"/>
    <w:rsid w:val="00235DA8"/>
    <w:rsid w:val="00235DB0"/>
    <w:rsid w:val="00235E31"/>
    <w:rsid w:val="00235EF3"/>
    <w:rsid w:val="00235F0E"/>
    <w:rsid w:val="00235FB7"/>
    <w:rsid w:val="00236025"/>
    <w:rsid w:val="00236028"/>
    <w:rsid w:val="00236133"/>
    <w:rsid w:val="00236274"/>
    <w:rsid w:val="002362E1"/>
    <w:rsid w:val="00236303"/>
    <w:rsid w:val="0023630F"/>
    <w:rsid w:val="00236642"/>
    <w:rsid w:val="00236643"/>
    <w:rsid w:val="00236644"/>
    <w:rsid w:val="0023666B"/>
    <w:rsid w:val="0023666D"/>
    <w:rsid w:val="002366BB"/>
    <w:rsid w:val="00236723"/>
    <w:rsid w:val="00236A2A"/>
    <w:rsid w:val="00236A98"/>
    <w:rsid w:val="00236B82"/>
    <w:rsid w:val="00236BA0"/>
    <w:rsid w:val="00236C94"/>
    <w:rsid w:val="00236CC8"/>
    <w:rsid w:val="00236CEE"/>
    <w:rsid w:val="00236D16"/>
    <w:rsid w:val="00236DAC"/>
    <w:rsid w:val="00236DE0"/>
    <w:rsid w:val="00236E1F"/>
    <w:rsid w:val="00236E25"/>
    <w:rsid w:val="00236F8F"/>
    <w:rsid w:val="00237112"/>
    <w:rsid w:val="00237186"/>
    <w:rsid w:val="0023726E"/>
    <w:rsid w:val="00237349"/>
    <w:rsid w:val="002373A9"/>
    <w:rsid w:val="002373DE"/>
    <w:rsid w:val="002374BF"/>
    <w:rsid w:val="002374F2"/>
    <w:rsid w:val="0023750B"/>
    <w:rsid w:val="002375CF"/>
    <w:rsid w:val="002375EE"/>
    <w:rsid w:val="00237BF0"/>
    <w:rsid w:val="00237C48"/>
    <w:rsid w:val="00237CF0"/>
    <w:rsid w:val="00237D5C"/>
    <w:rsid w:val="00237DAA"/>
    <w:rsid w:val="00237E4A"/>
    <w:rsid w:val="00237EC3"/>
    <w:rsid w:val="00237F2A"/>
    <w:rsid w:val="00237F8C"/>
    <w:rsid w:val="00237FAA"/>
    <w:rsid w:val="00237FE4"/>
    <w:rsid w:val="00237FF3"/>
    <w:rsid w:val="00240140"/>
    <w:rsid w:val="002401E4"/>
    <w:rsid w:val="00240253"/>
    <w:rsid w:val="00240382"/>
    <w:rsid w:val="002404AD"/>
    <w:rsid w:val="002404B7"/>
    <w:rsid w:val="002404D6"/>
    <w:rsid w:val="00240598"/>
    <w:rsid w:val="00240682"/>
    <w:rsid w:val="002406B9"/>
    <w:rsid w:val="00240795"/>
    <w:rsid w:val="002407B8"/>
    <w:rsid w:val="00240882"/>
    <w:rsid w:val="00240950"/>
    <w:rsid w:val="00240AB2"/>
    <w:rsid w:val="00240B2D"/>
    <w:rsid w:val="00240C94"/>
    <w:rsid w:val="00240D68"/>
    <w:rsid w:val="00240E0B"/>
    <w:rsid w:val="00240F44"/>
    <w:rsid w:val="00240F4F"/>
    <w:rsid w:val="0024109D"/>
    <w:rsid w:val="0024132F"/>
    <w:rsid w:val="002413B9"/>
    <w:rsid w:val="00241433"/>
    <w:rsid w:val="002414A8"/>
    <w:rsid w:val="00241529"/>
    <w:rsid w:val="00241571"/>
    <w:rsid w:val="002415C7"/>
    <w:rsid w:val="002415F8"/>
    <w:rsid w:val="00241676"/>
    <w:rsid w:val="002416E8"/>
    <w:rsid w:val="002417AD"/>
    <w:rsid w:val="00241861"/>
    <w:rsid w:val="00241870"/>
    <w:rsid w:val="0024187E"/>
    <w:rsid w:val="00241896"/>
    <w:rsid w:val="002418F1"/>
    <w:rsid w:val="0024190A"/>
    <w:rsid w:val="00241984"/>
    <w:rsid w:val="002419F0"/>
    <w:rsid w:val="00241B56"/>
    <w:rsid w:val="00241B62"/>
    <w:rsid w:val="00241BA0"/>
    <w:rsid w:val="00241C03"/>
    <w:rsid w:val="00241C04"/>
    <w:rsid w:val="00241DC0"/>
    <w:rsid w:val="00241F3A"/>
    <w:rsid w:val="00241FCF"/>
    <w:rsid w:val="00242117"/>
    <w:rsid w:val="002421C1"/>
    <w:rsid w:val="00242304"/>
    <w:rsid w:val="0024232B"/>
    <w:rsid w:val="00242355"/>
    <w:rsid w:val="00242497"/>
    <w:rsid w:val="0024249E"/>
    <w:rsid w:val="002426C4"/>
    <w:rsid w:val="002426F3"/>
    <w:rsid w:val="00242724"/>
    <w:rsid w:val="002427CD"/>
    <w:rsid w:val="00242901"/>
    <w:rsid w:val="00242A3F"/>
    <w:rsid w:val="00242AAB"/>
    <w:rsid w:val="00242BA1"/>
    <w:rsid w:val="00242BAB"/>
    <w:rsid w:val="00242C65"/>
    <w:rsid w:val="00242DC1"/>
    <w:rsid w:val="00242DD3"/>
    <w:rsid w:val="00242E30"/>
    <w:rsid w:val="00242F66"/>
    <w:rsid w:val="00242FF9"/>
    <w:rsid w:val="002430E7"/>
    <w:rsid w:val="002431FD"/>
    <w:rsid w:val="00243273"/>
    <w:rsid w:val="002432F8"/>
    <w:rsid w:val="00243394"/>
    <w:rsid w:val="002433AB"/>
    <w:rsid w:val="00243404"/>
    <w:rsid w:val="0024343B"/>
    <w:rsid w:val="002434B4"/>
    <w:rsid w:val="002435B2"/>
    <w:rsid w:val="00243616"/>
    <w:rsid w:val="0024379A"/>
    <w:rsid w:val="0024384B"/>
    <w:rsid w:val="00243BCE"/>
    <w:rsid w:val="00243C3E"/>
    <w:rsid w:val="00243C3F"/>
    <w:rsid w:val="00243C5B"/>
    <w:rsid w:val="00243DE4"/>
    <w:rsid w:val="00243DF9"/>
    <w:rsid w:val="00243E3B"/>
    <w:rsid w:val="00243F65"/>
    <w:rsid w:val="00243F93"/>
    <w:rsid w:val="00243F9B"/>
    <w:rsid w:val="002441DB"/>
    <w:rsid w:val="00244467"/>
    <w:rsid w:val="002444A6"/>
    <w:rsid w:val="002444B1"/>
    <w:rsid w:val="0024461C"/>
    <w:rsid w:val="00244719"/>
    <w:rsid w:val="0024473A"/>
    <w:rsid w:val="00244753"/>
    <w:rsid w:val="002447B6"/>
    <w:rsid w:val="00244808"/>
    <w:rsid w:val="0024495B"/>
    <w:rsid w:val="002449AC"/>
    <w:rsid w:val="00244A8C"/>
    <w:rsid w:val="00244A93"/>
    <w:rsid w:val="00244AE3"/>
    <w:rsid w:val="00244D01"/>
    <w:rsid w:val="00244ED0"/>
    <w:rsid w:val="00244FBE"/>
    <w:rsid w:val="00244FDD"/>
    <w:rsid w:val="0024501A"/>
    <w:rsid w:val="00245088"/>
    <w:rsid w:val="002450CF"/>
    <w:rsid w:val="002450E6"/>
    <w:rsid w:val="00245146"/>
    <w:rsid w:val="00245192"/>
    <w:rsid w:val="00245237"/>
    <w:rsid w:val="0024526B"/>
    <w:rsid w:val="00245365"/>
    <w:rsid w:val="00245386"/>
    <w:rsid w:val="002453D6"/>
    <w:rsid w:val="0024544A"/>
    <w:rsid w:val="0024553C"/>
    <w:rsid w:val="002455CB"/>
    <w:rsid w:val="002456D0"/>
    <w:rsid w:val="002456E6"/>
    <w:rsid w:val="00245870"/>
    <w:rsid w:val="00245922"/>
    <w:rsid w:val="00245C2F"/>
    <w:rsid w:val="00245C6D"/>
    <w:rsid w:val="00245C80"/>
    <w:rsid w:val="00245E38"/>
    <w:rsid w:val="00245ED2"/>
    <w:rsid w:val="00245EEB"/>
    <w:rsid w:val="00245EF6"/>
    <w:rsid w:val="00245F89"/>
    <w:rsid w:val="00246043"/>
    <w:rsid w:val="0024609F"/>
    <w:rsid w:val="002460EB"/>
    <w:rsid w:val="0024612E"/>
    <w:rsid w:val="0024626B"/>
    <w:rsid w:val="002462C5"/>
    <w:rsid w:val="00246573"/>
    <w:rsid w:val="002466DD"/>
    <w:rsid w:val="0024671C"/>
    <w:rsid w:val="00246797"/>
    <w:rsid w:val="002467C6"/>
    <w:rsid w:val="00246921"/>
    <w:rsid w:val="002469D2"/>
    <w:rsid w:val="00246A49"/>
    <w:rsid w:val="00246B0D"/>
    <w:rsid w:val="00246B75"/>
    <w:rsid w:val="00246B7B"/>
    <w:rsid w:val="00246C72"/>
    <w:rsid w:val="00246EF7"/>
    <w:rsid w:val="00246FBC"/>
    <w:rsid w:val="002470DB"/>
    <w:rsid w:val="00247101"/>
    <w:rsid w:val="002471D8"/>
    <w:rsid w:val="002471F1"/>
    <w:rsid w:val="00247216"/>
    <w:rsid w:val="00247234"/>
    <w:rsid w:val="0024749C"/>
    <w:rsid w:val="0024749D"/>
    <w:rsid w:val="00247543"/>
    <w:rsid w:val="00247616"/>
    <w:rsid w:val="00247687"/>
    <w:rsid w:val="002476CB"/>
    <w:rsid w:val="002476DD"/>
    <w:rsid w:val="002477ED"/>
    <w:rsid w:val="00247903"/>
    <w:rsid w:val="0024793A"/>
    <w:rsid w:val="0024799E"/>
    <w:rsid w:val="002479DD"/>
    <w:rsid w:val="002479F5"/>
    <w:rsid w:val="00247A94"/>
    <w:rsid w:val="00247B11"/>
    <w:rsid w:val="00247C9C"/>
    <w:rsid w:val="00247CA1"/>
    <w:rsid w:val="00247DCA"/>
    <w:rsid w:val="00247DE4"/>
    <w:rsid w:val="00247E8A"/>
    <w:rsid w:val="00247EE7"/>
    <w:rsid w:val="00247EFA"/>
    <w:rsid w:val="00247F91"/>
    <w:rsid w:val="00250024"/>
    <w:rsid w:val="002500CD"/>
    <w:rsid w:val="00250197"/>
    <w:rsid w:val="0025027E"/>
    <w:rsid w:val="002502DE"/>
    <w:rsid w:val="002502F4"/>
    <w:rsid w:val="00250335"/>
    <w:rsid w:val="00250368"/>
    <w:rsid w:val="002503E2"/>
    <w:rsid w:val="00250436"/>
    <w:rsid w:val="00250537"/>
    <w:rsid w:val="00250554"/>
    <w:rsid w:val="002505DE"/>
    <w:rsid w:val="0025082C"/>
    <w:rsid w:val="00250998"/>
    <w:rsid w:val="002509BC"/>
    <w:rsid w:val="00250B08"/>
    <w:rsid w:val="00250BF6"/>
    <w:rsid w:val="00250C22"/>
    <w:rsid w:val="00250C4C"/>
    <w:rsid w:val="00250C50"/>
    <w:rsid w:val="00250D13"/>
    <w:rsid w:val="00250F25"/>
    <w:rsid w:val="00250FBB"/>
    <w:rsid w:val="0025112A"/>
    <w:rsid w:val="0025112C"/>
    <w:rsid w:val="0025122A"/>
    <w:rsid w:val="002512EB"/>
    <w:rsid w:val="0025130E"/>
    <w:rsid w:val="002513D0"/>
    <w:rsid w:val="00251437"/>
    <w:rsid w:val="00251494"/>
    <w:rsid w:val="00251534"/>
    <w:rsid w:val="00251543"/>
    <w:rsid w:val="002515A0"/>
    <w:rsid w:val="002515AD"/>
    <w:rsid w:val="002515FC"/>
    <w:rsid w:val="00251720"/>
    <w:rsid w:val="002517E9"/>
    <w:rsid w:val="002519DC"/>
    <w:rsid w:val="00251A86"/>
    <w:rsid w:val="00251C5B"/>
    <w:rsid w:val="00251CA1"/>
    <w:rsid w:val="00251D90"/>
    <w:rsid w:val="00251E84"/>
    <w:rsid w:val="00251E94"/>
    <w:rsid w:val="00251F7B"/>
    <w:rsid w:val="00251FC4"/>
    <w:rsid w:val="00252013"/>
    <w:rsid w:val="0025208D"/>
    <w:rsid w:val="002522FC"/>
    <w:rsid w:val="002523FA"/>
    <w:rsid w:val="00252502"/>
    <w:rsid w:val="002527B9"/>
    <w:rsid w:val="002528A5"/>
    <w:rsid w:val="0025290E"/>
    <w:rsid w:val="002529A7"/>
    <w:rsid w:val="002529E9"/>
    <w:rsid w:val="00252A0D"/>
    <w:rsid w:val="00252A6D"/>
    <w:rsid w:val="00252A86"/>
    <w:rsid w:val="00252AAD"/>
    <w:rsid w:val="00252AB0"/>
    <w:rsid w:val="00252B06"/>
    <w:rsid w:val="00252B6A"/>
    <w:rsid w:val="00252BC3"/>
    <w:rsid w:val="00252BE6"/>
    <w:rsid w:val="00252DFB"/>
    <w:rsid w:val="00252E34"/>
    <w:rsid w:val="00252E5E"/>
    <w:rsid w:val="00252ED7"/>
    <w:rsid w:val="00252FE0"/>
    <w:rsid w:val="00252FE1"/>
    <w:rsid w:val="00252FFD"/>
    <w:rsid w:val="0025301B"/>
    <w:rsid w:val="0025303A"/>
    <w:rsid w:val="00253066"/>
    <w:rsid w:val="00253086"/>
    <w:rsid w:val="002530E6"/>
    <w:rsid w:val="0025310A"/>
    <w:rsid w:val="00253170"/>
    <w:rsid w:val="00253234"/>
    <w:rsid w:val="002532D4"/>
    <w:rsid w:val="002533E4"/>
    <w:rsid w:val="0025340A"/>
    <w:rsid w:val="002534D0"/>
    <w:rsid w:val="00253503"/>
    <w:rsid w:val="0025351A"/>
    <w:rsid w:val="00253523"/>
    <w:rsid w:val="0025362E"/>
    <w:rsid w:val="002536EB"/>
    <w:rsid w:val="002536F5"/>
    <w:rsid w:val="0025375E"/>
    <w:rsid w:val="00253818"/>
    <w:rsid w:val="002538D3"/>
    <w:rsid w:val="00253E8B"/>
    <w:rsid w:val="00254069"/>
    <w:rsid w:val="0025418F"/>
    <w:rsid w:val="00254284"/>
    <w:rsid w:val="00254422"/>
    <w:rsid w:val="00254430"/>
    <w:rsid w:val="00254446"/>
    <w:rsid w:val="002544E4"/>
    <w:rsid w:val="002545C0"/>
    <w:rsid w:val="0025475E"/>
    <w:rsid w:val="00254812"/>
    <w:rsid w:val="002548A8"/>
    <w:rsid w:val="00254915"/>
    <w:rsid w:val="00254947"/>
    <w:rsid w:val="00254A04"/>
    <w:rsid w:val="00254AAA"/>
    <w:rsid w:val="00254B44"/>
    <w:rsid w:val="00254BDA"/>
    <w:rsid w:val="00254C5A"/>
    <w:rsid w:val="00254C91"/>
    <w:rsid w:val="00254D73"/>
    <w:rsid w:val="00254DBF"/>
    <w:rsid w:val="00254E05"/>
    <w:rsid w:val="00254E42"/>
    <w:rsid w:val="00254E7D"/>
    <w:rsid w:val="00254EEB"/>
    <w:rsid w:val="00254EEE"/>
    <w:rsid w:val="00254FAC"/>
    <w:rsid w:val="00255016"/>
    <w:rsid w:val="0025509B"/>
    <w:rsid w:val="002551FD"/>
    <w:rsid w:val="002552E5"/>
    <w:rsid w:val="002552E9"/>
    <w:rsid w:val="00255449"/>
    <w:rsid w:val="002555AD"/>
    <w:rsid w:val="002555C7"/>
    <w:rsid w:val="00255620"/>
    <w:rsid w:val="0025562B"/>
    <w:rsid w:val="0025577D"/>
    <w:rsid w:val="00255881"/>
    <w:rsid w:val="002558A3"/>
    <w:rsid w:val="002559D1"/>
    <w:rsid w:val="002559F2"/>
    <w:rsid w:val="00255AA8"/>
    <w:rsid w:val="00255B1E"/>
    <w:rsid w:val="00255CB7"/>
    <w:rsid w:val="00255CD6"/>
    <w:rsid w:val="00255CD9"/>
    <w:rsid w:val="00255CFA"/>
    <w:rsid w:val="00255DB1"/>
    <w:rsid w:val="00255DF6"/>
    <w:rsid w:val="00255E31"/>
    <w:rsid w:val="00255F24"/>
    <w:rsid w:val="00255FAC"/>
    <w:rsid w:val="00256267"/>
    <w:rsid w:val="002563A0"/>
    <w:rsid w:val="002563AA"/>
    <w:rsid w:val="002564DE"/>
    <w:rsid w:val="002564F9"/>
    <w:rsid w:val="00256591"/>
    <w:rsid w:val="00256622"/>
    <w:rsid w:val="0025668D"/>
    <w:rsid w:val="00256691"/>
    <w:rsid w:val="002566D3"/>
    <w:rsid w:val="002566F3"/>
    <w:rsid w:val="002566F6"/>
    <w:rsid w:val="00256706"/>
    <w:rsid w:val="002567E9"/>
    <w:rsid w:val="002567F6"/>
    <w:rsid w:val="002568C3"/>
    <w:rsid w:val="00256994"/>
    <w:rsid w:val="00256A30"/>
    <w:rsid w:val="00256A5D"/>
    <w:rsid w:val="00256B8B"/>
    <w:rsid w:val="00256B9F"/>
    <w:rsid w:val="00256C28"/>
    <w:rsid w:val="00256D78"/>
    <w:rsid w:val="00256DD0"/>
    <w:rsid w:val="00256E74"/>
    <w:rsid w:val="00256E96"/>
    <w:rsid w:val="00256E9B"/>
    <w:rsid w:val="00256FCA"/>
    <w:rsid w:val="00256FE3"/>
    <w:rsid w:val="0025703E"/>
    <w:rsid w:val="002571A8"/>
    <w:rsid w:val="00257271"/>
    <w:rsid w:val="0025755C"/>
    <w:rsid w:val="0025756E"/>
    <w:rsid w:val="0025760A"/>
    <w:rsid w:val="002577AF"/>
    <w:rsid w:val="0025780D"/>
    <w:rsid w:val="0025782F"/>
    <w:rsid w:val="00257837"/>
    <w:rsid w:val="002578A7"/>
    <w:rsid w:val="002578C8"/>
    <w:rsid w:val="002579A6"/>
    <w:rsid w:val="00257A31"/>
    <w:rsid w:val="00257A46"/>
    <w:rsid w:val="00257A74"/>
    <w:rsid w:val="00257AD2"/>
    <w:rsid w:val="00257B00"/>
    <w:rsid w:val="00257BF3"/>
    <w:rsid w:val="00257BF4"/>
    <w:rsid w:val="00257BF9"/>
    <w:rsid w:val="00257C17"/>
    <w:rsid w:val="00257E22"/>
    <w:rsid w:val="00257E67"/>
    <w:rsid w:val="00257E9D"/>
    <w:rsid w:val="00257EEF"/>
    <w:rsid w:val="00257FF8"/>
    <w:rsid w:val="00260052"/>
    <w:rsid w:val="00260078"/>
    <w:rsid w:val="002600B4"/>
    <w:rsid w:val="00260260"/>
    <w:rsid w:val="002602C1"/>
    <w:rsid w:val="002602D4"/>
    <w:rsid w:val="00260382"/>
    <w:rsid w:val="00260430"/>
    <w:rsid w:val="002605BF"/>
    <w:rsid w:val="002607CD"/>
    <w:rsid w:val="002607E2"/>
    <w:rsid w:val="002608A1"/>
    <w:rsid w:val="00260944"/>
    <w:rsid w:val="002609DF"/>
    <w:rsid w:val="00260B00"/>
    <w:rsid w:val="00260B6C"/>
    <w:rsid w:val="00260B6D"/>
    <w:rsid w:val="00260BB4"/>
    <w:rsid w:val="00260BF6"/>
    <w:rsid w:val="00260CAA"/>
    <w:rsid w:val="00260CFA"/>
    <w:rsid w:val="00260CFB"/>
    <w:rsid w:val="00260D36"/>
    <w:rsid w:val="00260E45"/>
    <w:rsid w:val="00260E46"/>
    <w:rsid w:val="00260EE7"/>
    <w:rsid w:val="00261102"/>
    <w:rsid w:val="00261177"/>
    <w:rsid w:val="00261191"/>
    <w:rsid w:val="002611A5"/>
    <w:rsid w:val="0026122F"/>
    <w:rsid w:val="002612DA"/>
    <w:rsid w:val="00261401"/>
    <w:rsid w:val="00261487"/>
    <w:rsid w:val="00261555"/>
    <w:rsid w:val="002615BD"/>
    <w:rsid w:val="002615CB"/>
    <w:rsid w:val="00261649"/>
    <w:rsid w:val="0026170E"/>
    <w:rsid w:val="00261751"/>
    <w:rsid w:val="002618AE"/>
    <w:rsid w:val="002618CD"/>
    <w:rsid w:val="002618D5"/>
    <w:rsid w:val="00261A15"/>
    <w:rsid w:val="00261D0D"/>
    <w:rsid w:val="00261D60"/>
    <w:rsid w:val="00261D8D"/>
    <w:rsid w:val="00261E18"/>
    <w:rsid w:val="00261F7C"/>
    <w:rsid w:val="00261FDF"/>
    <w:rsid w:val="00261FFE"/>
    <w:rsid w:val="00262066"/>
    <w:rsid w:val="002620C5"/>
    <w:rsid w:val="002620D9"/>
    <w:rsid w:val="002620FC"/>
    <w:rsid w:val="00262145"/>
    <w:rsid w:val="002621F0"/>
    <w:rsid w:val="0026220C"/>
    <w:rsid w:val="00262210"/>
    <w:rsid w:val="0026228E"/>
    <w:rsid w:val="00262293"/>
    <w:rsid w:val="0026237E"/>
    <w:rsid w:val="0026242B"/>
    <w:rsid w:val="00262446"/>
    <w:rsid w:val="002624B0"/>
    <w:rsid w:val="0026252B"/>
    <w:rsid w:val="00262578"/>
    <w:rsid w:val="00262603"/>
    <w:rsid w:val="002626AE"/>
    <w:rsid w:val="002626CC"/>
    <w:rsid w:val="002629FF"/>
    <w:rsid w:val="00262A58"/>
    <w:rsid w:val="00262AD0"/>
    <w:rsid w:val="00262B34"/>
    <w:rsid w:val="00262B45"/>
    <w:rsid w:val="00262E0B"/>
    <w:rsid w:val="00262F18"/>
    <w:rsid w:val="00262F5C"/>
    <w:rsid w:val="002630AF"/>
    <w:rsid w:val="002630C9"/>
    <w:rsid w:val="0026312A"/>
    <w:rsid w:val="00263189"/>
    <w:rsid w:val="002631C7"/>
    <w:rsid w:val="002632FB"/>
    <w:rsid w:val="00263473"/>
    <w:rsid w:val="00263509"/>
    <w:rsid w:val="00263596"/>
    <w:rsid w:val="00263599"/>
    <w:rsid w:val="0026360E"/>
    <w:rsid w:val="0026376A"/>
    <w:rsid w:val="00263911"/>
    <w:rsid w:val="00263916"/>
    <w:rsid w:val="00263955"/>
    <w:rsid w:val="002639B2"/>
    <w:rsid w:val="00263A68"/>
    <w:rsid w:val="00263B0E"/>
    <w:rsid w:val="00263BB8"/>
    <w:rsid w:val="00263CB3"/>
    <w:rsid w:val="00263D16"/>
    <w:rsid w:val="00263D99"/>
    <w:rsid w:val="00263DA6"/>
    <w:rsid w:val="00263EC1"/>
    <w:rsid w:val="00264042"/>
    <w:rsid w:val="00264044"/>
    <w:rsid w:val="0026404B"/>
    <w:rsid w:val="00264066"/>
    <w:rsid w:val="002640CF"/>
    <w:rsid w:val="002641CB"/>
    <w:rsid w:val="002641D9"/>
    <w:rsid w:val="002641EB"/>
    <w:rsid w:val="00264369"/>
    <w:rsid w:val="0026437A"/>
    <w:rsid w:val="002643C1"/>
    <w:rsid w:val="0026442C"/>
    <w:rsid w:val="002644AD"/>
    <w:rsid w:val="00264584"/>
    <w:rsid w:val="00264790"/>
    <w:rsid w:val="002647E5"/>
    <w:rsid w:val="002648D4"/>
    <w:rsid w:val="00264B40"/>
    <w:rsid w:val="00264B66"/>
    <w:rsid w:val="00264C18"/>
    <w:rsid w:val="00264F09"/>
    <w:rsid w:val="00264F54"/>
    <w:rsid w:val="00265037"/>
    <w:rsid w:val="0026503B"/>
    <w:rsid w:val="002652A6"/>
    <w:rsid w:val="002654BB"/>
    <w:rsid w:val="002654BE"/>
    <w:rsid w:val="002654C0"/>
    <w:rsid w:val="0026556E"/>
    <w:rsid w:val="002655BE"/>
    <w:rsid w:val="002655E1"/>
    <w:rsid w:val="00265641"/>
    <w:rsid w:val="0026566B"/>
    <w:rsid w:val="00265673"/>
    <w:rsid w:val="002656EA"/>
    <w:rsid w:val="00265819"/>
    <w:rsid w:val="0026588A"/>
    <w:rsid w:val="0026593B"/>
    <w:rsid w:val="00265951"/>
    <w:rsid w:val="00265999"/>
    <w:rsid w:val="002659C0"/>
    <w:rsid w:val="00265A1F"/>
    <w:rsid w:val="00265B7A"/>
    <w:rsid w:val="00265E05"/>
    <w:rsid w:val="00265E26"/>
    <w:rsid w:val="00265FAE"/>
    <w:rsid w:val="00266186"/>
    <w:rsid w:val="002663C0"/>
    <w:rsid w:val="002663F3"/>
    <w:rsid w:val="002665F9"/>
    <w:rsid w:val="0026661A"/>
    <w:rsid w:val="00266685"/>
    <w:rsid w:val="0026669B"/>
    <w:rsid w:val="002668AE"/>
    <w:rsid w:val="0026698F"/>
    <w:rsid w:val="002669BF"/>
    <w:rsid w:val="00266AC2"/>
    <w:rsid w:val="00266B1F"/>
    <w:rsid w:val="00266B57"/>
    <w:rsid w:val="00266CF7"/>
    <w:rsid w:val="00266D57"/>
    <w:rsid w:val="00266DBD"/>
    <w:rsid w:val="00266EA0"/>
    <w:rsid w:val="00266EAF"/>
    <w:rsid w:val="00266EE1"/>
    <w:rsid w:val="00266F45"/>
    <w:rsid w:val="00267094"/>
    <w:rsid w:val="002670E9"/>
    <w:rsid w:val="00267115"/>
    <w:rsid w:val="002671DB"/>
    <w:rsid w:val="0026723F"/>
    <w:rsid w:val="00267257"/>
    <w:rsid w:val="002672A5"/>
    <w:rsid w:val="002672DD"/>
    <w:rsid w:val="0026748F"/>
    <w:rsid w:val="002674B0"/>
    <w:rsid w:val="002674EB"/>
    <w:rsid w:val="0026752E"/>
    <w:rsid w:val="002675EA"/>
    <w:rsid w:val="002675F7"/>
    <w:rsid w:val="002675FF"/>
    <w:rsid w:val="00267711"/>
    <w:rsid w:val="00267777"/>
    <w:rsid w:val="002678BB"/>
    <w:rsid w:val="002678F0"/>
    <w:rsid w:val="0026795C"/>
    <w:rsid w:val="00267A3E"/>
    <w:rsid w:val="00267BD4"/>
    <w:rsid w:val="00267CA4"/>
    <w:rsid w:val="00267D23"/>
    <w:rsid w:val="00267DE7"/>
    <w:rsid w:val="00267E19"/>
    <w:rsid w:val="00267F51"/>
    <w:rsid w:val="0026975B"/>
    <w:rsid w:val="00270049"/>
    <w:rsid w:val="00270090"/>
    <w:rsid w:val="002700E5"/>
    <w:rsid w:val="002700EA"/>
    <w:rsid w:val="002700ED"/>
    <w:rsid w:val="0027010E"/>
    <w:rsid w:val="00270147"/>
    <w:rsid w:val="002701E7"/>
    <w:rsid w:val="00270212"/>
    <w:rsid w:val="0027023D"/>
    <w:rsid w:val="0027024A"/>
    <w:rsid w:val="0027032B"/>
    <w:rsid w:val="00270337"/>
    <w:rsid w:val="0027034B"/>
    <w:rsid w:val="002703C2"/>
    <w:rsid w:val="002703D9"/>
    <w:rsid w:val="002704FB"/>
    <w:rsid w:val="0027063B"/>
    <w:rsid w:val="00270746"/>
    <w:rsid w:val="00270862"/>
    <w:rsid w:val="002708C8"/>
    <w:rsid w:val="002709EF"/>
    <w:rsid w:val="00270A8E"/>
    <w:rsid w:val="00270C43"/>
    <w:rsid w:val="00270C82"/>
    <w:rsid w:val="00270D7C"/>
    <w:rsid w:val="00270D86"/>
    <w:rsid w:val="00270F0C"/>
    <w:rsid w:val="00270F39"/>
    <w:rsid w:val="00270F5C"/>
    <w:rsid w:val="00270F6E"/>
    <w:rsid w:val="00270F88"/>
    <w:rsid w:val="00270FDF"/>
    <w:rsid w:val="00271007"/>
    <w:rsid w:val="0027119E"/>
    <w:rsid w:val="002711CE"/>
    <w:rsid w:val="00271265"/>
    <w:rsid w:val="002712B4"/>
    <w:rsid w:val="002712F4"/>
    <w:rsid w:val="00271319"/>
    <w:rsid w:val="002714C4"/>
    <w:rsid w:val="002714C8"/>
    <w:rsid w:val="00271543"/>
    <w:rsid w:val="00271577"/>
    <w:rsid w:val="00271591"/>
    <w:rsid w:val="0027159D"/>
    <w:rsid w:val="0027162F"/>
    <w:rsid w:val="0027167A"/>
    <w:rsid w:val="00271771"/>
    <w:rsid w:val="00271897"/>
    <w:rsid w:val="002719BD"/>
    <w:rsid w:val="002719F4"/>
    <w:rsid w:val="00271A80"/>
    <w:rsid w:val="00271AE4"/>
    <w:rsid w:val="00271B5E"/>
    <w:rsid w:val="00271B74"/>
    <w:rsid w:val="00271B80"/>
    <w:rsid w:val="00271D24"/>
    <w:rsid w:val="00271D93"/>
    <w:rsid w:val="00271DCD"/>
    <w:rsid w:val="00271F27"/>
    <w:rsid w:val="00271F39"/>
    <w:rsid w:val="00271F41"/>
    <w:rsid w:val="0027201B"/>
    <w:rsid w:val="00272225"/>
    <w:rsid w:val="00272247"/>
    <w:rsid w:val="0027225E"/>
    <w:rsid w:val="0027226F"/>
    <w:rsid w:val="002723E2"/>
    <w:rsid w:val="002725D3"/>
    <w:rsid w:val="0027260E"/>
    <w:rsid w:val="00272754"/>
    <w:rsid w:val="00272791"/>
    <w:rsid w:val="00272864"/>
    <w:rsid w:val="002728B0"/>
    <w:rsid w:val="00272958"/>
    <w:rsid w:val="002729FE"/>
    <w:rsid w:val="00272AA2"/>
    <w:rsid w:val="00272AE1"/>
    <w:rsid w:val="00272B64"/>
    <w:rsid w:val="00272D32"/>
    <w:rsid w:val="00272D76"/>
    <w:rsid w:val="00272E02"/>
    <w:rsid w:val="00272F22"/>
    <w:rsid w:val="00272F32"/>
    <w:rsid w:val="0027304F"/>
    <w:rsid w:val="002730AE"/>
    <w:rsid w:val="00273200"/>
    <w:rsid w:val="00273255"/>
    <w:rsid w:val="00273302"/>
    <w:rsid w:val="0027336E"/>
    <w:rsid w:val="00273394"/>
    <w:rsid w:val="002734DD"/>
    <w:rsid w:val="00273661"/>
    <w:rsid w:val="0027379A"/>
    <w:rsid w:val="002737DA"/>
    <w:rsid w:val="0027386E"/>
    <w:rsid w:val="00273983"/>
    <w:rsid w:val="00273985"/>
    <w:rsid w:val="00273B24"/>
    <w:rsid w:val="00273B89"/>
    <w:rsid w:val="00273BE7"/>
    <w:rsid w:val="00273BEB"/>
    <w:rsid w:val="00273BF3"/>
    <w:rsid w:val="00273C96"/>
    <w:rsid w:val="00273D46"/>
    <w:rsid w:val="00273E73"/>
    <w:rsid w:val="00273EF9"/>
    <w:rsid w:val="00273F1C"/>
    <w:rsid w:val="00273F5B"/>
    <w:rsid w:val="00273F78"/>
    <w:rsid w:val="00274195"/>
    <w:rsid w:val="00274265"/>
    <w:rsid w:val="002742F3"/>
    <w:rsid w:val="00274359"/>
    <w:rsid w:val="0027435E"/>
    <w:rsid w:val="0027446D"/>
    <w:rsid w:val="002744BF"/>
    <w:rsid w:val="0027463A"/>
    <w:rsid w:val="0027467F"/>
    <w:rsid w:val="0027479F"/>
    <w:rsid w:val="00274876"/>
    <w:rsid w:val="002748DF"/>
    <w:rsid w:val="00274970"/>
    <w:rsid w:val="00274B90"/>
    <w:rsid w:val="00274B92"/>
    <w:rsid w:val="00274C9C"/>
    <w:rsid w:val="00274CAC"/>
    <w:rsid w:val="00274CF4"/>
    <w:rsid w:val="00274DCA"/>
    <w:rsid w:val="00274E41"/>
    <w:rsid w:val="00274FD8"/>
    <w:rsid w:val="0027506D"/>
    <w:rsid w:val="00275079"/>
    <w:rsid w:val="002750EA"/>
    <w:rsid w:val="00275133"/>
    <w:rsid w:val="0027516A"/>
    <w:rsid w:val="002754DA"/>
    <w:rsid w:val="00275569"/>
    <w:rsid w:val="002756D4"/>
    <w:rsid w:val="00275759"/>
    <w:rsid w:val="0027580C"/>
    <w:rsid w:val="00275894"/>
    <w:rsid w:val="002759EA"/>
    <w:rsid w:val="00275A01"/>
    <w:rsid w:val="00275AA0"/>
    <w:rsid w:val="00275AA3"/>
    <w:rsid w:val="00275CF1"/>
    <w:rsid w:val="00275CFA"/>
    <w:rsid w:val="00275D99"/>
    <w:rsid w:val="00275DB1"/>
    <w:rsid w:val="00275E9C"/>
    <w:rsid w:val="00275F1B"/>
    <w:rsid w:val="0027604C"/>
    <w:rsid w:val="00276058"/>
    <w:rsid w:val="00276152"/>
    <w:rsid w:val="00276304"/>
    <w:rsid w:val="00276323"/>
    <w:rsid w:val="0027643E"/>
    <w:rsid w:val="002764C9"/>
    <w:rsid w:val="002764CB"/>
    <w:rsid w:val="002764DC"/>
    <w:rsid w:val="00276568"/>
    <w:rsid w:val="002765F3"/>
    <w:rsid w:val="00276693"/>
    <w:rsid w:val="00276720"/>
    <w:rsid w:val="00276811"/>
    <w:rsid w:val="0027699D"/>
    <w:rsid w:val="002769CB"/>
    <w:rsid w:val="002769D9"/>
    <w:rsid w:val="002769F3"/>
    <w:rsid w:val="00276A21"/>
    <w:rsid w:val="00276A24"/>
    <w:rsid w:val="00276B1B"/>
    <w:rsid w:val="00276B1F"/>
    <w:rsid w:val="00276B8B"/>
    <w:rsid w:val="00276D72"/>
    <w:rsid w:val="00276D8C"/>
    <w:rsid w:val="00276DCE"/>
    <w:rsid w:val="00276DFA"/>
    <w:rsid w:val="00276E11"/>
    <w:rsid w:val="00276EC2"/>
    <w:rsid w:val="00276EE7"/>
    <w:rsid w:val="00276F3E"/>
    <w:rsid w:val="00276F4E"/>
    <w:rsid w:val="00277051"/>
    <w:rsid w:val="00277068"/>
    <w:rsid w:val="00277095"/>
    <w:rsid w:val="002770A4"/>
    <w:rsid w:val="0027713B"/>
    <w:rsid w:val="002771C9"/>
    <w:rsid w:val="002772BE"/>
    <w:rsid w:val="00277322"/>
    <w:rsid w:val="00277430"/>
    <w:rsid w:val="002774DC"/>
    <w:rsid w:val="00277696"/>
    <w:rsid w:val="002776EF"/>
    <w:rsid w:val="002777F2"/>
    <w:rsid w:val="002778AD"/>
    <w:rsid w:val="002778D9"/>
    <w:rsid w:val="002779C9"/>
    <w:rsid w:val="00277A4D"/>
    <w:rsid w:val="00277A70"/>
    <w:rsid w:val="00277AE7"/>
    <w:rsid w:val="00277BDF"/>
    <w:rsid w:val="00277C1E"/>
    <w:rsid w:val="00277C5F"/>
    <w:rsid w:val="00277CC6"/>
    <w:rsid w:val="00277CF8"/>
    <w:rsid w:val="00277D05"/>
    <w:rsid w:val="00277DE3"/>
    <w:rsid w:val="00277E9E"/>
    <w:rsid w:val="00277F7F"/>
    <w:rsid w:val="00277FE1"/>
    <w:rsid w:val="002800D0"/>
    <w:rsid w:val="00280241"/>
    <w:rsid w:val="00280313"/>
    <w:rsid w:val="00280344"/>
    <w:rsid w:val="0028037B"/>
    <w:rsid w:val="002803A0"/>
    <w:rsid w:val="002803A5"/>
    <w:rsid w:val="002803AC"/>
    <w:rsid w:val="00280416"/>
    <w:rsid w:val="00280472"/>
    <w:rsid w:val="002805E7"/>
    <w:rsid w:val="00280656"/>
    <w:rsid w:val="00280695"/>
    <w:rsid w:val="00280802"/>
    <w:rsid w:val="002808BC"/>
    <w:rsid w:val="00280931"/>
    <w:rsid w:val="00280988"/>
    <w:rsid w:val="00280A9E"/>
    <w:rsid w:val="00280AE2"/>
    <w:rsid w:val="00280B18"/>
    <w:rsid w:val="00280B4D"/>
    <w:rsid w:val="00280C89"/>
    <w:rsid w:val="00280CCA"/>
    <w:rsid w:val="00280ED0"/>
    <w:rsid w:val="00280F60"/>
    <w:rsid w:val="002810C5"/>
    <w:rsid w:val="002812D7"/>
    <w:rsid w:val="002812E2"/>
    <w:rsid w:val="00281341"/>
    <w:rsid w:val="002813C5"/>
    <w:rsid w:val="00281573"/>
    <w:rsid w:val="002815F0"/>
    <w:rsid w:val="0028160B"/>
    <w:rsid w:val="00281630"/>
    <w:rsid w:val="00281742"/>
    <w:rsid w:val="0028175C"/>
    <w:rsid w:val="002817BA"/>
    <w:rsid w:val="00281822"/>
    <w:rsid w:val="0028184A"/>
    <w:rsid w:val="0028185A"/>
    <w:rsid w:val="0028186F"/>
    <w:rsid w:val="00281978"/>
    <w:rsid w:val="002819AA"/>
    <w:rsid w:val="002819D8"/>
    <w:rsid w:val="002819DE"/>
    <w:rsid w:val="00281A08"/>
    <w:rsid w:val="00281A15"/>
    <w:rsid w:val="00281A8F"/>
    <w:rsid w:val="00281AB5"/>
    <w:rsid w:val="00281AD8"/>
    <w:rsid w:val="00281B43"/>
    <w:rsid w:val="00281B6F"/>
    <w:rsid w:val="00281C3A"/>
    <w:rsid w:val="00281CAE"/>
    <w:rsid w:val="00281CE6"/>
    <w:rsid w:val="00281D73"/>
    <w:rsid w:val="00281D74"/>
    <w:rsid w:val="00281E29"/>
    <w:rsid w:val="00281E5C"/>
    <w:rsid w:val="00281E81"/>
    <w:rsid w:val="00281EFF"/>
    <w:rsid w:val="00281F48"/>
    <w:rsid w:val="00282015"/>
    <w:rsid w:val="0028220E"/>
    <w:rsid w:val="0028238D"/>
    <w:rsid w:val="00282411"/>
    <w:rsid w:val="00282453"/>
    <w:rsid w:val="002825AD"/>
    <w:rsid w:val="002825DC"/>
    <w:rsid w:val="00282634"/>
    <w:rsid w:val="00282713"/>
    <w:rsid w:val="00282714"/>
    <w:rsid w:val="002827B0"/>
    <w:rsid w:val="002827C0"/>
    <w:rsid w:val="00282A14"/>
    <w:rsid w:val="00282A9D"/>
    <w:rsid w:val="00282BDB"/>
    <w:rsid w:val="00282C6E"/>
    <w:rsid w:val="00282C78"/>
    <w:rsid w:val="00282E41"/>
    <w:rsid w:val="00282ED4"/>
    <w:rsid w:val="00282F2A"/>
    <w:rsid w:val="00282F78"/>
    <w:rsid w:val="00282F80"/>
    <w:rsid w:val="00283013"/>
    <w:rsid w:val="002830C1"/>
    <w:rsid w:val="002832DF"/>
    <w:rsid w:val="00283369"/>
    <w:rsid w:val="002833BA"/>
    <w:rsid w:val="002833D4"/>
    <w:rsid w:val="002833DB"/>
    <w:rsid w:val="00283455"/>
    <w:rsid w:val="0028345F"/>
    <w:rsid w:val="0028366B"/>
    <w:rsid w:val="0028370A"/>
    <w:rsid w:val="00283711"/>
    <w:rsid w:val="00283734"/>
    <w:rsid w:val="00283770"/>
    <w:rsid w:val="002838C1"/>
    <w:rsid w:val="002839F3"/>
    <w:rsid w:val="00283A0D"/>
    <w:rsid w:val="00283A28"/>
    <w:rsid w:val="00283C4B"/>
    <w:rsid w:val="00283D97"/>
    <w:rsid w:val="00283EB1"/>
    <w:rsid w:val="00283F64"/>
    <w:rsid w:val="00283F82"/>
    <w:rsid w:val="00283FB6"/>
    <w:rsid w:val="0028413A"/>
    <w:rsid w:val="0028414A"/>
    <w:rsid w:val="002841A7"/>
    <w:rsid w:val="0028428A"/>
    <w:rsid w:val="00284520"/>
    <w:rsid w:val="002845D7"/>
    <w:rsid w:val="00284620"/>
    <w:rsid w:val="0028467F"/>
    <w:rsid w:val="0028471E"/>
    <w:rsid w:val="00284769"/>
    <w:rsid w:val="0028479A"/>
    <w:rsid w:val="002847D4"/>
    <w:rsid w:val="002848A1"/>
    <w:rsid w:val="002848D9"/>
    <w:rsid w:val="0028497A"/>
    <w:rsid w:val="00284AC9"/>
    <w:rsid w:val="00284BBA"/>
    <w:rsid w:val="00284BC7"/>
    <w:rsid w:val="00284D24"/>
    <w:rsid w:val="00284E34"/>
    <w:rsid w:val="00284E9A"/>
    <w:rsid w:val="00284F70"/>
    <w:rsid w:val="00284FD1"/>
    <w:rsid w:val="00285048"/>
    <w:rsid w:val="002850A1"/>
    <w:rsid w:val="00285254"/>
    <w:rsid w:val="0028525A"/>
    <w:rsid w:val="00285272"/>
    <w:rsid w:val="002855AF"/>
    <w:rsid w:val="00285741"/>
    <w:rsid w:val="00285801"/>
    <w:rsid w:val="0028580D"/>
    <w:rsid w:val="0028587C"/>
    <w:rsid w:val="00285905"/>
    <w:rsid w:val="00285918"/>
    <w:rsid w:val="00285969"/>
    <w:rsid w:val="00285971"/>
    <w:rsid w:val="00285A3E"/>
    <w:rsid w:val="00285B55"/>
    <w:rsid w:val="00285B68"/>
    <w:rsid w:val="00285D79"/>
    <w:rsid w:val="00285DE4"/>
    <w:rsid w:val="00285E5C"/>
    <w:rsid w:val="00285F18"/>
    <w:rsid w:val="00285F2B"/>
    <w:rsid w:val="00285F98"/>
    <w:rsid w:val="00286035"/>
    <w:rsid w:val="0028605D"/>
    <w:rsid w:val="0028615A"/>
    <w:rsid w:val="002861C5"/>
    <w:rsid w:val="0028623C"/>
    <w:rsid w:val="00286258"/>
    <w:rsid w:val="0028629C"/>
    <w:rsid w:val="00286360"/>
    <w:rsid w:val="00286485"/>
    <w:rsid w:val="002864E0"/>
    <w:rsid w:val="0028653D"/>
    <w:rsid w:val="002865D4"/>
    <w:rsid w:val="00286682"/>
    <w:rsid w:val="002866F8"/>
    <w:rsid w:val="00286716"/>
    <w:rsid w:val="00286807"/>
    <w:rsid w:val="0028680D"/>
    <w:rsid w:val="0028691D"/>
    <w:rsid w:val="00286C8F"/>
    <w:rsid w:val="00286CBC"/>
    <w:rsid w:val="00286D03"/>
    <w:rsid w:val="00286D47"/>
    <w:rsid w:val="00286D89"/>
    <w:rsid w:val="00286E90"/>
    <w:rsid w:val="00286F17"/>
    <w:rsid w:val="00286F53"/>
    <w:rsid w:val="00286F63"/>
    <w:rsid w:val="00286F9F"/>
    <w:rsid w:val="00286FAC"/>
    <w:rsid w:val="00287097"/>
    <w:rsid w:val="0028709C"/>
    <w:rsid w:val="002870B2"/>
    <w:rsid w:val="002872A8"/>
    <w:rsid w:val="00287446"/>
    <w:rsid w:val="0028744D"/>
    <w:rsid w:val="00287457"/>
    <w:rsid w:val="002874CD"/>
    <w:rsid w:val="00287540"/>
    <w:rsid w:val="00287559"/>
    <w:rsid w:val="002875CB"/>
    <w:rsid w:val="00287989"/>
    <w:rsid w:val="00287ADF"/>
    <w:rsid w:val="00287B20"/>
    <w:rsid w:val="00287B7D"/>
    <w:rsid w:val="00287EB1"/>
    <w:rsid w:val="00287F03"/>
    <w:rsid w:val="00287FB8"/>
    <w:rsid w:val="00287FD4"/>
    <w:rsid w:val="00290094"/>
    <w:rsid w:val="002901FB"/>
    <w:rsid w:val="0029024B"/>
    <w:rsid w:val="002902AC"/>
    <w:rsid w:val="002902D4"/>
    <w:rsid w:val="002903BC"/>
    <w:rsid w:val="002903E2"/>
    <w:rsid w:val="00290458"/>
    <w:rsid w:val="0029058E"/>
    <w:rsid w:val="002905BF"/>
    <w:rsid w:val="002905C7"/>
    <w:rsid w:val="002905D8"/>
    <w:rsid w:val="002906B1"/>
    <w:rsid w:val="002906CC"/>
    <w:rsid w:val="002907C3"/>
    <w:rsid w:val="00290832"/>
    <w:rsid w:val="00290848"/>
    <w:rsid w:val="002909C6"/>
    <w:rsid w:val="00290A54"/>
    <w:rsid w:val="00290A74"/>
    <w:rsid w:val="00290AA1"/>
    <w:rsid w:val="00290C7A"/>
    <w:rsid w:val="00290CA5"/>
    <w:rsid w:val="00290CCB"/>
    <w:rsid w:val="00290CE0"/>
    <w:rsid w:val="00290DF0"/>
    <w:rsid w:val="00291048"/>
    <w:rsid w:val="00291068"/>
    <w:rsid w:val="00291171"/>
    <w:rsid w:val="002911BE"/>
    <w:rsid w:val="002912A2"/>
    <w:rsid w:val="0029136F"/>
    <w:rsid w:val="002913A7"/>
    <w:rsid w:val="002913ED"/>
    <w:rsid w:val="00291442"/>
    <w:rsid w:val="002914F9"/>
    <w:rsid w:val="0029180D"/>
    <w:rsid w:val="00291810"/>
    <w:rsid w:val="00291839"/>
    <w:rsid w:val="0029184B"/>
    <w:rsid w:val="0029199A"/>
    <w:rsid w:val="00291A92"/>
    <w:rsid w:val="00291AD8"/>
    <w:rsid w:val="00291B8B"/>
    <w:rsid w:val="00291BB9"/>
    <w:rsid w:val="00291C15"/>
    <w:rsid w:val="00291C77"/>
    <w:rsid w:val="00291CA5"/>
    <w:rsid w:val="00291D65"/>
    <w:rsid w:val="00291DB6"/>
    <w:rsid w:val="00291DB8"/>
    <w:rsid w:val="00291DDE"/>
    <w:rsid w:val="00291DF8"/>
    <w:rsid w:val="00291E79"/>
    <w:rsid w:val="00291E7C"/>
    <w:rsid w:val="00291E97"/>
    <w:rsid w:val="00291EA6"/>
    <w:rsid w:val="00291F39"/>
    <w:rsid w:val="002920AC"/>
    <w:rsid w:val="0029212B"/>
    <w:rsid w:val="002922B0"/>
    <w:rsid w:val="00292330"/>
    <w:rsid w:val="002923BB"/>
    <w:rsid w:val="00292458"/>
    <w:rsid w:val="0029247F"/>
    <w:rsid w:val="002924BE"/>
    <w:rsid w:val="002926CF"/>
    <w:rsid w:val="00292760"/>
    <w:rsid w:val="0029278C"/>
    <w:rsid w:val="0029282B"/>
    <w:rsid w:val="00292860"/>
    <w:rsid w:val="00292B12"/>
    <w:rsid w:val="00292B89"/>
    <w:rsid w:val="00292C06"/>
    <w:rsid w:val="00292D26"/>
    <w:rsid w:val="00292D57"/>
    <w:rsid w:val="00292E80"/>
    <w:rsid w:val="00292FEB"/>
    <w:rsid w:val="0029301E"/>
    <w:rsid w:val="00293021"/>
    <w:rsid w:val="002931A3"/>
    <w:rsid w:val="00293278"/>
    <w:rsid w:val="0029327D"/>
    <w:rsid w:val="0029329A"/>
    <w:rsid w:val="00293483"/>
    <w:rsid w:val="0029348A"/>
    <w:rsid w:val="002934B2"/>
    <w:rsid w:val="00293536"/>
    <w:rsid w:val="00293670"/>
    <w:rsid w:val="002936D3"/>
    <w:rsid w:val="00293AA8"/>
    <w:rsid w:val="00293B1A"/>
    <w:rsid w:val="00293B23"/>
    <w:rsid w:val="00293BED"/>
    <w:rsid w:val="00293C93"/>
    <w:rsid w:val="00293CEC"/>
    <w:rsid w:val="00293D48"/>
    <w:rsid w:val="00293D6F"/>
    <w:rsid w:val="002940C6"/>
    <w:rsid w:val="0029429B"/>
    <w:rsid w:val="002943F7"/>
    <w:rsid w:val="00294427"/>
    <w:rsid w:val="002944FF"/>
    <w:rsid w:val="00294605"/>
    <w:rsid w:val="00294660"/>
    <w:rsid w:val="00294688"/>
    <w:rsid w:val="002946F1"/>
    <w:rsid w:val="00294716"/>
    <w:rsid w:val="00294967"/>
    <w:rsid w:val="00294A79"/>
    <w:rsid w:val="00294A9C"/>
    <w:rsid w:val="00294B03"/>
    <w:rsid w:val="00294B26"/>
    <w:rsid w:val="00294C99"/>
    <w:rsid w:val="00294CFA"/>
    <w:rsid w:val="00294D3C"/>
    <w:rsid w:val="00294F0E"/>
    <w:rsid w:val="00294F5E"/>
    <w:rsid w:val="00294F83"/>
    <w:rsid w:val="00294FA4"/>
    <w:rsid w:val="00294FA5"/>
    <w:rsid w:val="0029501B"/>
    <w:rsid w:val="00295047"/>
    <w:rsid w:val="002951BA"/>
    <w:rsid w:val="00295252"/>
    <w:rsid w:val="00295337"/>
    <w:rsid w:val="002954A4"/>
    <w:rsid w:val="002955B5"/>
    <w:rsid w:val="002955E2"/>
    <w:rsid w:val="002955FB"/>
    <w:rsid w:val="00295621"/>
    <w:rsid w:val="002956A0"/>
    <w:rsid w:val="0029573A"/>
    <w:rsid w:val="0029579C"/>
    <w:rsid w:val="002957AB"/>
    <w:rsid w:val="002957C8"/>
    <w:rsid w:val="0029589F"/>
    <w:rsid w:val="002958C9"/>
    <w:rsid w:val="00295934"/>
    <w:rsid w:val="002959A6"/>
    <w:rsid w:val="00295A4E"/>
    <w:rsid w:val="00295A57"/>
    <w:rsid w:val="00295BF6"/>
    <w:rsid w:val="00295BF8"/>
    <w:rsid w:val="00295C37"/>
    <w:rsid w:val="00295C7F"/>
    <w:rsid w:val="00295CCA"/>
    <w:rsid w:val="00295CE5"/>
    <w:rsid w:val="00295CE7"/>
    <w:rsid w:val="00295CFB"/>
    <w:rsid w:val="00295D62"/>
    <w:rsid w:val="00295DE5"/>
    <w:rsid w:val="00295E3A"/>
    <w:rsid w:val="00295E5F"/>
    <w:rsid w:val="00295F2B"/>
    <w:rsid w:val="00295F8E"/>
    <w:rsid w:val="0029606D"/>
    <w:rsid w:val="00296235"/>
    <w:rsid w:val="002962A1"/>
    <w:rsid w:val="002962E4"/>
    <w:rsid w:val="00296389"/>
    <w:rsid w:val="00296490"/>
    <w:rsid w:val="002964A8"/>
    <w:rsid w:val="00296544"/>
    <w:rsid w:val="002965A5"/>
    <w:rsid w:val="0029662C"/>
    <w:rsid w:val="0029664D"/>
    <w:rsid w:val="00296814"/>
    <w:rsid w:val="00296914"/>
    <w:rsid w:val="00296D75"/>
    <w:rsid w:val="00296D93"/>
    <w:rsid w:val="00296E5B"/>
    <w:rsid w:val="00296EA6"/>
    <w:rsid w:val="00296F01"/>
    <w:rsid w:val="00296F87"/>
    <w:rsid w:val="00296FCD"/>
    <w:rsid w:val="00297090"/>
    <w:rsid w:val="002970B9"/>
    <w:rsid w:val="002971BD"/>
    <w:rsid w:val="002972E3"/>
    <w:rsid w:val="00297388"/>
    <w:rsid w:val="002973AC"/>
    <w:rsid w:val="002974DE"/>
    <w:rsid w:val="0029756F"/>
    <w:rsid w:val="0029759F"/>
    <w:rsid w:val="002975B8"/>
    <w:rsid w:val="00297645"/>
    <w:rsid w:val="00297855"/>
    <w:rsid w:val="002979BB"/>
    <w:rsid w:val="00297B8B"/>
    <w:rsid w:val="00297D94"/>
    <w:rsid w:val="00297DAB"/>
    <w:rsid w:val="00297DAE"/>
    <w:rsid w:val="00297DD6"/>
    <w:rsid w:val="00297E1F"/>
    <w:rsid w:val="00297E52"/>
    <w:rsid w:val="00297E99"/>
    <w:rsid w:val="002A008A"/>
    <w:rsid w:val="002A0124"/>
    <w:rsid w:val="002A028E"/>
    <w:rsid w:val="002A0315"/>
    <w:rsid w:val="002A03B6"/>
    <w:rsid w:val="002A03E9"/>
    <w:rsid w:val="002A0449"/>
    <w:rsid w:val="002A04BA"/>
    <w:rsid w:val="002A04F0"/>
    <w:rsid w:val="002A0571"/>
    <w:rsid w:val="002A059B"/>
    <w:rsid w:val="002A05A7"/>
    <w:rsid w:val="002A0704"/>
    <w:rsid w:val="002A07DC"/>
    <w:rsid w:val="002A09FE"/>
    <w:rsid w:val="002A0A00"/>
    <w:rsid w:val="002A0B16"/>
    <w:rsid w:val="002A0C89"/>
    <w:rsid w:val="002A0E34"/>
    <w:rsid w:val="002A0F8E"/>
    <w:rsid w:val="002A0FFC"/>
    <w:rsid w:val="002A105E"/>
    <w:rsid w:val="002A1147"/>
    <w:rsid w:val="002A114E"/>
    <w:rsid w:val="002A12A8"/>
    <w:rsid w:val="002A146B"/>
    <w:rsid w:val="002A1470"/>
    <w:rsid w:val="002A1477"/>
    <w:rsid w:val="002A1478"/>
    <w:rsid w:val="002A14F7"/>
    <w:rsid w:val="002A1512"/>
    <w:rsid w:val="002A1658"/>
    <w:rsid w:val="002A16E7"/>
    <w:rsid w:val="002A172B"/>
    <w:rsid w:val="002A1A6B"/>
    <w:rsid w:val="002A1AFB"/>
    <w:rsid w:val="002A1BB9"/>
    <w:rsid w:val="002A1C27"/>
    <w:rsid w:val="002A1C2D"/>
    <w:rsid w:val="002A1C31"/>
    <w:rsid w:val="002A1DC8"/>
    <w:rsid w:val="002A1E51"/>
    <w:rsid w:val="002A1EC7"/>
    <w:rsid w:val="002A1F1E"/>
    <w:rsid w:val="002A1F3F"/>
    <w:rsid w:val="002A1FD1"/>
    <w:rsid w:val="002A1FEC"/>
    <w:rsid w:val="002A1FF5"/>
    <w:rsid w:val="002A1FFF"/>
    <w:rsid w:val="002A20E9"/>
    <w:rsid w:val="002A21C0"/>
    <w:rsid w:val="002A21F1"/>
    <w:rsid w:val="002A22B2"/>
    <w:rsid w:val="002A2334"/>
    <w:rsid w:val="002A23D6"/>
    <w:rsid w:val="002A23D7"/>
    <w:rsid w:val="002A23EA"/>
    <w:rsid w:val="002A2440"/>
    <w:rsid w:val="002A249B"/>
    <w:rsid w:val="002A261A"/>
    <w:rsid w:val="002A2769"/>
    <w:rsid w:val="002A2816"/>
    <w:rsid w:val="002A28E4"/>
    <w:rsid w:val="002A2943"/>
    <w:rsid w:val="002A29F5"/>
    <w:rsid w:val="002A2AFE"/>
    <w:rsid w:val="002A2B70"/>
    <w:rsid w:val="002A2BA6"/>
    <w:rsid w:val="002A2C1A"/>
    <w:rsid w:val="002A2CDF"/>
    <w:rsid w:val="002A2D2F"/>
    <w:rsid w:val="002A2DA7"/>
    <w:rsid w:val="002A2DB9"/>
    <w:rsid w:val="002A2E23"/>
    <w:rsid w:val="002A2E30"/>
    <w:rsid w:val="002A2E77"/>
    <w:rsid w:val="002A2ED4"/>
    <w:rsid w:val="002A2EFC"/>
    <w:rsid w:val="002A2F8C"/>
    <w:rsid w:val="002A3023"/>
    <w:rsid w:val="002A31AF"/>
    <w:rsid w:val="002A324F"/>
    <w:rsid w:val="002A32BC"/>
    <w:rsid w:val="002A3337"/>
    <w:rsid w:val="002A33A0"/>
    <w:rsid w:val="002A3427"/>
    <w:rsid w:val="002A343F"/>
    <w:rsid w:val="002A3525"/>
    <w:rsid w:val="002A361D"/>
    <w:rsid w:val="002A3705"/>
    <w:rsid w:val="002A3736"/>
    <w:rsid w:val="002A37B4"/>
    <w:rsid w:val="002A38D2"/>
    <w:rsid w:val="002A38E8"/>
    <w:rsid w:val="002A3991"/>
    <w:rsid w:val="002A3C08"/>
    <w:rsid w:val="002A3C5E"/>
    <w:rsid w:val="002A3CCD"/>
    <w:rsid w:val="002A3DAB"/>
    <w:rsid w:val="002A3ECF"/>
    <w:rsid w:val="002A3F86"/>
    <w:rsid w:val="002A4014"/>
    <w:rsid w:val="002A4046"/>
    <w:rsid w:val="002A4065"/>
    <w:rsid w:val="002A40A6"/>
    <w:rsid w:val="002A40B4"/>
    <w:rsid w:val="002A4106"/>
    <w:rsid w:val="002A4143"/>
    <w:rsid w:val="002A420C"/>
    <w:rsid w:val="002A4251"/>
    <w:rsid w:val="002A433A"/>
    <w:rsid w:val="002A4425"/>
    <w:rsid w:val="002A4487"/>
    <w:rsid w:val="002A44EE"/>
    <w:rsid w:val="002A4510"/>
    <w:rsid w:val="002A4624"/>
    <w:rsid w:val="002A4689"/>
    <w:rsid w:val="002A47C9"/>
    <w:rsid w:val="002A47FA"/>
    <w:rsid w:val="002A48A3"/>
    <w:rsid w:val="002A48D7"/>
    <w:rsid w:val="002A493B"/>
    <w:rsid w:val="002A4A4B"/>
    <w:rsid w:val="002A4B17"/>
    <w:rsid w:val="002A4B8D"/>
    <w:rsid w:val="002A4B95"/>
    <w:rsid w:val="002A4E56"/>
    <w:rsid w:val="002A4ED9"/>
    <w:rsid w:val="002A4F47"/>
    <w:rsid w:val="002A5012"/>
    <w:rsid w:val="002A50BA"/>
    <w:rsid w:val="002A5149"/>
    <w:rsid w:val="002A5203"/>
    <w:rsid w:val="002A5224"/>
    <w:rsid w:val="002A523C"/>
    <w:rsid w:val="002A52EA"/>
    <w:rsid w:val="002A5406"/>
    <w:rsid w:val="002A542A"/>
    <w:rsid w:val="002A5444"/>
    <w:rsid w:val="002A5634"/>
    <w:rsid w:val="002A5858"/>
    <w:rsid w:val="002A58B0"/>
    <w:rsid w:val="002A596F"/>
    <w:rsid w:val="002A59F0"/>
    <w:rsid w:val="002A5A68"/>
    <w:rsid w:val="002A5AEE"/>
    <w:rsid w:val="002A5B84"/>
    <w:rsid w:val="002A5C9B"/>
    <w:rsid w:val="002A5CC1"/>
    <w:rsid w:val="002A5CDC"/>
    <w:rsid w:val="002A5D4A"/>
    <w:rsid w:val="002A5D5B"/>
    <w:rsid w:val="002A5DE0"/>
    <w:rsid w:val="002A5DEC"/>
    <w:rsid w:val="002A5E41"/>
    <w:rsid w:val="002A5F2D"/>
    <w:rsid w:val="002A600E"/>
    <w:rsid w:val="002A6035"/>
    <w:rsid w:val="002A60D2"/>
    <w:rsid w:val="002A611E"/>
    <w:rsid w:val="002A622B"/>
    <w:rsid w:val="002A631E"/>
    <w:rsid w:val="002A636E"/>
    <w:rsid w:val="002A6385"/>
    <w:rsid w:val="002A63A9"/>
    <w:rsid w:val="002A63C2"/>
    <w:rsid w:val="002A653A"/>
    <w:rsid w:val="002A65FA"/>
    <w:rsid w:val="002A6719"/>
    <w:rsid w:val="002A67A1"/>
    <w:rsid w:val="002A67D3"/>
    <w:rsid w:val="002A6888"/>
    <w:rsid w:val="002A6903"/>
    <w:rsid w:val="002A6928"/>
    <w:rsid w:val="002A6AA3"/>
    <w:rsid w:val="002A6B96"/>
    <w:rsid w:val="002A6C36"/>
    <w:rsid w:val="002A6CCE"/>
    <w:rsid w:val="002A6E7B"/>
    <w:rsid w:val="002A6E7E"/>
    <w:rsid w:val="002A6E87"/>
    <w:rsid w:val="002A6E9B"/>
    <w:rsid w:val="002A6FA2"/>
    <w:rsid w:val="002A709E"/>
    <w:rsid w:val="002A70AC"/>
    <w:rsid w:val="002A7142"/>
    <w:rsid w:val="002A72FB"/>
    <w:rsid w:val="002A7431"/>
    <w:rsid w:val="002A7629"/>
    <w:rsid w:val="002A7705"/>
    <w:rsid w:val="002A7785"/>
    <w:rsid w:val="002A77B0"/>
    <w:rsid w:val="002A7834"/>
    <w:rsid w:val="002A7B59"/>
    <w:rsid w:val="002A7B8A"/>
    <w:rsid w:val="002A7BD4"/>
    <w:rsid w:val="002A7C39"/>
    <w:rsid w:val="002A7CE8"/>
    <w:rsid w:val="002A7D56"/>
    <w:rsid w:val="002A7E05"/>
    <w:rsid w:val="002A7F5A"/>
    <w:rsid w:val="002A7FC5"/>
    <w:rsid w:val="002A7FCF"/>
    <w:rsid w:val="002A7FD4"/>
    <w:rsid w:val="002B0015"/>
    <w:rsid w:val="002B006C"/>
    <w:rsid w:val="002B00AD"/>
    <w:rsid w:val="002B00C2"/>
    <w:rsid w:val="002B00F6"/>
    <w:rsid w:val="002B00FB"/>
    <w:rsid w:val="002B01B7"/>
    <w:rsid w:val="002B0289"/>
    <w:rsid w:val="002B02D4"/>
    <w:rsid w:val="002B0394"/>
    <w:rsid w:val="002B03F9"/>
    <w:rsid w:val="002B042D"/>
    <w:rsid w:val="002B045F"/>
    <w:rsid w:val="002B0578"/>
    <w:rsid w:val="002B05BA"/>
    <w:rsid w:val="002B065E"/>
    <w:rsid w:val="002B07B8"/>
    <w:rsid w:val="002B07D4"/>
    <w:rsid w:val="002B0835"/>
    <w:rsid w:val="002B0915"/>
    <w:rsid w:val="002B099C"/>
    <w:rsid w:val="002B09FE"/>
    <w:rsid w:val="002B0AFB"/>
    <w:rsid w:val="002B0B08"/>
    <w:rsid w:val="002B0B47"/>
    <w:rsid w:val="002B0B49"/>
    <w:rsid w:val="002B0CA7"/>
    <w:rsid w:val="002B0FE4"/>
    <w:rsid w:val="002B1084"/>
    <w:rsid w:val="002B110C"/>
    <w:rsid w:val="002B1113"/>
    <w:rsid w:val="002B12AA"/>
    <w:rsid w:val="002B14C4"/>
    <w:rsid w:val="002B1571"/>
    <w:rsid w:val="002B158F"/>
    <w:rsid w:val="002B1590"/>
    <w:rsid w:val="002B1668"/>
    <w:rsid w:val="002B17AF"/>
    <w:rsid w:val="002B17B3"/>
    <w:rsid w:val="002B17D2"/>
    <w:rsid w:val="002B189C"/>
    <w:rsid w:val="002B1971"/>
    <w:rsid w:val="002B1A77"/>
    <w:rsid w:val="002B1A82"/>
    <w:rsid w:val="002B1B1D"/>
    <w:rsid w:val="002B1B60"/>
    <w:rsid w:val="002B1BA7"/>
    <w:rsid w:val="002B1C4E"/>
    <w:rsid w:val="002B1C6C"/>
    <w:rsid w:val="002B1D69"/>
    <w:rsid w:val="002B1DB6"/>
    <w:rsid w:val="002B1EE1"/>
    <w:rsid w:val="002B1F51"/>
    <w:rsid w:val="002B1FAF"/>
    <w:rsid w:val="002B2031"/>
    <w:rsid w:val="002B2119"/>
    <w:rsid w:val="002B22B8"/>
    <w:rsid w:val="002B2341"/>
    <w:rsid w:val="002B244A"/>
    <w:rsid w:val="002B2467"/>
    <w:rsid w:val="002B2530"/>
    <w:rsid w:val="002B25C0"/>
    <w:rsid w:val="002B25F7"/>
    <w:rsid w:val="002B262D"/>
    <w:rsid w:val="002B2643"/>
    <w:rsid w:val="002B277E"/>
    <w:rsid w:val="002B286C"/>
    <w:rsid w:val="002B28BE"/>
    <w:rsid w:val="002B2976"/>
    <w:rsid w:val="002B2985"/>
    <w:rsid w:val="002B2AFF"/>
    <w:rsid w:val="002B2BEB"/>
    <w:rsid w:val="002B2E11"/>
    <w:rsid w:val="002B2E2A"/>
    <w:rsid w:val="002B2E30"/>
    <w:rsid w:val="002B2E9D"/>
    <w:rsid w:val="002B2EA0"/>
    <w:rsid w:val="002B2ED6"/>
    <w:rsid w:val="002B2F49"/>
    <w:rsid w:val="002B2F4D"/>
    <w:rsid w:val="002B3179"/>
    <w:rsid w:val="002B31B5"/>
    <w:rsid w:val="002B31E0"/>
    <w:rsid w:val="002B33BC"/>
    <w:rsid w:val="002B349C"/>
    <w:rsid w:val="002B35A0"/>
    <w:rsid w:val="002B38CD"/>
    <w:rsid w:val="002B392A"/>
    <w:rsid w:val="002B3AB1"/>
    <w:rsid w:val="002B3B0B"/>
    <w:rsid w:val="002B3C1F"/>
    <w:rsid w:val="002B3C24"/>
    <w:rsid w:val="002B3C7D"/>
    <w:rsid w:val="002B3DA8"/>
    <w:rsid w:val="002B4049"/>
    <w:rsid w:val="002B4084"/>
    <w:rsid w:val="002B40BF"/>
    <w:rsid w:val="002B4187"/>
    <w:rsid w:val="002B4196"/>
    <w:rsid w:val="002B41D3"/>
    <w:rsid w:val="002B42D5"/>
    <w:rsid w:val="002B4564"/>
    <w:rsid w:val="002B45AD"/>
    <w:rsid w:val="002B462A"/>
    <w:rsid w:val="002B4640"/>
    <w:rsid w:val="002B46B8"/>
    <w:rsid w:val="002B4805"/>
    <w:rsid w:val="002B48CD"/>
    <w:rsid w:val="002B49F6"/>
    <w:rsid w:val="002B4A14"/>
    <w:rsid w:val="002B4A57"/>
    <w:rsid w:val="002B4ABF"/>
    <w:rsid w:val="002B4C1E"/>
    <w:rsid w:val="002B4C2C"/>
    <w:rsid w:val="002B4CBF"/>
    <w:rsid w:val="002B4E00"/>
    <w:rsid w:val="002B4E6B"/>
    <w:rsid w:val="002B4EBD"/>
    <w:rsid w:val="002B4EFE"/>
    <w:rsid w:val="002B4F98"/>
    <w:rsid w:val="002B5014"/>
    <w:rsid w:val="002B5113"/>
    <w:rsid w:val="002B5140"/>
    <w:rsid w:val="002B5197"/>
    <w:rsid w:val="002B51C3"/>
    <w:rsid w:val="002B524C"/>
    <w:rsid w:val="002B52E5"/>
    <w:rsid w:val="002B5341"/>
    <w:rsid w:val="002B53B7"/>
    <w:rsid w:val="002B54DE"/>
    <w:rsid w:val="002B567D"/>
    <w:rsid w:val="002B57C1"/>
    <w:rsid w:val="002B59B2"/>
    <w:rsid w:val="002B5B48"/>
    <w:rsid w:val="002B5BB8"/>
    <w:rsid w:val="002B5BD7"/>
    <w:rsid w:val="002B5BFC"/>
    <w:rsid w:val="002B5C2D"/>
    <w:rsid w:val="002B5CC7"/>
    <w:rsid w:val="002B5CE2"/>
    <w:rsid w:val="002B5D4B"/>
    <w:rsid w:val="002B5DD2"/>
    <w:rsid w:val="002B5E45"/>
    <w:rsid w:val="002B6012"/>
    <w:rsid w:val="002B602E"/>
    <w:rsid w:val="002B60F7"/>
    <w:rsid w:val="002B610F"/>
    <w:rsid w:val="002B6141"/>
    <w:rsid w:val="002B6367"/>
    <w:rsid w:val="002B6458"/>
    <w:rsid w:val="002B64F7"/>
    <w:rsid w:val="002B6623"/>
    <w:rsid w:val="002B66BF"/>
    <w:rsid w:val="002B6758"/>
    <w:rsid w:val="002B67A1"/>
    <w:rsid w:val="002B67B9"/>
    <w:rsid w:val="002B6908"/>
    <w:rsid w:val="002B691C"/>
    <w:rsid w:val="002B6988"/>
    <w:rsid w:val="002B6A3C"/>
    <w:rsid w:val="002B6AC8"/>
    <w:rsid w:val="002B6B2E"/>
    <w:rsid w:val="002B6B77"/>
    <w:rsid w:val="002B6BDF"/>
    <w:rsid w:val="002B6C6B"/>
    <w:rsid w:val="002B6CF0"/>
    <w:rsid w:val="002B6DC3"/>
    <w:rsid w:val="002B6E58"/>
    <w:rsid w:val="002B6E9C"/>
    <w:rsid w:val="002B6EDC"/>
    <w:rsid w:val="002B6F38"/>
    <w:rsid w:val="002B703B"/>
    <w:rsid w:val="002B7102"/>
    <w:rsid w:val="002B7144"/>
    <w:rsid w:val="002B722D"/>
    <w:rsid w:val="002B7276"/>
    <w:rsid w:val="002B7280"/>
    <w:rsid w:val="002B7288"/>
    <w:rsid w:val="002B728B"/>
    <w:rsid w:val="002B72CD"/>
    <w:rsid w:val="002B7510"/>
    <w:rsid w:val="002B757B"/>
    <w:rsid w:val="002B7580"/>
    <w:rsid w:val="002B75B0"/>
    <w:rsid w:val="002B7668"/>
    <w:rsid w:val="002B7914"/>
    <w:rsid w:val="002B7925"/>
    <w:rsid w:val="002B7A26"/>
    <w:rsid w:val="002B7A4F"/>
    <w:rsid w:val="002B7AD7"/>
    <w:rsid w:val="002B7B01"/>
    <w:rsid w:val="002B7BB7"/>
    <w:rsid w:val="002B7C9E"/>
    <w:rsid w:val="002B7D10"/>
    <w:rsid w:val="002B7D17"/>
    <w:rsid w:val="002B7D1A"/>
    <w:rsid w:val="002B7D7F"/>
    <w:rsid w:val="002B7E26"/>
    <w:rsid w:val="002B7E73"/>
    <w:rsid w:val="002B7E8E"/>
    <w:rsid w:val="002B7F3D"/>
    <w:rsid w:val="002B7FBA"/>
    <w:rsid w:val="002B7FD0"/>
    <w:rsid w:val="002C0010"/>
    <w:rsid w:val="002C0058"/>
    <w:rsid w:val="002C0238"/>
    <w:rsid w:val="002C0317"/>
    <w:rsid w:val="002C0334"/>
    <w:rsid w:val="002C0376"/>
    <w:rsid w:val="002C039B"/>
    <w:rsid w:val="002C03B7"/>
    <w:rsid w:val="002C0406"/>
    <w:rsid w:val="002C04F9"/>
    <w:rsid w:val="002C0511"/>
    <w:rsid w:val="002C0560"/>
    <w:rsid w:val="002C0561"/>
    <w:rsid w:val="002C05BD"/>
    <w:rsid w:val="002C06BE"/>
    <w:rsid w:val="002C06E2"/>
    <w:rsid w:val="002C074D"/>
    <w:rsid w:val="002C07B9"/>
    <w:rsid w:val="002C08BB"/>
    <w:rsid w:val="002C08D9"/>
    <w:rsid w:val="002C0955"/>
    <w:rsid w:val="002C0A85"/>
    <w:rsid w:val="002C0BEB"/>
    <w:rsid w:val="002C0F12"/>
    <w:rsid w:val="002C0F80"/>
    <w:rsid w:val="002C1041"/>
    <w:rsid w:val="002C115E"/>
    <w:rsid w:val="002C125D"/>
    <w:rsid w:val="002C127F"/>
    <w:rsid w:val="002C12CF"/>
    <w:rsid w:val="002C12D6"/>
    <w:rsid w:val="002C145F"/>
    <w:rsid w:val="002C1697"/>
    <w:rsid w:val="002C19A9"/>
    <w:rsid w:val="002C1A24"/>
    <w:rsid w:val="002C1A58"/>
    <w:rsid w:val="002C1A8B"/>
    <w:rsid w:val="002C1ABF"/>
    <w:rsid w:val="002C1AF3"/>
    <w:rsid w:val="002C1B55"/>
    <w:rsid w:val="002C1B86"/>
    <w:rsid w:val="002C1C9B"/>
    <w:rsid w:val="002C1E5E"/>
    <w:rsid w:val="002C2095"/>
    <w:rsid w:val="002C2156"/>
    <w:rsid w:val="002C2260"/>
    <w:rsid w:val="002C2292"/>
    <w:rsid w:val="002C232E"/>
    <w:rsid w:val="002C2365"/>
    <w:rsid w:val="002C23B6"/>
    <w:rsid w:val="002C2400"/>
    <w:rsid w:val="002C252B"/>
    <w:rsid w:val="002C2584"/>
    <w:rsid w:val="002C2623"/>
    <w:rsid w:val="002C27C4"/>
    <w:rsid w:val="002C27DC"/>
    <w:rsid w:val="002C28AF"/>
    <w:rsid w:val="002C2A4C"/>
    <w:rsid w:val="002C2A74"/>
    <w:rsid w:val="002C2B22"/>
    <w:rsid w:val="002C2B84"/>
    <w:rsid w:val="002C2C2D"/>
    <w:rsid w:val="002C2C52"/>
    <w:rsid w:val="002C2C78"/>
    <w:rsid w:val="002C2D2F"/>
    <w:rsid w:val="002C2D3A"/>
    <w:rsid w:val="002C2DF8"/>
    <w:rsid w:val="002C2FD9"/>
    <w:rsid w:val="002C303C"/>
    <w:rsid w:val="002C30CC"/>
    <w:rsid w:val="002C313D"/>
    <w:rsid w:val="002C3149"/>
    <w:rsid w:val="002C3237"/>
    <w:rsid w:val="002C3268"/>
    <w:rsid w:val="002C32D9"/>
    <w:rsid w:val="002C33B4"/>
    <w:rsid w:val="002C37B0"/>
    <w:rsid w:val="002C3807"/>
    <w:rsid w:val="002C3856"/>
    <w:rsid w:val="002C3913"/>
    <w:rsid w:val="002C392A"/>
    <w:rsid w:val="002C39C9"/>
    <w:rsid w:val="002C3A80"/>
    <w:rsid w:val="002C3CF2"/>
    <w:rsid w:val="002C3D4C"/>
    <w:rsid w:val="002C3DC5"/>
    <w:rsid w:val="002C3EEC"/>
    <w:rsid w:val="002C3FC1"/>
    <w:rsid w:val="002C4088"/>
    <w:rsid w:val="002C4164"/>
    <w:rsid w:val="002C4278"/>
    <w:rsid w:val="002C42E8"/>
    <w:rsid w:val="002C4311"/>
    <w:rsid w:val="002C44B1"/>
    <w:rsid w:val="002C44BF"/>
    <w:rsid w:val="002C44C9"/>
    <w:rsid w:val="002C4519"/>
    <w:rsid w:val="002C4555"/>
    <w:rsid w:val="002C45F7"/>
    <w:rsid w:val="002C460B"/>
    <w:rsid w:val="002C4794"/>
    <w:rsid w:val="002C4804"/>
    <w:rsid w:val="002C4826"/>
    <w:rsid w:val="002C4873"/>
    <w:rsid w:val="002C48A8"/>
    <w:rsid w:val="002C4A72"/>
    <w:rsid w:val="002C4A96"/>
    <w:rsid w:val="002C4AAA"/>
    <w:rsid w:val="002C4ACC"/>
    <w:rsid w:val="002C4AD7"/>
    <w:rsid w:val="002C4B05"/>
    <w:rsid w:val="002C4B3E"/>
    <w:rsid w:val="002C4BAC"/>
    <w:rsid w:val="002C4C70"/>
    <w:rsid w:val="002C4CEF"/>
    <w:rsid w:val="002C4DB1"/>
    <w:rsid w:val="002C4EF1"/>
    <w:rsid w:val="002C4F34"/>
    <w:rsid w:val="002C5125"/>
    <w:rsid w:val="002C51EC"/>
    <w:rsid w:val="002C520D"/>
    <w:rsid w:val="002C53B7"/>
    <w:rsid w:val="002C53D8"/>
    <w:rsid w:val="002C55E3"/>
    <w:rsid w:val="002C5633"/>
    <w:rsid w:val="002C5645"/>
    <w:rsid w:val="002C57B7"/>
    <w:rsid w:val="002C59B3"/>
    <w:rsid w:val="002C59B6"/>
    <w:rsid w:val="002C5A09"/>
    <w:rsid w:val="002C5A4B"/>
    <w:rsid w:val="002C5AC7"/>
    <w:rsid w:val="002C5DD3"/>
    <w:rsid w:val="002C5E34"/>
    <w:rsid w:val="002C5E75"/>
    <w:rsid w:val="002C603B"/>
    <w:rsid w:val="002C607F"/>
    <w:rsid w:val="002C610D"/>
    <w:rsid w:val="002C6133"/>
    <w:rsid w:val="002C6149"/>
    <w:rsid w:val="002C6259"/>
    <w:rsid w:val="002C6384"/>
    <w:rsid w:val="002C64FF"/>
    <w:rsid w:val="002C6529"/>
    <w:rsid w:val="002C656A"/>
    <w:rsid w:val="002C6585"/>
    <w:rsid w:val="002C65AA"/>
    <w:rsid w:val="002C65B3"/>
    <w:rsid w:val="002C66B2"/>
    <w:rsid w:val="002C670A"/>
    <w:rsid w:val="002C6772"/>
    <w:rsid w:val="002C6795"/>
    <w:rsid w:val="002C68D5"/>
    <w:rsid w:val="002C69DC"/>
    <w:rsid w:val="002C6AD3"/>
    <w:rsid w:val="002C6B2E"/>
    <w:rsid w:val="002C6B57"/>
    <w:rsid w:val="002C6BFC"/>
    <w:rsid w:val="002C6C51"/>
    <w:rsid w:val="002C6DB0"/>
    <w:rsid w:val="002C6EC0"/>
    <w:rsid w:val="002C6F6D"/>
    <w:rsid w:val="002C6FC8"/>
    <w:rsid w:val="002C6FF6"/>
    <w:rsid w:val="002C71E4"/>
    <w:rsid w:val="002C7209"/>
    <w:rsid w:val="002C72EC"/>
    <w:rsid w:val="002C73CD"/>
    <w:rsid w:val="002C7486"/>
    <w:rsid w:val="002C74DD"/>
    <w:rsid w:val="002C754D"/>
    <w:rsid w:val="002C7636"/>
    <w:rsid w:val="002C7647"/>
    <w:rsid w:val="002C76EB"/>
    <w:rsid w:val="002C7802"/>
    <w:rsid w:val="002C7847"/>
    <w:rsid w:val="002C7971"/>
    <w:rsid w:val="002C7B03"/>
    <w:rsid w:val="002C7B87"/>
    <w:rsid w:val="002C7BDC"/>
    <w:rsid w:val="002C7BE6"/>
    <w:rsid w:val="002C7BF4"/>
    <w:rsid w:val="002C7D90"/>
    <w:rsid w:val="002C7D9F"/>
    <w:rsid w:val="002C7DAA"/>
    <w:rsid w:val="002C7EB8"/>
    <w:rsid w:val="002C7F5B"/>
    <w:rsid w:val="002C7FE2"/>
    <w:rsid w:val="002D008C"/>
    <w:rsid w:val="002D00A0"/>
    <w:rsid w:val="002D0177"/>
    <w:rsid w:val="002D034A"/>
    <w:rsid w:val="002D04E7"/>
    <w:rsid w:val="002D0628"/>
    <w:rsid w:val="002D0664"/>
    <w:rsid w:val="002D06CA"/>
    <w:rsid w:val="002D0711"/>
    <w:rsid w:val="002D0727"/>
    <w:rsid w:val="002D0816"/>
    <w:rsid w:val="002D08B1"/>
    <w:rsid w:val="002D0918"/>
    <w:rsid w:val="002D09D4"/>
    <w:rsid w:val="002D0A4B"/>
    <w:rsid w:val="002D0B4B"/>
    <w:rsid w:val="002D0BB2"/>
    <w:rsid w:val="002D0CA9"/>
    <w:rsid w:val="002D112F"/>
    <w:rsid w:val="002D11E1"/>
    <w:rsid w:val="002D132B"/>
    <w:rsid w:val="002D1433"/>
    <w:rsid w:val="002D1480"/>
    <w:rsid w:val="002D148B"/>
    <w:rsid w:val="002D1714"/>
    <w:rsid w:val="002D1A9F"/>
    <w:rsid w:val="002D1ABF"/>
    <w:rsid w:val="002D1AE6"/>
    <w:rsid w:val="002D1B12"/>
    <w:rsid w:val="002D1B8D"/>
    <w:rsid w:val="002D1C57"/>
    <w:rsid w:val="002D1C5C"/>
    <w:rsid w:val="002D1D9B"/>
    <w:rsid w:val="002D1DF8"/>
    <w:rsid w:val="002D1E24"/>
    <w:rsid w:val="002D1F17"/>
    <w:rsid w:val="002D1F7A"/>
    <w:rsid w:val="002D1F8C"/>
    <w:rsid w:val="002D2215"/>
    <w:rsid w:val="002D222A"/>
    <w:rsid w:val="002D225C"/>
    <w:rsid w:val="002D234D"/>
    <w:rsid w:val="002D2368"/>
    <w:rsid w:val="002D249B"/>
    <w:rsid w:val="002D267B"/>
    <w:rsid w:val="002D26F7"/>
    <w:rsid w:val="002D27A9"/>
    <w:rsid w:val="002D293F"/>
    <w:rsid w:val="002D2A39"/>
    <w:rsid w:val="002D2C46"/>
    <w:rsid w:val="002D2CDB"/>
    <w:rsid w:val="002D2D50"/>
    <w:rsid w:val="002D2DA7"/>
    <w:rsid w:val="002D2DF9"/>
    <w:rsid w:val="002D2F6B"/>
    <w:rsid w:val="002D3238"/>
    <w:rsid w:val="002D3276"/>
    <w:rsid w:val="002D3374"/>
    <w:rsid w:val="002D3394"/>
    <w:rsid w:val="002D33CD"/>
    <w:rsid w:val="002D351C"/>
    <w:rsid w:val="002D35F9"/>
    <w:rsid w:val="002D363A"/>
    <w:rsid w:val="002D37CF"/>
    <w:rsid w:val="002D3811"/>
    <w:rsid w:val="002D3973"/>
    <w:rsid w:val="002D39B5"/>
    <w:rsid w:val="002D3BC0"/>
    <w:rsid w:val="002D3BE4"/>
    <w:rsid w:val="002D3C16"/>
    <w:rsid w:val="002D3C3E"/>
    <w:rsid w:val="002D3CF5"/>
    <w:rsid w:val="002D3F5B"/>
    <w:rsid w:val="002D3F8B"/>
    <w:rsid w:val="002D4075"/>
    <w:rsid w:val="002D40E7"/>
    <w:rsid w:val="002D4146"/>
    <w:rsid w:val="002D41D9"/>
    <w:rsid w:val="002D423F"/>
    <w:rsid w:val="002D42B8"/>
    <w:rsid w:val="002D4355"/>
    <w:rsid w:val="002D44A0"/>
    <w:rsid w:val="002D44D9"/>
    <w:rsid w:val="002D456A"/>
    <w:rsid w:val="002D458C"/>
    <w:rsid w:val="002D459E"/>
    <w:rsid w:val="002D45C0"/>
    <w:rsid w:val="002D45C7"/>
    <w:rsid w:val="002D46AD"/>
    <w:rsid w:val="002D46BD"/>
    <w:rsid w:val="002D47AC"/>
    <w:rsid w:val="002D47F8"/>
    <w:rsid w:val="002D4880"/>
    <w:rsid w:val="002D4884"/>
    <w:rsid w:val="002D49DB"/>
    <w:rsid w:val="002D49FE"/>
    <w:rsid w:val="002D4B30"/>
    <w:rsid w:val="002D4C44"/>
    <w:rsid w:val="002D4C49"/>
    <w:rsid w:val="002D4C58"/>
    <w:rsid w:val="002D4D62"/>
    <w:rsid w:val="002D4DF9"/>
    <w:rsid w:val="002D4E40"/>
    <w:rsid w:val="002D4E4A"/>
    <w:rsid w:val="002D4EDF"/>
    <w:rsid w:val="002D4F67"/>
    <w:rsid w:val="002D50AC"/>
    <w:rsid w:val="002D50E0"/>
    <w:rsid w:val="002D50EE"/>
    <w:rsid w:val="002D526B"/>
    <w:rsid w:val="002D5293"/>
    <w:rsid w:val="002D53C8"/>
    <w:rsid w:val="002D541F"/>
    <w:rsid w:val="002D556E"/>
    <w:rsid w:val="002D55B7"/>
    <w:rsid w:val="002D5614"/>
    <w:rsid w:val="002D57AA"/>
    <w:rsid w:val="002D580D"/>
    <w:rsid w:val="002D5826"/>
    <w:rsid w:val="002D5B82"/>
    <w:rsid w:val="002D5B83"/>
    <w:rsid w:val="002D5BF0"/>
    <w:rsid w:val="002D5C19"/>
    <w:rsid w:val="002D5C39"/>
    <w:rsid w:val="002D5D5E"/>
    <w:rsid w:val="002D5D7D"/>
    <w:rsid w:val="002D5E8D"/>
    <w:rsid w:val="002D5F20"/>
    <w:rsid w:val="002D5F25"/>
    <w:rsid w:val="002D5F4F"/>
    <w:rsid w:val="002D6349"/>
    <w:rsid w:val="002D6396"/>
    <w:rsid w:val="002D63B3"/>
    <w:rsid w:val="002D642F"/>
    <w:rsid w:val="002D6602"/>
    <w:rsid w:val="002D67F7"/>
    <w:rsid w:val="002D67FE"/>
    <w:rsid w:val="002D6871"/>
    <w:rsid w:val="002D691D"/>
    <w:rsid w:val="002D694A"/>
    <w:rsid w:val="002D696A"/>
    <w:rsid w:val="002D6996"/>
    <w:rsid w:val="002D69F1"/>
    <w:rsid w:val="002D6A2C"/>
    <w:rsid w:val="002D6B80"/>
    <w:rsid w:val="002D6BD0"/>
    <w:rsid w:val="002D6BD5"/>
    <w:rsid w:val="002D6DA2"/>
    <w:rsid w:val="002D6FDC"/>
    <w:rsid w:val="002D7006"/>
    <w:rsid w:val="002D70E4"/>
    <w:rsid w:val="002D72A4"/>
    <w:rsid w:val="002D733F"/>
    <w:rsid w:val="002D73BC"/>
    <w:rsid w:val="002D73E2"/>
    <w:rsid w:val="002D745E"/>
    <w:rsid w:val="002D760C"/>
    <w:rsid w:val="002D7753"/>
    <w:rsid w:val="002D7915"/>
    <w:rsid w:val="002D7A3D"/>
    <w:rsid w:val="002D7A4E"/>
    <w:rsid w:val="002D7AC6"/>
    <w:rsid w:val="002D7AEB"/>
    <w:rsid w:val="002D7B19"/>
    <w:rsid w:val="002D7C3A"/>
    <w:rsid w:val="002D7C77"/>
    <w:rsid w:val="002D7C92"/>
    <w:rsid w:val="002D7D56"/>
    <w:rsid w:val="002D7D79"/>
    <w:rsid w:val="002D7D95"/>
    <w:rsid w:val="002D7D9F"/>
    <w:rsid w:val="002D7DC9"/>
    <w:rsid w:val="002D7DD4"/>
    <w:rsid w:val="002D7E9F"/>
    <w:rsid w:val="002E0046"/>
    <w:rsid w:val="002E011C"/>
    <w:rsid w:val="002E015F"/>
    <w:rsid w:val="002E01B2"/>
    <w:rsid w:val="002E01FD"/>
    <w:rsid w:val="002E0237"/>
    <w:rsid w:val="002E023B"/>
    <w:rsid w:val="002E029C"/>
    <w:rsid w:val="002E02D2"/>
    <w:rsid w:val="002E0321"/>
    <w:rsid w:val="002E03D1"/>
    <w:rsid w:val="002E04CE"/>
    <w:rsid w:val="002E054B"/>
    <w:rsid w:val="002E05A7"/>
    <w:rsid w:val="002E0758"/>
    <w:rsid w:val="002E07C6"/>
    <w:rsid w:val="002E0808"/>
    <w:rsid w:val="002E0842"/>
    <w:rsid w:val="002E0A12"/>
    <w:rsid w:val="002E0C5C"/>
    <w:rsid w:val="002E0CFB"/>
    <w:rsid w:val="002E0CFE"/>
    <w:rsid w:val="002E0E06"/>
    <w:rsid w:val="002E0F25"/>
    <w:rsid w:val="002E0F79"/>
    <w:rsid w:val="002E0F7E"/>
    <w:rsid w:val="002E0FB2"/>
    <w:rsid w:val="002E1085"/>
    <w:rsid w:val="002E1140"/>
    <w:rsid w:val="002E1147"/>
    <w:rsid w:val="002E11AE"/>
    <w:rsid w:val="002E11C5"/>
    <w:rsid w:val="002E11E2"/>
    <w:rsid w:val="002E123C"/>
    <w:rsid w:val="002E136B"/>
    <w:rsid w:val="002E13EE"/>
    <w:rsid w:val="002E1495"/>
    <w:rsid w:val="002E14D2"/>
    <w:rsid w:val="002E15ED"/>
    <w:rsid w:val="002E1601"/>
    <w:rsid w:val="002E1640"/>
    <w:rsid w:val="002E1794"/>
    <w:rsid w:val="002E18AD"/>
    <w:rsid w:val="002E1A44"/>
    <w:rsid w:val="002E1B6D"/>
    <w:rsid w:val="002E1C00"/>
    <w:rsid w:val="002E1EB6"/>
    <w:rsid w:val="002E1ECE"/>
    <w:rsid w:val="002E1EEC"/>
    <w:rsid w:val="002E205E"/>
    <w:rsid w:val="002E2373"/>
    <w:rsid w:val="002E2384"/>
    <w:rsid w:val="002E244A"/>
    <w:rsid w:val="002E24BA"/>
    <w:rsid w:val="002E24BE"/>
    <w:rsid w:val="002E2583"/>
    <w:rsid w:val="002E27BF"/>
    <w:rsid w:val="002E28C6"/>
    <w:rsid w:val="002E2B1A"/>
    <w:rsid w:val="002E2B2F"/>
    <w:rsid w:val="002E2CCE"/>
    <w:rsid w:val="002E2CDE"/>
    <w:rsid w:val="002E2DAB"/>
    <w:rsid w:val="002E2FB0"/>
    <w:rsid w:val="002E2FDE"/>
    <w:rsid w:val="002E3043"/>
    <w:rsid w:val="002E3090"/>
    <w:rsid w:val="002E31B3"/>
    <w:rsid w:val="002E31E7"/>
    <w:rsid w:val="002E325E"/>
    <w:rsid w:val="002E327A"/>
    <w:rsid w:val="002E32E4"/>
    <w:rsid w:val="002E3320"/>
    <w:rsid w:val="002E335C"/>
    <w:rsid w:val="002E3362"/>
    <w:rsid w:val="002E33F5"/>
    <w:rsid w:val="002E344A"/>
    <w:rsid w:val="002E3469"/>
    <w:rsid w:val="002E34B9"/>
    <w:rsid w:val="002E34F0"/>
    <w:rsid w:val="002E35B1"/>
    <w:rsid w:val="002E3858"/>
    <w:rsid w:val="002E38F4"/>
    <w:rsid w:val="002E394A"/>
    <w:rsid w:val="002E3990"/>
    <w:rsid w:val="002E39BB"/>
    <w:rsid w:val="002E3A70"/>
    <w:rsid w:val="002E3B4E"/>
    <w:rsid w:val="002E3BC5"/>
    <w:rsid w:val="002E3C53"/>
    <w:rsid w:val="002E3C8F"/>
    <w:rsid w:val="002E3ECB"/>
    <w:rsid w:val="002E3F79"/>
    <w:rsid w:val="002E4030"/>
    <w:rsid w:val="002E403E"/>
    <w:rsid w:val="002E4068"/>
    <w:rsid w:val="002E40EB"/>
    <w:rsid w:val="002E4158"/>
    <w:rsid w:val="002E4228"/>
    <w:rsid w:val="002E42BE"/>
    <w:rsid w:val="002E4429"/>
    <w:rsid w:val="002E4510"/>
    <w:rsid w:val="002E45C6"/>
    <w:rsid w:val="002E45FA"/>
    <w:rsid w:val="002E470F"/>
    <w:rsid w:val="002E4750"/>
    <w:rsid w:val="002E4770"/>
    <w:rsid w:val="002E4783"/>
    <w:rsid w:val="002E47D7"/>
    <w:rsid w:val="002E4823"/>
    <w:rsid w:val="002E48AB"/>
    <w:rsid w:val="002E4913"/>
    <w:rsid w:val="002E4948"/>
    <w:rsid w:val="002E49AD"/>
    <w:rsid w:val="002E49B3"/>
    <w:rsid w:val="002E4A83"/>
    <w:rsid w:val="002E4B69"/>
    <w:rsid w:val="002E4D4C"/>
    <w:rsid w:val="002E4E2A"/>
    <w:rsid w:val="002E4EDC"/>
    <w:rsid w:val="002E50A1"/>
    <w:rsid w:val="002E50C7"/>
    <w:rsid w:val="002E5141"/>
    <w:rsid w:val="002E51C9"/>
    <w:rsid w:val="002E523F"/>
    <w:rsid w:val="002E530E"/>
    <w:rsid w:val="002E533B"/>
    <w:rsid w:val="002E538E"/>
    <w:rsid w:val="002E5440"/>
    <w:rsid w:val="002E54BB"/>
    <w:rsid w:val="002E56CE"/>
    <w:rsid w:val="002E5707"/>
    <w:rsid w:val="002E5709"/>
    <w:rsid w:val="002E580F"/>
    <w:rsid w:val="002E585B"/>
    <w:rsid w:val="002E5860"/>
    <w:rsid w:val="002E5871"/>
    <w:rsid w:val="002E5A77"/>
    <w:rsid w:val="002E5A93"/>
    <w:rsid w:val="002E5A96"/>
    <w:rsid w:val="002E5AA3"/>
    <w:rsid w:val="002E5C37"/>
    <w:rsid w:val="002E5C4F"/>
    <w:rsid w:val="002E5C7E"/>
    <w:rsid w:val="002E5CD2"/>
    <w:rsid w:val="002E5D54"/>
    <w:rsid w:val="002E5DF5"/>
    <w:rsid w:val="002E5E51"/>
    <w:rsid w:val="002E5FA3"/>
    <w:rsid w:val="002E5FC0"/>
    <w:rsid w:val="002E5FE0"/>
    <w:rsid w:val="002E6032"/>
    <w:rsid w:val="002E60D5"/>
    <w:rsid w:val="002E61E3"/>
    <w:rsid w:val="002E62BD"/>
    <w:rsid w:val="002E6300"/>
    <w:rsid w:val="002E630A"/>
    <w:rsid w:val="002E6365"/>
    <w:rsid w:val="002E63D4"/>
    <w:rsid w:val="002E64BF"/>
    <w:rsid w:val="002E650B"/>
    <w:rsid w:val="002E6688"/>
    <w:rsid w:val="002E6797"/>
    <w:rsid w:val="002E67E1"/>
    <w:rsid w:val="002E68B9"/>
    <w:rsid w:val="002E6AE2"/>
    <w:rsid w:val="002E6B92"/>
    <w:rsid w:val="002E6BAF"/>
    <w:rsid w:val="002E6BD0"/>
    <w:rsid w:val="002E6DA3"/>
    <w:rsid w:val="002E6F6E"/>
    <w:rsid w:val="002E7103"/>
    <w:rsid w:val="002E71D6"/>
    <w:rsid w:val="002E7259"/>
    <w:rsid w:val="002E725B"/>
    <w:rsid w:val="002E7380"/>
    <w:rsid w:val="002E739E"/>
    <w:rsid w:val="002E74DC"/>
    <w:rsid w:val="002E74F4"/>
    <w:rsid w:val="002E7546"/>
    <w:rsid w:val="002E7582"/>
    <w:rsid w:val="002E76C0"/>
    <w:rsid w:val="002E77BE"/>
    <w:rsid w:val="002E7827"/>
    <w:rsid w:val="002E7899"/>
    <w:rsid w:val="002E78F0"/>
    <w:rsid w:val="002E79E8"/>
    <w:rsid w:val="002E7A28"/>
    <w:rsid w:val="002E7A40"/>
    <w:rsid w:val="002E7AB1"/>
    <w:rsid w:val="002E7AE3"/>
    <w:rsid w:val="002E7BE3"/>
    <w:rsid w:val="002E7BFA"/>
    <w:rsid w:val="002E7C15"/>
    <w:rsid w:val="002E7D25"/>
    <w:rsid w:val="002E7DA4"/>
    <w:rsid w:val="002E7DBC"/>
    <w:rsid w:val="002E7DEA"/>
    <w:rsid w:val="002E7E75"/>
    <w:rsid w:val="002E7F91"/>
    <w:rsid w:val="002F004D"/>
    <w:rsid w:val="002F009C"/>
    <w:rsid w:val="002F00DC"/>
    <w:rsid w:val="002F0156"/>
    <w:rsid w:val="002F0158"/>
    <w:rsid w:val="002F0182"/>
    <w:rsid w:val="002F0378"/>
    <w:rsid w:val="002F042C"/>
    <w:rsid w:val="002F049A"/>
    <w:rsid w:val="002F053F"/>
    <w:rsid w:val="002F0576"/>
    <w:rsid w:val="002F0613"/>
    <w:rsid w:val="002F074A"/>
    <w:rsid w:val="002F087B"/>
    <w:rsid w:val="002F09CC"/>
    <w:rsid w:val="002F0CAA"/>
    <w:rsid w:val="002F0CB3"/>
    <w:rsid w:val="002F0D11"/>
    <w:rsid w:val="002F0D2D"/>
    <w:rsid w:val="002F0D3D"/>
    <w:rsid w:val="002F0DCB"/>
    <w:rsid w:val="002F0DD7"/>
    <w:rsid w:val="002F0E19"/>
    <w:rsid w:val="002F0E7B"/>
    <w:rsid w:val="002F0F23"/>
    <w:rsid w:val="002F103F"/>
    <w:rsid w:val="002F1073"/>
    <w:rsid w:val="002F1079"/>
    <w:rsid w:val="002F1140"/>
    <w:rsid w:val="002F118D"/>
    <w:rsid w:val="002F11C5"/>
    <w:rsid w:val="002F1269"/>
    <w:rsid w:val="002F1313"/>
    <w:rsid w:val="002F13BC"/>
    <w:rsid w:val="002F147D"/>
    <w:rsid w:val="002F148E"/>
    <w:rsid w:val="002F1787"/>
    <w:rsid w:val="002F1788"/>
    <w:rsid w:val="002F184B"/>
    <w:rsid w:val="002F1863"/>
    <w:rsid w:val="002F1867"/>
    <w:rsid w:val="002F1871"/>
    <w:rsid w:val="002F18AD"/>
    <w:rsid w:val="002F192C"/>
    <w:rsid w:val="002F1AA1"/>
    <w:rsid w:val="002F1BA2"/>
    <w:rsid w:val="002F1D85"/>
    <w:rsid w:val="002F1D88"/>
    <w:rsid w:val="002F1E37"/>
    <w:rsid w:val="002F1F16"/>
    <w:rsid w:val="002F1FA9"/>
    <w:rsid w:val="002F20D3"/>
    <w:rsid w:val="002F2136"/>
    <w:rsid w:val="002F218D"/>
    <w:rsid w:val="002F21F7"/>
    <w:rsid w:val="002F24C8"/>
    <w:rsid w:val="002F25BE"/>
    <w:rsid w:val="002F2823"/>
    <w:rsid w:val="002F2833"/>
    <w:rsid w:val="002F2959"/>
    <w:rsid w:val="002F2987"/>
    <w:rsid w:val="002F29BD"/>
    <w:rsid w:val="002F2A48"/>
    <w:rsid w:val="002F2BA1"/>
    <w:rsid w:val="002F2C20"/>
    <w:rsid w:val="002F2C47"/>
    <w:rsid w:val="002F2CAB"/>
    <w:rsid w:val="002F2D03"/>
    <w:rsid w:val="002F2E6B"/>
    <w:rsid w:val="002F2EF0"/>
    <w:rsid w:val="002F2F09"/>
    <w:rsid w:val="002F305E"/>
    <w:rsid w:val="002F30F7"/>
    <w:rsid w:val="002F3154"/>
    <w:rsid w:val="002F315B"/>
    <w:rsid w:val="002F31FF"/>
    <w:rsid w:val="002F3223"/>
    <w:rsid w:val="002F3234"/>
    <w:rsid w:val="002F329F"/>
    <w:rsid w:val="002F3369"/>
    <w:rsid w:val="002F34E2"/>
    <w:rsid w:val="002F3513"/>
    <w:rsid w:val="002F3528"/>
    <w:rsid w:val="002F37B7"/>
    <w:rsid w:val="002F3945"/>
    <w:rsid w:val="002F3A1B"/>
    <w:rsid w:val="002F3BB1"/>
    <w:rsid w:val="002F3C77"/>
    <w:rsid w:val="002F3D7F"/>
    <w:rsid w:val="002F3FCB"/>
    <w:rsid w:val="002F3FD6"/>
    <w:rsid w:val="002F3FEE"/>
    <w:rsid w:val="002F4293"/>
    <w:rsid w:val="002F42F4"/>
    <w:rsid w:val="002F4313"/>
    <w:rsid w:val="002F43AC"/>
    <w:rsid w:val="002F4542"/>
    <w:rsid w:val="002F4562"/>
    <w:rsid w:val="002F4672"/>
    <w:rsid w:val="002F47B0"/>
    <w:rsid w:val="002F483E"/>
    <w:rsid w:val="002F4862"/>
    <w:rsid w:val="002F48AB"/>
    <w:rsid w:val="002F49EA"/>
    <w:rsid w:val="002F4A03"/>
    <w:rsid w:val="002F4A4D"/>
    <w:rsid w:val="002F4A9C"/>
    <w:rsid w:val="002F4B56"/>
    <w:rsid w:val="002F4BD5"/>
    <w:rsid w:val="002F4BDA"/>
    <w:rsid w:val="002F4C4A"/>
    <w:rsid w:val="002F4DB5"/>
    <w:rsid w:val="002F4E3A"/>
    <w:rsid w:val="002F4E81"/>
    <w:rsid w:val="002F4F27"/>
    <w:rsid w:val="002F5047"/>
    <w:rsid w:val="002F50E7"/>
    <w:rsid w:val="002F516F"/>
    <w:rsid w:val="002F52DF"/>
    <w:rsid w:val="002F53FA"/>
    <w:rsid w:val="002F545F"/>
    <w:rsid w:val="002F5484"/>
    <w:rsid w:val="002F54AB"/>
    <w:rsid w:val="002F55DE"/>
    <w:rsid w:val="002F561B"/>
    <w:rsid w:val="002F56D1"/>
    <w:rsid w:val="002F5781"/>
    <w:rsid w:val="002F5818"/>
    <w:rsid w:val="002F5926"/>
    <w:rsid w:val="002F5B2D"/>
    <w:rsid w:val="002F5B51"/>
    <w:rsid w:val="002F5BDE"/>
    <w:rsid w:val="002F5C5F"/>
    <w:rsid w:val="002F5D65"/>
    <w:rsid w:val="002F5D8D"/>
    <w:rsid w:val="002F5DCA"/>
    <w:rsid w:val="002F5DCE"/>
    <w:rsid w:val="002F5DE2"/>
    <w:rsid w:val="002F5E06"/>
    <w:rsid w:val="002F5EEE"/>
    <w:rsid w:val="002F5F1B"/>
    <w:rsid w:val="002F5F23"/>
    <w:rsid w:val="002F6095"/>
    <w:rsid w:val="002F610C"/>
    <w:rsid w:val="002F6120"/>
    <w:rsid w:val="002F62BB"/>
    <w:rsid w:val="002F62D8"/>
    <w:rsid w:val="002F63BB"/>
    <w:rsid w:val="002F6651"/>
    <w:rsid w:val="002F66C9"/>
    <w:rsid w:val="002F66E3"/>
    <w:rsid w:val="002F673A"/>
    <w:rsid w:val="002F6774"/>
    <w:rsid w:val="002F6841"/>
    <w:rsid w:val="002F69CD"/>
    <w:rsid w:val="002F6A7D"/>
    <w:rsid w:val="002F6AE0"/>
    <w:rsid w:val="002F6DD3"/>
    <w:rsid w:val="002F6DD4"/>
    <w:rsid w:val="002F6DF1"/>
    <w:rsid w:val="002F6E33"/>
    <w:rsid w:val="002F6EA7"/>
    <w:rsid w:val="002F6EE1"/>
    <w:rsid w:val="002F7043"/>
    <w:rsid w:val="002F7076"/>
    <w:rsid w:val="002F70E2"/>
    <w:rsid w:val="002F72F2"/>
    <w:rsid w:val="002F72FD"/>
    <w:rsid w:val="002F7409"/>
    <w:rsid w:val="002F7413"/>
    <w:rsid w:val="002F74E8"/>
    <w:rsid w:val="002F7501"/>
    <w:rsid w:val="002F756A"/>
    <w:rsid w:val="002F7651"/>
    <w:rsid w:val="002F768B"/>
    <w:rsid w:val="002F769D"/>
    <w:rsid w:val="002F76F6"/>
    <w:rsid w:val="002F7794"/>
    <w:rsid w:val="002F77FF"/>
    <w:rsid w:val="002F7859"/>
    <w:rsid w:val="002F78D9"/>
    <w:rsid w:val="002F7905"/>
    <w:rsid w:val="002F792A"/>
    <w:rsid w:val="002F7936"/>
    <w:rsid w:val="002F7B0A"/>
    <w:rsid w:val="002F7B20"/>
    <w:rsid w:val="002F7B91"/>
    <w:rsid w:val="002F7C19"/>
    <w:rsid w:val="002F7C39"/>
    <w:rsid w:val="002F7C68"/>
    <w:rsid w:val="002F7CA0"/>
    <w:rsid w:val="002F7CB7"/>
    <w:rsid w:val="002F7F23"/>
    <w:rsid w:val="002F7F7C"/>
    <w:rsid w:val="003000A3"/>
    <w:rsid w:val="003001A5"/>
    <w:rsid w:val="003003EC"/>
    <w:rsid w:val="003004D1"/>
    <w:rsid w:val="00300539"/>
    <w:rsid w:val="0030057F"/>
    <w:rsid w:val="003005D9"/>
    <w:rsid w:val="003006A6"/>
    <w:rsid w:val="003006DF"/>
    <w:rsid w:val="003006E5"/>
    <w:rsid w:val="003008CC"/>
    <w:rsid w:val="003009D3"/>
    <w:rsid w:val="00300C96"/>
    <w:rsid w:val="00300D0A"/>
    <w:rsid w:val="00300DB8"/>
    <w:rsid w:val="00300F41"/>
    <w:rsid w:val="00300FCA"/>
    <w:rsid w:val="00300FCD"/>
    <w:rsid w:val="003010DD"/>
    <w:rsid w:val="00301160"/>
    <w:rsid w:val="0030137B"/>
    <w:rsid w:val="00301407"/>
    <w:rsid w:val="003014D9"/>
    <w:rsid w:val="00301631"/>
    <w:rsid w:val="00301682"/>
    <w:rsid w:val="00301873"/>
    <w:rsid w:val="0030198F"/>
    <w:rsid w:val="003019A6"/>
    <w:rsid w:val="003019DB"/>
    <w:rsid w:val="003019F7"/>
    <w:rsid w:val="00301A38"/>
    <w:rsid w:val="00301B34"/>
    <w:rsid w:val="00301C01"/>
    <w:rsid w:val="00301C33"/>
    <w:rsid w:val="00301C73"/>
    <w:rsid w:val="00301C7B"/>
    <w:rsid w:val="00301CEC"/>
    <w:rsid w:val="00301DE8"/>
    <w:rsid w:val="00301DF2"/>
    <w:rsid w:val="00301E12"/>
    <w:rsid w:val="00301FDE"/>
    <w:rsid w:val="00301FE1"/>
    <w:rsid w:val="0030215F"/>
    <w:rsid w:val="003021D7"/>
    <w:rsid w:val="00302277"/>
    <w:rsid w:val="003022C2"/>
    <w:rsid w:val="00302321"/>
    <w:rsid w:val="00302383"/>
    <w:rsid w:val="003024E2"/>
    <w:rsid w:val="003025AA"/>
    <w:rsid w:val="003025BB"/>
    <w:rsid w:val="003025FF"/>
    <w:rsid w:val="0030267A"/>
    <w:rsid w:val="003027B4"/>
    <w:rsid w:val="0030295F"/>
    <w:rsid w:val="00302AE7"/>
    <w:rsid w:val="00302B97"/>
    <w:rsid w:val="00302D4E"/>
    <w:rsid w:val="00302D9D"/>
    <w:rsid w:val="00302DD1"/>
    <w:rsid w:val="00302DF4"/>
    <w:rsid w:val="00302EF4"/>
    <w:rsid w:val="0030317C"/>
    <w:rsid w:val="003031E7"/>
    <w:rsid w:val="00303279"/>
    <w:rsid w:val="00303487"/>
    <w:rsid w:val="003034B0"/>
    <w:rsid w:val="003034D3"/>
    <w:rsid w:val="00303518"/>
    <w:rsid w:val="00303534"/>
    <w:rsid w:val="0030357A"/>
    <w:rsid w:val="00303637"/>
    <w:rsid w:val="003036CC"/>
    <w:rsid w:val="00303793"/>
    <w:rsid w:val="00303904"/>
    <w:rsid w:val="003039CB"/>
    <w:rsid w:val="00303A6F"/>
    <w:rsid w:val="00303B8A"/>
    <w:rsid w:val="00303B8B"/>
    <w:rsid w:val="00303C1A"/>
    <w:rsid w:val="00303D6E"/>
    <w:rsid w:val="00303DBD"/>
    <w:rsid w:val="00303E3F"/>
    <w:rsid w:val="00303EAF"/>
    <w:rsid w:val="00303FB3"/>
    <w:rsid w:val="0030400E"/>
    <w:rsid w:val="0030405B"/>
    <w:rsid w:val="00304111"/>
    <w:rsid w:val="00304148"/>
    <w:rsid w:val="0030416E"/>
    <w:rsid w:val="00304306"/>
    <w:rsid w:val="003043EE"/>
    <w:rsid w:val="0030441D"/>
    <w:rsid w:val="00304421"/>
    <w:rsid w:val="0030444B"/>
    <w:rsid w:val="0030454A"/>
    <w:rsid w:val="0030458B"/>
    <w:rsid w:val="003046AD"/>
    <w:rsid w:val="00304767"/>
    <w:rsid w:val="003049CC"/>
    <w:rsid w:val="00304A06"/>
    <w:rsid w:val="00304A1D"/>
    <w:rsid w:val="00304A46"/>
    <w:rsid w:val="00304CCD"/>
    <w:rsid w:val="00304D18"/>
    <w:rsid w:val="00304E47"/>
    <w:rsid w:val="00304E90"/>
    <w:rsid w:val="0030501C"/>
    <w:rsid w:val="00305084"/>
    <w:rsid w:val="003051CC"/>
    <w:rsid w:val="00305207"/>
    <w:rsid w:val="003052B0"/>
    <w:rsid w:val="003053BF"/>
    <w:rsid w:val="003054F0"/>
    <w:rsid w:val="0030552C"/>
    <w:rsid w:val="00305597"/>
    <w:rsid w:val="00305685"/>
    <w:rsid w:val="003056CC"/>
    <w:rsid w:val="0030574F"/>
    <w:rsid w:val="00305783"/>
    <w:rsid w:val="00305786"/>
    <w:rsid w:val="003058D4"/>
    <w:rsid w:val="00305A45"/>
    <w:rsid w:val="00305BD9"/>
    <w:rsid w:val="00305D52"/>
    <w:rsid w:val="00305E96"/>
    <w:rsid w:val="00305EED"/>
    <w:rsid w:val="00305EF6"/>
    <w:rsid w:val="00305F0B"/>
    <w:rsid w:val="003060D6"/>
    <w:rsid w:val="003063A5"/>
    <w:rsid w:val="0030648E"/>
    <w:rsid w:val="0030648F"/>
    <w:rsid w:val="003065CE"/>
    <w:rsid w:val="0030666D"/>
    <w:rsid w:val="0030674F"/>
    <w:rsid w:val="00306818"/>
    <w:rsid w:val="00306858"/>
    <w:rsid w:val="003068A3"/>
    <w:rsid w:val="00306916"/>
    <w:rsid w:val="00306976"/>
    <w:rsid w:val="00306B0B"/>
    <w:rsid w:val="00306B2A"/>
    <w:rsid w:val="00306B5C"/>
    <w:rsid w:val="00306C60"/>
    <w:rsid w:val="00306CE4"/>
    <w:rsid w:val="00306E36"/>
    <w:rsid w:val="00306E46"/>
    <w:rsid w:val="00306FAC"/>
    <w:rsid w:val="0030701A"/>
    <w:rsid w:val="00307044"/>
    <w:rsid w:val="00307058"/>
    <w:rsid w:val="0030705A"/>
    <w:rsid w:val="00307083"/>
    <w:rsid w:val="003070FD"/>
    <w:rsid w:val="00307240"/>
    <w:rsid w:val="003072C4"/>
    <w:rsid w:val="003072EC"/>
    <w:rsid w:val="003073CE"/>
    <w:rsid w:val="003073EF"/>
    <w:rsid w:val="00307451"/>
    <w:rsid w:val="003075C0"/>
    <w:rsid w:val="003076BF"/>
    <w:rsid w:val="003077DE"/>
    <w:rsid w:val="00307B31"/>
    <w:rsid w:val="00307C3A"/>
    <w:rsid w:val="00307CE3"/>
    <w:rsid w:val="00307DC1"/>
    <w:rsid w:val="00307F8A"/>
    <w:rsid w:val="0030A1C5"/>
    <w:rsid w:val="0031006B"/>
    <w:rsid w:val="003100DD"/>
    <w:rsid w:val="0031026D"/>
    <w:rsid w:val="003103A0"/>
    <w:rsid w:val="0031043A"/>
    <w:rsid w:val="00310577"/>
    <w:rsid w:val="00310596"/>
    <w:rsid w:val="00310651"/>
    <w:rsid w:val="00310694"/>
    <w:rsid w:val="00310894"/>
    <w:rsid w:val="003109E6"/>
    <w:rsid w:val="00310B1E"/>
    <w:rsid w:val="00310B5C"/>
    <w:rsid w:val="00310B86"/>
    <w:rsid w:val="00310BF1"/>
    <w:rsid w:val="00310C79"/>
    <w:rsid w:val="00310CA9"/>
    <w:rsid w:val="00310D5D"/>
    <w:rsid w:val="00310D68"/>
    <w:rsid w:val="00310DE1"/>
    <w:rsid w:val="00310E24"/>
    <w:rsid w:val="00310E38"/>
    <w:rsid w:val="00310EC7"/>
    <w:rsid w:val="00310F4C"/>
    <w:rsid w:val="00310F5B"/>
    <w:rsid w:val="00310F92"/>
    <w:rsid w:val="0031100A"/>
    <w:rsid w:val="0031100E"/>
    <w:rsid w:val="003111B1"/>
    <w:rsid w:val="003112CB"/>
    <w:rsid w:val="00311313"/>
    <w:rsid w:val="00311402"/>
    <w:rsid w:val="003114B4"/>
    <w:rsid w:val="0031157B"/>
    <w:rsid w:val="0031162F"/>
    <w:rsid w:val="00311645"/>
    <w:rsid w:val="00311721"/>
    <w:rsid w:val="00311862"/>
    <w:rsid w:val="003118EB"/>
    <w:rsid w:val="00311A09"/>
    <w:rsid w:val="00311AF7"/>
    <w:rsid w:val="00311B20"/>
    <w:rsid w:val="00311BC1"/>
    <w:rsid w:val="00311BD8"/>
    <w:rsid w:val="00311C17"/>
    <w:rsid w:val="00311C7B"/>
    <w:rsid w:val="00311D7A"/>
    <w:rsid w:val="00311E19"/>
    <w:rsid w:val="00311E69"/>
    <w:rsid w:val="00311E99"/>
    <w:rsid w:val="00311FB2"/>
    <w:rsid w:val="00311FDE"/>
    <w:rsid w:val="00312039"/>
    <w:rsid w:val="00312098"/>
    <w:rsid w:val="00312106"/>
    <w:rsid w:val="0031223C"/>
    <w:rsid w:val="003122B5"/>
    <w:rsid w:val="003122D8"/>
    <w:rsid w:val="00312317"/>
    <w:rsid w:val="00312496"/>
    <w:rsid w:val="003124E4"/>
    <w:rsid w:val="003125E3"/>
    <w:rsid w:val="00312601"/>
    <w:rsid w:val="00312645"/>
    <w:rsid w:val="00312682"/>
    <w:rsid w:val="00312688"/>
    <w:rsid w:val="003126CA"/>
    <w:rsid w:val="00312782"/>
    <w:rsid w:val="00312804"/>
    <w:rsid w:val="00312832"/>
    <w:rsid w:val="00312835"/>
    <w:rsid w:val="00312883"/>
    <w:rsid w:val="0031294B"/>
    <w:rsid w:val="00312995"/>
    <w:rsid w:val="00312A23"/>
    <w:rsid w:val="00312AB3"/>
    <w:rsid w:val="00312B8C"/>
    <w:rsid w:val="00312C40"/>
    <w:rsid w:val="00312CFB"/>
    <w:rsid w:val="00312E16"/>
    <w:rsid w:val="00312E67"/>
    <w:rsid w:val="00313012"/>
    <w:rsid w:val="0031308A"/>
    <w:rsid w:val="00313093"/>
    <w:rsid w:val="0031321A"/>
    <w:rsid w:val="00313341"/>
    <w:rsid w:val="00313381"/>
    <w:rsid w:val="0031339F"/>
    <w:rsid w:val="003133D4"/>
    <w:rsid w:val="0031366C"/>
    <w:rsid w:val="003136B8"/>
    <w:rsid w:val="0031370F"/>
    <w:rsid w:val="00313753"/>
    <w:rsid w:val="003138ED"/>
    <w:rsid w:val="00313994"/>
    <w:rsid w:val="003139C9"/>
    <w:rsid w:val="003139EA"/>
    <w:rsid w:val="00313ADC"/>
    <w:rsid w:val="00313C32"/>
    <w:rsid w:val="00313CC8"/>
    <w:rsid w:val="00313D30"/>
    <w:rsid w:val="00313D5D"/>
    <w:rsid w:val="00313D9E"/>
    <w:rsid w:val="00313E1F"/>
    <w:rsid w:val="00313ECB"/>
    <w:rsid w:val="00313FFD"/>
    <w:rsid w:val="00314066"/>
    <w:rsid w:val="0031409D"/>
    <w:rsid w:val="0031412E"/>
    <w:rsid w:val="003141A0"/>
    <w:rsid w:val="00314284"/>
    <w:rsid w:val="003142D1"/>
    <w:rsid w:val="00314416"/>
    <w:rsid w:val="0031442F"/>
    <w:rsid w:val="00314451"/>
    <w:rsid w:val="00314496"/>
    <w:rsid w:val="0031460A"/>
    <w:rsid w:val="003146EB"/>
    <w:rsid w:val="0031475F"/>
    <w:rsid w:val="00314779"/>
    <w:rsid w:val="00314837"/>
    <w:rsid w:val="003149BD"/>
    <w:rsid w:val="00314A02"/>
    <w:rsid w:val="00314A23"/>
    <w:rsid w:val="00314ABE"/>
    <w:rsid w:val="00314B9A"/>
    <w:rsid w:val="00314BA3"/>
    <w:rsid w:val="00314BBA"/>
    <w:rsid w:val="00314BC4"/>
    <w:rsid w:val="00314BDC"/>
    <w:rsid w:val="00314CB6"/>
    <w:rsid w:val="00314CF9"/>
    <w:rsid w:val="00314D8B"/>
    <w:rsid w:val="003150BD"/>
    <w:rsid w:val="00315109"/>
    <w:rsid w:val="0031511C"/>
    <w:rsid w:val="0031514E"/>
    <w:rsid w:val="00315151"/>
    <w:rsid w:val="003152A6"/>
    <w:rsid w:val="003154FC"/>
    <w:rsid w:val="0031552A"/>
    <w:rsid w:val="003155F4"/>
    <w:rsid w:val="003155F5"/>
    <w:rsid w:val="00315634"/>
    <w:rsid w:val="00315731"/>
    <w:rsid w:val="003157BD"/>
    <w:rsid w:val="00315A0E"/>
    <w:rsid w:val="00315A57"/>
    <w:rsid w:val="00315A6A"/>
    <w:rsid w:val="00315A88"/>
    <w:rsid w:val="00315B37"/>
    <w:rsid w:val="00315B43"/>
    <w:rsid w:val="00315CB8"/>
    <w:rsid w:val="00315D4E"/>
    <w:rsid w:val="00315E89"/>
    <w:rsid w:val="00315F8E"/>
    <w:rsid w:val="003160DD"/>
    <w:rsid w:val="00316170"/>
    <w:rsid w:val="00316305"/>
    <w:rsid w:val="0031634C"/>
    <w:rsid w:val="00316378"/>
    <w:rsid w:val="003163A2"/>
    <w:rsid w:val="003163F8"/>
    <w:rsid w:val="00316441"/>
    <w:rsid w:val="003164D2"/>
    <w:rsid w:val="003165C4"/>
    <w:rsid w:val="00316604"/>
    <w:rsid w:val="0031665B"/>
    <w:rsid w:val="0031669F"/>
    <w:rsid w:val="003166B6"/>
    <w:rsid w:val="00316767"/>
    <w:rsid w:val="00316771"/>
    <w:rsid w:val="003167A7"/>
    <w:rsid w:val="003168D0"/>
    <w:rsid w:val="00316982"/>
    <w:rsid w:val="003169EB"/>
    <w:rsid w:val="003169EF"/>
    <w:rsid w:val="00316B89"/>
    <w:rsid w:val="00316BED"/>
    <w:rsid w:val="00316BF5"/>
    <w:rsid w:val="00316C36"/>
    <w:rsid w:val="00316C5A"/>
    <w:rsid w:val="00316F0F"/>
    <w:rsid w:val="00316F58"/>
    <w:rsid w:val="00316F8F"/>
    <w:rsid w:val="00316FB7"/>
    <w:rsid w:val="0031711C"/>
    <w:rsid w:val="003173D9"/>
    <w:rsid w:val="0031744A"/>
    <w:rsid w:val="003174AD"/>
    <w:rsid w:val="003174FF"/>
    <w:rsid w:val="003175C3"/>
    <w:rsid w:val="0031761C"/>
    <w:rsid w:val="00317658"/>
    <w:rsid w:val="003176AE"/>
    <w:rsid w:val="003178DC"/>
    <w:rsid w:val="00317936"/>
    <w:rsid w:val="00317950"/>
    <w:rsid w:val="00317B1A"/>
    <w:rsid w:val="00317B37"/>
    <w:rsid w:val="00317B69"/>
    <w:rsid w:val="00317BC9"/>
    <w:rsid w:val="00317BFD"/>
    <w:rsid w:val="00317C07"/>
    <w:rsid w:val="00317CE6"/>
    <w:rsid w:val="00317D63"/>
    <w:rsid w:val="00317E7F"/>
    <w:rsid w:val="00317EDB"/>
    <w:rsid w:val="00317EE1"/>
    <w:rsid w:val="00320140"/>
    <w:rsid w:val="00320215"/>
    <w:rsid w:val="0032034A"/>
    <w:rsid w:val="0032037A"/>
    <w:rsid w:val="003203FD"/>
    <w:rsid w:val="0032040C"/>
    <w:rsid w:val="00320519"/>
    <w:rsid w:val="00320602"/>
    <w:rsid w:val="0032060F"/>
    <w:rsid w:val="0032064B"/>
    <w:rsid w:val="00320730"/>
    <w:rsid w:val="0032081D"/>
    <w:rsid w:val="00320884"/>
    <w:rsid w:val="00320A37"/>
    <w:rsid w:val="00320B85"/>
    <w:rsid w:val="00320C25"/>
    <w:rsid w:val="00320CBE"/>
    <w:rsid w:val="00320CD8"/>
    <w:rsid w:val="00320D23"/>
    <w:rsid w:val="00320E29"/>
    <w:rsid w:val="00320E89"/>
    <w:rsid w:val="00320E94"/>
    <w:rsid w:val="00321031"/>
    <w:rsid w:val="003210C9"/>
    <w:rsid w:val="00321294"/>
    <w:rsid w:val="003212D9"/>
    <w:rsid w:val="00321391"/>
    <w:rsid w:val="003213E4"/>
    <w:rsid w:val="0032141B"/>
    <w:rsid w:val="0032148C"/>
    <w:rsid w:val="0032150C"/>
    <w:rsid w:val="003215AB"/>
    <w:rsid w:val="0032174D"/>
    <w:rsid w:val="0032176A"/>
    <w:rsid w:val="00321854"/>
    <w:rsid w:val="0032192F"/>
    <w:rsid w:val="0032196E"/>
    <w:rsid w:val="00321B22"/>
    <w:rsid w:val="00321B35"/>
    <w:rsid w:val="00321B49"/>
    <w:rsid w:val="00321BF9"/>
    <w:rsid w:val="00321C62"/>
    <w:rsid w:val="00321C65"/>
    <w:rsid w:val="00321D1B"/>
    <w:rsid w:val="00321D3D"/>
    <w:rsid w:val="00321DC4"/>
    <w:rsid w:val="00321DEA"/>
    <w:rsid w:val="00321F64"/>
    <w:rsid w:val="00322085"/>
    <w:rsid w:val="003220F2"/>
    <w:rsid w:val="00322170"/>
    <w:rsid w:val="00322226"/>
    <w:rsid w:val="0032225F"/>
    <w:rsid w:val="00322269"/>
    <w:rsid w:val="003223E6"/>
    <w:rsid w:val="00322439"/>
    <w:rsid w:val="0032243B"/>
    <w:rsid w:val="00322467"/>
    <w:rsid w:val="00322471"/>
    <w:rsid w:val="00322482"/>
    <w:rsid w:val="00322575"/>
    <w:rsid w:val="003225C7"/>
    <w:rsid w:val="00322664"/>
    <w:rsid w:val="00322728"/>
    <w:rsid w:val="00322765"/>
    <w:rsid w:val="00322785"/>
    <w:rsid w:val="0032279A"/>
    <w:rsid w:val="0032285F"/>
    <w:rsid w:val="003228A0"/>
    <w:rsid w:val="003228E4"/>
    <w:rsid w:val="00322923"/>
    <w:rsid w:val="00322995"/>
    <w:rsid w:val="00322B8D"/>
    <w:rsid w:val="00322C76"/>
    <w:rsid w:val="00322D7D"/>
    <w:rsid w:val="00322D88"/>
    <w:rsid w:val="00322F1A"/>
    <w:rsid w:val="00322F96"/>
    <w:rsid w:val="0032303E"/>
    <w:rsid w:val="00323138"/>
    <w:rsid w:val="003231A4"/>
    <w:rsid w:val="00323208"/>
    <w:rsid w:val="0032332F"/>
    <w:rsid w:val="00323349"/>
    <w:rsid w:val="00323359"/>
    <w:rsid w:val="00323376"/>
    <w:rsid w:val="003233E1"/>
    <w:rsid w:val="003234A2"/>
    <w:rsid w:val="003234EA"/>
    <w:rsid w:val="0032351E"/>
    <w:rsid w:val="00323527"/>
    <w:rsid w:val="0032363F"/>
    <w:rsid w:val="003236B7"/>
    <w:rsid w:val="0032371F"/>
    <w:rsid w:val="003238B7"/>
    <w:rsid w:val="0032394A"/>
    <w:rsid w:val="00323A6F"/>
    <w:rsid w:val="00323AE6"/>
    <w:rsid w:val="00323B29"/>
    <w:rsid w:val="00323BEE"/>
    <w:rsid w:val="00323D54"/>
    <w:rsid w:val="00323E67"/>
    <w:rsid w:val="00323EB6"/>
    <w:rsid w:val="00323F96"/>
    <w:rsid w:val="00324089"/>
    <w:rsid w:val="003240F4"/>
    <w:rsid w:val="003241B6"/>
    <w:rsid w:val="00324257"/>
    <w:rsid w:val="00324391"/>
    <w:rsid w:val="003243E9"/>
    <w:rsid w:val="0032441E"/>
    <w:rsid w:val="00324513"/>
    <w:rsid w:val="00324554"/>
    <w:rsid w:val="003247FF"/>
    <w:rsid w:val="0032481C"/>
    <w:rsid w:val="00324849"/>
    <w:rsid w:val="00324A72"/>
    <w:rsid w:val="00324ABF"/>
    <w:rsid w:val="00324B28"/>
    <w:rsid w:val="00324E7B"/>
    <w:rsid w:val="00324F27"/>
    <w:rsid w:val="00324FA3"/>
    <w:rsid w:val="00325050"/>
    <w:rsid w:val="00325170"/>
    <w:rsid w:val="003252CA"/>
    <w:rsid w:val="003254A4"/>
    <w:rsid w:val="003255C5"/>
    <w:rsid w:val="0032573D"/>
    <w:rsid w:val="003257BE"/>
    <w:rsid w:val="0032598D"/>
    <w:rsid w:val="003259C2"/>
    <w:rsid w:val="00325A65"/>
    <w:rsid w:val="00325BA8"/>
    <w:rsid w:val="00325C59"/>
    <w:rsid w:val="00325C81"/>
    <w:rsid w:val="00325D2C"/>
    <w:rsid w:val="00325F25"/>
    <w:rsid w:val="00325F39"/>
    <w:rsid w:val="00325F40"/>
    <w:rsid w:val="00325FBB"/>
    <w:rsid w:val="00325FF7"/>
    <w:rsid w:val="00326052"/>
    <w:rsid w:val="003260B8"/>
    <w:rsid w:val="003260F2"/>
    <w:rsid w:val="00326110"/>
    <w:rsid w:val="0032615A"/>
    <w:rsid w:val="0032620A"/>
    <w:rsid w:val="00326546"/>
    <w:rsid w:val="003265C3"/>
    <w:rsid w:val="003265E3"/>
    <w:rsid w:val="0032661D"/>
    <w:rsid w:val="00326633"/>
    <w:rsid w:val="0032670D"/>
    <w:rsid w:val="00326753"/>
    <w:rsid w:val="003267BD"/>
    <w:rsid w:val="0032687C"/>
    <w:rsid w:val="0032691F"/>
    <w:rsid w:val="0032699D"/>
    <w:rsid w:val="00326A2C"/>
    <w:rsid w:val="00326B34"/>
    <w:rsid w:val="00326BF7"/>
    <w:rsid w:val="00326D09"/>
    <w:rsid w:val="00326D40"/>
    <w:rsid w:val="00326D5E"/>
    <w:rsid w:val="00326ED4"/>
    <w:rsid w:val="00326F65"/>
    <w:rsid w:val="00326FC8"/>
    <w:rsid w:val="00327054"/>
    <w:rsid w:val="003270A8"/>
    <w:rsid w:val="003270BB"/>
    <w:rsid w:val="003271A7"/>
    <w:rsid w:val="003271E2"/>
    <w:rsid w:val="0032725C"/>
    <w:rsid w:val="00327278"/>
    <w:rsid w:val="00327311"/>
    <w:rsid w:val="00327408"/>
    <w:rsid w:val="003276C1"/>
    <w:rsid w:val="003276EC"/>
    <w:rsid w:val="003277B6"/>
    <w:rsid w:val="00327956"/>
    <w:rsid w:val="00327962"/>
    <w:rsid w:val="003279DF"/>
    <w:rsid w:val="00327A14"/>
    <w:rsid w:val="00327A2E"/>
    <w:rsid w:val="00327A33"/>
    <w:rsid w:val="00327ABD"/>
    <w:rsid w:val="00327C3F"/>
    <w:rsid w:val="00327D0A"/>
    <w:rsid w:val="00327DCB"/>
    <w:rsid w:val="00327E47"/>
    <w:rsid w:val="00327E70"/>
    <w:rsid w:val="00327F01"/>
    <w:rsid w:val="0033009D"/>
    <w:rsid w:val="003300F4"/>
    <w:rsid w:val="00330141"/>
    <w:rsid w:val="00330198"/>
    <w:rsid w:val="00330203"/>
    <w:rsid w:val="0033020B"/>
    <w:rsid w:val="003302B1"/>
    <w:rsid w:val="00330432"/>
    <w:rsid w:val="00330497"/>
    <w:rsid w:val="003304AE"/>
    <w:rsid w:val="003304C6"/>
    <w:rsid w:val="003305B2"/>
    <w:rsid w:val="00330625"/>
    <w:rsid w:val="00330638"/>
    <w:rsid w:val="0033067B"/>
    <w:rsid w:val="003306A3"/>
    <w:rsid w:val="00330724"/>
    <w:rsid w:val="00330813"/>
    <w:rsid w:val="0033082E"/>
    <w:rsid w:val="00330879"/>
    <w:rsid w:val="003308BB"/>
    <w:rsid w:val="003308E2"/>
    <w:rsid w:val="003308EE"/>
    <w:rsid w:val="00330945"/>
    <w:rsid w:val="00330953"/>
    <w:rsid w:val="003309E0"/>
    <w:rsid w:val="00330A4B"/>
    <w:rsid w:val="00330B8D"/>
    <w:rsid w:val="00330C09"/>
    <w:rsid w:val="00330C57"/>
    <w:rsid w:val="00330CE7"/>
    <w:rsid w:val="00330D0B"/>
    <w:rsid w:val="00330F1B"/>
    <w:rsid w:val="00330F57"/>
    <w:rsid w:val="003310C7"/>
    <w:rsid w:val="00331147"/>
    <w:rsid w:val="003313F5"/>
    <w:rsid w:val="00331414"/>
    <w:rsid w:val="0033147A"/>
    <w:rsid w:val="003314BC"/>
    <w:rsid w:val="0033153B"/>
    <w:rsid w:val="0033174E"/>
    <w:rsid w:val="00331A91"/>
    <w:rsid w:val="00331B58"/>
    <w:rsid w:val="00331C41"/>
    <w:rsid w:val="00331C4E"/>
    <w:rsid w:val="00331CA7"/>
    <w:rsid w:val="00331CDB"/>
    <w:rsid w:val="00331D79"/>
    <w:rsid w:val="00331E44"/>
    <w:rsid w:val="00331E7B"/>
    <w:rsid w:val="00331EFA"/>
    <w:rsid w:val="00332033"/>
    <w:rsid w:val="0033210C"/>
    <w:rsid w:val="00332405"/>
    <w:rsid w:val="003324AC"/>
    <w:rsid w:val="00332608"/>
    <w:rsid w:val="0033262F"/>
    <w:rsid w:val="00332702"/>
    <w:rsid w:val="00332742"/>
    <w:rsid w:val="003327AA"/>
    <w:rsid w:val="003327BF"/>
    <w:rsid w:val="0033287C"/>
    <w:rsid w:val="00332A21"/>
    <w:rsid w:val="00332A36"/>
    <w:rsid w:val="00332A4D"/>
    <w:rsid w:val="00332A69"/>
    <w:rsid w:val="00332A7F"/>
    <w:rsid w:val="00332B3C"/>
    <w:rsid w:val="00332C1A"/>
    <w:rsid w:val="00332DC9"/>
    <w:rsid w:val="00332DEF"/>
    <w:rsid w:val="00332F39"/>
    <w:rsid w:val="00332FA0"/>
    <w:rsid w:val="0033302B"/>
    <w:rsid w:val="0033313F"/>
    <w:rsid w:val="003331E3"/>
    <w:rsid w:val="003331FE"/>
    <w:rsid w:val="003332D2"/>
    <w:rsid w:val="003332F3"/>
    <w:rsid w:val="00333332"/>
    <w:rsid w:val="00333394"/>
    <w:rsid w:val="003333E5"/>
    <w:rsid w:val="003333F6"/>
    <w:rsid w:val="003334DA"/>
    <w:rsid w:val="0033358E"/>
    <w:rsid w:val="003337C6"/>
    <w:rsid w:val="00333836"/>
    <w:rsid w:val="00333942"/>
    <w:rsid w:val="003339E6"/>
    <w:rsid w:val="00333BFF"/>
    <w:rsid w:val="00333C05"/>
    <w:rsid w:val="00333C06"/>
    <w:rsid w:val="00333D49"/>
    <w:rsid w:val="00333E04"/>
    <w:rsid w:val="00333E60"/>
    <w:rsid w:val="00333EB5"/>
    <w:rsid w:val="00333F4E"/>
    <w:rsid w:val="00333FA0"/>
    <w:rsid w:val="00333FB0"/>
    <w:rsid w:val="00334053"/>
    <w:rsid w:val="003340D3"/>
    <w:rsid w:val="00334206"/>
    <w:rsid w:val="00334247"/>
    <w:rsid w:val="00334250"/>
    <w:rsid w:val="00334344"/>
    <w:rsid w:val="003343C4"/>
    <w:rsid w:val="003344B2"/>
    <w:rsid w:val="003345B4"/>
    <w:rsid w:val="003346CE"/>
    <w:rsid w:val="003347FF"/>
    <w:rsid w:val="00334857"/>
    <w:rsid w:val="0033487B"/>
    <w:rsid w:val="003349B8"/>
    <w:rsid w:val="003349D2"/>
    <w:rsid w:val="00334A7F"/>
    <w:rsid w:val="00334AB8"/>
    <w:rsid w:val="00334B02"/>
    <w:rsid w:val="00334B6B"/>
    <w:rsid w:val="00334B86"/>
    <w:rsid w:val="00334BE4"/>
    <w:rsid w:val="00334D50"/>
    <w:rsid w:val="00334E1E"/>
    <w:rsid w:val="00334E74"/>
    <w:rsid w:val="00334EE0"/>
    <w:rsid w:val="0033505C"/>
    <w:rsid w:val="00335075"/>
    <w:rsid w:val="00335082"/>
    <w:rsid w:val="00335138"/>
    <w:rsid w:val="0033555D"/>
    <w:rsid w:val="00335630"/>
    <w:rsid w:val="00335684"/>
    <w:rsid w:val="00335694"/>
    <w:rsid w:val="003356CF"/>
    <w:rsid w:val="00335714"/>
    <w:rsid w:val="003357D0"/>
    <w:rsid w:val="003357F7"/>
    <w:rsid w:val="0033596B"/>
    <w:rsid w:val="003359BC"/>
    <w:rsid w:val="00335CAC"/>
    <w:rsid w:val="00335CF5"/>
    <w:rsid w:val="00335D2D"/>
    <w:rsid w:val="00335D5E"/>
    <w:rsid w:val="00335F48"/>
    <w:rsid w:val="00335F87"/>
    <w:rsid w:val="00335FA5"/>
    <w:rsid w:val="003361ED"/>
    <w:rsid w:val="0033628E"/>
    <w:rsid w:val="003362ED"/>
    <w:rsid w:val="00336300"/>
    <w:rsid w:val="00336313"/>
    <w:rsid w:val="00336319"/>
    <w:rsid w:val="00336438"/>
    <w:rsid w:val="003364AA"/>
    <w:rsid w:val="0033650F"/>
    <w:rsid w:val="00336584"/>
    <w:rsid w:val="0033659F"/>
    <w:rsid w:val="0033660E"/>
    <w:rsid w:val="0033664A"/>
    <w:rsid w:val="00336724"/>
    <w:rsid w:val="003367E0"/>
    <w:rsid w:val="003368C4"/>
    <w:rsid w:val="00336914"/>
    <w:rsid w:val="0033697D"/>
    <w:rsid w:val="0033698E"/>
    <w:rsid w:val="003369D2"/>
    <w:rsid w:val="00336A53"/>
    <w:rsid w:val="00336A92"/>
    <w:rsid w:val="00336B17"/>
    <w:rsid w:val="00336B66"/>
    <w:rsid w:val="00336BC8"/>
    <w:rsid w:val="00336C05"/>
    <w:rsid w:val="00336C4B"/>
    <w:rsid w:val="00336C59"/>
    <w:rsid w:val="00336DF5"/>
    <w:rsid w:val="00336E2F"/>
    <w:rsid w:val="003370A6"/>
    <w:rsid w:val="00337191"/>
    <w:rsid w:val="003373B5"/>
    <w:rsid w:val="0033741C"/>
    <w:rsid w:val="0033744C"/>
    <w:rsid w:val="0033761F"/>
    <w:rsid w:val="00337706"/>
    <w:rsid w:val="00337956"/>
    <w:rsid w:val="003379D0"/>
    <w:rsid w:val="003379DC"/>
    <w:rsid w:val="00337A5F"/>
    <w:rsid w:val="00337A7B"/>
    <w:rsid w:val="00337B48"/>
    <w:rsid w:val="00337C2B"/>
    <w:rsid w:val="00337CC1"/>
    <w:rsid w:val="00337CDD"/>
    <w:rsid w:val="00337E2B"/>
    <w:rsid w:val="00337EA5"/>
    <w:rsid w:val="00337EE0"/>
    <w:rsid w:val="00337F07"/>
    <w:rsid w:val="00337F12"/>
    <w:rsid w:val="00340080"/>
    <w:rsid w:val="003401C5"/>
    <w:rsid w:val="003403E7"/>
    <w:rsid w:val="00340402"/>
    <w:rsid w:val="00340435"/>
    <w:rsid w:val="00340484"/>
    <w:rsid w:val="003405C3"/>
    <w:rsid w:val="00340881"/>
    <w:rsid w:val="0034088B"/>
    <w:rsid w:val="00340991"/>
    <w:rsid w:val="003409E0"/>
    <w:rsid w:val="00340A6F"/>
    <w:rsid w:val="00340A7B"/>
    <w:rsid w:val="00340AF7"/>
    <w:rsid w:val="00340B65"/>
    <w:rsid w:val="00340C5E"/>
    <w:rsid w:val="00340DB9"/>
    <w:rsid w:val="00340DCD"/>
    <w:rsid w:val="00340EAB"/>
    <w:rsid w:val="00340F88"/>
    <w:rsid w:val="003410B3"/>
    <w:rsid w:val="00341112"/>
    <w:rsid w:val="00341131"/>
    <w:rsid w:val="00341184"/>
    <w:rsid w:val="0034127F"/>
    <w:rsid w:val="00341333"/>
    <w:rsid w:val="00341505"/>
    <w:rsid w:val="00341532"/>
    <w:rsid w:val="003417C2"/>
    <w:rsid w:val="0034181E"/>
    <w:rsid w:val="003418C4"/>
    <w:rsid w:val="0034199E"/>
    <w:rsid w:val="00341A2B"/>
    <w:rsid w:val="00341A73"/>
    <w:rsid w:val="00341AA9"/>
    <w:rsid w:val="00341D93"/>
    <w:rsid w:val="00341E30"/>
    <w:rsid w:val="00341E6A"/>
    <w:rsid w:val="00341EE7"/>
    <w:rsid w:val="0034217E"/>
    <w:rsid w:val="0034217F"/>
    <w:rsid w:val="003421E6"/>
    <w:rsid w:val="00342347"/>
    <w:rsid w:val="003423EF"/>
    <w:rsid w:val="00342405"/>
    <w:rsid w:val="003424BD"/>
    <w:rsid w:val="003426D4"/>
    <w:rsid w:val="003426DD"/>
    <w:rsid w:val="00342811"/>
    <w:rsid w:val="00342826"/>
    <w:rsid w:val="00342830"/>
    <w:rsid w:val="00342975"/>
    <w:rsid w:val="0034297A"/>
    <w:rsid w:val="00342A20"/>
    <w:rsid w:val="00342C78"/>
    <w:rsid w:val="00342CAE"/>
    <w:rsid w:val="00342D4B"/>
    <w:rsid w:val="00342DAD"/>
    <w:rsid w:val="00342DD2"/>
    <w:rsid w:val="00342E5D"/>
    <w:rsid w:val="00342F21"/>
    <w:rsid w:val="00342F7A"/>
    <w:rsid w:val="00342FB1"/>
    <w:rsid w:val="00343058"/>
    <w:rsid w:val="00343118"/>
    <w:rsid w:val="00343280"/>
    <w:rsid w:val="003432A5"/>
    <w:rsid w:val="0034335F"/>
    <w:rsid w:val="003433DD"/>
    <w:rsid w:val="003436BE"/>
    <w:rsid w:val="0034376A"/>
    <w:rsid w:val="00343A1F"/>
    <w:rsid w:val="00343A3E"/>
    <w:rsid w:val="00343A8D"/>
    <w:rsid w:val="00343AE5"/>
    <w:rsid w:val="00343B0A"/>
    <w:rsid w:val="00343B44"/>
    <w:rsid w:val="00343BD3"/>
    <w:rsid w:val="00343C05"/>
    <w:rsid w:val="00343C93"/>
    <w:rsid w:val="00343D01"/>
    <w:rsid w:val="00343D0B"/>
    <w:rsid w:val="00343E63"/>
    <w:rsid w:val="00343E77"/>
    <w:rsid w:val="00343EAF"/>
    <w:rsid w:val="00343ED3"/>
    <w:rsid w:val="00343F5F"/>
    <w:rsid w:val="00343FDD"/>
    <w:rsid w:val="00344062"/>
    <w:rsid w:val="0034413C"/>
    <w:rsid w:val="0034461E"/>
    <w:rsid w:val="00344685"/>
    <w:rsid w:val="00344959"/>
    <w:rsid w:val="00344965"/>
    <w:rsid w:val="00344983"/>
    <w:rsid w:val="00344BFD"/>
    <w:rsid w:val="00344C49"/>
    <w:rsid w:val="00344C98"/>
    <w:rsid w:val="00344DDF"/>
    <w:rsid w:val="00344DFD"/>
    <w:rsid w:val="00344FDF"/>
    <w:rsid w:val="00344FF5"/>
    <w:rsid w:val="00345288"/>
    <w:rsid w:val="003452E7"/>
    <w:rsid w:val="0034538B"/>
    <w:rsid w:val="00345427"/>
    <w:rsid w:val="00345552"/>
    <w:rsid w:val="00345578"/>
    <w:rsid w:val="00345586"/>
    <w:rsid w:val="003455E3"/>
    <w:rsid w:val="0034569E"/>
    <w:rsid w:val="003456E9"/>
    <w:rsid w:val="0034582D"/>
    <w:rsid w:val="003458E4"/>
    <w:rsid w:val="00345986"/>
    <w:rsid w:val="003459F6"/>
    <w:rsid w:val="00345AF8"/>
    <w:rsid w:val="00345B78"/>
    <w:rsid w:val="00345C70"/>
    <w:rsid w:val="00345D98"/>
    <w:rsid w:val="00345F26"/>
    <w:rsid w:val="00345F6A"/>
    <w:rsid w:val="00346053"/>
    <w:rsid w:val="00346147"/>
    <w:rsid w:val="003462BC"/>
    <w:rsid w:val="00346362"/>
    <w:rsid w:val="003463A6"/>
    <w:rsid w:val="00346433"/>
    <w:rsid w:val="00346478"/>
    <w:rsid w:val="003464CE"/>
    <w:rsid w:val="003465E9"/>
    <w:rsid w:val="003466A6"/>
    <w:rsid w:val="003467E2"/>
    <w:rsid w:val="003468BA"/>
    <w:rsid w:val="003468CD"/>
    <w:rsid w:val="00346905"/>
    <w:rsid w:val="00346909"/>
    <w:rsid w:val="0034690C"/>
    <w:rsid w:val="003469D6"/>
    <w:rsid w:val="00346A3B"/>
    <w:rsid w:val="00346B15"/>
    <w:rsid w:val="00346D28"/>
    <w:rsid w:val="00346DDD"/>
    <w:rsid w:val="00346F6C"/>
    <w:rsid w:val="003470AE"/>
    <w:rsid w:val="003471C7"/>
    <w:rsid w:val="00347226"/>
    <w:rsid w:val="00347392"/>
    <w:rsid w:val="003473E1"/>
    <w:rsid w:val="003474FE"/>
    <w:rsid w:val="00347574"/>
    <w:rsid w:val="003476CD"/>
    <w:rsid w:val="00347720"/>
    <w:rsid w:val="00347745"/>
    <w:rsid w:val="003477C8"/>
    <w:rsid w:val="003478E5"/>
    <w:rsid w:val="003478F1"/>
    <w:rsid w:val="00347B07"/>
    <w:rsid w:val="00347C59"/>
    <w:rsid w:val="00347C71"/>
    <w:rsid w:val="00347CB9"/>
    <w:rsid w:val="00347D41"/>
    <w:rsid w:val="00347E24"/>
    <w:rsid w:val="00347E91"/>
    <w:rsid w:val="00347EFE"/>
    <w:rsid w:val="00350039"/>
    <w:rsid w:val="0035006B"/>
    <w:rsid w:val="003500A8"/>
    <w:rsid w:val="003501D4"/>
    <w:rsid w:val="003501D6"/>
    <w:rsid w:val="003502B7"/>
    <w:rsid w:val="003502C0"/>
    <w:rsid w:val="00350315"/>
    <w:rsid w:val="00350337"/>
    <w:rsid w:val="00350351"/>
    <w:rsid w:val="00350402"/>
    <w:rsid w:val="00350448"/>
    <w:rsid w:val="00350451"/>
    <w:rsid w:val="0035047D"/>
    <w:rsid w:val="0035047E"/>
    <w:rsid w:val="003504A1"/>
    <w:rsid w:val="00350658"/>
    <w:rsid w:val="003506A0"/>
    <w:rsid w:val="0035071D"/>
    <w:rsid w:val="0035071E"/>
    <w:rsid w:val="0035073C"/>
    <w:rsid w:val="003507AF"/>
    <w:rsid w:val="00350880"/>
    <w:rsid w:val="003508B1"/>
    <w:rsid w:val="00350940"/>
    <w:rsid w:val="00350961"/>
    <w:rsid w:val="00350B06"/>
    <w:rsid w:val="00350B18"/>
    <w:rsid w:val="00350BBF"/>
    <w:rsid w:val="00350C07"/>
    <w:rsid w:val="00350C58"/>
    <w:rsid w:val="00350CFC"/>
    <w:rsid w:val="00350D83"/>
    <w:rsid w:val="00350E18"/>
    <w:rsid w:val="00350E1B"/>
    <w:rsid w:val="00350E4B"/>
    <w:rsid w:val="00350ED0"/>
    <w:rsid w:val="00350F70"/>
    <w:rsid w:val="003510E0"/>
    <w:rsid w:val="00351133"/>
    <w:rsid w:val="003511FE"/>
    <w:rsid w:val="003513BD"/>
    <w:rsid w:val="00351710"/>
    <w:rsid w:val="00351723"/>
    <w:rsid w:val="00351796"/>
    <w:rsid w:val="003517C6"/>
    <w:rsid w:val="003518D2"/>
    <w:rsid w:val="003519A5"/>
    <w:rsid w:val="00351AD6"/>
    <w:rsid w:val="00351CF2"/>
    <w:rsid w:val="00351D8C"/>
    <w:rsid w:val="00351EB9"/>
    <w:rsid w:val="00351F30"/>
    <w:rsid w:val="00351FE8"/>
    <w:rsid w:val="0035204D"/>
    <w:rsid w:val="00352442"/>
    <w:rsid w:val="00352565"/>
    <w:rsid w:val="003525A8"/>
    <w:rsid w:val="003526C0"/>
    <w:rsid w:val="003526D6"/>
    <w:rsid w:val="003526DC"/>
    <w:rsid w:val="0035273E"/>
    <w:rsid w:val="0035275D"/>
    <w:rsid w:val="003527ED"/>
    <w:rsid w:val="003527EE"/>
    <w:rsid w:val="0035280C"/>
    <w:rsid w:val="00352859"/>
    <w:rsid w:val="003528A3"/>
    <w:rsid w:val="003529D5"/>
    <w:rsid w:val="00352BE0"/>
    <w:rsid w:val="00352BE3"/>
    <w:rsid w:val="00352BEF"/>
    <w:rsid w:val="00352C02"/>
    <w:rsid w:val="00352C28"/>
    <w:rsid w:val="00352C8A"/>
    <w:rsid w:val="00352D55"/>
    <w:rsid w:val="00352DB7"/>
    <w:rsid w:val="00352DED"/>
    <w:rsid w:val="00352E0F"/>
    <w:rsid w:val="00352F05"/>
    <w:rsid w:val="00352F7E"/>
    <w:rsid w:val="003530AD"/>
    <w:rsid w:val="003530D1"/>
    <w:rsid w:val="00353166"/>
    <w:rsid w:val="003531DB"/>
    <w:rsid w:val="00353257"/>
    <w:rsid w:val="003532BE"/>
    <w:rsid w:val="00353346"/>
    <w:rsid w:val="003533FA"/>
    <w:rsid w:val="00353416"/>
    <w:rsid w:val="00353440"/>
    <w:rsid w:val="00353447"/>
    <w:rsid w:val="00353466"/>
    <w:rsid w:val="00353486"/>
    <w:rsid w:val="003537CC"/>
    <w:rsid w:val="00353805"/>
    <w:rsid w:val="0035380E"/>
    <w:rsid w:val="0035395E"/>
    <w:rsid w:val="00353A08"/>
    <w:rsid w:val="00353AC3"/>
    <w:rsid w:val="00353ACA"/>
    <w:rsid w:val="00353AE5"/>
    <w:rsid w:val="00353B9C"/>
    <w:rsid w:val="00353BE5"/>
    <w:rsid w:val="00353D85"/>
    <w:rsid w:val="00353DBA"/>
    <w:rsid w:val="00353E3A"/>
    <w:rsid w:val="00353F63"/>
    <w:rsid w:val="0035408E"/>
    <w:rsid w:val="003540AE"/>
    <w:rsid w:val="0035413C"/>
    <w:rsid w:val="0035417D"/>
    <w:rsid w:val="0035426D"/>
    <w:rsid w:val="003543F4"/>
    <w:rsid w:val="0035442F"/>
    <w:rsid w:val="003544C5"/>
    <w:rsid w:val="003544E1"/>
    <w:rsid w:val="00354619"/>
    <w:rsid w:val="0035461B"/>
    <w:rsid w:val="003546AD"/>
    <w:rsid w:val="00354713"/>
    <w:rsid w:val="00354832"/>
    <w:rsid w:val="00354875"/>
    <w:rsid w:val="003548A5"/>
    <w:rsid w:val="00354A30"/>
    <w:rsid w:val="00354A80"/>
    <w:rsid w:val="00354AB6"/>
    <w:rsid w:val="00354AC2"/>
    <w:rsid w:val="00354BA0"/>
    <w:rsid w:val="00354C05"/>
    <w:rsid w:val="00354C5A"/>
    <w:rsid w:val="00354D82"/>
    <w:rsid w:val="00354E8D"/>
    <w:rsid w:val="00355057"/>
    <w:rsid w:val="003550D5"/>
    <w:rsid w:val="00355100"/>
    <w:rsid w:val="0035516B"/>
    <w:rsid w:val="0035538A"/>
    <w:rsid w:val="00355479"/>
    <w:rsid w:val="00355501"/>
    <w:rsid w:val="00355510"/>
    <w:rsid w:val="00355569"/>
    <w:rsid w:val="0035558B"/>
    <w:rsid w:val="0035567E"/>
    <w:rsid w:val="00355738"/>
    <w:rsid w:val="00355752"/>
    <w:rsid w:val="0035581E"/>
    <w:rsid w:val="00355873"/>
    <w:rsid w:val="0035594B"/>
    <w:rsid w:val="00355973"/>
    <w:rsid w:val="0035598E"/>
    <w:rsid w:val="00355ADC"/>
    <w:rsid w:val="00355B98"/>
    <w:rsid w:val="00355BCF"/>
    <w:rsid w:val="00355C31"/>
    <w:rsid w:val="00355E24"/>
    <w:rsid w:val="00355EAA"/>
    <w:rsid w:val="00355F0A"/>
    <w:rsid w:val="00355F0C"/>
    <w:rsid w:val="0035601B"/>
    <w:rsid w:val="0035604B"/>
    <w:rsid w:val="0035607A"/>
    <w:rsid w:val="003560FC"/>
    <w:rsid w:val="0035616D"/>
    <w:rsid w:val="00356242"/>
    <w:rsid w:val="003562CF"/>
    <w:rsid w:val="003562F1"/>
    <w:rsid w:val="00356390"/>
    <w:rsid w:val="00356451"/>
    <w:rsid w:val="003565F9"/>
    <w:rsid w:val="003567D5"/>
    <w:rsid w:val="00356950"/>
    <w:rsid w:val="00356A38"/>
    <w:rsid w:val="00356BF8"/>
    <w:rsid w:val="00356C47"/>
    <w:rsid w:val="00356C8D"/>
    <w:rsid w:val="00356CFA"/>
    <w:rsid w:val="00356D39"/>
    <w:rsid w:val="00356E0C"/>
    <w:rsid w:val="00356EE4"/>
    <w:rsid w:val="00356EE9"/>
    <w:rsid w:val="00356F46"/>
    <w:rsid w:val="00356F60"/>
    <w:rsid w:val="00356FC0"/>
    <w:rsid w:val="003570D4"/>
    <w:rsid w:val="00357170"/>
    <w:rsid w:val="00357286"/>
    <w:rsid w:val="003572F2"/>
    <w:rsid w:val="0035731F"/>
    <w:rsid w:val="00357365"/>
    <w:rsid w:val="003574CD"/>
    <w:rsid w:val="0035750F"/>
    <w:rsid w:val="003575A0"/>
    <w:rsid w:val="003576B1"/>
    <w:rsid w:val="003576C0"/>
    <w:rsid w:val="003576FF"/>
    <w:rsid w:val="00357720"/>
    <w:rsid w:val="00357747"/>
    <w:rsid w:val="0035795C"/>
    <w:rsid w:val="00357A0D"/>
    <w:rsid w:val="00357A58"/>
    <w:rsid w:val="00357AB8"/>
    <w:rsid w:val="00357AF0"/>
    <w:rsid w:val="00357D06"/>
    <w:rsid w:val="00357E14"/>
    <w:rsid w:val="00357F14"/>
    <w:rsid w:val="003600BA"/>
    <w:rsid w:val="00360232"/>
    <w:rsid w:val="0036029A"/>
    <w:rsid w:val="003603E4"/>
    <w:rsid w:val="003604D0"/>
    <w:rsid w:val="00360569"/>
    <w:rsid w:val="00360677"/>
    <w:rsid w:val="003607A3"/>
    <w:rsid w:val="00360838"/>
    <w:rsid w:val="0036085E"/>
    <w:rsid w:val="003608EB"/>
    <w:rsid w:val="00360903"/>
    <w:rsid w:val="003609B0"/>
    <w:rsid w:val="00360A5D"/>
    <w:rsid w:val="00360A8D"/>
    <w:rsid w:val="00360AB4"/>
    <w:rsid w:val="00360DDC"/>
    <w:rsid w:val="00360F9F"/>
    <w:rsid w:val="00360FAA"/>
    <w:rsid w:val="00360FB3"/>
    <w:rsid w:val="00361067"/>
    <w:rsid w:val="003610D3"/>
    <w:rsid w:val="00361110"/>
    <w:rsid w:val="003611A1"/>
    <w:rsid w:val="00361281"/>
    <w:rsid w:val="003612A9"/>
    <w:rsid w:val="003612DA"/>
    <w:rsid w:val="00361303"/>
    <w:rsid w:val="0036132A"/>
    <w:rsid w:val="00361394"/>
    <w:rsid w:val="00361440"/>
    <w:rsid w:val="00361492"/>
    <w:rsid w:val="00361511"/>
    <w:rsid w:val="003615E0"/>
    <w:rsid w:val="003616E9"/>
    <w:rsid w:val="003617E3"/>
    <w:rsid w:val="00361846"/>
    <w:rsid w:val="0036189D"/>
    <w:rsid w:val="00361937"/>
    <w:rsid w:val="00361A96"/>
    <w:rsid w:val="00361AD2"/>
    <w:rsid w:val="00361C2C"/>
    <w:rsid w:val="00361CAD"/>
    <w:rsid w:val="00361CB8"/>
    <w:rsid w:val="00361E19"/>
    <w:rsid w:val="00361E37"/>
    <w:rsid w:val="00361E79"/>
    <w:rsid w:val="00361E97"/>
    <w:rsid w:val="00361EEA"/>
    <w:rsid w:val="00361F0E"/>
    <w:rsid w:val="00361F43"/>
    <w:rsid w:val="00361F9C"/>
    <w:rsid w:val="00361FD6"/>
    <w:rsid w:val="0036212C"/>
    <w:rsid w:val="00362204"/>
    <w:rsid w:val="0036235D"/>
    <w:rsid w:val="00362364"/>
    <w:rsid w:val="0036246E"/>
    <w:rsid w:val="00362668"/>
    <w:rsid w:val="003626BC"/>
    <w:rsid w:val="003626FB"/>
    <w:rsid w:val="003627C2"/>
    <w:rsid w:val="00362897"/>
    <w:rsid w:val="00362921"/>
    <w:rsid w:val="003629A6"/>
    <w:rsid w:val="003629C9"/>
    <w:rsid w:val="003629F4"/>
    <w:rsid w:val="00362A4D"/>
    <w:rsid w:val="00362ADC"/>
    <w:rsid w:val="00362B1E"/>
    <w:rsid w:val="00362BFE"/>
    <w:rsid w:val="00362C34"/>
    <w:rsid w:val="00362CA1"/>
    <w:rsid w:val="00362CFD"/>
    <w:rsid w:val="00362D0B"/>
    <w:rsid w:val="00362D15"/>
    <w:rsid w:val="00362D81"/>
    <w:rsid w:val="00363034"/>
    <w:rsid w:val="00363083"/>
    <w:rsid w:val="0036315C"/>
    <w:rsid w:val="003631A5"/>
    <w:rsid w:val="003631B2"/>
    <w:rsid w:val="0036326F"/>
    <w:rsid w:val="003632B0"/>
    <w:rsid w:val="003632C2"/>
    <w:rsid w:val="0036331D"/>
    <w:rsid w:val="00363360"/>
    <w:rsid w:val="0036339A"/>
    <w:rsid w:val="00363407"/>
    <w:rsid w:val="00363412"/>
    <w:rsid w:val="0036344E"/>
    <w:rsid w:val="003634AA"/>
    <w:rsid w:val="00363500"/>
    <w:rsid w:val="0036351A"/>
    <w:rsid w:val="003635C0"/>
    <w:rsid w:val="00363605"/>
    <w:rsid w:val="00363710"/>
    <w:rsid w:val="00363714"/>
    <w:rsid w:val="003637FA"/>
    <w:rsid w:val="00363896"/>
    <w:rsid w:val="0036391A"/>
    <w:rsid w:val="00363A4D"/>
    <w:rsid w:val="00363C26"/>
    <w:rsid w:val="00363C95"/>
    <w:rsid w:val="00363D44"/>
    <w:rsid w:val="00363D93"/>
    <w:rsid w:val="00363E7E"/>
    <w:rsid w:val="00363F39"/>
    <w:rsid w:val="003640A2"/>
    <w:rsid w:val="003640EA"/>
    <w:rsid w:val="00364149"/>
    <w:rsid w:val="00364257"/>
    <w:rsid w:val="0036430A"/>
    <w:rsid w:val="0036430D"/>
    <w:rsid w:val="0036435E"/>
    <w:rsid w:val="003643BC"/>
    <w:rsid w:val="0036440B"/>
    <w:rsid w:val="0036456C"/>
    <w:rsid w:val="00364588"/>
    <w:rsid w:val="003647E5"/>
    <w:rsid w:val="00364856"/>
    <w:rsid w:val="00364863"/>
    <w:rsid w:val="00364898"/>
    <w:rsid w:val="0036496E"/>
    <w:rsid w:val="00364989"/>
    <w:rsid w:val="00364B25"/>
    <w:rsid w:val="00364B73"/>
    <w:rsid w:val="00364B81"/>
    <w:rsid w:val="00364C11"/>
    <w:rsid w:val="00364C20"/>
    <w:rsid w:val="00364C39"/>
    <w:rsid w:val="00364DA0"/>
    <w:rsid w:val="00364E30"/>
    <w:rsid w:val="00364E7B"/>
    <w:rsid w:val="00364EE5"/>
    <w:rsid w:val="00364F76"/>
    <w:rsid w:val="00364FD0"/>
    <w:rsid w:val="003650D2"/>
    <w:rsid w:val="00365165"/>
    <w:rsid w:val="0036519A"/>
    <w:rsid w:val="00365309"/>
    <w:rsid w:val="00365372"/>
    <w:rsid w:val="00365373"/>
    <w:rsid w:val="003653D6"/>
    <w:rsid w:val="00365445"/>
    <w:rsid w:val="003654E2"/>
    <w:rsid w:val="0036556D"/>
    <w:rsid w:val="00365570"/>
    <w:rsid w:val="003655AC"/>
    <w:rsid w:val="0036564D"/>
    <w:rsid w:val="003656B5"/>
    <w:rsid w:val="003657EC"/>
    <w:rsid w:val="00365891"/>
    <w:rsid w:val="00365924"/>
    <w:rsid w:val="0036594B"/>
    <w:rsid w:val="003659D2"/>
    <w:rsid w:val="00365A77"/>
    <w:rsid w:val="00365A8C"/>
    <w:rsid w:val="00365B03"/>
    <w:rsid w:val="00365B4C"/>
    <w:rsid w:val="00365BCA"/>
    <w:rsid w:val="00365C03"/>
    <w:rsid w:val="00365C77"/>
    <w:rsid w:val="00365E08"/>
    <w:rsid w:val="00365F55"/>
    <w:rsid w:val="00365F58"/>
    <w:rsid w:val="00365FD2"/>
    <w:rsid w:val="0036614B"/>
    <w:rsid w:val="00366394"/>
    <w:rsid w:val="003663D0"/>
    <w:rsid w:val="00366446"/>
    <w:rsid w:val="0036650E"/>
    <w:rsid w:val="0036660A"/>
    <w:rsid w:val="003666C2"/>
    <w:rsid w:val="00366736"/>
    <w:rsid w:val="00366777"/>
    <w:rsid w:val="003667A4"/>
    <w:rsid w:val="00366858"/>
    <w:rsid w:val="00366AA2"/>
    <w:rsid w:val="00366C08"/>
    <w:rsid w:val="00366D35"/>
    <w:rsid w:val="00366DB6"/>
    <w:rsid w:val="00366DED"/>
    <w:rsid w:val="00366EDA"/>
    <w:rsid w:val="00367207"/>
    <w:rsid w:val="003673C9"/>
    <w:rsid w:val="003673CA"/>
    <w:rsid w:val="00367636"/>
    <w:rsid w:val="003676E2"/>
    <w:rsid w:val="00367760"/>
    <w:rsid w:val="0036783E"/>
    <w:rsid w:val="00367959"/>
    <w:rsid w:val="00367A7C"/>
    <w:rsid w:val="00367AB2"/>
    <w:rsid w:val="00367CB3"/>
    <w:rsid w:val="00367DE6"/>
    <w:rsid w:val="00367DF4"/>
    <w:rsid w:val="00370037"/>
    <w:rsid w:val="00370052"/>
    <w:rsid w:val="003700CA"/>
    <w:rsid w:val="0037011D"/>
    <w:rsid w:val="0037016C"/>
    <w:rsid w:val="00370240"/>
    <w:rsid w:val="00370289"/>
    <w:rsid w:val="003703B2"/>
    <w:rsid w:val="00370584"/>
    <w:rsid w:val="00370628"/>
    <w:rsid w:val="0037078A"/>
    <w:rsid w:val="003707AE"/>
    <w:rsid w:val="003707FB"/>
    <w:rsid w:val="00370890"/>
    <w:rsid w:val="00370913"/>
    <w:rsid w:val="0037091D"/>
    <w:rsid w:val="00370934"/>
    <w:rsid w:val="00370A34"/>
    <w:rsid w:val="00370C33"/>
    <w:rsid w:val="00370C7A"/>
    <w:rsid w:val="00370CA6"/>
    <w:rsid w:val="00370DB9"/>
    <w:rsid w:val="00370E15"/>
    <w:rsid w:val="00371166"/>
    <w:rsid w:val="0037124D"/>
    <w:rsid w:val="00371375"/>
    <w:rsid w:val="00371560"/>
    <w:rsid w:val="003716E8"/>
    <w:rsid w:val="0037176E"/>
    <w:rsid w:val="003717B5"/>
    <w:rsid w:val="00371869"/>
    <w:rsid w:val="0037191B"/>
    <w:rsid w:val="00371984"/>
    <w:rsid w:val="003719B6"/>
    <w:rsid w:val="003719BA"/>
    <w:rsid w:val="003719BF"/>
    <w:rsid w:val="003719E5"/>
    <w:rsid w:val="00371A04"/>
    <w:rsid w:val="00371AE5"/>
    <w:rsid w:val="00371AF3"/>
    <w:rsid w:val="00371C13"/>
    <w:rsid w:val="00371C6B"/>
    <w:rsid w:val="00371D7E"/>
    <w:rsid w:val="00371DB5"/>
    <w:rsid w:val="00371DF0"/>
    <w:rsid w:val="00371E02"/>
    <w:rsid w:val="00371E90"/>
    <w:rsid w:val="00371F15"/>
    <w:rsid w:val="00371FFB"/>
    <w:rsid w:val="003720E9"/>
    <w:rsid w:val="003720F8"/>
    <w:rsid w:val="0037211A"/>
    <w:rsid w:val="0037215C"/>
    <w:rsid w:val="00372305"/>
    <w:rsid w:val="0037232D"/>
    <w:rsid w:val="003723C6"/>
    <w:rsid w:val="003724BE"/>
    <w:rsid w:val="003724E8"/>
    <w:rsid w:val="00372603"/>
    <w:rsid w:val="003726E3"/>
    <w:rsid w:val="00372733"/>
    <w:rsid w:val="0037278E"/>
    <w:rsid w:val="003728A6"/>
    <w:rsid w:val="0037290D"/>
    <w:rsid w:val="00372961"/>
    <w:rsid w:val="00372A0E"/>
    <w:rsid w:val="00372B3E"/>
    <w:rsid w:val="00372B4A"/>
    <w:rsid w:val="00372BFC"/>
    <w:rsid w:val="00372C42"/>
    <w:rsid w:val="00372F62"/>
    <w:rsid w:val="00373088"/>
    <w:rsid w:val="00373122"/>
    <w:rsid w:val="00373276"/>
    <w:rsid w:val="00373458"/>
    <w:rsid w:val="0037345F"/>
    <w:rsid w:val="003734C4"/>
    <w:rsid w:val="00373556"/>
    <w:rsid w:val="0037358B"/>
    <w:rsid w:val="0037359B"/>
    <w:rsid w:val="0037371E"/>
    <w:rsid w:val="003737F2"/>
    <w:rsid w:val="0037380C"/>
    <w:rsid w:val="00373856"/>
    <w:rsid w:val="003738EF"/>
    <w:rsid w:val="00373979"/>
    <w:rsid w:val="003739D1"/>
    <w:rsid w:val="00373B18"/>
    <w:rsid w:val="00373C67"/>
    <w:rsid w:val="00373C9F"/>
    <w:rsid w:val="00373F41"/>
    <w:rsid w:val="003741F2"/>
    <w:rsid w:val="0037422F"/>
    <w:rsid w:val="003742D1"/>
    <w:rsid w:val="003743FF"/>
    <w:rsid w:val="00374415"/>
    <w:rsid w:val="003744C1"/>
    <w:rsid w:val="00374509"/>
    <w:rsid w:val="00374536"/>
    <w:rsid w:val="0037461B"/>
    <w:rsid w:val="0037464E"/>
    <w:rsid w:val="00374681"/>
    <w:rsid w:val="0037474E"/>
    <w:rsid w:val="00374795"/>
    <w:rsid w:val="00374828"/>
    <w:rsid w:val="00374831"/>
    <w:rsid w:val="003748C5"/>
    <w:rsid w:val="003748D1"/>
    <w:rsid w:val="00374A3D"/>
    <w:rsid w:val="00374C96"/>
    <w:rsid w:val="00374DC5"/>
    <w:rsid w:val="00374F90"/>
    <w:rsid w:val="00375094"/>
    <w:rsid w:val="0037512C"/>
    <w:rsid w:val="0037514E"/>
    <w:rsid w:val="003751A4"/>
    <w:rsid w:val="00375215"/>
    <w:rsid w:val="00375249"/>
    <w:rsid w:val="0037526A"/>
    <w:rsid w:val="003752CF"/>
    <w:rsid w:val="00375448"/>
    <w:rsid w:val="00375464"/>
    <w:rsid w:val="0037548D"/>
    <w:rsid w:val="003754CA"/>
    <w:rsid w:val="00375570"/>
    <w:rsid w:val="0037562C"/>
    <w:rsid w:val="00375696"/>
    <w:rsid w:val="00375756"/>
    <w:rsid w:val="0037584F"/>
    <w:rsid w:val="003758A6"/>
    <w:rsid w:val="00375A4A"/>
    <w:rsid w:val="00375B9B"/>
    <w:rsid w:val="00375C50"/>
    <w:rsid w:val="00375C70"/>
    <w:rsid w:val="00375CF2"/>
    <w:rsid w:val="00375D80"/>
    <w:rsid w:val="00375E2E"/>
    <w:rsid w:val="00375E68"/>
    <w:rsid w:val="00375ECD"/>
    <w:rsid w:val="00375EEF"/>
    <w:rsid w:val="00375FD6"/>
    <w:rsid w:val="003760BA"/>
    <w:rsid w:val="0037615D"/>
    <w:rsid w:val="00376190"/>
    <w:rsid w:val="0037623C"/>
    <w:rsid w:val="003762AD"/>
    <w:rsid w:val="00376333"/>
    <w:rsid w:val="00376368"/>
    <w:rsid w:val="003764F2"/>
    <w:rsid w:val="003765E2"/>
    <w:rsid w:val="003766D3"/>
    <w:rsid w:val="003767A8"/>
    <w:rsid w:val="003767E9"/>
    <w:rsid w:val="003767F5"/>
    <w:rsid w:val="00376832"/>
    <w:rsid w:val="00376962"/>
    <w:rsid w:val="00376969"/>
    <w:rsid w:val="00376A37"/>
    <w:rsid w:val="00376AEC"/>
    <w:rsid w:val="00376B03"/>
    <w:rsid w:val="00376B71"/>
    <w:rsid w:val="00376B8F"/>
    <w:rsid w:val="00376BC0"/>
    <w:rsid w:val="00376CC0"/>
    <w:rsid w:val="00376DC7"/>
    <w:rsid w:val="00376DF3"/>
    <w:rsid w:val="00376DF5"/>
    <w:rsid w:val="00376DF9"/>
    <w:rsid w:val="00376EA9"/>
    <w:rsid w:val="00376EF8"/>
    <w:rsid w:val="00377069"/>
    <w:rsid w:val="003770CE"/>
    <w:rsid w:val="003770F2"/>
    <w:rsid w:val="00377177"/>
    <w:rsid w:val="003773CF"/>
    <w:rsid w:val="003774AD"/>
    <w:rsid w:val="0037750F"/>
    <w:rsid w:val="00377590"/>
    <w:rsid w:val="00377644"/>
    <w:rsid w:val="00377654"/>
    <w:rsid w:val="003776C6"/>
    <w:rsid w:val="0037770C"/>
    <w:rsid w:val="00377833"/>
    <w:rsid w:val="00377A4F"/>
    <w:rsid w:val="00377B81"/>
    <w:rsid w:val="00377BE7"/>
    <w:rsid w:val="00377C8C"/>
    <w:rsid w:val="00377DFB"/>
    <w:rsid w:val="00377E5C"/>
    <w:rsid w:val="00377E7D"/>
    <w:rsid w:val="00377FA2"/>
    <w:rsid w:val="00380034"/>
    <w:rsid w:val="0038005E"/>
    <w:rsid w:val="003800A4"/>
    <w:rsid w:val="003800AA"/>
    <w:rsid w:val="00380230"/>
    <w:rsid w:val="00380398"/>
    <w:rsid w:val="003803EF"/>
    <w:rsid w:val="003804AD"/>
    <w:rsid w:val="003804CE"/>
    <w:rsid w:val="00380510"/>
    <w:rsid w:val="00380516"/>
    <w:rsid w:val="003805BF"/>
    <w:rsid w:val="003805ED"/>
    <w:rsid w:val="00380603"/>
    <w:rsid w:val="0038065A"/>
    <w:rsid w:val="00380706"/>
    <w:rsid w:val="00380877"/>
    <w:rsid w:val="00380909"/>
    <w:rsid w:val="00380965"/>
    <w:rsid w:val="003809CD"/>
    <w:rsid w:val="003809D6"/>
    <w:rsid w:val="00380AFB"/>
    <w:rsid w:val="00380D13"/>
    <w:rsid w:val="00380DCD"/>
    <w:rsid w:val="00380DF2"/>
    <w:rsid w:val="00380E1E"/>
    <w:rsid w:val="00380E2D"/>
    <w:rsid w:val="00380E68"/>
    <w:rsid w:val="00380EB7"/>
    <w:rsid w:val="00380F01"/>
    <w:rsid w:val="003810EE"/>
    <w:rsid w:val="00381115"/>
    <w:rsid w:val="0038118B"/>
    <w:rsid w:val="0038118F"/>
    <w:rsid w:val="003811F4"/>
    <w:rsid w:val="00381206"/>
    <w:rsid w:val="00381243"/>
    <w:rsid w:val="00381249"/>
    <w:rsid w:val="0038125F"/>
    <w:rsid w:val="00381401"/>
    <w:rsid w:val="0038146F"/>
    <w:rsid w:val="00381568"/>
    <w:rsid w:val="0038158C"/>
    <w:rsid w:val="003817A4"/>
    <w:rsid w:val="003818E5"/>
    <w:rsid w:val="00381958"/>
    <w:rsid w:val="00381A28"/>
    <w:rsid w:val="00381A86"/>
    <w:rsid w:val="00381C14"/>
    <w:rsid w:val="00381C76"/>
    <w:rsid w:val="00381D21"/>
    <w:rsid w:val="00381D6D"/>
    <w:rsid w:val="00381E27"/>
    <w:rsid w:val="00381EAB"/>
    <w:rsid w:val="00381F62"/>
    <w:rsid w:val="00382076"/>
    <w:rsid w:val="00382179"/>
    <w:rsid w:val="003821A6"/>
    <w:rsid w:val="003822A3"/>
    <w:rsid w:val="003822E8"/>
    <w:rsid w:val="00382366"/>
    <w:rsid w:val="003823FE"/>
    <w:rsid w:val="0038249D"/>
    <w:rsid w:val="003825C8"/>
    <w:rsid w:val="00382608"/>
    <w:rsid w:val="00382666"/>
    <w:rsid w:val="003826B4"/>
    <w:rsid w:val="003826EC"/>
    <w:rsid w:val="0038287C"/>
    <w:rsid w:val="003829AF"/>
    <w:rsid w:val="003829D3"/>
    <w:rsid w:val="00382BA9"/>
    <w:rsid w:val="00382BAF"/>
    <w:rsid w:val="00382C04"/>
    <w:rsid w:val="00382C12"/>
    <w:rsid w:val="00382D98"/>
    <w:rsid w:val="00382EFB"/>
    <w:rsid w:val="00382F8B"/>
    <w:rsid w:val="0038306D"/>
    <w:rsid w:val="003830AB"/>
    <w:rsid w:val="003830B7"/>
    <w:rsid w:val="003830D3"/>
    <w:rsid w:val="003830DD"/>
    <w:rsid w:val="003833A6"/>
    <w:rsid w:val="0038358A"/>
    <w:rsid w:val="003835B6"/>
    <w:rsid w:val="0038370C"/>
    <w:rsid w:val="003837AC"/>
    <w:rsid w:val="0038384D"/>
    <w:rsid w:val="003838FF"/>
    <w:rsid w:val="0038396B"/>
    <w:rsid w:val="003839CF"/>
    <w:rsid w:val="00383B04"/>
    <w:rsid w:val="00383B26"/>
    <w:rsid w:val="00383BD4"/>
    <w:rsid w:val="00383C36"/>
    <w:rsid w:val="00383C98"/>
    <w:rsid w:val="00383CAC"/>
    <w:rsid w:val="00383DE5"/>
    <w:rsid w:val="00383F88"/>
    <w:rsid w:val="00384141"/>
    <w:rsid w:val="00384160"/>
    <w:rsid w:val="003841BD"/>
    <w:rsid w:val="0038436F"/>
    <w:rsid w:val="00384383"/>
    <w:rsid w:val="003843C6"/>
    <w:rsid w:val="0038446F"/>
    <w:rsid w:val="0038459F"/>
    <w:rsid w:val="003845DB"/>
    <w:rsid w:val="0038461B"/>
    <w:rsid w:val="00384774"/>
    <w:rsid w:val="003847DD"/>
    <w:rsid w:val="0038484C"/>
    <w:rsid w:val="003848C7"/>
    <w:rsid w:val="0038496B"/>
    <w:rsid w:val="003849FA"/>
    <w:rsid w:val="00384A38"/>
    <w:rsid w:val="00384BA2"/>
    <w:rsid w:val="00384BED"/>
    <w:rsid w:val="00384D14"/>
    <w:rsid w:val="00384E73"/>
    <w:rsid w:val="00384E9E"/>
    <w:rsid w:val="00384EAB"/>
    <w:rsid w:val="00384EEC"/>
    <w:rsid w:val="00384F00"/>
    <w:rsid w:val="00384F72"/>
    <w:rsid w:val="00385061"/>
    <w:rsid w:val="0038508E"/>
    <w:rsid w:val="003850DA"/>
    <w:rsid w:val="0038514B"/>
    <w:rsid w:val="00385261"/>
    <w:rsid w:val="003852C7"/>
    <w:rsid w:val="003852F4"/>
    <w:rsid w:val="003853A2"/>
    <w:rsid w:val="00385476"/>
    <w:rsid w:val="0038552F"/>
    <w:rsid w:val="0038555D"/>
    <w:rsid w:val="0038558D"/>
    <w:rsid w:val="003855AD"/>
    <w:rsid w:val="003855E5"/>
    <w:rsid w:val="0038582C"/>
    <w:rsid w:val="003858A4"/>
    <w:rsid w:val="003858AE"/>
    <w:rsid w:val="003858D6"/>
    <w:rsid w:val="003859D8"/>
    <w:rsid w:val="003859E8"/>
    <w:rsid w:val="00385BC6"/>
    <w:rsid w:val="00385C49"/>
    <w:rsid w:val="00385C8A"/>
    <w:rsid w:val="00385E38"/>
    <w:rsid w:val="00385F27"/>
    <w:rsid w:val="00386004"/>
    <w:rsid w:val="0038600C"/>
    <w:rsid w:val="0038605A"/>
    <w:rsid w:val="0038608D"/>
    <w:rsid w:val="003860BE"/>
    <w:rsid w:val="0038616D"/>
    <w:rsid w:val="003862ED"/>
    <w:rsid w:val="003862F3"/>
    <w:rsid w:val="003863A9"/>
    <w:rsid w:val="003864AE"/>
    <w:rsid w:val="003864C1"/>
    <w:rsid w:val="003864E1"/>
    <w:rsid w:val="0038665D"/>
    <w:rsid w:val="003866CB"/>
    <w:rsid w:val="003867D0"/>
    <w:rsid w:val="003867DE"/>
    <w:rsid w:val="0038687E"/>
    <w:rsid w:val="00386984"/>
    <w:rsid w:val="003869A2"/>
    <w:rsid w:val="00386A3D"/>
    <w:rsid w:val="00386AE7"/>
    <w:rsid w:val="00386B36"/>
    <w:rsid w:val="00386CBF"/>
    <w:rsid w:val="00386D71"/>
    <w:rsid w:val="00386EA9"/>
    <w:rsid w:val="00386FFD"/>
    <w:rsid w:val="003872BB"/>
    <w:rsid w:val="0038736F"/>
    <w:rsid w:val="003875DE"/>
    <w:rsid w:val="00387659"/>
    <w:rsid w:val="0038765F"/>
    <w:rsid w:val="003876BD"/>
    <w:rsid w:val="00387719"/>
    <w:rsid w:val="00387727"/>
    <w:rsid w:val="0038772F"/>
    <w:rsid w:val="00387873"/>
    <w:rsid w:val="00387874"/>
    <w:rsid w:val="003878E0"/>
    <w:rsid w:val="003878E5"/>
    <w:rsid w:val="00387A5D"/>
    <w:rsid w:val="00387AC7"/>
    <w:rsid w:val="00387ACE"/>
    <w:rsid w:val="00387AD5"/>
    <w:rsid w:val="00387B74"/>
    <w:rsid w:val="00387BAB"/>
    <w:rsid w:val="00387CFE"/>
    <w:rsid w:val="00387DA0"/>
    <w:rsid w:val="00387DFF"/>
    <w:rsid w:val="00387F83"/>
    <w:rsid w:val="00387FB2"/>
    <w:rsid w:val="00387FBC"/>
    <w:rsid w:val="00390041"/>
    <w:rsid w:val="00390088"/>
    <w:rsid w:val="00390093"/>
    <w:rsid w:val="00390113"/>
    <w:rsid w:val="00390168"/>
    <w:rsid w:val="00390193"/>
    <w:rsid w:val="003901DE"/>
    <w:rsid w:val="003901F8"/>
    <w:rsid w:val="00390202"/>
    <w:rsid w:val="00390225"/>
    <w:rsid w:val="00390241"/>
    <w:rsid w:val="003902AF"/>
    <w:rsid w:val="003902D6"/>
    <w:rsid w:val="003902FB"/>
    <w:rsid w:val="0039031B"/>
    <w:rsid w:val="00390341"/>
    <w:rsid w:val="003903A8"/>
    <w:rsid w:val="003903ED"/>
    <w:rsid w:val="003904B9"/>
    <w:rsid w:val="003905A5"/>
    <w:rsid w:val="003905F8"/>
    <w:rsid w:val="003906CE"/>
    <w:rsid w:val="003907FA"/>
    <w:rsid w:val="00390834"/>
    <w:rsid w:val="003908DA"/>
    <w:rsid w:val="0039094C"/>
    <w:rsid w:val="00390BBA"/>
    <w:rsid w:val="00390C99"/>
    <w:rsid w:val="00390CEF"/>
    <w:rsid w:val="00390CFC"/>
    <w:rsid w:val="00390D23"/>
    <w:rsid w:val="00390D64"/>
    <w:rsid w:val="00390D6B"/>
    <w:rsid w:val="00390DCD"/>
    <w:rsid w:val="00390ECD"/>
    <w:rsid w:val="003910BC"/>
    <w:rsid w:val="00391276"/>
    <w:rsid w:val="003912EC"/>
    <w:rsid w:val="003913E4"/>
    <w:rsid w:val="003914CF"/>
    <w:rsid w:val="003914F4"/>
    <w:rsid w:val="00391550"/>
    <w:rsid w:val="003915CB"/>
    <w:rsid w:val="00391691"/>
    <w:rsid w:val="003917B3"/>
    <w:rsid w:val="00391964"/>
    <w:rsid w:val="003919EF"/>
    <w:rsid w:val="00391A09"/>
    <w:rsid w:val="00391A40"/>
    <w:rsid w:val="00391A5E"/>
    <w:rsid w:val="00391ACA"/>
    <w:rsid w:val="00391C2C"/>
    <w:rsid w:val="00391CB8"/>
    <w:rsid w:val="00391DC5"/>
    <w:rsid w:val="00391E58"/>
    <w:rsid w:val="00391E8F"/>
    <w:rsid w:val="00392163"/>
    <w:rsid w:val="00392277"/>
    <w:rsid w:val="00392279"/>
    <w:rsid w:val="00392398"/>
    <w:rsid w:val="00392431"/>
    <w:rsid w:val="003924F3"/>
    <w:rsid w:val="003924F6"/>
    <w:rsid w:val="0039252E"/>
    <w:rsid w:val="0039261A"/>
    <w:rsid w:val="00392644"/>
    <w:rsid w:val="0039275E"/>
    <w:rsid w:val="00392921"/>
    <w:rsid w:val="0039298A"/>
    <w:rsid w:val="003929EF"/>
    <w:rsid w:val="00392AED"/>
    <w:rsid w:val="00392BF4"/>
    <w:rsid w:val="00392D27"/>
    <w:rsid w:val="00392D2A"/>
    <w:rsid w:val="00392D35"/>
    <w:rsid w:val="00392D55"/>
    <w:rsid w:val="00392DFC"/>
    <w:rsid w:val="00392E0C"/>
    <w:rsid w:val="00392E3D"/>
    <w:rsid w:val="00392E9C"/>
    <w:rsid w:val="00392ED4"/>
    <w:rsid w:val="00392F01"/>
    <w:rsid w:val="00392F05"/>
    <w:rsid w:val="00392F08"/>
    <w:rsid w:val="00392FAD"/>
    <w:rsid w:val="00393077"/>
    <w:rsid w:val="00393152"/>
    <w:rsid w:val="00393256"/>
    <w:rsid w:val="0039325F"/>
    <w:rsid w:val="003932E7"/>
    <w:rsid w:val="00393394"/>
    <w:rsid w:val="00393487"/>
    <w:rsid w:val="00393562"/>
    <w:rsid w:val="0039379D"/>
    <w:rsid w:val="00393870"/>
    <w:rsid w:val="003938A3"/>
    <w:rsid w:val="003938B8"/>
    <w:rsid w:val="00393A21"/>
    <w:rsid w:val="00393A26"/>
    <w:rsid w:val="00393A6D"/>
    <w:rsid w:val="00393A99"/>
    <w:rsid w:val="00393ACB"/>
    <w:rsid w:val="00393CC4"/>
    <w:rsid w:val="00393DCA"/>
    <w:rsid w:val="00393DDE"/>
    <w:rsid w:val="00393E52"/>
    <w:rsid w:val="00393E8B"/>
    <w:rsid w:val="00393EC3"/>
    <w:rsid w:val="00393F59"/>
    <w:rsid w:val="00393F7F"/>
    <w:rsid w:val="00393FC8"/>
    <w:rsid w:val="00393FDA"/>
    <w:rsid w:val="00394035"/>
    <w:rsid w:val="00394168"/>
    <w:rsid w:val="0039417E"/>
    <w:rsid w:val="00394205"/>
    <w:rsid w:val="00394209"/>
    <w:rsid w:val="0039429A"/>
    <w:rsid w:val="003942A2"/>
    <w:rsid w:val="003943DB"/>
    <w:rsid w:val="003943F3"/>
    <w:rsid w:val="003944DD"/>
    <w:rsid w:val="00394604"/>
    <w:rsid w:val="00394616"/>
    <w:rsid w:val="003946E1"/>
    <w:rsid w:val="003948A9"/>
    <w:rsid w:val="003948BD"/>
    <w:rsid w:val="00394ABD"/>
    <w:rsid w:val="00394B2E"/>
    <w:rsid w:val="00394C25"/>
    <w:rsid w:val="00394DEB"/>
    <w:rsid w:val="00394E9C"/>
    <w:rsid w:val="00394EF7"/>
    <w:rsid w:val="00394F3F"/>
    <w:rsid w:val="0039531A"/>
    <w:rsid w:val="00395325"/>
    <w:rsid w:val="00395425"/>
    <w:rsid w:val="0039544E"/>
    <w:rsid w:val="003954A1"/>
    <w:rsid w:val="003956D3"/>
    <w:rsid w:val="0039586E"/>
    <w:rsid w:val="003959DC"/>
    <w:rsid w:val="00395A5F"/>
    <w:rsid w:val="00395B1A"/>
    <w:rsid w:val="00395B61"/>
    <w:rsid w:val="00395BD7"/>
    <w:rsid w:val="00395C29"/>
    <w:rsid w:val="00395C98"/>
    <w:rsid w:val="00395CE6"/>
    <w:rsid w:val="00395DA9"/>
    <w:rsid w:val="00395DF2"/>
    <w:rsid w:val="00395F83"/>
    <w:rsid w:val="0039605C"/>
    <w:rsid w:val="003961ED"/>
    <w:rsid w:val="00396211"/>
    <w:rsid w:val="0039626C"/>
    <w:rsid w:val="00396314"/>
    <w:rsid w:val="003963D1"/>
    <w:rsid w:val="00396414"/>
    <w:rsid w:val="003965AB"/>
    <w:rsid w:val="00396616"/>
    <w:rsid w:val="003966FB"/>
    <w:rsid w:val="003967E2"/>
    <w:rsid w:val="003968F7"/>
    <w:rsid w:val="00396B49"/>
    <w:rsid w:val="00396B5C"/>
    <w:rsid w:val="00396C20"/>
    <w:rsid w:val="00396C5E"/>
    <w:rsid w:val="00396C85"/>
    <w:rsid w:val="00396C99"/>
    <w:rsid w:val="00396D7A"/>
    <w:rsid w:val="00396E04"/>
    <w:rsid w:val="00396F4A"/>
    <w:rsid w:val="00396FCC"/>
    <w:rsid w:val="00397105"/>
    <w:rsid w:val="00397153"/>
    <w:rsid w:val="00397163"/>
    <w:rsid w:val="00397226"/>
    <w:rsid w:val="003972CF"/>
    <w:rsid w:val="00397316"/>
    <w:rsid w:val="0039739F"/>
    <w:rsid w:val="003973EE"/>
    <w:rsid w:val="003974F6"/>
    <w:rsid w:val="003975D7"/>
    <w:rsid w:val="00397620"/>
    <w:rsid w:val="00397654"/>
    <w:rsid w:val="003976A5"/>
    <w:rsid w:val="00397920"/>
    <w:rsid w:val="003979DA"/>
    <w:rsid w:val="00397A69"/>
    <w:rsid w:val="00397AF5"/>
    <w:rsid w:val="00397B80"/>
    <w:rsid w:val="00397BBB"/>
    <w:rsid w:val="00397C70"/>
    <w:rsid w:val="00397D10"/>
    <w:rsid w:val="00397D17"/>
    <w:rsid w:val="00397DA6"/>
    <w:rsid w:val="00397DCC"/>
    <w:rsid w:val="00397E1B"/>
    <w:rsid w:val="00397EA2"/>
    <w:rsid w:val="00397EA8"/>
    <w:rsid w:val="00397EE9"/>
    <w:rsid w:val="00397EEC"/>
    <w:rsid w:val="00397F7D"/>
    <w:rsid w:val="00397FFA"/>
    <w:rsid w:val="00397FFD"/>
    <w:rsid w:val="003A0050"/>
    <w:rsid w:val="003A00F4"/>
    <w:rsid w:val="003A02B5"/>
    <w:rsid w:val="003A040F"/>
    <w:rsid w:val="003A0462"/>
    <w:rsid w:val="003A04A1"/>
    <w:rsid w:val="003A05C7"/>
    <w:rsid w:val="003A068F"/>
    <w:rsid w:val="003A071C"/>
    <w:rsid w:val="003A0750"/>
    <w:rsid w:val="003A0832"/>
    <w:rsid w:val="003A0869"/>
    <w:rsid w:val="003A08A8"/>
    <w:rsid w:val="003A08AA"/>
    <w:rsid w:val="003A0B4D"/>
    <w:rsid w:val="003A0C3F"/>
    <w:rsid w:val="003A0C64"/>
    <w:rsid w:val="003A0DEF"/>
    <w:rsid w:val="003A0E47"/>
    <w:rsid w:val="003A0E4E"/>
    <w:rsid w:val="003A10D0"/>
    <w:rsid w:val="003A1148"/>
    <w:rsid w:val="003A11F4"/>
    <w:rsid w:val="003A120E"/>
    <w:rsid w:val="003A13EB"/>
    <w:rsid w:val="003A1440"/>
    <w:rsid w:val="003A15F4"/>
    <w:rsid w:val="003A170E"/>
    <w:rsid w:val="003A17FD"/>
    <w:rsid w:val="003A184A"/>
    <w:rsid w:val="003A187D"/>
    <w:rsid w:val="003A18B7"/>
    <w:rsid w:val="003A19C0"/>
    <w:rsid w:val="003A19DF"/>
    <w:rsid w:val="003A1A10"/>
    <w:rsid w:val="003A1A54"/>
    <w:rsid w:val="003A1BC4"/>
    <w:rsid w:val="003A1BF7"/>
    <w:rsid w:val="003A1CBF"/>
    <w:rsid w:val="003A1CEC"/>
    <w:rsid w:val="003A1D3F"/>
    <w:rsid w:val="003A1E44"/>
    <w:rsid w:val="003A1EB0"/>
    <w:rsid w:val="003A1FB3"/>
    <w:rsid w:val="003A21C7"/>
    <w:rsid w:val="003A2241"/>
    <w:rsid w:val="003A22D4"/>
    <w:rsid w:val="003A24F5"/>
    <w:rsid w:val="003A26BB"/>
    <w:rsid w:val="003A2702"/>
    <w:rsid w:val="003A27D7"/>
    <w:rsid w:val="003A2823"/>
    <w:rsid w:val="003A2993"/>
    <w:rsid w:val="003A2A33"/>
    <w:rsid w:val="003A2AD8"/>
    <w:rsid w:val="003A2B07"/>
    <w:rsid w:val="003A2B2A"/>
    <w:rsid w:val="003A2B75"/>
    <w:rsid w:val="003A2B9B"/>
    <w:rsid w:val="003A2CA1"/>
    <w:rsid w:val="003A2DD8"/>
    <w:rsid w:val="003A2E2D"/>
    <w:rsid w:val="003A2E95"/>
    <w:rsid w:val="003A2ED7"/>
    <w:rsid w:val="003A2EE1"/>
    <w:rsid w:val="003A3004"/>
    <w:rsid w:val="003A3046"/>
    <w:rsid w:val="003A30A1"/>
    <w:rsid w:val="003A3141"/>
    <w:rsid w:val="003A3198"/>
    <w:rsid w:val="003A3253"/>
    <w:rsid w:val="003A3348"/>
    <w:rsid w:val="003A3369"/>
    <w:rsid w:val="003A3482"/>
    <w:rsid w:val="003A34F5"/>
    <w:rsid w:val="003A36AF"/>
    <w:rsid w:val="003A3765"/>
    <w:rsid w:val="003A37C0"/>
    <w:rsid w:val="003A37CD"/>
    <w:rsid w:val="003A38BB"/>
    <w:rsid w:val="003A3902"/>
    <w:rsid w:val="003A3B5A"/>
    <w:rsid w:val="003A3B6B"/>
    <w:rsid w:val="003A3F86"/>
    <w:rsid w:val="003A3FC9"/>
    <w:rsid w:val="003A407A"/>
    <w:rsid w:val="003A407E"/>
    <w:rsid w:val="003A40A3"/>
    <w:rsid w:val="003A40CA"/>
    <w:rsid w:val="003A418E"/>
    <w:rsid w:val="003A41A6"/>
    <w:rsid w:val="003A41A7"/>
    <w:rsid w:val="003A41FA"/>
    <w:rsid w:val="003A4283"/>
    <w:rsid w:val="003A4342"/>
    <w:rsid w:val="003A4452"/>
    <w:rsid w:val="003A447A"/>
    <w:rsid w:val="003A44D1"/>
    <w:rsid w:val="003A44FB"/>
    <w:rsid w:val="003A4559"/>
    <w:rsid w:val="003A46D6"/>
    <w:rsid w:val="003A487F"/>
    <w:rsid w:val="003A4894"/>
    <w:rsid w:val="003A494D"/>
    <w:rsid w:val="003A4976"/>
    <w:rsid w:val="003A4977"/>
    <w:rsid w:val="003A49F4"/>
    <w:rsid w:val="003A4A41"/>
    <w:rsid w:val="003A4AFA"/>
    <w:rsid w:val="003A4DBE"/>
    <w:rsid w:val="003A4E7A"/>
    <w:rsid w:val="003A4F2A"/>
    <w:rsid w:val="003A4FC9"/>
    <w:rsid w:val="003A5089"/>
    <w:rsid w:val="003A52E3"/>
    <w:rsid w:val="003A531E"/>
    <w:rsid w:val="003A5332"/>
    <w:rsid w:val="003A534E"/>
    <w:rsid w:val="003A5529"/>
    <w:rsid w:val="003A55D8"/>
    <w:rsid w:val="003A5861"/>
    <w:rsid w:val="003A5A6F"/>
    <w:rsid w:val="003A5B59"/>
    <w:rsid w:val="003A5B9B"/>
    <w:rsid w:val="003A5D19"/>
    <w:rsid w:val="003A5D7D"/>
    <w:rsid w:val="003A5E18"/>
    <w:rsid w:val="003A6063"/>
    <w:rsid w:val="003A607D"/>
    <w:rsid w:val="003A60C7"/>
    <w:rsid w:val="003A6133"/>
    <w:rsid w:val="003A613B"/>
    <w:rsid w:val="003A618D"/>
    <w:rsid w:val="003A61E1"/>
    <w:rsid w:val="003A6202"/>
    <w:rsid w:val="003A6307"/>
    <w:rsid w:val="003A6395"/>
    <w:rsid w:val="003A63E1"/>
    <w:rsid w:val="003A64B1"/>
    <w:rsid w:val="003A6531"/>
    <w:rsid w:val="003A656C"/>
    <w:rsid w:val="003A677C"/>
    <w:rsid w:val="003A694F"/>
    <w:rsid w:val="003A69A5"/>
    <w:rsid w:val="003A6A6A"/>
    <w:rsid w:val="003A6A9C"/>
    <w:rsid w:val="003A6AB7"/>
    <w:rsid w:val="003A6AEF"/>
    <w:rsid w:val="003A6B08"/>
    <w:rsid w:val="003A6BFD"/>
    <w:rsid w:val="003A6D01"/>
    <w:rsid w:val="003A6D44"/>
    <w:rsid w:val="003A6E10"/>
    <w:rsid w:val="003A6E60"/>
    <w:rsid w:val="003A6E95"/>
    <w:rsid w:val="003A6EFA"/>
    <w:rsid w:val="003A6F02"/>
    <w:rsid w:val="003A708A"/>
    <w:rsid w:val="003A7124"/>
    <w:rsid w:val="003A717A"/>
    <w:rsid w:val="003A7194"/>
    <w:rsid w:val="003A7519"/>
    <w:rsid w:val="003A7601"/>
    <w:rsid w:val="003A7623"/>
    <w:rsid w:val="003A76A9"/>
    <w:rsid w:val="003A786C"/>
    <w:rsid w:val="003A7910"/>
    <w:rsid w:val="003A7A41"/>
    <w:rsid w:val="003A7ADF"/>
    <w:rsid w:val="003A7B96"/>
    <w:rsid w:val="003A7C91"/>
    <w:rsid w:val="003A7CCF"/>
    <w:rsid w:val="003A7D2D"/>
    <w:rsid w:val="003A7DE8"/>
    <w:rsid w:val="003A7E12"/>
    <w:rsid w:val="003A7F36"/>
    <w:rsid w:val="003A7F9C"/>
    <w:rsid w:val="003A7FF1"/>
    <w:rsid w:val="003B00F6"/>
    <w:rsid w:val="003B01AB"/>
    <w:rsid w:val="003B025F"/>
    <w:rsid w:val="003B0298"/>
    <w:rsid w:val="003B02E5"/>
    <w:rsid w:val="003B02F7"/>
    <w:rsid w:val="003B03B1"/>
    <w:rsid w:val="003B049B"/>
    <w:rsid w:val="003B0600"/>
    <w:rsid w:val="003B0775"/>
    <w:rsid w:val="003B08C8"/>
    <w:rsid w:val="003B091B"/>
    <w:rsid w:val="003B0C6B"/>
    <w:rsid w:val="003B0C6D"/>
    <w:rsid w:val="003B0CD6"/>
    <w:rsid w:val="003B0CFB"/>
    <w:rsid w:val="003B0F3A"/>
    <w:rsid w:val="003B103E"/>
    <w:rsid w:val="003B10E0"/>
    <w:rsid w:val="003B112C"/>
    <w:rsid w:val="003B115B"/>
    <w:rsid w:val="003B1295"/>
    <w:rsid w:val="003B13DC"/>
    <w:rsid w:val="003B13E6"/>
    <w:rsid w:val="003B1461"/>
    <w:rsid w:val="003B14BB"/>
    <w:rsid w:val="003B14C4"/>
    <w:rsid w:val="003B14E0"/>
    <w:rsid w:val="003B1519"/>
    <w:rsid w:val="003B1541"/>
    <w:rsid w:val="003B15A6"/>
    <w:rsid w:val="003B1762"/>
    <w:rsid w:val="003B180C"/>
    <w:rsid w:val="003B1818"/>
    <w:rsid w:val="003B1939"/>
    <w:rsid w:val="003B1B51"/>
    <w:rsid w:val="003B1B5E"/>
    <w:rsid w:val="003B1BC5"/>
    <w:rsid w:val="003B1C35"/>
    <w:rsid w:val="003B1C81"/>
    <w:rsid w:val="003B1CE1"/>
    <w:rsid w:val="003B1D78"/>
    <w:rsid w:val="003B1DA3"/>
    <w:rsid w:val="003B1FC2"/>
    <w:rsid w:val="003B2086"/>
    <w:rsid w:val="003B20A1"/>
    <w:rsid w:val="003B2168"/>
    <w:rsid w:val="003B2190"/>
    <w:rsid w:val="003B2232"/>
    <w:rsid w:val="003B2253"/>
    <w:rsid w:val="003B22C8"/>
    <w:rsid w:val="003B22E9"/>
    <w:rsid w:val="003B23B2"/>
    <w:rsid w:val="003B2444"/>
    <w:rsid w:val="003B24B1"/>
    <w:rsid w:val="003B254F"/>
    <w:rsid w:val="003B25BB"/>
    <w:rsid w:val="003B2608"/>
    <w:rsid w:val="003B2629"/>
    <w:rsid w:val="003B2741"/>
    <w:rsid w:val="003B2773"/>
    <w:rsid w:val="003B2788"/>
    <w:rsid w:val="003B27AD"/>
    <w:rsid w:val="003B27FE"/>
    <w:rsid w:val="003B281E"/>
    <w:rsid w:val="003B28C1"/>
    <w:rsid w:val="003B28FE"/>
    <w:rsid w:val="003B2967"/>
    <w:rsid w:val="003B29D2"/>
    <w:rsid w:val="003B29D7"/>
    <w:rsid w:val="003B29EC"/>
    <w:rsid w:val="003B2AB2"/>
    <w:rsid w:val="003B2ABD"/>
    <w:rsid w:val="003B2B14"/>
    <w:rsid w:val="003B2B45"/>
    <w:rsid w:val="003B2BFE"/>
    <w:rsid w:val="003B2DE4"/>
    <w:rsid w:val="003B2E0B"/>
    <w:rsid w:val="003B2F23"/>
    <w:rsid w:val="003B3002"/>
    <w:rsid w:val="003B304A"/>
    <w:rsid w:val="003B3144"/>
    <w:rsid w:val="003B3149"/>
    <w:rsid w:val="003B31A0"/>
    <w:rsid w:val="003B320A"/>
    <w:rsid w:val="003B329E"/>
    <w:rsid w:val="003B32B8"/>
    <w:rsid w:val="003B331D"/>
    <w:rsid w:val="003B3395"/>
    <w:rsid w:val="003B33CA"/>
    <w:rsid w:val="003B3432"/>
    <w:rsid w:val="003B34A9"/>
    <w:rsid w:val="003B370B"/>
    <w:rsid w:val="003B3714"/>
    <w:rsid w:val="003B3716"/>
    <w:rsid w:val="003B376B"/>
    <w:rsid w:val="003B37B0"/>
    <w:rsid w:val="003B3955"/>
    <w:rsid w:val="003B3956"/>
    <w:rsid w:val="003B3A5B"/>
    <w:rsid w:val="003B3AD0"/>
    <w:rsid w:val="003B3B00"/>
    <w:rsid w:val="003B3CBE"/>
    <w:rsid w:val="003B3E60"/>
    <w:rsid w:val="003B3ED1"/>
    <w:rsid w:val="003B3FA4"/>
    <w:rsid w:val="003B42D6"/>
    <w:rsid w:val="003B443C"/>
    <w:rsid w:val="003B4563"/>
    <w:rsid w:val="003B45EB"/>
    <w:rsid w:val="003B476D"/>
    <w:rsid w:val="003B47E5"/>
    <w:rsid w:val="003B4876"/>
    <w:rsid w:val="003B495C"/>
    <w:rsid w:val="003B4964"/>
    <w:rsid w:val="003B4A14"/>
    <w:rsid w:val="003B4A76"/>
    <w:rsid w:val="003B4AB0"/>
    <w:rsid w:val="003B4B53"/>
    <w:rsid w:val="003B4B8D"/>
    <w:rsid w:val="003B4B9D"/>
    <w:rsid w:val="003B4C30"/>
    <w:rsid w:val="003B4CBB"/>
    <w:rsid w:val="003B4CCA"/>
    <w:rsid w:val="003B4D3F"/>
    <w:rsid w:val="003B4D41"/>
    <w:rsid w:val="003B4D71"/>
    <w:rsid w:val="003B4DFA"/>
    <w:rsid w:val="003B4EB4"/>
    <w:rsid w:val="003B4F1D"/>
    <w:rsid w:val="003B4F52"/>
    <w:rsid w:val="003B4FBE"/>
    <w:rsid w:val="003B4FD2"/>
    <w:rsid w:val="003B520E"/>
    <w:rsid w:val="003B5239"/>
    <w:rsid w:val="003B542A"/>
    <w:rsid w:val="003B5574"/>
    <w:rsid w:val="003B55E3"/>
    <w:rsid w:val="003B5669"/>
    <w:rsid w:val="003B56A5"/>
    <w:rsid w:val="003B56EE"/>
    <w:rsid w:val="003B5736"/>
    <w:rsid w:val="003B577E"/>
    <w:rsid w:val="003B57C4"/>
    <w:rsid w:val="003B583C"/>
    <w:rsid w:val="003B5880"/>
    <w:rsid w:val="003B58F4"/>
    <w:rsid w:val="003B5903"/>
    <w:rsid w:val="003B5932"/>
    <w:rsid w:val="003B595F"/>
    <w:rsid w:val="003B59DE"/>
    <w:rsid w:val="003B59E4"/>
    <w:rsid w:val="003B5A0F"/>
    <w:rsid w:val="003B5B37"/>
    <w:rsid w:val="003B5B41"/>
    <w:rsid w:val="003B5C57"/>
    <w:rsid w:val="003B5F16"/>
    <w:rsid w:val="003B5F1C"/>
    <w:rsid w:val="003B5FBF"/>
    <w:rsid w:val="003B606D"/>
    <w:rsid w:val="003B60A7"/>
    <w:rsid w:val="003B6179"/>
    <w:rsid w:val="003B62D0"/>
    <w:rsid w:val="003B62D3"/>
    <w:rsid w:val="003B6381"/>
    <w:rsid w:val="003B63E5"/>
    <w:rsid w:val="003B63E6"/>
    <w:rsid w:val="003B6432"/>
    <w:rsid w:val="003B6437"/>
    <w:rsid w:val="003B6476"/>
    <w:rsid w:val="003B657A"/>
    <w:rsid w:val="003B6621"/>
    <w:rsid w:val="003B6627"/>
    <w:rsid w:val="003B6755"/>
    <w:rsid w:val="003B6772"/>
    <w:rsid w:val="003B67AD"/>
    <w:rsid w:val="003B67D0"/>
    <w:rsid w:val="003B684A"/>
    <w:rsid w:val="003B6970"/>
    <w:rsid w:val="003B6B75"/>
    <w:rsid w:val="003B6BD0"/>
    <w:rsid w:val="003B6CA2"/>
    <w:rsid w:val="003B6F69"/>
    <w:rsid w:val="003B6F7E"/>
    <w:rsid w:val="003B6F8A"/>
    <w:rsid w:val="003B6F8E"/>
    <w:rsid w:val="003B70E3"/>
    <w:rsid w:val="003B7130"/>
    <w:rsid w:val="003B735B"/>
    <w:rsid w:val="003B73CD"/>
    <w:rsid w:val="003B741C"/>
    <w:rsid w:val="003B743C"/>
    <w:rsid w:val="003B7469"/>
    <w:rsid w:val="003B7503"/>
    <w:rsid w:val="003B75C3"/>
    <w:rsid w:val="003B7615"/>
    <w:rsid w:val="003B761C"/>
    <w:rsid w:val="003B7720"/>
    <w:rsid w:val="003B7859"/>
    <w:rsid w:val="003B785A"/>
    <w:rsid w:val="003B78B9"/>
    <w:rsid w:val="003B78BF"/>
    <w:rsid w:val="003B797B"/>
    <w:rsid w:val="003B7A00"/>
    <w:rsid w:val="003B7A37"/>
    <w:rsid w:val="003B7A93"/>
    <w:rsid w:val="003B7AD8"/>
    <w:rsid w:val="003B7B50"/>
    <w:rsid w:val="003B7BBA"/>
    <w:rsid w:val="003B7D88"/>
    <w:rsid w:val="003B7E47"/>
    <w:rsid w:val="003B7F26"/>
    <w:rsid w:val="003B7F2A"/>
    <w:rsid w:val="003B7F64"/>
    <w:rsid w:val="003B7FAD"/>
    <w:rsid w:val="003C0085"/>
    <w:rsid w:val="003C0281"/>
    <w:rsid w:val="003C0290"/>
    <w:rsid w:val="003C02AB"/>
    <w:rsid w:val="003C0624"/>
    <w:rsid w:val="003C067C"/>
    <w:rsid w:val="003C06FB"/>
    <w:rsid w:val="003C0827"/>
    <w:rsid w:val="003C0835"/>
    <w:rsid w:val="003C084C"/>
    <w:rsid w:val="003C0911"/>
    <w:rsid w:val="003C091B"/>
    <w:rsid w:val="003C0A19"/>
    <w:rsid w:val="003C0AFE"/>
    <w:rsid w:val="003C0BAC"/>
    <w:rsid w:val="003C0C7A"/>
    <w:rsid w:val="003C0D07"/>
    <w:rsid w:val="003C0DC1"/>
    <w:rsid w:val="003C0DEE"/>
    <w:rsid w:val="003C0E6C"/>
    <w:rsid w:val="003C0E81"/>
    <w:rsid w:val="003C0F59"/>
    <w:rsid w:val="003C0FA2"/>
    <w:rsid w:val="003C1032"/>
    <w:rsid w:val="003C1066"/>
    <w:rsid w:val="003C107A"/>
    <w:rsid w:val="003C10CC"/>
    <w:rsid w:val="003C10F1"/>
    <w:rsid w:val="003C1115"/>
    <w:rsid w:val="003C116F"/>
    <w:rsid w:val="003C12DC"/>
    <w:rsid w:val="003C1314"/>
    <w:rsid w:val="003C1321"/>
    <w:rsid w:val="003C1371"/>
    <w:rsid w:val="003C13EE"/>
    <w:rsid w:val="003C145A"/>
    <w:rsid w:val="003C14EA"/>
    <w:rsid w:val="003C1558"/>
    <w:rsid w:val="003C1592"/>
    <w:rsid w:val="003C1686"/>
    <w:rsid w:val="003C16C1"/>
    <w:rsid w:val="003C171A"/>
    <w:rsid w:val="003C1726"/>
    <w:rsid w:val="003C1856"/>
    <w:rsid w:val="003C1932"/>
    <w:rsid w:val="003C1AC1"/>
    <w:rsid w:val="003C1B90"/>
    <w:rsid w:val="003C1C3B"/>
    <w:rsid w:val="003C1C60"/>
    <w:rsid w:val="003C1EAB"/>
    <w:rsid w:val="003C1F2E"/>
    <w:rsid w:val="003C1F38"/>
    <w:rsid w:val="003C1F44"/>
    <w:rsid w:val="003C1F47"/>
    <w:rsid w:val="003C1F58"/>
    <w:rsid w:val="003C1F99"/>
    <w:rsid w:val="003C2096"/>
    <w:rsid w:val="003C2099"/>
    <w:rsid w:val="003C20B8"/>
    <w:rsid w:val="003C20BE"/>
    <w:rsid w:val="003C2207"/>
    <w:rsid w:val="003C2243"/>
    <w:rsid w:val="003C23CA"/>
    <w:rsid w:val="003C23F4"/>
    <w:rsid w:val="003C2465"/>
    <w:rsid w:val="003C255D"/>
    <w:rsid w:val="003C2572"/>
    <w:rsid w:val="003C2581"/>
    <w:rsid w:val="003C26A1"/>
    <w:rsid w:val="003C2754"/>
    <w:rsid w:val="003C27F3"/>
    <w:rsid w:val="003C2A9A"/>
    <w:rsid w:val="003C2AC7"/>
    <w:rsid w:val="003C2DB7"/>
    <w:rsid w:val="003C2DE1"/>
    <w:rsid w:val="003C2E2B"/>
    <w:rsid w:val="003C2F63"/>
    <w:rsid w:val="003C2F6A"/>
    <w:rsid w:val="003C2FD6"/>
    <w:rsid w:val="003C313B"/>
    <w:rsid w:val="003C3255"/>
    <w:rsid w:val="003C32BE"/>
    <w:rsid w:val="003C34CF"/>
    <w:rsid w:val="003C35E1"/>
    <w:rsid w:val="003C375B"/>
    <w:rsid w:val="003C37E5"/>
    <w:rsid w:val="003C3819"/>
    <w:rsid w:val="003C3864"/>
    <w:rsid w:val="003C3980"/>
    <w:rsid w:val="003C3AA1"/>
    <w:rsid w:val="003C3AC1"/>
    <w:rsid w:val="003C3B53"/>
    <w:rsid w:val="003C3BD2"/>
    <w:rsid w:val="003C3D14"/>
    <w:rsid w:val="003C3DC0"/>
    <w:rsid w:val="003C3ECF"/>
    <w:rsid w:val="003C4063"/>
    <w:rsid w:val="003C407B"/>
    <w:rsid w:val="003C408B"/>
    <w:rsid w:val="003C410D"/>
    <w:rsid w:val="003C4117"/>
    <w:rsid w:val="003C4153"/>
    <w:rsid w:val="003C447B"/>
    <w:rsid w:val="003C44A4"/>
    <w:rsid w:val="003C44C1"/>
    <w:rsid w:val="003C44D2"/>
    <w:rsid w:val="003C460B"/>
    <w:rsid w:val="003C4618"/>
    <w:rsid w:val="003C4675"/>
    <w:rsid w:val="003C469F"/>
    <w:rsid w:val="003C47C3"/>
    <w:rsid w:val="003C480E"/>
    <w:rsid w:val="003C4848"/>
    <w:rsid w:val="003C489E"/>
    <w:rsid w:val="003C4947"/>
    <w:rsid w:val="003C4971"/>
    <w:rsid w:val="003C4B41"/>
    <w:rsid w:val="003C4BE2"/>
    <w:rsid w:val="003C4DB1"/>
    <w:rsid w:val="003C4DE3"/>
    <w:rsid w:val="003C50AF"/>
    <w:rsid w:val="003C50B6"/>
    <w:rsid w:val="003C51D1"/>
    <w:rsid w:val="003C5312"/>
    <w:rsid w:val="003C53B9"/>
    <w:rsid w:val="003C5403"/>
    <w:rsid w:val="003C549A"/>
    <w:rsid w:val="003C5519"/>
    <w:rsid w:val="003C5816"/>
    <w:rsid w:val="003C58C5"/>
    <w:rsid w:val="003C59D7"/>
    <w:rsid w:val="003C5C09"/>
    <w:rsid w:val="003C5C7A"/>
    <w:rsid w:val="003C5D62"/>
    <w:rsid w:val="003C5E7F"/>
    <w:rsid w:val="003C5E89"/>
    <w:rsid w:val="003C5F46"/>
    <w:rsid w:val="003C5FF4"/>
    <w:rsid w:val="003C609E"/>
    <w:rsid w:val="003C6212"/>
    <w:rsid w:val="003C626B"/>
    <w:rsid w:val="003C63C2"/>
    <w:rsid w:val="003C6417"/>
    <w:rsid w:val="003C6418"/>
    <w:rsid w:val="003C642D"/>
    <w:rsid w:val="003C64F8"/>
    <w:rsid w:val="003C6537"/>
    <w:rsid w:val="003C655A"/>
    <w:rsid w:val="003C6639"/>
    <w:rsid w:val="003C6794"/>
    <w:rsid w:val="003C67D7"/>
    <w:rsid w:val="003C67E6"/>
    <w:rsid w:val="003C6805"/>
    <w:rsid w:val="003C6A02"/>
    <w:rsid w:val="003C6A6B"/>
    <w:rsid w:val="003C6AB9"/>
    <w:rsid w:val="003C6CC5"/>
    <w:rsid w:val="003C6D1F"/>
    <w:rsid w:val="003C6D53"/>
    <w:rsid w:val="003C6DD2"/>
    <w:rsid w:val="003C6E03"/>
    <w:rsid w:val="003C6E73"/>
    <w:rsid w:val="003C6EBD"/>
    <w:rsid w:val="003C6F47"/>
    <w:rsid w:val="003C6F63"/>
    <w:rsid w:val="003C6FD7"/>
    <w:rsid w:val="003C70ED"/>
    <w:rsid w:val="003C720E"/>
    <w:rsid w:val="003C7277"/>
    <w:rsid w:val="003C72BE"/>
    <w:rsid w:val="003C7312"/>
    <w:rsid w:val="003C731E"/>
    <w:rsid w:val="003C7387"/>
    <w:rsid w:val="003C73E8"/>
    <w:rsid w:val="003C77A4"/>
    <w:rsid w:val="003C7882"/>
    <w:rsid w:val="003C7916"/>
    <w:rsid w:val="003C7B4D"/>
    <w:rsid w:val="003C7D1A"/>
    <w:rsid w:val="003C7FBE"/>
    <w:rsid w:val="003D009C"/>
    <w:rsid w:val="003D00B3"/>
    <w:rsid w:val="003D01B4"/>
    <w:rsid w:val="003D025C"/>
    <w:rsid w:val="003D033E"/>
    <w:rsid w:val="003D0371"/>
    <w:rsid w:val="003D038F"/>
    <w:rsid w:val="003D0420"/>
    <w:rsid w:val="003D0647"/>
    <w:rsid w:val="003D0718"/>
    <w:rsid w:val="003D07A2"/>
    <w:rsid w:val="003D08E9"/>
    <w:rsid w:val="003D09D1"/>
    <w:rsid w:val="003D0B10"/>
    <w:rsid w:val="003D0B2E"/>
    <w:rsid w:val="003D0B4B"/>
    <w:rsid w:val="003D0B52"/>
    <w:rsid w:val="003D0BC4"/>
    <w:rsid w:val="003D0C62"/>
    <w:rsid w:val="003D0D58"/>
    <w:rsid w:val="003D0DB2"/>
    <w:rsid w:val="003D0DF2"/>
    <w:rsid w:val="003D0FCD"/>
    <w:rsid w:val="003D10CD"/>
    <w:rsid w:val="003D116C"/>
    <w:rsid w:val="003D12BD"/>
    <w:rsid w:val="003D12C4"/>
    <w:rsid w:val="003D1303"/>
    <w:rsid w:val="003D1388"/>
    <w:rsid w:val="003D145B"/>
    <w:rsid w:val="003D151C"/>
    <w:rsid w:val="003D1529"/>
    <w:rsid w:val="003D16C5"/>
    <w:rsid w:val="003D176E"/>
    <w:rsid w:val="003D17BF"/>
    <w:rsid w:val="003D1852"/>
    <w:rsid w:val="003D189F"/>
    <w:rsid w:val="003D18BA"/>
    <w:rsid w:val="003D18E8"/>
    <w:rsid w:val="003D1A70"/>
    <w:rsid w:val="003D1BA4"/>
    <w:rsid w:val="003D1CD7"/>
    <w:rsid w:val="003D1E85"/>
    <w:rsid w:val="003D1FD5"/>
    <w:rsid w:val="003D2014"/>
    <w:rsid w:val="003D2017"/>
    <w:rsid w:val="003D2270"/>
    <w:rsid w:val="003D24EB"/>
    <w:rsid w:val="003D2536"/>
    <w:rsid w:val="003D259D"/>
    <w:rsid w:val="003D25DD"/>
    <w:rsid w:val="003D267A"/>
    <w:rsid w:val="003D26CF"/>
    <w:rsid w:val="003D28A7"/>
    <w:rsid w:val="003D28C3"/>
    <w:rsid w:val="003D28FB"/>
    <w:rsid w:val="003D2A5D"/>
    <w:rsid w:val="003D2A83"/>
    <w:rsid w:val="003D2A92"/>
    <w:rsid w:val="003D2B08"/>
    <w:rsid w:val="003D2C45"/>
    <w:rsid w:val="003D2F0D"/>
    <w:rsid w:val="003D2FE0"/>
    <w:rsid w:val="003D3228"/>
    <w:rsid w:val="003D32AE"/>
    <w:rsid w:val="003D339A"/>
    <w:rsid w:val="003D3487"/>
    <w:rsid w:val="003D352F"/>
    <w:rsid w:val="003D3576"/>
    <w:rsid w:val="003D3633"/>
    <w:rsid w:val="003D36A2"/>
    <w:rsid w:val="003D36AA"/>
    <w:rsid w:val="003D36E7"/>
    <w:rsid w:val="003D37DC"/>
    <w:rsid w:val="003D380B"/>
    <w:rsid w:val="003D3822"/>
    <w:rsid w:val="003D387A"/>
    <w:rsid w:val="003D393F"/>
    <w:rsid w:val="003D3941"/>
    <w:rsid w:val="003D3B4E"/>
    <w:rsid w:val="003D3C4F"/>
    <w:rsid w:val="003D3E11"/>
    <w:rsid w:val="003D3E2B"/>
    <w:rsid w:val="003D3E74"/>
    <w:rsid w:val="003D3EA1"/>
    <w:rsid w:val="003D3EA5"/>
    <w:rsid w:val="003D3EDC"/>
    <w:rsid w:val="003D3FD1"/>
    <w:rsid w:val="003D40FB"/>
    <w:rsid w:val="003D4139"/>
    <w:rsid w:val="003D4142"/>
    <w:rsid w:val="003D4247"/>
    <w:rsid w:val="003D4474"/>
    <w:rsid w:val="003D45F7"/>
    <w:rsid w:val="003D4630"/>
    <w:rsid w:val="003D4649"/>
    <w:rsid w:val="003D464D"/>
    <w:rsid w:val="003D47F9"/>
    <w:rsid w:val="003D4831"/>
    <w:rsid w:val="003D487C"/>
    <w:rsid w:val="003D4A47"/>
    <w:rsid w:val="003D4A50"/>
    <w:rsid w:val="003D4A70"/>
    <w:rsid w:val="003D4AD4"/>
    <w:rsid w:val="003D4B22"/>
    <w:rsid w:val="003D4B42"/>
    <w:rsid w:val="003D4B6C"/>
    <w:rsid w:val="003D4C81"/>
    <w:rsid w:val="003D4D0F"/>
    <w:rsid w:val="003D4F2F"/>
    <w:rsid w:val="003D4F4C"/>
    <w:rsid w:val="003D4FCC"/>
    <w:rsid w:val="003D4FF3"/>
    <w:rsid w:val="003D507E"/>
    <w:rsid w:val="003D51E8"/>
    <w:rsid w:val="003D5218"/>
    <w:rsid w:val="003D525E"/>
    <w:rsid w:val="003D5265"/>
    <w:rsid w:val="003D5290"/>
    <w:rsid w:val="003D52EA"/>
    <w:rsid w:val="003D533A"/>
    <w:rsid w:val="003D53F0"/>
    <w:rsid w:val="003D5403"/>
    <w:rsid w:val="003D5545"/>
    <w:rsid w:val="003D5612"/>
    <w:rsid w:val="003D56D4"/>
    <w:rsid w:val="003D5825"/>
    <w:rsid w:val="003D5938"/>
    <w:rsid w:val="003D594B"/>
    <w:rsid w:val="003D594F"/>
    <w:rsid w:val="003D59D0"/>
    <w:rsid w:val="003D5A85"/>
    <w:rsid w:val="003D5BF7"/>
    <w:rsid w:val="003D5C51"/>
    <w:rsid w:val="003D5C5E"/>
    <w:rsid w:val="003D5C62"/>
    <w:rsid w:val="003D5CB7"/>
    <w:rsid w:val="003D5DA0"/>
    <w:rsid w:val="003D5EA3"/>
    <w:rsid w:val="003D5EC9"/>
    <w:rsid w:val="003D5EDA"/>
    <w:rsid w:val="003D60EE"/>
    <w:rsid w:val="003D611B"/>
    <w:rsid w:val="003D6264"/>
    <w:rsid w:val="003D6332"/>
    <w:rsid w:val="003D63EA"/>
    <w:rsid w:val="003D66A2"/>
    <w:rsid w:val="003D66EA"/>
    <w:rsid w:val="003D677D"/>
    <w:rsid w:val="003D67BC"/>
    <w:rsid w:val="003D699B"/>
    <w:rsid w:val="003D6A85"/>
    <w:rsid w:val="003D6B9D"/>
    <w:rsid w:val="003D6BCB"/>
    <w:rsid w:val="003D6BE0"/>
    <w:rsid w:val="003D6BFF"/>
    <w:rsid w:val="003D6C02"/>
    <w:rsid w:val="003D6C26"/>
    <w:rsid w:val="003D6D18"/>
    <w:rsid w:val="003D6F49"/>
    <w:rsid w:val="003D6F90"/>
    <w:rsid w:val="003D7085"/>
    <w:rsid w:val="003D719F"/>
    <w:rsid w:val="003D7216"/>
    <w:rsid w:val="003D7237"/>
    <w:rsid w:val="003D72F0"/>
    <w:rsid w:val="003D7304"/>
    <w:rsid w:val="003D7331"/>
    <w:rsid w:val="003D7377"/>
    <w:rsid w:val="003D73F2"/>
    <w:rsid w:val="003D73FC"/>
    <w:rsid w:val="003D74C3"/>
    <w:rsid w:val="003D755A"/>
    <w:rsid w:val="003D776B"/>
    <w:rsid w:val="003D781E"/>
    <w:rsid w:val="003D7826"/>
    <w:rsid w:val="003D797C"/>
    <w:rsid w:val="003D7A5F"/>
    <w:rsid w:val="003D7C12"/>
    <w:rsid w:val="003D7E6C"/>
    <w:rsid w:val="003D7E87"/>
    <w:rsid w:val="003D7ED0"/>
    <w:rsid w:val="003D7F99"/>
    <w:rsid w:val="003D7FB5"/>
    <w:rsid w:val="003E0071"/>
    <w:rsid w:val="003E00C1"/>
    <w:rsid w:val="003E039A"/>
    <w:rsid w:val="003E03C0"/>
    <w:rsid w:val="003E0430"/>
    <w:rsid w:val="003E0540"/>
    <w:rsid w:val="003E0674"/>
    <w:rsid w:val="003E067F"/>
    <w:rsid w:val="003E0740"/>
    <w:rsid w:val="003E07F4"/>
    <w:rsid w:val="003E08A7"/>
    <w:rsid w:val="003E08D0"/>
    <w:rsid w:val="003E0921"/>
    <w:rsid w:val="003E0A6D"/>
    <w:rsid w:val="003E0A72"/>
    <w:rsid w:val="003E0B4A"/>
    <w:rsid w:val="003E0CD6"/>
    <w:rsid w:val="003E0D86"/>
    <w:rsid w:val="003E0D96"/>
    <w:rsid w:val="003E0DA1"/>
    <w:rsid w:val="003E0E15"/>
    <w:rsid w:val="003E0E24"/>
    <w:rsid w:val="003E0E48"/>
    <w:rsid w:val="003E0EA3"/>
    <w:rsid w:val="003E1047"/>
    <w:rsid w:val="003E11AB"/>
    <w:rsid w:val="003E131B"/>
    <w:rsid w:val="003E135A"/>
    <w:rsid w:val="003E13A9"/>
    <w:rsid w:val="003E13CF"/>
    <w:rsid w:val="003E1502"/>
    <w:rsid w:val="003E152A"/>
    <w:rsid w:val="003E158B"/>
    <w:rsid w:val="003E15E4"/>
    <w:rsid w:val="003E182C"/>
    <w:rsid w:val="003E1841"/>
    <w:rsid w:val="003E18E0"/>
    <w:rsid w:val="003E18F1"/>
    <w:rsid w:val="003E196B"/>
    <w:rsid w:val="003E1A23"/>
    <w:rsid w:val="003E1AA6"/>
    <w:rsid w:val="003E1ADD"/>
    <w:rsid w:val="003E1B18"/>
    <w:rsid w:val="003E1CC1"/>
    <w:rsid w:val="003E1CCA"/>
    <w:rsid w:val="003E1DFC"/>
    <w:rsid w:val="003E1EDB"/>
    <w:rsid w:val="003E1F41"/>
    <w:rsid w:val="003E1F95"/>
    <w:rsid w:val="003E1FEF"/>
    <w:rsid w:val="003E2161"/>
    <w:rsid w:val="003E2170"/>
    <w:rsid w:val="003E222D"/>
    <w:rsid w:val="003E22B4"/>
    <w:rsid w:val="003E22E0"/>
    <w:rsid w:val="003E23B4"/>
    <w:rsid w:val="003E23E4"/>
    <w:rsid w:val="003E2400"/>
    <w:rsid w:val="003E243C"/>
    <w:rsid w:val="003E24DC"/>
    <w:rsid w:val="003E258F"/>
    <w:rsid w:val="003E25D4"/>
    <w:rsid w:val="003E26D2"/>
    <w:rsid w:val="003E26FB"/>
    <w:rsid w:val="003E273B"/>
    <w:rsid w:val="003E2750"/>
    <w:rsid w:val="003E2761"/>
    <w:rsid w:val="003E2905"/>
    <w:rsid w:val="003E2969"/>
    <w:rsid w:val="003E2C30"/>
    <w:rsid w:val="003E2CAE"/>
    <w:rsid w:val="003E2CC0"/>
    <w:rsid w:val="003E2D8E"/>
    <w:rsid w:val="003E2DAC"/>
    <w:rsid w:val="003E2DBA"/>
    <w:rsid w:val="003E2E17"/>
    <w:rsid w:val="003E2E41"/>
    <w:rsid w:val="003E2F46"/>
    <w:rsid w:val="003E2FA2"/>
    <w:rsid w:val="003E2FB2"/>
    <w:rsid w:val="003E3030"/>
    <w:rsid w:val="003E30AE"/>
    <w:rsid w:val="003E31F9"/>
    <w:rsid w:val="003E3268"/>
    <w:rsid w:val="003E3305"/>
    <w:rsid w:val="003E34D7"/>
    <w:rsid w:val="003E3676"/>
    <w:rsid w:val="003E3783"/>
    <w:rsid w:val="003E37C7"/>
    <w:rsid w:val="003E393B"/>
    <w:rsid w:val="003E3AFA"/>
    <w:rsid w:val="003E3C28"/>
    <w:rsid w:val="003E3CAA"/>
    <w:rsid w:val="003E3D12"/>
    <w:rsid w:val="003E3D5D"/>
    <w:rsid w:val="003E3D5E"/>
    <w:rsid w:val="003E3E00"/>
    <w:rsid w:val="003E3E5E"/>
    <w:rsid w:val="003E405F"/>
    <w:rsid w:val="003E4219"/>
    <w:rsid w:val="003E42D0"/>
    <w:rsid w:val="003E4334"/>
    <w:rsid w:val="003E43A5"/>
    <w:rsid w:val="003E450E"/>
    <w:rsid w:val="003E460E"/>
    <w:rsid w:val="003E468B"/>
    <w:rsid w:val="003E46BD"/>
    <w:rsid w:val="003E4724"/>
    <w:rsid w:val="003E477C"/>
    <w:rsid w:val="003E4943"/>
    <w:rsid w:val="003E4A47"/>
    <w:rsid w:val="003E4B07"/>
    <w:rsid w:val="003E4BA2"/>
    <w:rsid w:val="003E4CC8"/>
    <w:rsid w:val="003E4DCC"/>
    <w:rsid w:val="003E4FE2"/>
    <w:rsid w:val="003E50FA"/>
    <w:rsid w:val="003E5369"/>
    <w:rsid w:val="003E5378"/>
    <w:rsid w:val="003E53E3"/>
    <w:rsid w:val="003E5448"/>
    <w:rsid w:val="003E550C"/>
    <w:rsid w:val="003E5583"/>
    <w:rsid w:val="003E558F"/>
    <w:rsid w:val="003E55A2"/>
    <w:rsid w:val="003E55D9"/>
    <w:rsid w:val="003E5821"/>
    <w:rsid w:val="003E593F"/>
    <w:rsid w:val="003E5A1D"/>
    <w:rsid w:val="003E5D49"/>
    <w:rsid w:val="003E5DAB"/>
    <w:rsid w:val="003E5E1C"/>
    <w:rsid w:val="003E5E34"/>
    <w:rsid w:val="003E5F71"/>
    <w:rsid w:val="003E5F9F"/>
    <w:rsid w:val="003E5FA5"/>
    <w:rsid w:val="003E5FF5"/>
    <w:rsid w:val="003E6074"/>
    <w:rsid w:val="003E614A"/>
    <w:rsid w:val="003E61BA"/>
    <w:rsid w:val="003E634C"/>
    <w:rsid w:val="003E6367"/>
    <w:rsid w:val="003E6432"/>
    <w:rsid w:val="003E6581"/>
    <w:rsid w:val="003E6754"/>
    <w:rsid w:val="003E67F8"/>
    <w:rsid w:val="003E6896"/>
    <w:rsid w:val="003E68AC"/>
    <w:rsid w:val="003E6AC1"/>
    <w:rsid w:val="003E6CDD"/>
    <w:rsid w:val="003E6DE5"/>
    <w:rsid w:val="003E6F60"/>
    <w:rsid w:val="003E703D"/>
    <w:rsid w:val="003E705B"/>
    <w:rsid w:val="003E7209"/>
    <w:rsid w:val="003E72F1"/>
    <w:rsid w:val="003E734E"/>
    <w:rsid w:val="003E73C3"/>
    <w:rsid w:val="003E73E6"/>
    <w:rsid w:val="003E75BE"/>
    <w:rsid w:val="003E77EB"/>
    <w:rsid w:val="003E77F0"/>
    <w:rsid w:val="003E7828"/>
    <w:rsid w:val="003E78C9"/>
    <w:rsid w:val="003E79DC"/>
    <w:rsid w:val="003E79DD"/>
    <w:rsid w:val="003E7A5A"/>
    <w:rsid w:val="003E7A98"/>
    <w:rsid w:val="003E7AC0"/>
    <w:rsid w:val="003E7AEE"/>
    <w:rsid w:val="003E7AFC"/>
    <w:rsid w:val="003E7B01"/>
    <w:rsid w:val="003E7B73"/>
    <w:rsid w:val="003E7CCE"/>
    <w:rsid w:val="003E7D02"/>
    <w:rsid w:val="003E7E8B"/>
    <w:rsid w:val="003E7EBF"/>
    <w:rsid w:val="003F00F0"/>
    <w:rsid w:val="003F0237"/>
    <w:rsid w:val="003F0268"/>
    <w:rsid w:val="003F028B"/>
    <w:rsid w:val="003F0294"/>
    <w:rsid w:val="003F02EB"/>
    <w:rsid w:val="003F0407"/>
    <w:rsid w:val="003F0545"/>
    <w:rsid w:val="003F05D9"/>
    <w:rsid w:val="003F063F"/>
    <w:rsid w:val="003F0664"/>
    <w:rsid w:val="003F0699"/>
    <w:rsid w:val="003F06A6"/>
    <w:rsid w:val="003F06D9"/>
    <w:rsid w:val="003F07A0"/>
    <w:rsid w:val="003F0820"/>
    <w:rsid w:val="003F089E"/>
    <w:rsid w:val="003F094F"/>
    <w:rsid w:val="003F09E5"/>
    <w:rsid w:val="003F0A07"/>
    <w:rsid w:val="003F0AFD"/>
    <w:rsid w:val="003F0B6A"/>
    <w:rsid w:val="003F0BCB"/>
    <w:rsid w:val="003F0C4C"/>
    <w:rsid w:val="003F0EAB"/>
    <w:rsid w:val="003F0F22"/>
    <w:rsid w:val="003F111A"/>
    <w:rsid w:val="003F1135"/>
    <w:rsid w:val="003F12DE"/>
    <w:rsid w:val="003F137F"/>
    <w:rsid w:val="003F14F1"/>
    <w:rsid w:val="003F154B"/>
    <w:rsid w:val="003F158F"/>
    <w:rsid w:val="003F1600"/>
    <w:rsid w:val="003F1626"/>
    <w:rsid w:val="003F1642"/>
    <w:rsid w:val="003F170F"/>
    <w:rsid w:val="003F175D"/>
    <w:rsid w:val="003F1855"/>
    <w:rsid w:val="003F18DE"/>
    <w:rsid w:val="003F18E5"/>
    <w:rsid w:val="003F196A"/>
    <w:rsid w:val="003F19C3"/>
    <w:rsid w:val="003F1A04"/>
    <w:rsid w:val="003F1B37"/>
    <w:rsid w:val="003F1BA5"/>
    <w:rsid w:val="003F1E2D"/>
    <w:rsid w:val="003F1F45"/>
    <w:rsid w:val="003F1F8D"/>
    <w:rsid w:val="003F2040"/>
    <w:rsid w:val="003F2102"/>
    <w:rsid w:val="003F2155"/>
    <w:rsid w:val="003F216F"/>
    <w:rsid w:val="003F2343"/>
    <w:rsid w:val="003F2491"/>
    <w:rsid w:val="003F2492"/>
    <w:rsid w:val="003F24B0"/>
    <w:rsid w:val="003F2523"/>
    <w:rsid w:val="003F25AA"/>
    <w:rsid w:val="003F263B"/>
    <w:rsid w:val="003F265D"/>
    <w:rsid w:val="003F2687"/>
    <w:rsid w:val="003F270C"/>
    <w:rsid w:val="003F2771"/>
    <w:rsid w:val="003F27FC"/>
    <w:rsid w:val="003F281A"/>
    <w:rsid w:val="003F28A1"/>
    <w:rsid w:val="003F2953"/>
    <w:rsid w:val="003F2A90"/>
    <w:rsid w:val="003F2A9E"/>
    <w:rsid w:val="003F2B2F"/>
    <w:rsid w:val="003F2B35"/>
    <w:rsid w:val="003F2B56"/>
    <w:rsid w:val="003F2C57"/>
    <w:rsid w:val="003F2EBB"/>
    <w:rsid w:val="003F2F72"/>
    <w:rsid w:val="003F303C"/>
    <w:rsid w:val="003F31CB"/>
    <w:rsid w:val="003F3294"/>
    <w:rsid w:val="003F329A"/>
    <w:rsid w:val="003F3358"/>
    <w:rsid w:val="003F34E3"/>
    <w:rsid w:val="003F354D"/>
    <w:rsid w:val="003F35C0"/>
    <w:rsid w:val="003F3660"/>
    <w:rsid w:val="003F3716"/>
    <w:rsid w:val="003F3720"/>
    <w:rsid w:val="003F385B"/>
    <w:rsid w:val="003F3877"/>
    <w:rsid w:val="003F39CC"/>
    <w:rsid w:val="003F39E3"/>
    <w:rsid w:val="003F39E8"/>
    <w:rsid w:val="003F3AE3"/>
    <w:rsid w:val="003F3B4B"/>
    <w:rsid w:val="003F3B58"/>
    <w:rsid w:val="003F3C54"/>
    <w:rsid w:val="003F3D83"/>
    <w:rsid w:val="003F3DD7"/>
    <w:rsid w:val="003F3FE5"/>
    <w:rsid w:val="003F4016"/>
    <w:rsid w:val="003F41CB"/>
    <w:rsid w:val="003F41D9"/>
    <w:rsid w:val="003F41EB"/>
    <w:rsid w:val="003F428B"/>
    <w:rsid w:val="003F429E"/>
    <w:rsid w:val="003F4395"/>
    <w:rsid w:val="003F44C6"/>
    <w:rsid w:val="003F454D"/>
    <w:rsid w:val="003F4615"/>
    <w:rsid w:val="003F466F"/>
    <w:rsid w:val="003F4845"/>
    <w:rsid w:val="003F48D2"/>
    <w:rsid w:val="003F4956"/>
    <w:rsid w:val="003F4A42"/>
    <w:rsid w:val="003F4A7C"/>
    <w:rsid w:val="003F4CB7"/>
    <w:rsid w:val="003F4F14"/>
    <w:rsid w:val="003F4FEB"/>
    <w:rsid w:val="003F5060"/>
    <w:rsid w:val="003F50E6"/>
    <w:rsid w:val="003F511E"/>
    <w:rsid w:val="003F51ED"/>
    <w:rsid w:val="003F51F6"/>
    <w:rsid w:val="003F5301"/>
    <w:rsid w:val="003F5305"/>
    <w:rsid w:val="003F536D"/>
    <w:rsid w:val="003F54B2"/>
    <w:rsid w:val="003F54F0"/>
    <w:rsid w:val="003F5667"/>
    <w:rsid w:val="003F56EF"/>
    <w:rsid w:val="003F581A"/>
    <w:rsid w:val="003F5828"/>
    <w:rsid w:val="003F583B"/>
    <w:rsid w:val="003F5877"/>
    <w:rsid w:val="003F5995"/>
    <w:rsid w:val="003F5ABC"/>
    <w:rsid w:val="003F5B1A"/>
    <w:rsid w:val="003F5B40"/>
    <w:rsid w:val="003F5D35"/>
    <w:rsid w:val="003F5DF6"/>
    <w:rsid w:val="003F5F2E"/>
    <w:rsid w:val="003F5FE4"/>
    <w:rsid w:val="003F6005"/>
    <w:rsid w:val="003F610A"/>
    <w:rsid w:val="003F611F"/>
    <w:rsid w:val="003F6171"/>
    <w:rsid w:val="003F61CB"/>
    <w:rsid w:val="003F6224"/>
    <w:rsid w:val="003F6265"/>
    <w:rsid w:val="003F63A4"/>
    <w:rsid w:val="003F63E6"/>
    <w:rsid w:val="003F646C"/>
    <w:rsid w:val="003F6509"/>
    <w:rsid w:val="003F6581"/>
    <w:rsid w:val="003F665D"/>
    <w:rsid w:val="003F6678"/>
    <w:rsid w:val="003F66AF"/>
    <w:rsid w:val="003F6770"/>
    <w:rsid w:val="003F684C"/>
    <w:rsid w:val="003F6964"/>
    <w:rsid w:val="003F69A9"/>
    <w:rsid w:val="003F69FD"/>
    <w:rsid w:val="003F6AD7"/>
    <w:rsid w:val="003F6BAE"/>
    <w:rsid w:val="003F6C0D"/>
    <w:rsid w:val="003F6C0E"/>
    <w:rsid w:val="003F6DE4"/>
    <w:rsid w:val="003F6F5F"/>
    <w:rsid w:val="003F6FD6"/>
    <w:rsid w:val="003F70A2"/>
    <w:rsid w:val="003F71DE"/>
    <w:rsid w:val="003F71F6"/>
    <w:rsid w:val="003F732B"/>
    <w:rsid w:val="003F751B"/>
    <w:rsid w:val="003F75BE"/>
    <w:rsid w:val="003F7659"/>
    <w:rsid w:val="003F76BA"/>
    <w:rsid w:val="003F7712"/>
    <w:rsid w:val="003F777C"/>
    <w:rsid w:val="003F77A5"/>
    <w:rsid w:val="003F77B0"/>
    <w:rsid w:val="003F78C0"/>
    <w:rsid w:val="003F7919"/>
    <w:rsid w:val="003F7950"/>
    <w:rsid w:val="003F7966"/>
    <w:rsid w:val="003F7A18"/>
    <w:rsid w:val="003F7A84"/>
    <w:rsid w:val="003F7BB0"/>
    <w:rsid w:val="003F7C70"/>
    <w:rsid w:val="003F7DE9"/>
    <w:rsid w:val="003F7E98"/>
    <w:rsid w:val="003F7EC8"/>
    <w:rsid w:val="003F7ED0"/>
    <w:rsid w:val="003F7F4D"/>
    <w:rsid w:val="003F7F90"/>
    <w:rsid w:val="00400036"/>
    <w:rsid w:val="00400069"/>
    <w:rsid w:val="0040026D"/>
    <w:rsid w:val="00400308"/>
    <w:rsid w:val="00400422"/>
    <w:rsid w:val="00400446"/>
    <w:rsid w:val="00400519"/>
    <w:rsid w:val="004005A7"/>
    <w:rsid w:val="004007FC"/>
    <w:rsid w:val="004009D9"/>
    <w:rsid w:val="00400A7A"/>
    <w:rsid w:val="00400A7E"/>
    <w:rsid w:val="00400B19"/>
    <w:rsid w:val="00400B33"/>
    <w:rsid w:val="00400B67"/>
    <w:rsid w:val="00400DBE"/>
    <w:rsid w:val="00400DFF"/>
    <w:rsid w:val="00400FA9"/>
    <w:rsid w:val="00400FF0"/>
    <w:rsid w:val="00401194"/>
    <w:rsid w:val="00401254"/>
    <w:rsid w:val="00401288"/>
    <w:rsid w:val="0040129E"/>
    <w:rsid w:val="0040136E"/>
    <w:rsid w:val="0040148E"/>
    <w:rsid w:val="004014D6"/>
    <w:rsid w:val="00401582"/>
    <w:rsid w:val="004015BB"/>
    <w:rsid w:val="004015E7"/>
    <w:rsid w:val="00401604"/>
    <w:rsid w:val="00401619"/>
    <w:rsid w:val="004016F2"/>
    <w:rsid w:val="0040175E"/>
    <w:rsid w:val="0040178C"/>
    <w:rsid w:val="0040187D"/>
    <w:rsid w:val="00401A13"/>
    <w:rsid w:val="00401A48"/>
    <w:rsid w:val="00401AC4"/>
    <w:rsid w:val="00401B0D"/>
    <w:rsid w:val="00401B62"/>
    <w:rsid w:val="00401B7F"/>
    <w:rsid w:val="00401D40"/>
    <w:rsid w:val="00401E64"/>
    <w:rsid w:val="00401E7D"/>
    <w:rsid w:val="00401EC2"/>
    <w:rsid w:val="004020D5"/>
    <w:rsid w:val="0040212E"/>
    <w:rsid w:val="004021A4"/>
    <w:rsid w:val="00402210"/>
    <w:rsid w:val="0040228C"/>
    <w:rsid w:val="004022AA"/>
    <w:rsid w:val="00402376"/>
    <w:rsid w:val="00402475"/>
    <w:rsid w:val="004024CE"/>
    <w:rsid w:val="004025B9"/>
    <w:rsid w:val="004026CA"/>
    <w:rsid w:val="0040270F"/>
    <w:rsid w:val="00402770"/>
    <w:rsid w:val="0040280F"/>
    <w:rsid w:val="00402843"/>
    <w:rsid w:val="0040284C"/>
    <w:rsid w:val="004029B6"/>
    <w:rsid w:val="00402A02"/>
    <w:rsid w:val="00402AB8"/>
    <w:rsid w:val="00402D44"/>
    <w:rsid w:val="00402D49"/>
    <w:rsid w:val="00402DBF"/>
    <w:rsid w:val="00402E1E"/>
    <w:rsid w:val="00402E6B"/>
    <w:rsid w:val="00402EA3"/>
    <w:rsid w:val="00402EA8"/>
    <w:rsid w:val="00402EC5"/>
    <w:rsid w:val="00402F28"/>
    <w:rsid w:val="00402F5C"/>
    <w:rsid w:val="00402FFB"/>
    <w:rsid w:val="0040316B"/>
    <w:rsid w:val="00403199"/>
    <w:rsid w:val="004031F3"/>
    <w:rsid w:val="004032A7"/>
    <w:rsid w:val="00403396"/>
    <w:rsid w:val="00403430"/>
    <w:rsid w:val="0040346C"/>
    <w:rsid w:val="00403511"/>
    <w:rsid w:val="00403553"/>
    <w:rsid w:val="004035E8"/>
    <w:rsid w:val="00403693"/>
    <w:rsid w:val="004036DA"/>
    <w:rsid w:val="00403758"/>
    <w:rsid w:val="0040383F"/>
    <w:rsid w:val="00403924"/>
    <w:rsid w:val="00403AEA"/>
    <w:rsid w:val="00403B42"/>
    <w:rsid w:val="00403C3A"/>
    <w:rsid w:val="00403C96"/>
    <w:rsid w:val="00403D01"/>
    <w:rsid w:val="00403D88"/>
    <w:rsid w:val="00403E8B"/>
    <w:rsid w:val="00403EF0"/>
    <w:rsid w:val="00403F6C"/>
    <w:rsid w:val="004041DF"/>
    <w:rsid w:val="004042E8"/>
    <w:rsid w:val="0040431D"/>
    <w:rsid w:val="00404428"/>
    <w:rsid w:val="00404456"/>
    <w:rsid w:val="004044EF"/>
    <w:rsid w:val="004044F4"/>
    <w:rsid w:val="0040461A"/>
    <w:rsid w:val="0040471E"/>
    <w:rsid w:val="004047CD"/>
    <w:rsid w:val="0040485D"/>
    <w:rsid w:val="004048C0"/>
    <w:rsid w:val="004048D7"/>
    <w:rsid w:val="004048DA"/>
    <w:rsid w:val="00404919"/>
    <w:rsid w:val="0040496D"/>
    <w:rsid w:val="004049F2"/>
    <w:rsid w:val="00404A24"/>
    <w:rsid w:val="00404A2B"/>
    <w:rsid w:val="00404A54"/>
    <w:rsid w:val="00404B2D"/>
    <w:rsid w:val="00404BA2"/>
    <w:rsid w:val="00404CAE"/>
    <w:rsid w:val="00404CBD"/>
    <w:rsid w:val="00404CE3"/>
    <w:rsid w:val="00404D11"/>
    <w:rsid w:val="00404D1C"/>
    <w:rsid w:val="00404DFC"/>
    <w:rsid w:val="00404F8C"/>
    <w:rsid w:val="004050C7"/>
    <w:rsid w:val="004050F0"/>
    <w:rsid w:val="00405108"/>
    <w:rsid w:val="00405177"/>
    <w:rsid w:val="00405216"/>
    <w:rsid w:val="004052AE"/>
    <w:rsid w:val="00405367"/>
    <w:rsid w:val="00405462"/>
    <w:rsid w:val="004055A7"/>
    <w:rsid w:val="00405643"/>
    <w:rsid w:val="00405662"/>
    <w:rsid w:val="00405674"/>
    <w:rsid w:val="0040571F"/>
    <w:rsid w:val="00405776"/>
    <w:rsid w:val="00405780"/>
    <w:rsid w:val="00405A3A"/>
    <w:rsid w:val="00405A9F"/>
    <w:rsid w:val="00405BC7"/>
    <w:rsid w:val="00405BD6"/>
    <w:rsid w:val="00405BE6"/>
    <w:rsid w:val="00405D8D"/>
    <w:rsid w:val="00405E99"/>
    <w:rsid w:val="00405F31"/>
    <w:rsid w:val="00405FD8"/>
    <w:rsid w:val="0040603E"/>
    <w:rsid w:val="004060EF"/>
    <w:rsid w:val="00406161"/>
    <w:rsid w:val="00406224"/>
    <w:rsid w:val="00406323"/>
    <w:rsid w:val="0040638F"/>
    <w:rsid w:val="004063FE"/>
    <w:rsid w:val="00406460"/>
    <w:rsid w:val="004064C4"/>
    <w:rsid w:val="004064F5"/>
    <w:rsid w:val="0040654C"/>
    <w:rsid w:val="0040654E"/>
    <w:rsid w:val="00406589"/>
    <w:rsid w:val="00406696"/>
    <w:rsid w:val="0040672B"/>
    <w:rsid w:val="0040688F"/>
    <w:rsid w:val="004068D2"/>
    <w:rsid w:val="004068EA"/>
    <w:rsid w:val="0040695F"/>
    <w:rsid w:val="00406A3E"/>
    <w:rsid w:val="00406A45"/>
    <w:rsid w:val="00406D1E"/>
    <w:rsid w:val="00406D5F"/>
    <w:rsid w:val="00406FD7"/>
    <w:rsid w:val="004070D0"/>
    <w:rsid w:val="00407144"/>
    <w:rsid w:val="004073CB"/>
    <w:rsid w:val="0040740F"/>
    <w:rsid w:val="00407440"/>
    <w:rsid w:val="004074D6"/>
    <w:rsid w:val="00407507"/>
    <w:rsid w:val="004075ED"/>
    <w:rsid w:val="0040761F"/>
    <w:rsid w:val="0040766D"/>
    <w:rsid w:val="004076AB"/>
    <w:rsid w:val="00407753"/>
    <w:rsid w:val="0040777A"/>
    <w:rsid w:val="004077CE"/>
    <w:rsid w:val="0040781F"/>
    <w:rsid w:val="00407838"/>
    <w:rsid w:val="00407879"/>
    <w:rsid w:val="00407906"/>
    <w:rsid w:val="004079EE"/>
    <w:rsid w:val="00407A89"/>
    <w:rsid w:val="00407A96"/>
    <w:rsid w:val="00407B8F"/>
    <w:rsid w:val="00407C48"/>
    <w:rsid w:val="00407D38"/>
    <w:rsid w:val="00407D5C"/>
    <w:rsid w:val="00407D65"/>
    <w:rsid w:val="00407DAA"/>
    <w:rsid w:val="00407E52"/>
    <w:rsid w:val="00407F41"/>
    <w:rsid w:val="0041005C"/>
    <w:rsid w:val="0041007C"/>
    <w:rsid w:val="00410091"/>
    <w:rsid w:val="00410107"/>
    <w:rsid w:val="00410108"/>
    <w:rsid w:val="004101E5"/>
    <w:rsid w:val="00410224"/>
    <w:rsid w:val="0041028B"/>
    <w:rsid w:val="004102B8"/>
    <w:rsid w:val="004102DA"/>
    <w:rsid w:val="004106DC"/>
    <w:rsid w:val="0041070D"/>
    <w:rsid w:val="004107C2"/>
    <w:rsid w:val="00410843"/>
    <w:rsid w:val="00410A04"/>
    <w:rsid w:val="00410A26"/>
    <w:rsid w:val="00410A9A"/>
    <w:rsid w:val="00410AF2"/>
    <w:rsid w:val="00410B18"/>
    <w:rsid w:val="00410C67"/>
    <w:rsid w:val="00410F31"/>
    <w:rsid w:val="00410F42"/>
    <w:rsid w:val="004110B2"/>
    <w:rsid w:val="00411144"/>
    <w:rsid w:val="0041114D"/>
    <w:rsid w:val="004111A0"/>
    <w:rsid w:val="004111B5"/>
    <w:rsid w:val="004111F0"/>
    <w:rsid w:val="00411284"/>
    <w:rsid w:val="00411338"/>
    <w:rsid w:val="00411372"/>
    <w:rsid w:val="00411384"/>
    <w:rsid w:val="00411415"/>
    <w:rsid w:val="0041165A"/>
    <w:rsid w:val="004116CA"/>
    <w:rsid w:val="00411701"/>
    <w:rsid w:val="00411843"/>
    <w:rsid w:val="00411849"/>
    <w:rsid w:val="00411965"/>
    <w:rsid w:val="00411977"/>
    <w:rsid w:val="00411AD5"/>
    <w:rsid w:val="00411D84"/>
    <w:rsid w:val="00411DE2"/>
    <w:rsid w:val="00411E23"/>
    <w:rsid w:val="00411F9A"/>
    <w:rsid w:val="0041207F"/>
    <w:rsid w:val="004120F0"/>
    <w:rsid w:val="00412135"/>
    <w:rsid w:val="00412185"/>
    <w:rsid w:val="004121C1"/>
    <w:rsid w:val="0041220D"/>
    <w:rsid w:val="00412332"/>
    <w:rsid w:val="0041233A"/>
    <w:rsid w:val="00412376"/>
    <w:rsid w:val="00412380"/>
    <w:rsid w:val="00412409"/>
    <w:rsid w:val="0041240D"/>
    <w:rsid w:val="00412468"/>
    <w:rsid w:val="004125E0"/>
    <w:rsid w:val="004126A2"/>
    <w:rsid w:val="00412C3C"/>
    <w:rsid w:val="00412CBA"/>
    <w:rsid w:val="00412D3D"/>
    <w:rsid w:val="00412EB5"/>
    <w:rsid w:val="00412F43"/>
    <w:rsid w:val="00412F85"/>
    <w:rsid w:val="00412F96"/>
    <w:rsid w:val="00412FF8"/>
    <w:rsid w:val="00413173"/>
    <w:rsid w:val="00413206"/>
    <w:rsid w:val="0041325F"/>
    <w:rsid w:val="004132E5"/>
    <w:rsid w:val="00413496"/>
    <w:rsid w:val="0041359D"/>
    <w:rsid w:val="004135FA"/>
    <w:rsid w:val="004136AE"/>
    <w:rsid w:val="00413723"/>
    <w:rsid w:val="0041374D"/>
    <w:rsid w:val="00413755"/>
    <w:rsid w:val="0041396D"/>
    <w:rsid w:val="004139C3"/>
    <w:rsid w:val="00413A72"/>
    <w:rsid w:val="00413AB6"/>
    <w:rsid w:val="00413B8D"/>
    <w:rsid w:val="00413BF8"/>
    <w:rsid w:val="00413C63"/>
    <w:rsid w:val="00413CE1"/>
    <w:rsid w:val="00413E04"/>
    <w:rsid w:val="00413EC1"/>
    <w:rsid w:val="00413F4E"/>
    <w:rsid w:val="00413F7D"/>
    <w:rsid w:val="00414108"/>
    <w:rsid w:val="00414157"/>
    <w:rsid w:val="0041417A"/>
    <w:rsid w:val="0041417E"/>
    <w:rsid w:val="00414180"/>
    <w:rsid w:val="004141B4"/>
    <w:rsid w:val="0041420E"/>
    <w:rsid w:val="004142CF"/>
    <w:rsid w:val="00414403"/>
    <w:rsid w:val="00414409"/>
    <w:rsid w:val="00414475"/>
    <w:rsid w:val="00414499"/>
    <w:rsid w:val="004144BB"/>
    <w:rsid w:val="004144C2"/>
    <w:rsid w:val="00414631"/>
    <w:rsid w:val="0041466D"/>
    <w:rsid w:val="0041467A"/>
    <w:rsid w:val="0041479B"/>
    <w:rsid w:val="004148D7"/>
    <w:rsid w:val="0041491E"/>
    <w:rsid w:val="004149BA"/>
    <w:rsid w:val="00414A95"/>
    <w:rsid w:val="00414AD7"/>
    <w:rsid w:val="00414BCB"/>
    <w:rsid w:val="00414C8D"/>
    <w:rsid w:val="00414DA4"/>
    <w:rsid w:val="00414DF7"/>
    <w:rsid w:val="00414F4F"/>
    <w:rsid w:val="00415117"/>
    <w:rsid w:val="004151CF"/>
    <w:rsid w:val="004151DF"/>
    <w:rsid w:val="004151FF"/>
    <w:rsid w:val="0041523C"/>
    <w:rsid w:val="00415245"/>
    <w:rsid w:val="004153CC"/>
    <w:rsid w:val="0041551A"/>
    <w:rsid w:val="00415596"/>
    <w:rsid w:val="0041568A"/>
    <w:rsid w:val="0041571B"/>
    <w:rsid w:val="00415813"/>
    <w:rsid w:val="004158A8"/>
    <w:rsid w:val="004158E0"/>
    <w:rsid w:val="00415A2B"/>
    <w:rsid w:val="00415AC8"/>
    <w:rsid w:val="00415C5C"/>
    <w:rsid w:val="00415C65"/>
    <w:rsid w:val="00415CCE"/>
    <w:rsid w:val="00415D54"/>
    <w:rsid w:val="00415D67"/>
    <w:rsid w:val="00415F29"/>
    <w:rsid w:val="00415F87"/>
    <w:rsid w:val="00416011"/>
    <w:rsid w:val="00416021"/>
    <w:rsid w:val="0041605C"/>
    <w:rsid w:val="00416209"/>
    <w:rsid w:val="0041623F"/>
    <w:rsid w:val="00416282"/>
    <w:rsid w:val="0041630C"/>
    <w:rsid w:val="00416328"/>
    <w:rsid w:val="00416468"/>
    <w:rsid w:val="004164EC"/>
    <w:rsid w:val="00416652"/>
    <w:rsid w:val="00416656"/>
    <w:rsid w:val="0041675F"/>
    <w:rsid w:val="004167B1"/>
    <w:rsid w:val="00416983"/>
    <w:rsid w:val="00416AAE"/>
    <w:rsid w:val="00416BAF"/>
    <w:rsid w:val="00416BBD"/>
    <w:rsid w:val="00416CAC"/>
    <w:rsid w:val="00416D53"/>
    <w:rsid w:val="00416E2F"/>
    <w:rsid w:val="00416FC9"/>
    <w:rsid w:val="00416FD3"/>
    <w:rsid w:val="0041705D"/>
    <w:rsid w:val="00417114"/>
    <w:rsid w:val="004172A3"/>
    <w:rsid w:val="004172BA"/>
    <w:rsid w:val="00417333"/>
    <w:rsid w:val="004173B2"/>
    <w:rsid w:val="004173F5"/>
    <w:rsid w:val="004174E1"/>
    <w:rsid w:val="004176A3"/>
    <w:rsid w:val="004176B1"/>
    <w:rsid w:val="0041772A"/>
    <w:rsid w:val="00417887"/>
    <w:rsid w:val="00417920"/>
    <w:rsid w:val="00417A34"/>
    <w:rsid w:val="00417B30"/>
    <w:rsid w:val="00417B52"/>
    <w:rsid w:val="00417EEF"/>
    <w:rsid w:val="00417FD0"/>
    <w:rsid w:val="00417FF6"/>
    <w:rsid w:val="00420047"/>
    <w:rsid w:val="00420149"/>
    <w:rsid w:val="00420158"/>
    <w:rsid w:val="004201BC"/>
    <w:rsid w:val="004202A6"/>
    <w:rsid w:val="004202C2"/>
    <w:rsid w:val="004203B2"/>
    <w:rsid w:val="004203C9"/>
    <w:rsid w:val="004204CE"/>
    <w:rsid w:val="0042063A"/>
    <w:rsid w:val="004206A8"/>
    <w:rsid w:val="00420843"/>
    <w:rsid w:val="00420854"/>
    <w:rsid w:val="00420898"/>
    <w:rsid w:val="00420928"/>
    <w:rsid w:val="0042094D"/>
    <w:rsid w:val="004209B4"/>
    <w:rsid w:val="004209B7"/>
    <w:rsid w:val="004209D2"/>
    <w:rsid w:val="00420A05"/>
    <w:rsid w:val="00420A10"/>
    <w:rsid w:val="00420B21"/>
    <w:rsid w:val="00420B3B"/>
    <w:rsid w:val="00420B4D"/>
    <w:rsid w:val="00420CF2"/>
    <w:rsid w:val="0042104A"/>
    <w:rsid w:val="0042106A"/>
    <w:rsid w:val="004210B6"/>
    <w:rsid w:val="004210C5"/>
    <w:rsid w:val="00421341"/>
    <w:rsid w:val="0042138C"/>
    <w:rsid w:val="004213D5"/>
    <w:rsid w:val="0042177A"/>
    <w:rsid w:val="004218DE"/>
    <w:rsid w:val="004218E6"/>
    <w:rsid w:val="0042190C"/>
    <w:rsid w:val="00421947"/>
    <w:rsid w:val="0042194A"/>
    <w:rsid w:val="00421B47"/>
    <w:rsid w:val="00421BBA"/>
    <w:rsid w:val="00421C26"/>
    <w:rsid w:val="00421E09"/>
    <w:rsid w:val="00421F66"/>
    <w:rsid w:val="004220F1"/>
    <w:rsid w:val="004221DB"/>
    <w:rsid w:val="004222DA"/>
    <w:rsid w:val="004224C3"/>
    <w:rsid w:val="00422531"/>
    <w:rsid w:val="00422596"/>
    <w:rsid w:val="0042261B"/>
    <w:rsid w:val="00422635"/>
    <w:rsid w:val="004226C8"/>
    <w:rsid w:val="00422753"/>
    <w:rsid w:val="00422774"/>
    <w:rsid w:val="0042296B"/>
    <w:rsid w:val="00422A7C"/>
    <w:rsid w:val="00422A8B"/>
    <w:rsid w:val="00422AB8"/>
    <w:rsid w:val="00422B90"/>
    <w:rsid w:val="00422D2A"/>
    <w:rsid w:val="00422D8B"/>
    <w:rsid w:val="00422DF6"/>
    <w:rsid w:val="00422E34"/>
    <w:rsid w:val="00422E47"/>
    <w:rsid w:val="00422F10"/>
    <w:rsid w:val="00422F81"/>
    <w:rsid w:val="00423013"/>
    <w:rsid w:val="00423063"/>
    <w:rsid w:val="00423081"/>
    <w:rsid w:val="00423183"/>
    <w:rsid w:val="004231DC"/>
    <w:rsid w:val="004231E5"/>
    <w:rsid w:val="0042328F"/>
    <w:rsid w:val="0042332A"/>
    <w:rsid w:val="00423443"/>
    <w:rsid w:val="0042345E"/>
    <w:rsid w:val="00423483"/>
    <w:rsid w:val="004234C3"/>
    <w:rsid w:val="00423626"/>
    <w:rsid w:val="004236C2"/>
    <w:rsid w:val="004237C3"/>
    <w:rsid w:val="004237EF"/>
    <w:rsid w:val="00423A8C"/>
    <w:rsid w:val="00423AE0"/>
    <w:rsid w:val="00423C5B"/>
    <w:rsid w:val="00423CCF"/>
    <w:rsid w:val="00423CDC"/>
    <w:rsid w:val="00423DE5"/>
    <w:rsid w:val="00423E40"/>
    <w:rsid w:val="00423EDE"/>
    <w:rsid w:val="00424016"/>
    <w:rsid w:val="004240B2"/>
    <w:rsid w:val="004240FB"/>
    <w:rsid w:val="00424118"/>
    <w:rsid w:val="00424145"/>
    <w:rsid w:val="0042416A"/>
    <w:rsid w:val="004241A0"/>
    <w:rsid w:val="004241D4"/>
    <w:rsid w:val="0042427C"/>
    <w:rsid w:val="004242CF"/>
    <w:rsid w:val="004243A4"/>
    <w:rsid w:val="00424453"/>
    <w:rsid w:val="00424504"/>
    <w:rsid w:val="004245EF"/>
    <w:rsid w:val="00424745"/>
    <w:rsid w:val="004247BC"/>
    <w:rsid w:val="0042493C"/>
    <w:rsid w:val="00424A38"/>
    <w:rsid w:val="00424B9B"/>
    <w:rsid w:val="00424BB9"/>
    <w:rsid w:val="00424C36"/>
    <w:rsid w:val="00424CC5"/>
    <w:rsid w:val="00424CE5"/>
    <w:rsid w:val="00424F33"/>
    <w:rsid w:val="00424F8F"/>
    <w:rsid w:val="00425049"/>
    <w:rsid w:val="00425069"/>
    <w:rsid w:val="004250B4"/>
    <w:rsid w:val="004251C4"/>
    <w:rsid w:val="00425496"/>
    <w:rsid w:val="004256FD"/>
    <w:rsid w:val="0042573B"/>
    <w:rsid w:val="004257C2"/>
    <w:rsid w:val="0042582D"/>
    <w:rsid w:val="00425AA1"/>
    <w:rsid w:val="00425C10"/>
    <w:rsid w:val="00425CF8"/>
    <w:rsid w:val="00425D07"/>
    <w:rsid w:val="00425D81"/>
    <w:rsid w:val="00425DB3"/>
    <w:rsid w:val="00425DDC"/>
    <w:rsid w:val="00425E5F"/>
    <w:rsid w:val="00425EDA"/>
    <w:rsid w:val="00425F8B"/>
    <w:rsid w:val="00426123"/>
    <w:rsid w:val="00426139"/>
    <w:rsid w:val="0042617A"/>
    <w:rsid w:val="0042623B"/>
    <w:rsid w:val="00426374"/>
    <w:rsid w:val="004264DC"/>
    <w:rsid w:val="004264F1"/>
    <w:rsid w:val="004265BC"/>
    <w:rsid w:val="004267A4"/>
    <w:rsid w:val="0042696B"/>
    <w:rsid w:val="00426A30"/>
    <w:rsid w:val="00426AC0"/>
    <w:rsid w:val="00426B7F"/>
    <w:rsid w:val="00426C23"/>
    <w:rsid w:val="00426C48"/>
    <w:rsid w:val="00426D1F"/>
    <w:rsid w:val="00426D8D"/>
    <w:rsid w:val="00426DD6"/>
    <w:rsid w:val="00426FB2"/>
    <w:rsid w:val="00427075"/>
    <w:rsid w:val="004270F7"/>
    <w:rsid w:val="00427319"/>
    <w:rsid w:val="00427388"/>
    <w:rsid w:val="00427400"/>
    <w:rsid w:val="00427467"/>
    <w:rsid w:val="004274D3"/>
    <w:rsid w:val="0042753F"/>
    <w:rsid w:val="004276B9"/>
    <w:rsid w:val="00427791"/>
    <w:rsid w:val="00427838"/>
    <w:rsid w:val="00427B41"/>
    <w:rsid w:val="00427BCD"/>
    <w:rsid w:val="00427BE8"/>
    <w:rsid w:val="00427C76"/>
    <w:rsid w:val="00427C9E"/>
    <w:rsid w:val="00427CBE"/>
    <w:rsid w:val="00427CCE"/>
    <w:rsid w:val="00427D5D"/>
    <w:rsid w:val="00427E0D"/>
    <w:rsid w:val="00427E42"/>
    <w:rsid w:val="00427EA3"/>
    <w:rsid w:val="00427EFB"/>
    <w:rsid w:val="00430032"/>
    <w:rsid w:val="004300DE"/>
    <w:rsid w:val="004300E6"/>
    <w:rsid w:val="00430160"/>
    <w:rsid w:val="00430188"/>
    <w:rsid w:val="00430213"/>
    <w:rsid w:val="00430276"/>
    <w:rsid w:val="0043029B"/>
    <w:rsid w:val="00430365"/>
    <w:rsid w:val="00430378"/>
    <w:rsid w:val="0043046E"/>
    <w:rsid w:val="004304DF"/>
    <w:rsid w:val="00430520"/>
    <w:rsid w:val="0043053C"/>
    <w:rsid w:val="00430543"/>
    <w:rsid w:val="00430562"/>
    <w:rsid w:val="00430578"/>
    <w:rsid w:val="004305D9"/>
    <w:rsid w:val="004306C4"/>
    <w:rsid w:val="004306F5"/>
    <w:rsid w:val="0043070C"/>
    <w:rsid w:val="00430812"/>
    <w:rsid w:val="00430A4A"/>
    <w:rsid w:val="00430A97"/>
    <w:rsid w:val="00430ACA"/>
    <w:rsid w:val="00430C21"/>
    <w:rsid w:val="00430C53"/>
    <w:rsid w:val="00430D81"/>
    <w:rsid w:val="00430D8D"/>
    <w:rsid w:val="00430EC4"/>
    <w:rsid w:val="00430F53"/>
    <w:rsid w:val="00430F6E"/>
    <w:rsid w:val="00430FDE"/>
    <w:rsid w:val="004311AC"/>
    <w:rsid w:val="004311B5"/>
    <w:rsid w:val="004311F6"/>
    <w:rsid w:val="004313DB"/>
    <w:rsid w:val="004314A1"/>
    <w:rsid w:val="00431516"/>
    <w:rsid w:val="0043152C"/>
    <w:rsid w:val="00431555"/>
    <w:rsid w:val="004315FC"/>
    <w:rsid w:val="0043162E"/>
    <w:rsid w:val="00431720"/>
    <w:rsid w:val="004318A0"/>
    <w:rsid w:val="004318FB"/>
    <w:rsid w:val="00431A84"/>
    <w:rsid w:val="00431B23"/>
    <w:rsid w:val="00431BC1"/>
    <w:rsid w:val="00431C8E"/>
    <w:rsid w:val="00431CAE"/>
    <w:rsid w:val="00431D07"/>
    <w:rsid w:val="00431E6E"/>
    <w:rsid w:val="00431EB3"/>
    <w:rsid w:val="00432067"/>
    <w:rsid w:val="004320BA"/>
    <w:rsid w:val="004320FD"/>
    <w:rsid w:val="004321C3"/>
    <w:rsid w:val="00432296"/>
    <w:rsid w:val="004322BA"/>
    <w:rsid w:val="0043236B"/>
    <w:rsid w:val="00432391"/>
    <w:rsid w:val="00432401"/>
    <w:rsid w:val="00432504"/>
    <w:rsid w:val="00432723"/>
    <w:rsid w:val="004327C8"/>
    <w:rsid w:val="004327D5"/>
    <w:rsid w:val="0043286B"/>
    <w:rsid w:val="004328EE"/>
    <w:rsid w:val="0043291D"/>
    <w:rsid w:val="00432986"/>
    <w:rsid w:val="004329FF"/>
    <w:rsid w:val="00432A8A"/>
    <w:rsid w:val="00432B07"/>
    <w:rsid w:val="00432B57"/>
    <w:rsid w:val="00432D5E"/>
    <w:rsid w:val="00432E20"/>
    <w:rsid w:val="00432E84"/>
    <w:rsid w:val="00432EAF"/>
    <w:rsid w:val="00432EE0"/>
    <w:rsid w:val="00432F52"/>
    <w:rsid w:val="00432F6B"/>
    <w:rsid w:val="00432FBA"/>
    <w:rsid w:val="00432FE9"/>
    <w:rsid w:val="00433104"/>
    <w:rsid w:val="004331AB"/>
    <w:rsid w:val="0043328A"/>
    <w:rsid w:val="004332D1"/>
    <w:rsid w:val="004332F5"/>
    <w:rsid w:val="0043339A"/>
    <w:rsid w:val="0043346F"/>
    <w:rsid w:val="0043349B"/>
    <w:rsid w:val="004334AD"/>
    <w:rsid w:val="004334BB"/>
    <w:rsid w:val="00433511"/>
    <w:rsid w:val="00433549"/>
    <w:rsid w:val="00433707"/>
    <w:rsid w:val="00433791"/>
    <w:rsid w:val="004338A3"/>
    <w:rsid w:val="004339B6"/>
    <w:rsid w:val="00433A56"/>
    <w:rsid w:val="00433ACE"/>
    <w:rsid w:val="00433AF5"/>
    <w:rsid w:val="00433B7F"/>
    <w:rsid w:val="00433BA7"/>
    <w:rsid w:val="00433D36"/>
    <w:rsid w:val="00433DA1"/>
    <w:rsid w:val="00433DE2"/>
    <w:rsid w:val="00433F14"/>
    <w:rsid w:val="0043406D"/>
    <w:rsid w:val="0043410F"/>
    <w:rsid w:val="00434129"/>
    <w:rsid w:val="004341C7"/>
    <w:rsid w:val="00434232"/>
    <w:rsid w:val="00434284"/>
    <w:rsid w:val="004344C5"/>
    <w:rsid w:val="004344F3"/>
    <w:rsid w:val="004344FE"/>
    <w:rsid w:val="00434569"/>
    <w:rsid w:val="004345B2"/>
    <w:rsid w:val="004345FA"/>
    <w:rsid w:val="004346CC"/>
    <w:rsid w:val="004346FA"/>
    <w:rsid w:val="00434731"/>
    <w:rsid w:val="00434755"/>
    <w:rsid w:val="00434769"/>
    <w:rsid w:val="00434907"/>
    <w:rsid w:val="00434934"/>
    <w:rsid w:val="00434A72"/>
    <w:rsid w:val="00434AC5"/>
    <w:rsid w:val="00434AEB"/>
    <w:rsid w:val="00434C6A"/>
    <w:rsid w:val="00434CEF"/>
    <w:rsid w:val="00434F0B"/>
    <w:rsid w:val="00435062"/>
    <w:rsid w:val="0043506E"/>
    <w:rsid w:val="0043517F"/>
    <w:rsid w:val="00435294"/>
    <w:rsid w:val="004352DE"/>
    <w:rsid w:val="004352FB"/>
    <w:rsid w:val="0043547B"/>
    <w:rsid w:val="00435508"/>
    <w:rsid w:val="00435619"/>
    <w:rsid w:val="004356FF"/>
    <w:rsid w:val="0043575E"/>
    <w:rsid w:val="0043576C"/>
    <w:rsid w:val="004357D4"/>
    <w:rsid w:val="004357EF"/>
    <w:rsid w:val="0043589F"/>
    <w:rsid w:val="0043594E"/>
    <w:rsid w:val="0043596E"/>
    <w:rsid w:val="004359F9"/>
    <w:rsid w:val="00435C08"/>
    <w:rsid w:val="00435C2A"/>
    <w:rsid w:val="00435C38"/>
    <w:rsid w:val="00435D1E"/>
    <w:rsid w:val="00435EDE"/>
    <w:rsid w:val="00435EDF"/>
    <w:rsid w:val="00435F4F"/>
    <w:rsid w:val="00435F56"/>
    <w:rsid w:val="00435FBD"/>
    <w:rsid w:val="00436073"/>
    <w:rsid w:val="004360A2"/>
    <w:rsid w:val="00436187"/>
    <w:rsid w:val="004361B7"/>
    <w:rsid w:val="0043627B"/>
    <w:rsid w:val="004362AA"/>
    <w:rsid w:val="004362BD"/>
    <w:rsid w:val="004362F7"/>
    <w:rsid w:val="00436379"/>
    <w:rsid w:val="004364CC"/>
    <w:rsid w:val="00436551"/>
    <w:rsid w:val="004365BB"/>
    <w:rsid w:val="00436606"/>
    <w:rsid w:val="00436788"/>
    <w:rsid w:val="0043686F"/>
    <w:rsid w:val="004368BD"/>
    <w:rsid w:val="00436A18"/>
    <w:rsid w:val="00436A7B"/>
    <w:rsid w:val="00436B0F"/>
    <w:rsid w:val="00436B12"/>
    <w:rsid w:val="00436B1E"/>
    <w:rsid w:val="00436B4D"/>
    <w:rsid w:val="00436E0C"/>
    <w:rsid w:val="00436EA3"/>
    <w:rsid w:val="00436EB5"/>
    <w:rsid w:val="0043703B"/>
    <w:rsid w:val="0043706D"/>
    <w:rsid w:val="004371AE"/>
    <w:rsid w:val="004371CB"/>
    <w:rsid w:val="00437214"/>
    <w:rsid w:val="00437267"/>
    <w:rsid w:val="004372C3"/>
    <w:rsid w:val="0043732A"/>
    <w:rsid w:val="004373ED"/>
    <w:rsid w:val="00437412"/>
    <w:rsid w:val="00437435"/>
    <w:rsid w:val="0043754F"/>
    <w:rsid w:val="004375A1"/>
    <w:rsid w:val="0043760D"/>
    <w:rsid w:val="00437621"/>
    <w:rsid w:val="0043767A"/>
    <w:rsid w:val="00437795"/>
    <w:rsid w:val="00437798"/>
    <w:rsid w:val="0043783A"/>
    <w:rsid w:val="0043793F"/>
    <w:rsid w:val="00437954"/>
    <w:rsid w:val="004379B8"/>
    <w:rsid w:val="004379CC"/>
    <w:rsid w:val="00437A51"/>
    <w:rsid w:val="00437A6A"/>
    <w:rsid w:val="00437A79"/>
    <w:rsid w:val="00437B0B"/>
    <w:rsid w:val="00437B6F"/>
    <w:rsid w:val="00437C71"/>
    <w:rsid w:val="00437D1D"/>
    <w:rsid w:val="00437D38"/>
    <w:rsid w:val="00437D77"/>
    <w:rsid w:val="00437E32"/>
    <w:rsid w:val="00437E87"/>
    <w:rsid w:val="00437EEC"/>
    <w:rsid w:val="00437EF4"/>
    <w:rsid w:val="00437F2C"/>
    <w:rsid w:val="00437FEB"/>
    <w:rsid w:val="0044001F"/>
    <w:rsid w:val="0044006B"/>
    <w:rsid w:val="004401C3"/>
    <w:rsid w:val="004401DE"/>
    <w:rsid w:val="00440288"/>
    <w:rsid w:val="004402A8"/>
    <w:rsid w:val="004402C0"/>
    <w:rsid w:val="0044038E"/>
    <w:rsid w:val="00440460"/>
    <w:rsid w:val="004404F3"/>
    <w:rsid w:val="004405C5"/>
    <w:rsid w:val="0044060C"/>
    <w:rsid w:val="0044064F"/>
    <w:rsid w:val="00440860"/>
    <w:rsid w:val="0044089E"/>
    <w:rsid w:val="004408E8"/>
    <w:rsid w:val="004409BE"/>
    <w:rsid w:val="004409DD"/>
    <w:rsid w:val="00440A67"/>
    <w:rsid w:val="00440AE7"/>
    <w:rsid w:val="00440B00"/>
    <w:rsid w:val="00440C06"/>
    <w:rsid w:val="00440D03"/>
    <w:rsid w:val="00440D3F"/>
    <w:rsid w:val="00440DBC"/>
    <w:rsid w:val="00440F23"/>
    <w:rsid w:val="00440FB9"/>
    <w:rsid w:val="00440FC3"/>
    <w:rsid w:val="00441078"/>
    <w:rsid w:val="004410FA"/>
    <w:rsid w:val="00441184"/>
    <w:rsid w:val="004411D6"/>
    <w:rsid w:val="0044123D"/>
    <w:rsid w:val="0044123E"/>
    <w:rsid w:val="00441307"/>
    <w:rsid w:val="00441364"/>
    <w:rsid w:val="004413F7"/>
    <w:rsid w:val="004413FF"/>
    <w:rsid w:val="00441486"/>
    <w:rsid w:val="004415FA"/>
    <w:rsid w:val="004417CD"/>
    <w:rsid w:val="0044180D"/>
    <w:rsid w:val="0044183E"/>
    <w:rsid w:val="0044196A"/>
    <w:rsid w:val="004419F0"/>
    <w:rsid w:val="00441A4E"/>
    <w:rsid w:val="00441AB0"/>
    <w:rsid w:val="00441AF8"/>
    <w:rsid w:val="00441B6D"/>
    <w:rsid w:val="00441BDE"/>
    <w:rsid w:val="00441BE1"/>
    <w:rsid w:val="00441C0C"/>
    <w:rsid w:val="00441CE2"/>
    <w:rsid w:val="00441D0F"/>
    <w:rsid w:val="00441D11"/>
    <w:rsid w:val="00441D99"/>
    <w:rsid w:val="00441E0C"/>
    <w:rsid w:val="00441FDF"/>
    <w:rsid w:val="00441FE9"/>
    <w:rsid w:val="004420CA"/>
    <w:rsid w:val="00442121"/>
    <w:rsid w:val="00442149"/>
    <w:rsid w:val="004421D2"/>
    <w:rsid w:val="0044223A"/>
    <w:rsid w:val="00442293"/>
    <w:rsid w:val="00442324"/>
    <w:rsid w:val="0044258B"/>
    <w:rsid w:val="0044258D"/>
    <w:rsid w:val="00442611"/>
    <w:rsid w:val="00442636"/>
    <w:rsid w:val="004428B3"/>
    <w:rsid w:val="004428F3"/>
    <w:rsid w:val="00442951"/>
    <w:rsid w:val="004429E3"/>
    <w:rsid w:val="00442A0A"/>
    <w:rsid w:val="00442AC1"/>
    <w:rsid w:val="00442B56"/>
    <w:rsid w:val="00442B63"/>
    <w:rsid w:val="00442C3B"/>
    <w:rsid w:val="00442D24"/>
    <w:rsid w:val="00442E07"/>
    <w:rsid w:val="00442E80"/>
    <w:rsid w:val="00442F41"/>
    <w:rsid w:val="00443058"/>
    <w:rsid w:val="00443144"/>
    <w:rsid w:val="0044325F"/>
    <w:rsid w:val="00443467"/>
    <w:rsid w:val="004434E8"/>
    <w:rsid w:val="00443513"/>
    <w:rsid w:val="00443586"/>
    <w:rsid w:val="00443594"/>
    <w:rsid w:val="00443616"/>
    <w:rsid w:val="004436B7"/>
    <w:rsid w:val="00443790"/>
    <w:rsid w:val="00443916"/>
    <w:rsid w:val="004439BD"/>
    <w:rsid w:val="00443B1A"/>
    <w:rsid w:val="00443C28"/>
    <w:rsid w:val="00443C65"/>
    <w:rsid w:val="00443D14"/>
    <w:rsid w:val="00443E60"/>
    <w:rsid w:val="00443ED4"/>
    <w:rsid w:val="00443EFC"/>
    <w:rsid w:val="00443F5A"/>
    <w:rsid w:val="00443FCB"/>
    <w:rsid w:val="00444006"/>
    <w:rsid w:val="004440A9"/>
    <w:rsid w:val="004441D7"/>
    <w:rsid w:val="004441DA"/>
    <w:rsid w:val="00444331"/>
    <w:rsid w:val="0044437F"/>
    <w:rsid w:val="00444507"/>
    <w:rsid w:val="0044455E"/>
    <w:rsid w:val="00444575"/>
    <w:rsid w:val="00444733"/>
    <w:rsid w:val="004447AB"/>
    <w:rsid w:val="004447B7"/>
    <w:rsid w:val="004447CD"/>
    <w:rsid w:val="004448A1"/>
    <w:rsid w:val="004448BD"/>
    <w:rsid w:val="0044493C"/>
    <w:rsid w:val="00444A37"/>
    <w:rsid w:val="00444A48"/>
    <w:rsid w:val="00444AFC"/>
    <w:rsid w:val="00444D79"/>
    <w:rsid w:val="00444E3C"/>
    <w:rsid w:val="00444FA0"/>
    <w:rsid w:val="0044504C"/>
    <w:rsid w:val="0044515F"/>
    <w:rsid w:val="00445298"/>
    <w:rsid w:val="004453FD"/>
    <w:rsid w:val="004454A0"/>
    <w:rsid w:val="004455AA"/>
    <w:rsid w:val="004455DF"/>
    <w:rsid w:val="004456BA"/>
    <w:rsid w:val="0044579C"/>
    <w:rsid w:val="00445803"/>
    <w:rsid w:val="00445813"/>
    <w:rsid w:val="00445A48"/>
    <w:rsid w:val="00445A4A"/>
    <w:rsid w:val="00445A9A"/>
    <w:rsid w:val="00445AB3"/>
    <w:rsid w:val="00445B19"/>
    <w:rsid w:val="00445BA8"/>
    <w:rsid w:val="00445D87"/>
    <w:rsid w:val="00445DFA"/>
    <w:rsid w:val="00445EA6"/>
    <w:rsid w:val="00445EA8"/>
    <w:rsid w:val="00445EDF"/>
    <w:rsid w:val="00445EE1"/>
    <w:rsid w:val="00445FF4"/>
    <w:rsid w:val="0044602B"/>
    <w:rsid w:val="004460B5"/>
    <w:rsid w:val="00446115"/>
    <w:rsid w:val="004461B1"/>
    <w:rsid w:val="00446236"/>
    <w:rsid w:val="004462DB"/>
    <w:rsid w:val="004462DE"/>
    <w:rsid w:val="004463CE"/>
    <w:rsid w:val="00446411"/>
    <w:rsid w:val="00446450"/>
    <w:rsid w:val="004466EC"/>
    <w:rsid w:val="004467DB"/>
    <w:rsid w:val="004467FE"/>
    <w:rsid w:val="0044686A"/>
    <w:rsid w:val="00446875"/>
    <w:rsid w:val="004468FC"/>
    <w:rsid w:val="00446956"/>
    <w:rsid w:val="0044699A"/>
    <w:rsid w:val="004469D2"/>
    <w:rsid w:val="00446CD4"/>
    <w:rsid w:val="00446E7B"/>
    <w:rsid w:val="00446EFE"/>
    <w:rsid w:val="00446FCD"/>
    <w:rsid w:val="00446FE6"/>
    <w:rsid w:val="0044704B"/>
    <w:rsid w:val="00447066"/>
    <w:rsid w:val="0044732F"/>
    <w:rsid w:val="0044738D"/>
    <w:rsid w:val="004473BB"/>
    <w:rsid w:val="004473C2"/>
    <w:rsid w:val="004473EC"/>
    <w:rsid w:val="0044740C"/>
    <w:rsid w:val="0044743A"/>
    <w:rsid w:val="004474F2"/>
    <w:rsid w:val="0044768C"/>
    <w:rsid w:val="00447709"/>
    <w:rsid w:val="0044776B"/>
    <w:rsid w:val="00447798"/>
    <w:rsid w:val="00447799"/>
    <w:rsid w:val="004477B3"/>
    <w:rsid w:val="00447856"/>
    <w:rsid w:val="00447883"/>
    <w:rsid w:val="0044795A"/>
    <w:rsid w:val="004479A6"/>
    <w:rsid w:val="00447B53"/>
    <w:rsid w:val="00447CAE"/>
    <w:rsid w:val="00447CD3"/>
    <w:rsid w:val="00447D3C"/>
    <w:rsid w:val="00447D51"/>
    <w:rsid w:val="00447DF9"/>
    <w:rsid w:val="00447E59"/>
    <w:rsid w:val="00447E73"/>
    <w:rsid w:val="00447EEB"/>
    <w:rsid w:val="00447F15"/>
    <w:rsid w:val="00447F53"/>
    <w:rsid w:val="0045002B"/>
    <w:rsid w:val="00450092"/>
    <w:rsid w:val="004501DF"/>
    <w:rsid w:val="0045020E"/>
    <w:rsid w:val="00450275"/>
    <w:rsid w:val="00450391"/>
    <w:rsid w:val="004503AD"/>
    <w:rsid w:val="00450420"/>
    <w:rsid w:val="0045047D"/>
    <w:rsid w:val="00450482"/>
    <w:rsid w:val="004504C5"/>
    <w:rsid w:val="0045060D"/>
    <w:rsid w:val="00450610"/>
    <w:rsid w:val="00450649"/>
    <w:rsid w:val="00450668"/>
    <w:rsid w:val="00450814"/>
    <w:rsid w:val="0045097E"/>
    <w:rsid w:val="00450B09"/>
    <w:rsid w:val="00450B19"/>
    <w:rsid w:val="00450B4C"/>
    <w:rsid w:val="00450B9D"/>
    <w:rsid w:val="00450BC4"/>
    <w:rsid w:val="00450BEF"/>
    <w:rsid w:val="00450C26"/>
    <w:rsid w:val="00450C32"/>
    <w:rsid w:val="00450C84"/>
    <w:rsid w:val="00450CD4"/>
    <w:rsid w:val="00450D31"/>
    <w:rsid w:val="00450DD0"/>
    <w:rsid w:val="00450E64"/>
    <w:rsid w:val="00450F67"/>
    <w:rsid w:val="0045102F"/>
    <w:rsid w:val="0045104A"/>
    <w:rsid w:val="00451077"/>
    <w:rsid w:val="004510C2"/>
    <w:rsid w:val="004510EE"/>
    <w:rsid w:val="0045121C"/>
    <w:rsid w:val="0045128A"/>
    <w:rsid w:val="004514C1"/>
    <w:rsid w:val="00451519"/>
    <w:rsid w:val="00451580"/>
    <w:rsid w:val="004516C3"/>
    <w:rsid w:val="00451752"/>
    <w:rsid w:val="0045175F"/>
    <w:rsid w:val="00451883"/>
    <w:rsid w:val="004518E2"/>
    <w:rsid w:val="0045190A"/>
    <w:rsid w:val="004519E0"/>
    <w:rsid w:val="00451D68"/>
    <w:rsid w:val="00451DCF"/>
    <w:rsid w:val="00451DF7"/>
    <w:rsid w:val="00451EBE"/>
    <w:rsid w:val="004520C2"/>
    <w:rsid w:val="004520FE"/>
    <w:rsid w:val="0045212A"/>
    <w:rsid w:val="004521C2"/>
    <w:rsid w:val="00452216"/>
    <w:rsid w:val="00452261"/>
    <w:rsid w:val="004522D1"/>
    <w:rsid w:val="004522E4"/>
    <w:rsid w:val="0045233E"/>
    <w:rsid w:val="00452341"/>
    <w:rsid w:val="00452464"/>
    <w:rsid w:val="004524A2"/>
    <w:rsid w:val="00452520"/>
    <w:rsid w:val="0045255E"/>
    <w:rsid w:val="00452582"/>
    <w:rsid w:val="004525E9"/>
    <w:rsid w:val="00452630"/>
    <w:rsid w:val="00452650"/>
    <w:rsid w:val="00452668"/>
    <w:rsid w:val="00452762"/>
    <w:rsid w:val="004527BB"/>
    <w:rsid w:val="0045286B"/>
    <w:rsid w:val="0045288B"/>
    <w:rsid w:val="004528D3"/>
    <w:rsid w:val="00452A65"/>
    <w:rsid w:val="00452AD1"/>
    <w:rsid w:val="00452B27"/>
    <w:rsid w:val="00452B75"/>
    <w:rsid w:val="00452BB1"/>
    <w:rsid w:val="00452C30"/>
    <w:rsid w:val="00452C3C"/>
    <w:rsid w:val="00452C6B"/>
    <w:rsid w:val="00452D54"/>
    <w:rsid w:val="00452F0C"/>
    <w:rsid w:val="00452F1F"/>
    <w:rsid w:val="00452FFF"/>
    <w:rsid w:val="00453233"/>
    <w:rsid w:val="0045342B"/>
    <w:rsid w:val="0045347B"/>
    <w:rsid w:val="004534AE"/>
    <w:rsid w:val="004535E2"/>
    <w:rsid w:val="00453664"/>
    <w:rsid w:val="004536D4"/>
    <w:rsid w:val="00453787"/>
    <w:rsid w:val="004538EA"/>
    <w:rsid w:val="00453C58"/>
    <w:rsid w:val="00453D94"/>
    <w:rsid w:val="00453ECA"/>
    <w:rsid w:val="00453ED2"/>
    <w:rsid w:val="00453F01"/>
    <w:rsid w:val="00454116"/>
    <w:rsid w:val="00454136"/>
    <w:rsid w:val="004541CB"/>
    <w:rsid w:val="004541D8"/>
    <w:rsid w:val="00454291"/>
    <w:rsid w:val="0045436A"/>
    <w:rsid w:val="00454439"/>
    <w:rsid w:val="0045445B"/>
    <w:rsid w:val="004544F7"/>
    <w:rsid w:val="00454566"/>
    <w:rsid w:val="00454571"/>
    <w:rsid w:val="004546A0"/>
    <w:rsid w:val="00454766"/>
    <w:rsid w:val="004547D2"/>
    <w:rsid w:val="0045481C"/>
    <w:rsid w:val="0045496B"/>
    <w:rsid w:val="0045497B"/>
    <w:rsid w:val="00454B91"/>
    <w:rsid w:val="00454C8E"/>
    <w:rsid w:val="00454D5D"/>
    <w:rsid w:val="00454FA8"/>
    <w:rsid w:val="00455090"/>
    <w:rsid w:val="004551B9"/>
    <w:rsid w:val="004551D9"/>
    <w:rsid w:val="004552FD"/>
    <w:rsid w:val="00455493"/>
    <w:rsid w:val="004555B6"/>
    <w:rsid w:val="004555CD"/>
    <w:rsid w:val="0045563A"/>
    <w:rsid w:val="00455701"/>
    <w:rsid w:val="00455715"/>
    <w:rsid w:val="00455846"/>
    <w:rsid w:val="00455947"/>
    <w:rsid w:val="0045594A"/>
    <w:rsid w:val="00455AA6"/>
    <w:rsid w:val="00455C0B"/>
    <w:rsid w:val="00455C12"/>
    <w:rsid w:val="00455C8E"/>
    <w:rsid w:val="00455CFD"/>
    <w:rsid w:val="00455DC0"/>
    <w:rsid w:val="00455DF6"/>
    <w:rsid w:val="00455F2E"/>
    <w:rsid w:val="0045601F"/>
    <w:rsid w:val="00456090"/>
    <w:rsid w:val="00456096"/>
    <w:rsid w:val="004560E5"/>
    <w:rsid w:val="004561BE"/>
    <w:rsid w:val="004562DD"/>
    <w:rsid w:val="004562F2"/>
    <w:rsid w:val="00456343"/>
    <w:rsid w:val="004563E1"/>
    <w:rsid w:val="0045655F"/>
    <w:rsid w:val="004565BC"/>
    <w:rsid w:val="0045661A"/>
    <w:rsid w:val="0045697C"/>
    <w:rsid w:val="00456995"/>
    <w:rsid w:val="004569D8"/>
    <w:rsid w:val="00456A74"/>
    <w:rsid w:val="00456B58"/>
    <w:rsid w:val="00456CC6"/>
    <w:rsid w:val="00456D49"/>
    <w:rsid w:val="00456E3B"/>
    <w:rsid w:val="00456ECF"/>
    <w:rsid w:val="00456EEA"/>
    <w:rsid w:val="00456FA9"/>
    <w:rsid w:val="004570A1"/>
    <w:rsid w:val="004570F2"/>
    <w:rsid w:val="0045710F"/>
    <w:rsid w:val="004571B0"/>
    <w:rsid w:val="004571B2"/>
    <w:rsid w:val="004571C9"/>
    <w:rsid w:val="0045735B"/>
    <w:rsid w:val="00457538"/>
    <w:rsid w:val="004575B8"/>
    <w:rsid w:val="0045774A"/>
    <w:rsid w:val="004577D7"/>
    <w:rsid w:val="00457800"/>
    <w:rsid w:val="0045788C"/>
    <w:rsid w:val="00457893"/>
    <w:rsid w:val="0045794B"/>
    <w:rsid w:val="00457A03"/>
    <w:rsid w:val="00457A05"/>
    <w:rsid w:val="00457A81"/>
    <w:rsid w:val="00457A9A"/>
    <w:rsid w:val="00457AAE"/>
    <w:rsid w:val="00457B3C"/>
    <w:rsid w:val="00457B5F"/>
    <w:rsid w:val="00457C83"/>
    <w:rsid w:val="00457CBC"/>
    <w:rsid w:val="00457EC1"/>
    <w:rsid w:val="00457F03"/>
    <w:rsid w:val="0046001F"/>
    <w:rsid w:val="00460061"/>
    <w:rsid w:val="0046006B"/>
    <w:rsid w:val="004600E0"/>
    <w:rsid w:val="00460108"/>
    <w:rsid w:val="004601D5"/>
    <w:rsid w:val="00460347"/>
    <w:rsid w:val="00460387"/>
    <w:rsid w:val="004603AF"/>
    <w:rsid w:val="00460432"/>
    <w:rsid w:val="0046044F"/>
    <w:rsid w:val="004605C4"/>
    <w:rsid w:val="00460628"/>
    <w:rsid w:val="00460707"/>
    <w:rsid w:val="00460737"/>
    <w:rsid w:val="00460782"/>
    <w:rsid w:val="00460802"/>
    <w:rsid w:val="004608CE"/>
    <w:rsid w:val="004608E2"/>
    <w:rsid w:val="004608EB"/>
    <w:rsid w:val="004608FD"/>
    <w:rsid w:val="004609BF"/>
    <w:rsid w:val="004609E0"/>
    <w:rsid w:val="00460AFD"/>
    <w:rsid w:val="00460B33"/>
    <w:rsid w:val="00460B51"/>
    <w:rsid w:val="00460D2A"/>
    <w:rsid w:val="00460D69"/>
    <w:rsid w:val="00460FB7"/>
    <w:rsid w:val="00461061"/>
    <w:rsid w:val="00461177"/>
    <w:rsid w:val="00461203"/>
    <w:rsid w:val="00461210"/>
    <w:rsid w:val="0046123D"/>
    <w:rsid w:val="00461446"/>
    <w:rsid w:val="004614C0"/>
    <w:rsid w:val="004615B8"/>
    <w:rsid w:val="004616FB"/>
    <w:rsid w:val="0046172F"/>
    <w:rsid w:val="004617C1"/>
    <w:rsid w:val="004617F3"/>
    <w:rsid w:val="004617FA"/>
    <w:rsid w:val="0046190E"/>
    <w:rsid w:val="00461933"/>
    <w:rsid w:val="00461946"/>
    <w:rsid w:val="00461A1E"/>
    <w:rsid w:val="00461A34"/>
    <w:rsid w:val="00461A41"/>
    <w:rsid w:val="00461DA4"/>
    <w:rsid w:val="00461DB5"/>
    <w:rsid w:val="00461DFD"/>
    <w:rsid w:val="00461E12"/>
    <w:rsid w:val="00461E5F"/>
    <w:rsid w:val="00461F17"/>
    <w:rsid w:val="00461F38"/>
    <w:rsid w:val="00461FEF"/>
    <w:rsid w:val="00462047"/>
    <w:rsid w:val="004621D8"/>
    <w:rsid w:val="004621E0"/>
    <w:rsid w:val="00462294"/>
    <w:rsid w:val="004623A7"/>
    <w:rsid w:val="00462441"/>
    <w:rsid w:val="004624E7"/>
    <w:rsid w:val="004624EB"/>
    <w:rsid w:val="004625A2"/>
    <w:rsid w:val="004625AD"/>
    <w:rsid w:val="004625E9"/>
    <w:rsid w:val="0046264E"/>
    <w:rsid w:val="00462655"/>
    <w:rsid w:val="004629B9"/>
    <w:rsid w:val="00462A1C"/>
    <w:rsid w:val="00462F33"/>
    <w:rsid w:val="00462F57"/>
    <w:rsid w:val="00462FA5"/>
    <w:rsid w:val="00463034"/>
    <w:rsid w:val="0046309B"/>
    <w:rsid w:val="00463135"/>
    <w:rsid w:val="004631C2"/>
    <w:rsid w:val="0046322F"/>
    <w:rsid w:val="0046324D"/>
    <w:rsid w:val="0046325B"/>
    <w:rsid w:val="00463328"/>
    <w:rsid w:val="00463372"/>
    <w:rsid w:val="0046347D"/>
    <w:rsid w:val="00463481"/>
    <w:rsid w:val="004634F9"/>
    <w:rsid w:val="00463579"/>
    <w:rsid w:val="004636E6"/>
    <w:rsid w:val="00463877"/>
    <w:rsid w:val="004639C7"/>
    <w:rsid w:val="004639D1"/>
    <w:rsid w:val="00463AE5"/>
    <w:rsid w:val="00463AE9"/>
    <w:rsid w:val="00463B6E"/>
    <w:rsid w:val="00463C3F"/>
    <w:rsid w:val="00463D5F"/>
    <w:rsid w:val="00463DD2"/>
    <w:rsid w:val="00463F57"/>
    <w:rsid w:val="00463FA7"/>
    <w:rsid w:val="00463FD0"/>
    <w:rsid w:val="0046408D"/>
    <w:rsid w:val="004640E7"/>
    <w:rsid w:val="00464243"/>
    <w:rsid w:val="00464419"/>
    <w:rsid w:val="00464454"/>
    <w:rsid w:val="004644AF"/>
    <w:rsid w:val="004645A2"/>
    <w:rsid w:val="004645BE"/>
    <w:rsid w:val="004645C4"/>
    <w:rsid w:val="00464729"/>
    <w:rsid w:val="00464743"/>
    <w:rsid w:val="0046482C"/>
    <w:rsid w:val="004649A2"/>
    <w:rsid w:val="00464A3A"/>
    <w:rsid w:val="00464B64"/>
    <w:rsid w:val="00464C3B"/>
    <w:rsid w:val="00464CBB"/>
    <w:rsid w:val="00464DAB"/>
    <w:rsid w:val="00464EB0"/>
    <w:rsid w:val="00464F0E"/>
    <w:rsid w:val="00464F14"/>
    <w:rsid w:val="00464F91"/>
    <w:rsid w:val="00464FD0"/>
    <w:rsid w:val="00464FED"/>
    <w:rsid w:val="004651FA"/>
    <w:rsid w:val="004653D2"/>
    <w:rsid w:val="00465434"/>
    <w:rsid w:val="00465491"/>
    <w:rsid w:val="004654C8"/>
    <w:rsid w:val="0046551C"/>
    <w:rsid w:val="00465555"/>
    <w:rsid w:val="004655E1"/>
    <w:rsid w:val="0046567B"/>
    <w:rsid w:val="00465838"/>
    <w:rsid w:val="004658BF"/>
    <w:rsid w:val="004658E5"/>
    <w:rsid w:val="00465985"/>
    <w:rsid w:val="00465A8E"/>
    <w:rsid w:val="00465B45"/>
    <w:rsid w:val="00465BFC"/>
    <w:rsid w:val="00465C6F"/>
    <w:rsid w:val="00465CBE"/>
    <w:rsid w:val="00465DDB"/>
    <w:rsid w:val="00465ECB"/>
    <w:rsid w:val="00465F26"/>
    <w:rsid w:val="00466103"/>
    <w:rsid w:val="0046612D"/>
    <w:rsid w:val="00466151"/>
    <w:rsid w:val="004661D5"/>
    <w:rsid w:val="004661F6"/>
    <w:rsid w:val="00466427"/>
    <w:rsid w:val="00466584"/>
    <w:rsid w:val="004665A4"/>
    <w:rsid w:val="004665B8"/>
    <w:rsid w:val="0046662D"/>
    <w:rsid w:val="0046664F"/>
    <w:rsid w:val="004667EC"/>
    <w:rsid w:val="004668F5"/>
    <w:rsid w:val="00466B16"/>
    <w:rsid w:val="00466C99"/>
    <w:rsid w:val="00466F8F"/>
    <w:rsid w:val="00466FB3"/>
    <w:rsid w:val="00466FC1"/>
    <w:rsid w:val="00466FEF"/>
    <w:rsid w:val="0046709C"/>
    <w:rsid w:val="0046713F"/>
    <w:rsid w:val="00467285"/>
    <w:rsid w:val="004672AE"/>
    <w:rsid w:val="0046731C"/>
    <w:rsid w:val="00467398"/>
    <w:rsid w:val="004673DA"/>
    <w:rsid w:val="00467600"/>
    <w:rsid w:val="0046765E"/>
    <w:rsid w:val="00467716"/>
    <w:rsid w:val="00467979"/>
    <w:rsid w:val="00467987"/>
    <w:rsid w:val="004679A8"/>
    <w:rsid w:val="00467A51"/>
    <w:rsid w:val="00467A7F"/>
    <w:rsid w:val="00467B12"/>
    <w:rsid w:val="00467B99"/>
    <w:rsid w:val="00467BA3"/>
    <w:rsid w:val="00467C00"/>
    <w:rsid w:val="00467D0B"/>
    <w:rsid w:val="00467DE4"/>
    <w:rsid w:val="00467E62"/>
    <w:rsid w:val="004700AF"/>
    <w:rsid w:val="004700BA"/>
    <w:rsid w:val="0047025B"/>
    <w:rsid w:val="004702B5"/>
    <w:rsid w:val="004702D2"/>
    <w:rsid w:val="00470474"/>
    <w:rsid w:val="004704C2"/>
    <w:rsid w:val="0047050C"/>
    <w:rsid w:val="004705AD"/>
    <w:rsid w:val="004705D9"/>
    <w:rsid w:val="004705F7"/>
    <w:rsid w:val="004705FD"/>
    <w:rsid w:val="00470607"/>
    <w:rsid w:val="0047063A"/>
    <w:rsid w:val="004706C4"/>
    <w:rsid w:val="004706C5"/>
    <w:rsid w:val="004709BC"/>
    <w:rsid w:val="004709D0"/>
    <w:rsid w:val="00470ACF"/>
    <w:rsid w:val="00470B20"/>
    <w:rsid w:val="00470BBD"/>
    <w:rsid w:val="00470D0E"/>
    <w:rsid w:val="00470E18"/>
    <w:rsid w:val="00470EF3"/>
    <w:rsid w:val="00470FEC"/>
    <w:rsid w:val="00471053"/>
    <w:rsid w:val="00471058"/>
    <w:rsid w:val="00471086"/>
    <w:rsid w:val="0047112F"/>
    <w:rsid w:val="0047118A"/>
    <w:rsid w:val="004711DB"/>
    <w:rsid w:val="004711E3"/>
    <w:rsid w:val="00471291"/>
    <w:rsid w:val="004712AF"/>
    <w:rsid w:val="004712D5"/>
    <w:rsid w:val="004713D7"/>
    <w:rsid w:val="004715E0"/>
    <w:rsid w:val="00471728"/>
    <w:rsid w:val="004717DF"/>
    <w:rsid w:val="00471827"/>
    <w:rsid w:val="00471889"/>
    <w:rsid w:val="004718B7"/>
    <w:rsid w:val="00471A2C"/>
    <w:rsid w:val="00471A7B"/>
    <w:rsid w:val="00471BB6"/>
    <w:rsid w:val="00471CF7"/>
    <w:rsid w:val="00471D03"/>
    <w:rsid w:val="00471D06"/>
    <w:rsid w:val="00471D1E"/>
    <w:rsid w:val="00471DFC"/>
    <w:rsid w:val="00471EC2"/>
    <w:rsid w:val="00471F97"/>
    <w:rsid w:val="00471FBA"/>
    <w:rsid w:val="0047200C"/>
    <w:rsid w:val="0047206A"/>
    <w:rsid w:val="00472071"/>
    <w:rsid w:val="004720B7"/>
    <w:rsid w:val="0047216A"/>
    <w:rsid w:val="00472253"/>
    <w:rsid w:val="0047225E"/>
    <w:rsid w:val="00472267"/>
    <w:rsid w:val="00472342"/>
    <w:rsid w:val="00472388"/>
    <w:rsid w:val="00472471"/>
    <w:rsid w:val="00472532"/>
    <w:rsid w:val="004725B5"/>
    <w:rsid w:val="004725E2"/>
    <w:rsid w:val="00472684"/>
    <w:rsid w:val="0047268B"/>
    <w:rsid w:val="004726D9"/>
    <w:rsid w:val="004726FC"/>
    <w:rsid w:val="0047273C"/>
    <w:rsid w:val="00472769"/>
    <w:rsid w:val="004727E9"/>
    <w:rsid w:val="00472832"/>
    <w:rsid w:val="0047283C"/>
    <w:rsid w:val="00472A9A"/>
    <w:rsid w:val="00472AF4"/>
    <w:rsid w:val="00472B77"/>
    <w:rsid w:val="00472C27"/>
    <w:rsid w:val="00472C39"/>
    <w:rsid w:val="00472C3F"/>
    <w:rsid w:val="00472CC1"/>
    <w:rsid w:val="00472D61"/>
    <w:rsid w:val="00472E02"/>
    <w:rsid w:val="00472EE8"/>
    <w:rsid w:val="00473156"/>
    <w:rsid w:val="00473197"/>
    <w:rsid w:val="00473469"/>
    <w:rsid w:val="00473585"/>
    <w:rsid w:val="0047366D"/>
    <w:rsid w:val="004736E8"/>
    <w:rsid w:val="00473879"/>
    <w:rsid w:val="0047387F"/>
    <w:rsid w:val="004738DC"/>
    <w:rsid w:val="004738E3"/>
    <w:rsid w:val="00473972"/>
    <w:rsid w:val="004739F3"/>
    <w:rsid w:val="004739FE"/>
    <w:rsid w:val="00473B9F"/>
    <w:rsid w:val="00473CF5"/>
    <w:rsid w:val="0047401F"/>
    <w:rsid w:val="004740AC"/>
    <w:rsid w:val="00474145"/>
    <w:rsid w:val="00474248"/>
    <w:rsid w:val="0047424F"/>
    <w:rsid w:val="004742EC"/>
    <w:rsid w:val="0047430E"/>
    <w:rsid w:val="0047435D"/>
    <w:rsid w:val="00474582"/>
    <w:rsid w:val="00474587"/>
    <w:rsid w:val="004746C8"/>
    <w:rsid w:val="00474704"/>
    <w:rsid w:val="00474787"/>
    <w:rsid w:val="004747AE"/>
    <w:rsid w:val="004748C8"/>
    <w:rsid w:val="004749C2"/>
    <w:rsid w:val="004749E7"/>
    <w:rsid w:val="00474AAA"/>
    <w:rsid w:val="00474ABD"/>
    <w:rsid w:val="00474B17"/>
    <w:rsid w:val="00474B59"/>
    <w:rsid w:val="00474C3A"/>
    <w:rsid w:val="00474D18"/>
    <w:rsid w:val="00474D1D"/>
    <w:rsid w:val="00474EBA"/>
    <w:rsid w:val="0047506D"/>
    <w:rsid w:val="00475186"/>
    <w:rsid w:val="00475328"/>
    <w:rsid w:val="004753CC"/>
    <w:rsid w:val="004753D0"/>
    <w:rsid w:val="004754FB"/>
    <w:rsid w:val="004756EC"/>
    <w:rsid w:val="004756FD"/>
    <w:rsid w:val="004757D0"/>
    <w:rsid w:val="00475853"/>
    <w:rsid w:val="0047586B"/>
    <w:rsid w:val="0047588A"/>
    <w:rsid w:val="00475A27"/>
    <w:rsid w:val="00475A80"/>
    <w:rsid w:val="00475AF7"/>
    <w:rsid w:val="00475B51"/>
    <w:rsid w:val="00475BB6"/>
    <w:rsid w:val="00475C47"/>
    <w:rsid w:val="00475C8F"/>
    <w:rsid w:val="00475CAE"/>
    <w:rsid w:val="00475E61"/>
    <w:rsid w:val="00475EEB"/>
    <w:rsid w:val="00476080"/>
    <w:rsid w:val="0047612B"/>
    <w:rsid w:val="00476206"/>
    <w:rsid w:val="004762E3"/>
    <w:rsid w:val="0047630B"/>
    <w:rsid w:val="00476355"/>
    <w:rsid w:val="00476372"/>
    <w:rsid w:val="0047638E"/>
    <w:rsid w:val="00476416"/>
    <w:rsid w:val="0047645F"/>
    <w:rsid w:val="00476544"/>
    <w:rsid w:val="00476563"/>
    <w:rsid w:val="00476788"/>
    <w:rsid w:val="0047678A"/>
    <w:rsid w:val="0047678B"/>
    <w:rsid w:val="00476917"/>
    <w:rsid w:val="004769BD"/>
    <w:rsid w:val="00476A9D"/>
    <w:rsid w:val="00476C21"/>
    <w:rsid w:val="00476DC0"/>
    <w:rsid w:val="00476F37"/>
    <w:rsid w:val="00476F39"/>
    <w:rsid w:val="00476FE6"/>
    <w:rsid w:val="00477043"/>
    <w:rsid w:val="00477080"/>
    <w:rsid w:val="00477097"/>
    <w:rsid w:val="00477220"/>
    <w:rsid w:val="004772DD"/>
    <w:rsid w:val="004772F1"/>
    <w:rsid w:val="004773C6"/>
    <w:rsid w:val="004773DF"/>
    <w:rsid w:val="00477457"/>
    <w:rsid w:val="004774EE"/>
    <w:rsid w:val="00477671"/>
    <w:rsid w:val="0047774F"/>
    <w:rsid w:val="0047778A"/>
    <w:rsid w:val="004777D0"/>
    <w:rsid w:val="00477854"/>
    <w:rsid w:val="00477976"/>
    <w:rsid w:val="00477A0B"/>
    <w:rsid w:val="00477B25"/>
    <w:rsid w:val="00477B42"/>
    <w:rsid w:val="00477C8C"/>
    <w:rsid w:val="00477EAB"/>
    <w:rsid w:val="00477F24"/>
    <w:rsid w:val="00477FC7"/>
    <w:rsid w:val="0048005C"/>
    <w:rsid w:val="00480185"/>
    <w:rsid w:val="00480302"/>
    <w:rsid w:val="004803B2"/>
    <w:rsid w:val="0048045B"/>
    <w:rsid w:val="00480472"/>
    <w:rsid w:val="004805C3"/>
    <w:rsid w:val="004805D8"/>
    <w:rsid w:val="004807BA"/>
    <w:rsid w:val="0048080D"/>
    <w:rsid w:val="0048083E"/>
    <w:rsid w:val="00480893"/>
    <w:rsid w:val="004808AA"/>
    <w:rsid w:val="004808E3"/>
    <w:rsid w:val="0048093C"/>
    <w:rsid w:val="0048094E"/>
    <w:rsid w:val="004809FE"/>
    <w:rsid w:val="00480A2B"/>
    <w:rsid w:val="00480AC2"/>
    <w:rsid w:val="00480D14"/>
    <w:rsid w:val="00480D98"/>
    <w:rsid w:val="00480E93"/>
    <w:rsid w:val="00480EEF"/>
    <w:rsid w:val="00480F1F"/>
    <w:rsid w:val="00480F4B"/>
    <w:rsid w:val="0048109A"/>
    <w:rsid w:val="00481107"/>
    <w:rsid w:val="004811B3"/>
    <w:rsid w:val="00481274"/>
    <w:rsid w:val="0048136B"/>
    <w:rsid w:val="0048138C"/>
    <w:rsid w:val="004813CF"/>
    <w:rsid w:val="00481621"/>
    <w:rsid w:val="004816CE"/>
    <w:rsid w:val="0048172F"/>
    <w:rsid w:val="0048178C"/>
    <w:rsid w:val="004818E3"/>
    <w:rsid w:val="004818F1"/>
    <w:rsid w:val="00481906"/>
    <w:rsid w:val="00481955"/>
    <w:rsid w:val="00481988"/>
    <w:rsid w:val="00481B9F"/>
    <w:rsid w:val="00481CD1"/>
    <w:rsid w:val="00481D01"/>
    <w:rsid w:val="00481EF4"/>
    <w:rsid w:val="00481EF7"/>
    <w:rsid w:val="004822E1"/>
    <w:rsid w:val="004823C5"/>
    <w:rsid w:val="004823E2"/>
    <w:rsid w:val="00482538"/>
    <w:rsid w:val="004825F5"/>
    <w:rsid w:val="00482653"/>
    <w:rsid w:val="004827EA"/>
    <w:rsid w:val="004827FA"/>
    <w:rsid w:val="00482815"/>
    <w:rsid w:val="004828E4"/>
    <w:rsid w:val="00482903"/>
    <w:rsid w:val="00482AA1"/>
    <w:rsid w:val="00482AAA"/>
    <w:rsid w:val="00482B8F"/>
    <w:rsid w:val="00482CAA"/>
    <w:rsid w:val="00482D77"/>
    <w:rsid w:val="00482D92"/>
    <w:rsid w:val="00482DBF"/>
    <w:rsid w:val="00482E4C"/>
    <w:rsid w:val="00482E50"/>
    <w:rsid w:val="00482EA2"/>
    <w:rsid w:val="00483047"/>
    <w:rsid w:val="00483173"/>
    <w:rsid w:val="004831F1"/>
    <w:rsid w:val="00483212"/>
    <w:rsid w:val="0048334B"/>
    <w:rsid w:val="00483356"/>
    <w:rsid w:val="00483467"/>
    <w:rsid w:val="00483478"/>
    <w:rsid w:val="004834E3"/>
    <w:rsid w:val="004834E9"/>
    <w:rsid w:val="0048351A"/>
    <w:rsid w:val="00483565"/>
    <w:rsid w:val="004835D2"/>
    <w:rsid w:val="00483781"/>
    <w:rsid w:val="00483889"/>
    <w:rsid w:val="00483901"/>
    <w:rsid w:val="00483925"/>
    <w:rsid w:val="00483A71"/>
    <w:rsid w:val="00483AB3"/>
    <w:rsid w:val="00483B61"/>
    <w:rsid w:val="00483C8D"/>
    <w:rsid w:val="00483DC6"/>
    <w:rsid w:val="00483E53"/>
    <w:rsid w:val="00483EBF"/>
    <w:rsid w:val="00483F09"/>
    <w:rsid w:val="004840DA"/>
    <w:rsid w:val="00484280"/>
    <w:rsid w:val="00484289"/>
    <w:rsid w:val="00484331"/>
    <w:rsid w:val="00484357"/>
    <w:rsid w:val="00484376"/>
    <w:rsid w:val="00484762"/>
    <w:rsid w:val="0048478F"/>
    <w:rsid w:val="00484828"/>
    <w:rsid w:val="00484845"/>
    <w:rsid w:val="0048486E"/>
    <w:rsid w:val="00484A9C"/>
    <w:rsid w:val="00484BE4"/>
    <w:rsid w:val="00484CF6"/>
    <w:rsid w:val="00484D0F"/>
    <w:rsid w:val="00484D65"/>
    <w:rsid w:val="00484E63"/>
    <w:rsid w:val="00484F41"/>
    <w:rsid w:val="0048506F"/>
    <w:rsid w:val="004850E6"/>
    <w:rsid w:val="0048519F"/>
    <w:rsid w:val="004852CE"/>
    <w:rsid w:val="00485378"/>
    <w:rsid w:val="00485446"/>
    <w:rsid w:val="00485477"/>
    <w:rsid w:val="00485530"/>
    <w:rsid w:val="004856B6"/>
    <w:rsid w:val="0048572C"/>
    <w:rsid w:val="0048577F"/>
    <w:rsid w:val="00485869"/>
    <w:rsid w:val="004858A4"/>
    <w:rsid w:val="0048596E"/>
    <w:rsid w:val="004859C5"/>
    <w:rsid w:val="00485A84"/>
    <w:rsid w:val="00485AFE"/>
    <w:rsid w:val="00485B03"/>
    <w:rsid w:val="00485B13"/>
    <w:rsid w:val="00485B20"/>
    <w:rsid w:val="00485C94"/>
    <w:rsid w:val="00485CC9"/>
    <w:rsid w:val="00485D34"/>
    <w:rsid w:val="00485DCD"/>
    <w:rsid w:val="00485E06"/>
    <w:rsid w:val="00485E72"/>
    <w:rsid w:val="00485EC7"/>
    <w:rsid w:val="00485F33"/>
    <w:rsid w:val="00485F91"/>
    <w:rsid w:val="00485FB1"/>
    <w:rsid w:val="00485FEA"/>
    <w:rsid w:val="00486089"/>
    <w:rsid w:val="0048614B"/>
    <w:rsid w:val="004861A4"/>
    <w:rsid w:val="004861C9"/>
    <w:rsid w:val="004861FF"/>
    <w:rsid w:val="0048621C"/>
    <w:rsid w:val="0048621F"/>
    <w:rsid w:val="00486244"/>
    <w:rsid w:val="00486316"/>
    <w:rsid w:val="00486358"/>
    <w:rsid w:val="004863C2"/>
    <w:rsid w:val="004863FC"/>
    <w:rsid w:val="0048640D"/>
    <w:rsid w:val="00486506"/>
    <w:rsid w:val="00486626"/>
    <w:rsid w:val="004866EE"/>
    <w:rsid w:val="004867DD"/>
    <w:rsid w:val="00486A03"/>
    <w:rsid w:val="00486A16"/>
    <w:rsid w:val="00486A9E"/>
    <w:rsid w:val="00486AD9"/>
    <w:rsid w:val="00486D40"/>
    <w:rsid w:val="00486D62"/>
    <w:rsid w:val="00486E39"/>
    <w:rsid w:val="00486F32"/>
    <w:rsid w:val="00486F3E"/>
    <w:rsid w:val="00486F87"/>
    <w:rsid w:val="00486FF4"/>
    <w:rsid w:val="0048700D"/>
    <w:rsid w:val="00487029"/>
    <w:rsid w:val="0048707F"/>
    <w:rsid w:val="0048716B"/>
    <w:rsid w:val="00487188"/>
    <w:rsid w:val="0048721E"/>
    <w:rsid w:val="00487246"/>
    <w:rsid w:val="004872D9"/>
    <w:rsid w:val="004874B1"/>
    <w:rsid w:val="004875A5"/>
    <w:rsid w:val="004875B4"/>
    <w:rsid w:val="004875B5"/>
    <w:rsid w:val="0048765C"/>
    <w:rsid w:val="004876E5"/>
    <w:rsid w:val="0048771E"/>
    <w:rsid w:val="00487728"/>
    <w:rsid w:val="0048780A"/>
    <w:rsid w:val="004878D7"/>
    <w:rsid w:val="00487946"/>
    <w:rsid w:val="004879C5"/>
    <w:rsid w:val="00487AB5"/>
    <w:rsid w:val="00487AF5"/>
    <w:rsid w:val="00487AFC"/>
    <w:rsid w:val="00487B23"/>
    <w:rsid w:val="00487B43"/>
    <w:rsid w:val="00487BFF"/>
    <w:rsid w:val="00487D37"/>
    <w:rsid w:val="00487D90"/>
    <w:rsid w:val="00487DFC"/>
    <w:rsid w:val="00487E11"/>
    <w:rsid w:val="00487ED0"/>
    <w:rsid w:val="00487F25"/>
    <w:rsid w:val="00487F96"/>
    <w:rsid w:val="00490015"/>
    <w:rsid w:val="00490079"/>
    <w:rsid w:val="00490091"/>
    <w:rsid w:val="00490134"/>
    <w:rsid w:val="0049021F"/>
    <w:rsid w:val="00490280"/>
    <w:rsid w:val="004902DB"/>
    <w:rsid w:val="004902F6"/>
    <w:rsid w:val="00490308"/>
    <w:rsid w:val="004903AD"/>
    <w:rsid w:val="004903FA"/>
    <w:rsid w:val="0049044F"/>
    <w:rsid w:val="00490478"/>
    <w:rsid w:val="004905A9"/>
    <w:rsid w:val="004905E9"/>
    <w:rsid w:val="0049066F"/>
    <w:rsid w:val="004906D4"/>
    <w:rsid w:val="00490847"/>
    <w:rsid w:val="004908DF"/>
    <w:rsid w:val="00490995"/>
    <w:rsid w:val="00490A51"/>
    <w:rsid w:val="00490ACB"/>
    <w:rsid w:val="00490B59"/>
    <w:rsid w:val="00490BEB"/>
    <w:rsid w:val="00490DE6"/>
    <w:rsid w:val="00490E1E"/>
    <w:rsid w:val="00490E30"/>
    <w:rsid w:val="00490E56"/>
    <w:rsid w:val="00490E67"/>
    <w:rsid w:val="00490F0C"/>
    <w:rsid w:val="004910C0"/>
    <w:rsid w:val="00491114"/>
    <w:rsid w:val="0049114F"/>
    <w:rsid w:val="00491169"/>
    <w:rsid w:val="0049122C"/>
    <w:rsid w:val="0049146A"/>
    <w:rsid w:val="00491567"/>
    <w:rsid w:val="00491591"/>
    <w:rsid w:val="00491675"/>
    <w:rsid w:val="0049172A"/>
    <w:rsid w:val="0049175F"/>
    <w:rsid w:val="00491894"/>
    <w:rsid w:val="004918DF"/>
    <w:rsid w:val="00491909"/>
    <w:rsid w:val="0049191A"/>
    <w:rsid w:val="00491938"/>
    <w:rsid w:val="004919F8"/>
    <w:rsid w:val="00491A78"/>
    <w:rsid w:val="00491D0B"/>
    <w:rsid w:val="00491D6B"/>
    <w:rsid w:val="00491D90"/>
    <w:rsid w:val="00491DEB"/>
    <w:rsid w:val="00492048"/>
    <w:rsid w:val="00492097"/>
    <w:rsid w:val="00492115"/>
    <w:rsid w:val="00492162"/>
    <w:rsid w:val="00492263"/>
    <w:rsid w:val="004922E9"/>
    <w:rsid w:val="0049231F"/>
    <w:rsid w:val="004923CE"/>
    <w:rsid w:val="00492476"/>
    <w:rsid w:val="004924FD"/>
    <w:rsid w:val="004925AF"/>
    <w:rsid w:val="00492713"/>
    <w:rsid w:val="0049295E"/>
    <w:rsid w:val="004929C3"/>
    <w:rsid w:val="00492A5B"/>
    <w:rsid w:val="00492B23"/>
    <w:rsid w:val="00492B65"/>
    <w:rsid w:val="00492BE2"/>
    <w:rsid w:val="00492C21"/>
    <w:rsid w:val="00492C34"/>
    <w:rsid w:val="00492C43"/>
    <w:rsid w:val="00492DA7"/>
    <w:rsid w:val="00492E56"/>
    <w:rsid w:val="00493017"/>
    <w:rsid w:val="004930BB"/>
    <w:rsid w:val="004930E2"/>
    <w:rsid w:val="0049312A"/>
    <w:rsid w:val="00493194"/>
    <w:rsid w:val="004931F2"/>
    <w:rsid w:val="0049329B"/>
    <w:rsid w:val="0049335D"/>
    <w:rsid w:val="0049336F"/>
    <w:rsid w:val="004933A0"/>
    <w:rsid w:val="00493488"/>
    <w:rsid w:val="004934DA"/>
    <w:rsid w:val="004935CF"/>
    <w:rsid w:val="0049366C"/>
    <w:rsid w:val="004936B6"/>
    <w:rsid w:val="00493754"/>
    <w:rsid w:val="0049375B"/>
    <w:rsid w:val="00493806"/>
    <w:rsid w:val="0049389C"/>
    <w:rsid w:val="00493907"/>
    <w:rsid w:val="00493A61"/>
    <w:rsid w:val="00493AF7"/>
    <w:rsid w:val="00493B38"/>
    <w:rsid w:val="00493B50"/>
    <w:rsid w:val="00493C3A"/>
    <w:rsid w:val="00493C76"/>
    <w:rsid w:val="00493CAF"/>
    <w:rsid w:val="00493D31"/>
    <w:rsid w:val="00493E90"/>
    <w:rsid w:val="00493EAD"/>
    <w:rsid w:val="00493F24"/>
    <w:rsid w:val="00493F25"/>
    <w:rsid w:val="004940B5"/>
    <w:rsid w:val="00494446"/>
    <w:rsid w:val="004944F3"/>
    <w:rsid w:val="0049450B"/>
    <w:rsid w:val="00494670"/>
    <w:rsid w:val="00494688"/>
    <w:rsid w:val="004946D5"/>
    <w:rsid w:val="004946DA"/>
    <w:rsid w:val="004946E2"/>
    <w:rsid w:val="00494710"/>
    <w:rsid w:val="0049478A"/>
    <w:rsid w:val="004947CB"/>
    <w:rsid w:val="00494840"/>
    <w:rsid w:val="0049486C"/>
    <w:rsid w:val="004948D4"/>
    <w:rsid w:val="0049496D"/>
    <w:rsid w:val="004949A6"/>
    <w:rsid w:val="00494CB9"/>
    <w:rsid w:val="00494CC0"/>
    <w:rsid w:val="00494D96"/>
    <w:rsid w:val="00494F9C"/>
    <w:rsid w:val="00495007"/>
    <w:rsid w:val="00495034"/>
    <w:rsid w:val="00495051"/>
    <w:rsid w:val="0049519F"/>
    <w:rsid w:val="004955EB"/>
    <w:rsid w:val="004957B1"/>
    <w:rsid w:val="00495847"/>
    <w:rsid w:val="00495898"/>
    <w:rsid w:val="00495A46"/>
    <w:rsid w:val="00495B17"/>
    <w:rsid w:val="00495B2D"/>
    <w:rsid w:val="00495BE6"/>
    <w:rsid w:val="00495C60"/>
    <w:rsid w:val="00495CA9"/>
    <w:rsid w:val="00495D82"/>
    <w:rsid w:val="00495DFF"/>
    <w:rsid w:val="00495E6E"/>
    <w:rsid w:val="00495F31"/>
    <w:rsid w:val="00495FD0"/>
    <w:rsid w:val="00496053"/>
    <w:rsid w:val="0049609F"/>
    <w:rsid w:val="0049610E"/>
    <w:rsid w:val="004962A8"/>
    <w:rsid w:val="0049634A"/>
    <w:rsid w:val="004963E8"/>
    <w:rsid w:val="004964EC"/>
    <w:rsid w:val="00496554"/>
    <w:rsid w:val="0049670A"/>
    <w:rsid w:val="00496743"/>
    <w:rsid w:val="00496908"/>
    <w:rsid w:val="00496918"/>
    <w:rsid w:val="00496926"/>
    <w:rsid w:val="00496C7B"/>
    <w:rsid w:val="00496D59"/>
    <w:rsid w:val="00496EDC"/>
    <w:rsid w:val="00496FF5"/>
    <w:rsid w:val="004970E9"/>
    <w:rsid w:val="00497157"/>
    <w:rsid w:val="0049716A"/>
    <w:rsid w:val="004972B1"/>
    <w:rsid w:val="00497404"/>
    <w:rsid w:val="0049740F"/>
    <w:rsid w:val="004975B2"/>
    <w:rsid w:val="00497771"/>
    <w:rsid w:val="004978CE"/>
    <w:rsid w:val="004978E8"/>
    <w:rsid w:val="004978F8"/>
    <w:rsid w:val="00497AEA"/>
    <w:rsid w:val="00497B4E"/>
    <w:rsid w:val="00497C0F"/>
    <w:rsid w:val="00497C25"/>
    <w:rsid w:val="00497CA2"/>
    <w:rsid w:val="00497CB7"/>
    <w:rsid w:val="00497D2B"/>
    <w:rsid w:val="00497E79"/>
    <w:rsid w:val="00497E7D"/>
    <w:rsid w:val="00497F12"/>
    <w:rsid w:val="00497FFA"/>
    <w:rsid w:val="004A00CC"/>
    <w:rsid w:val="004A01E3"/>
    <w:rsid w:val="004A0205"/>
    <w:rsid w:val="004A0231"/>
    <w:rsid w:val="004A0292"/>
    <w:rsid w:val="004A02AF"/>
    <w:rsid w:val="004A0334"/>
    <w:rsid w:val="004A033B"/>
    <w:rsid w:val="004A0424"/>
    <w:rsid w:val="004A0511"/>
    <w:rsid w:val="004A076F"/>
    <w:rsid w:val="004A08D1"/>
    <w:rsid w:val="004A08E6"/>
    <w:rsid w:val="004A09A0"/>
    <w:rsid w:val="004A09B5"/>
    <w:rsid w:val="004A09C7"/>
    <w:rsid w:val="004A0A16"/>
    <w:rsid w:val="004A0A1B"/>
    <w:rsid w:val="004A0A55"/>
    <w:rsid w:val="004A0B71"/>
    <w:rsid w:val="004A0C8A"/>
    <w:rsid w:val="004A0E31"/>
    <w:rsid w:val="004A0E4D"/>
    <w:rsid w:val="004A0E58"/>
    <w:rsid w:val="004A0E9A"/>
    <w:rsid w:val="004A0F01"/>
    <w:rsid w:val="004A0F0F"/>
    <w:rsid w:val="004A0F87"/>
    <w:rsid w:val="004A0F8B"/>
    <w:rsid w:val="004A0FAD"/>
    <w:rsid w:val="004A1182"/>
    <w:rsid w:val="004A126D"/>
    <w:rsid w:val="004A13B1"/>
    <w:rsid w:val="004A1449"/>
    <w:rsid w:val="004A1648"/>
    <w:rsid w:val="004A1984"/>
    <w:rsid w:val="004A1AF7"/>
    <w:rsid w:val="004A1B00"/>
    <w:rsid w:val="004A1B1E"/>
    <w:rsid w:val="004A1BD1"/>
    <w:rsid w:val="004A1BF2"/>
    <w:rsid w:val="004A1C39"/>
    <w:rsid w:val="004A1C54"/>
    <w:rsid w:val="004A1CA3"/>
    <w:rsid w:val="004A1DE4"/>
    <w:rsid w:val="004A1E1E"/>
    <w:rsid w:val="004A1ED5"/>
    <w:rsid w:val="004A234C"/>
    <w:rsid w:val="004A2533"/>
    <w:rsid w:val="004A25B2"/>
    <w:rsid w:val="004A27D9"/>
    <w:rsid w:val="004A2A01"/>
    <w:rsid w:val="004A2C4A"/>
    <w:rsid w:val="004A2D8E"/>
    <w:rsid w:val="004A2DF6"/>
    <w:rsid w:val="004A2E7E"/>
    <w:rsid w:val="004A2EAD"/>
    <w:rsid w:val="004A2EE8"/>
    <w:rsid w:val="004A2FAB"/>
    <w:rsid w:val="004A309E"/>
    <w:rsid w:val="004A30FE"/>
    <w:rsid w:val="004A3256"/>
    <w:rsid w:val="004A3330"/>
    <w:rsid w:val="004A3334"/>
    <w:rsid w:val="004A33C0"/>
    <w:rsid w:val="004A3460"/>
    <w:rsid w:val="004A3477"/>
    <w:rsid w:val="004A34D6"/>
    <w:rsid w:val="004A3749"/>
    <w:rsid w:val="004A3858"/>
    <w:rsid w:val="004A387B"/>
    <w:rsid w:val="004A39A5"/>
    <w:rsid w:val="004A39D8"/>
    <w:rsid w:val="004A3AB4"/>
    <w:rsid w:val="004A3B11"/>
    <w:rsid w:val="004A3B9B"/>
    <w:rsid w:val="004A3D62"/>
    <w:rsid w:val="004A3D6A"/>
    <w:rsid w:val="004A3DD4"/>
    <w:rsid w:val="004A3DED"/>
    <w:rsid w:val="004A3E7A"/>
    <w:rsid w:val="004A40EA"/>
    <w:rsid w:val="004A40FD"/>
    <w:rsid w:val="004A41BF"/>
    <w:rsid w:val="004A4295"/>
    <w:rsid w:val="004A42F0"/>
    <w:rsid w:val="004A45ED"/>
    <w:rsid w:val="004A47E5"/>
    <w:rsid w:val="004A47E8"/>
    <w:rsid w:val="004A47FC"/>
    <w:rsid w:val="004A487C"/>
    <w:rsid w:val="004A4929"/>
    <w:rsid w:val="004A494F"/>
    <w:rsid w:val="004A4A87"/>
    <w:rsid w:val="004A4AA0"/>
    <w:rsid w:val="004A4ABD"/>
    <w:rsid w:val="004A4C84"/>
    <w:rsid w:val="004A4D5C"/>
    <w:rsid w:val="004A4DBA"/>
    <w:rsid w:val="004A4E67"/>
    <w:rsid w:val="004A4F62"/>
    <w:rsid w:val="004A506B"/>
    <w:rsid w:val="004A50AE"/>
    <w:rsid w:val="004A51C7"/>
    <w:rsid w:val="004A53E7"/>
    <w:rsid w:val="004A5457"/>
    <w:rsid w:val="004A5526"/>
    <w:rsid w:val="004A55CA"/>
    <w:rsid w:val="004A567E"/>
    <w:rsid w:val="004A56A6"/>
    <w:rsid w:val="004A57E1"/>
    <w:rsid w:val="004A5853"/>
    <w:rsid w:val="004A58F7"/>
    <w:rsid w:val="004A59B5"/>
    <w:rsid w:val="004A5AA9"/>
    <w:rsid w:val="004A5ADB"/>
    <w:rsid w:val="004A5B74"/>
    <w:rsid w:val="004A5BFD"/>
    <w:rsid w:val="004A5C03"/>
    <w:rsid w:val="004A5C25"/>
    <w:rsid w:val="004A5C90"/>
    <w:rsid w:val="004A5D83"/>
    <w:rsid w:val="004A5E2B"/>
    <w:rsid w:val="004A5F2D"/>
    <w:rsid w:val="004A5F98"/>
    <w:rsid w:val="004A5FA5"/>
    <w:rsid w:val="004A6097"/>
    <w:rsid w:val="004A60F1"/>
    <w:rsid w:val="004A623D"/>
    <w:rsid w:val="004A624E"/>
    <w:rsid w:val="004A6396"/>
    <w:rsid w:val="004A63BF"/>
    <w:rsid w:val="004A6453"/>
    <w:rsid w:val="004A64CA"/>
    <w:rsid w:val="004A6632"/>
    <w:rsid w:val="004A6658"/>
    <w:rsid w:val="004A6670"/>
    <w:rsid w:val="004A66A3"/>
    <w:rsid w:val="004A66B1"/>
    <w:rsid w:val="004A66BB"/>
    <w:rsid w:val="004A67B2"/>
    <w:rsid w:val="004A67B5"/>
    <w:rsid w:val="004A686C"/>
    <w:rsid w:val="004A68B5"/>
    <w:rsid w:val="004A6A22"/>
    <w:rsid w:val="004A6AAE"/>
    <w:rsid w:val="004A6AD1"/>
    <w:rsid w:val="004A6D77"/>
    <w:rsid w:val="004A6DBE"/>
    <w:rsid w:val="004A6E07"/>
    <w:rsid w:val="004A6E0B"/>
    <w:rsid w:val="004A6E16"/>
    <w:rsid w:val="004A6E75"/>
    <w:rsid w:val="004A6EB6"/>
    <w:rsid w:val="004A6F3C"/>
    <w:rsid w:val="004A6FEE"/>
    <w:rsid w:val="004A6FFA"/>
    <w:rsid w:val="004A7040"/>
    <w:rsid w:val="004A7084"/>
    <w:rsid w:val="004A71E9"/>
    <w:rsid w:val="004A71F3"/>
    <w:rsid w:val="004A723D"/>
    <w:rsid w:val="004A7250"/>
    <w:rsid w:val="004A743E"/>
    <w:rsid w:val="004A7470"/>
    <w:rsid w:val="004A7475"/>
    <w:rsid w:val="004A7571"/>
    <w:rsid w:val="004A761A"/>
    <w:rsid w:val="004A765A"/>
    <w:rsid w:val="004A7692"/>
    <w:rsid w:val="004A787A"/>
    <w:rsid w:val="004A7B1B"/>
    <w:rsid w:val="004A7F19"/>
    <w:rsid w:val="004A7F7B"/>
    <w:rsid w:val="004A7F90"/>
    <w:rsid w:val="004B0037"/>
    <w:rsid w:val="004B01ED"/>
    <w:rsid w:val="004B0288"/>
    <w:rsid w:val="004B0377"/>
    <w:rsid w:val="004B038A"/>
    <w:rsid w:val="004B03BC"/>
    <w:rsid w:val="004B048D"/>
    <w:rsid w:val="004B04DA"/>
    <w:rsid w:val="004B04E0"/>
    <w:rsid w:val="004B06F7"/>
    <w:rsid w:val="004B0874"/>
    <w:rsid w:val="004B08A8"/>
    <w:rsid w:val="004B0A75"/>
    <w:rsid w:val="004B0AB9"/>
    <w:rsid w:val="004B0B6F"/>
    <w:rsid w:val="004B0B78"/>
    <w:rsid w:val="004B0C5B"/>
    <w:rsid w:val="004B0C7A"/>
    <w:rsid w:val="004B0C9F"/>
    <w:rsid w:val="004B0CD4"/>
    <w:rsid w:val="004B0CEE"/>
    <w:rsid w:val="004B0CFD"/>
    <w:rsid w:val="004B0E49"/>
    <w:rsid w:val="004B0E99"/>
    <w:rsid w:val="004B0ED8"/>
    <w:rsid w:val="004B0F47"/>
    <w:rsid w:val="004B1238"/>
    <w:rsid w:val="004B1389"/>
    <w:rsid w:val="004B13EE"/>
    <w:rsid w:val="004B13F4"/>
    <w:rsid w:val="004B15B7"/>
    <w:rsid w:val="004B165C"/>
    <w:rsid w:val="004B1690"/>
    <w:rsid w:val="004B179A"/>
    <w:rsid w:val="004B17BE"/>
    <w:rsid w:val="004B1891"/>
    <w:rsid w:val="004B197B"/>
    <w:rsid w:val="004B1A3C"/>
    <w:rsid w:val="004B1A56"/>
    <w:rsid w:val="004B1AFC"/>
    <w:rsid w:val="004B1B7D"/>
    <w:rsid w:val="004B1C20"/>
    <w:rsid w:val="004B1CD2"/>
    <w:rsid w:val="004B1CEF"/>
    <w:rsid w:val="004B1CF5"/>
    <w:rsid w:val="004B1DA3"/>
    <w:rsid w:val="004B1DC0"/>
    <w:rsid w:val="004B1E6D"/>
    <w:rsid w:val="004B1EB0"/>
    <w:rsid w:val="004B2085"/>
    <w:rsid w:val="004B2161"/>
    <w:rsid w:val="004B2287"/>
    <w:rsid w:val="004B2296"/>
    <w:rsid w:val="004B22D1"/>
    <w:rsid w:val="004B2320"/>
    <w:rsid w:val="004B2477"/>
    <w:rsid w:val="004B2573"/>
    <w:rsid w:val="004B2589"/>
    <w:rsid w:val="004B25BC"/>
    <w:rsid w:val="004B25ED"/>
    <w:rsid w:val="004B271B"/>
    <w:rsid w:val="004B2783"/>
    <w:rsid w:val="004B27FD"/>
    <w:rsid w:val="004B280D"/>
    <w:rsid w:val="004B2973"/>
    <w:rsid w:val="004B2A24"/>
    <w:rsid w:val="004B2A2D"/>
    <w:rsid w:val="004B2A53"/>
    <w:rsid w:val="004B2A5E"/>
    <w:rsid w:val="004B2AB8"/>
    <w:rsid w:val="004B2CE4"/>
    <w:rsid w:val="004B2DD9"/>
    <w:rsid w:val="004B2E22"/>
    <w:rsid w:val="004B2E59"/>
    <w:rsid w:val="004B3001"/>
    <w:rsid w:val="004B3039"/>
    <w:rsid w:val="004B3057"/>
    <w:rsid w:val="004B323E"/>
    <w:rsid w:val="004B32BD"/>
    <w:rsid w:val="004B32C9"/>
    <w:rsid w:val="004B330D"/>
    <w:rsid w:val="004B3354"/>
    <w:rsid w:val="004B338F"/>
    <w:rsid w:val="004B346D"/>
    <w:rsid w:val="004B353E"/>
    <w:rsid w:val="004B3559"/>
    <w:rsid w:val="004B376B"/>
    <w:rsid w:val="004B38BC"/>
    <w:rsid w:val="004B3917"/>
    <w:rsid w:val="004B3964"/>
    <w:rsid w:val="004B3995"/>
    <w:rsid w:val="004B3A59"/>
    <w:rsid w:val="004B3A72"/>
    <w:rsid w:val="004B3AA2"/>
    <w:rsid w:val="004B3AE5"/>
    <w:rsid w:val="004B3B30"/>
    <w:rsid w:val="004B3B53"/>
    <w:rsid w:val="004B3B79"/>
    <w:rsid w:val="004B3B98"/>
    <w:rsid w:val="004B3BF0"/>
    <w:rsid w:val="004B3BF6"/>
    <w:rsid w:val="004B3C8F"/>
    <w:rsid w:val="004B3DDC"/>
    <w:rsid w:val="004B3DF4"/>
    <w:rsid w:val="004B3F5B"/>
    <w:rsid w:val="004B405F"/>
    <w:rsid w:val="004B40B6"/>
    <w:rsid w:val="004B41FC"/>
    <w:rsid w:val="004B4224"/>
    <w:rsid w:val="004B430C"/>
    <w:rsid w:val="004B45B8"/>
    <w:rsid w:val="004B45FA"/>
    <w:rsid w:val="004B461B"/>
    <w:rsid w:val="004B4640"/>
    <w:rsid w:val="004B46C8"/>
    <w:rsid w:val="004B4741"/>
    <w:rsid w:val="004B4869"/>
    <w:rsid w:val="004B48D2"/>
    <w:rsid w:val="004B49DF"/>
    <w:rsid w:val="004B49F3"/>
    <w:rsid w:val="004B4A33"/>
    <w:rsid w:val="004B4A82"/>
    <w:rsid w:val="004B4AE3"/>
    <w:rsid w:val="004B4B75"/>
    <w:rsid w:val="004B4C0E"/>
    <w:rsid w:val="004B4D3C"/>
    <w:rsid w:val="004B4D4C"/>
    <w:rsid w:val="004B4E99"/>
    <w:rsid w:val="004B4EB5"/>
    <w:rsid w:val="004B4F13"/>
    <w:rsid w:val="004B505B"/>
    <w:rsid w:val="004B5125"/>
    <w:rsid w:val="004B51CA"/>
    <w:rsid w:val="004B51FD"/>
    <w:rsid w:val="004B5283"/>
    <w:rsid w:val="004B5341"/>
    <w:rsid w:val="004B535A"/>
    <w:rsid w:val="004B5398"/>
    <w:rsid w:val="004B53A8"/>
    <w:rsid w:val="004B542D"/>
    <w:rsid w:val="004B5442"/>
    <w:rsid w:val="004B54A6"/>
    <w:rsid w:val="004B556B"/>
    <w:rsid w:val="004B5575"/>
    <w:rsid w:val="004B5616"/>
    <w:rsid w:val="004B56D2"/>
    <w:rsid w:val="004B5736"/>
    <w:rsid w:val="004B5793"/>
    <w:rsid w:val="004B5838"/>
    <w:rsid w:val="004B5BDD"/>
    <w:rsid w:val="004B5E47"/>
    <w:rsid w:val="004B5ECA"/>
    <w:rsid w:val="004B5EFF"/>
    <w:rsid w:val="004B5F6D"/>
    <w:rsid w:val="004B5F97"/>
    <w:rsid w:val="004B60E7"/>
    <w:rsid w:val="004B622A"/>
    <w:rsid w:val="004B62C7"/>
    <w:rsid w:val="004B62DC"/>
    <w:rsid w:val="004B6486"/>
    <w:rsid w:val="004B6576"/>
    <w:rsid w:val="004B65C6"/>
    <w:rsid w:val="004B6621"/>
    <w:rsid w:val="004B669D"/>
    <w:rsid w:val="004B6713"/>
    <w:rsid w:val="004B6891"/>
    <w:rsid w:val="004B6913"/>
    <w:rsid w:val="004B69AB"/>
    <w:rsid w:val="004B6A4B"/>
    <w:rsid w:val="004B6A82"/>
    <w:rsid w:val="004B6AFD"/>
    <w:rsid w:val="004B6C35"/>
    <w:rsid w:val="004B6C43"/>
    <w:rsid w:val="004B6CE5"/>
    <w:rsid w:val="004B6D1F"/>
    <w:rsid w:val="004B6D47"/>
    <w:rsid w:val="004B6D4B"/>
    <w:rsid w:val="004B6DB1"/>
    <w:rsid w:val="004B6E61"/>
    <w:rsid w:val="004B6F92"/>
    <w:rsid w:val="004B7021"/>
    <w:rsid w:val="004B7106"/>
    <w:rsid w:val="004B7110"/>
    <w:rsid w:val="004B7129"/>
    <w:rsid w:val="004B713A"/>
    <w:rsid w:val="004B71AE"/>
    <w:rsid w:val="004B71E4"/>
    <w:rsid w:val="004B7281"/>
    <w:rsid w:val="004B7433"/>
    <w:rsid w:val="004B747D"/>
    <w:rsid w:val="004B7501"/>
    <w:rsid w:val="004B753C"/>
    <w:rsid w:val="004B76EB"/>
    <w:rsid w:val="004B77DA"/>
    <w:rsid w:val="004B77E1"/>
    <w:rsid w:val="004B7986"/>
    <w:rsid w:val="004B7A40"/>
    <w:rsid w:val="004B7AFD"/>
    <w:rsid w:val="004B7B50"/>
    <w:rsid w:val="004B7C00"/>
    <w:rsid w:val="004B7C0C"/>
    <w:rsid w:val="004B7E37"/>
    <w:rsid w:val="004B7EE0"/>
    <w:rsid w:val="004B7FF6"/>
    <w:rsid w:val="004C004D"/>
    <w:rsid w:val="004C0116"/>
    <w:rsid w:val="004C0160"/>
    <w:rsid w:val="004C027F"/>
    <w:rsid w:val="004C04C1"/>
    <w:rsid w:val="004C04CB"/>
    <w:rsid w:val="004C05BC"/>
    <w:rsid w:val="004C05E4"/>
    <w:rsid w:val="004C0686"/>
    <w:rsid w:val="004C06B0"/>
    <w:rsid w:val="004C0968"/>
    <w:rsid w:val="004C097E"/>
    <w:rsid w:val="004C0BEE"/>
    <w:rsid w:val="004C0D7D"/>
    <w:rsid w:val="004C0DE3"/>
    <w:rsid w:val="004C0E1C"/>
    <w:rsid w:val="004C0E1E"/>
    <w:rsid w:val="004C0E38"/>
    <w:rsid w:val="004C0E78"/>
    <w:rsid w:val="004C0E9B"/>
    <w:rsid w:val="004C0EAC"/>
    <w:rsid w:val="004C1082"/>
    <w:rsid w:val="004C108C"/>
    <w:rsid w:val="004C10E0"/>
    <w:rsid w:val="004C10F5"/>
    <w:rsid w:val="004C1236"/>
    <w:rsid w:val="004C12A4"/>
    <w:rsid w:val="004C12C0"/>
    <w:rsid w:val="004C1458"/>
    <w:rsid w:val="004C147E"/>
    <w:rsid w:val="004C15C7"/>
    <w:rsid w:val="004C1A08"/>
    <w:rsid w:val="004C1A13"/>
    <w:rsid w:val="004C1A1E"/>
    <w:rsid w:val="004C1AE5"/>
    <w:rsid w:val="004C1B2E"/>
    <w:rsid w:val="004C1BF7"/>
    <w:rsid w:val="004C1DDF"/>
    <w:rsid w:val="004C1E17"/>
    <w:rsid w:val="004C1E4E"/>
    <w:rsid w:val="004C1E62"/>
    <w:rsid w:val="004C1F6E"/>
    <w:rsid w:val="004C20FC"/>
    <w:rsid w:val="004C224B"/>
    <w:rsid w:val="004C2269"/>
    <w:rsid w:val="004C22C8"/>
    <w:rsid w:val="004C23DE"/>
    <w:rsid w:val="004C251F"/>
    <w:rsid w:val="004C25A2"/>
    <w:rsid w:val="004C26B6"/>
    <w:rsid w:val="004C2818"/>
    <w:rsid w:val="004C281B"/>
    <w:rsid w:val="004C2903"/>
    <w:rsid w:val="004C29CB"/>
    <w:rsid w:val="004C2A35"/>
    <w:rsid w:val="004C2A45"/>
    <w:rsid w:val="004C2A83"/>
    <w:rsid w:val="004C2AFD"/>
    <w:rsid w:val="004C2B2F"/>
    <w:rsid w:val="004C2BEF"/>
    <w:rsid w:val="004C2C8D"/>
    <w:rsid w:val="004C2CC0"/>
    <w:rsid w:val="004C2DE3"/>
    <w:rsid w:val="004C2DE6"/>
    <w:rsid w:val="004C2E1C"/>
    <w:rsid w:val="004C2E30"/>
    <w:rsid w:val="004C2EA3"/>
    <w:rsid w:val="004C2F00"/>
    <w:rsid w:val="004C30D8"/>
    <w:rsid w:val="004C3192"/>
    <w:rsid w:val="004C31E7"/>
    <w:rsid w:val="004C3202"/>
    <w:rsid w:val="004C33FA"/>
    <w:rsid w:val="004C34AF"/>
    <w:rsid w:val="004C37D9"/>
    <w:rsid w:val="004C3813"/>
    <w:rsid w:val="004C3893"/>
    <w:rsid w:val="004C3940"/>
    <w:rsid w:val="004C397B"/>
    <w:rsid w:val="004C397F"/>
    <w:rsid w:val="004C3A3D"/>
    <w:rsid w:val="004C3B69"/>
    <w:rsid w:val="004C3BD8"/>
    <w:rsid w:val="004C3D2D"/>
    <w:rsid w:val="004C3DA5"/>
    <w:rsid w:val="004C3E84"/>
    <w:rsid w:val="004C3ED5"/>
    <w:rsid w:val="004C40C0"/>
    <w:rsid w:val="004C4162"/>
    <w:rsid w:val="004C4276"/>
    <w:rsid w:val="004C42BE"/>
    <w:rsid w:val="004C435D"/>
    <w:rsid w:val="004C44FB"/>
    <w:rsid w:val="004C45C5"/>
    <w:rsid w:val="004C46FC"/>
    <w:rsid w:val="004C473C"/>
    <w:rsid w:val="004C47B6"/>
    <w:rsid w:val="004C4804"/>
    <w:rsid w:val="004C4921"/>
    <w:rsid w:val="004C4A8C"/>
    <w:rsid w:val="004C4AAD"/>
    <w:rsid w:val="004C4B46"/>
    <w:rsid w:val="004C4B77"/>
    <w:rsid w:val="004C4D24"/>
    <w:rsid w:val="004C4DD4"/>
    <w:rsid w:val="004C4F14"/>
    <w:rsid w:val="004C4F60"/>
    <w:rsid w:val="004C4FA0"/>
    <w:rsid w:val="004C5029"/>
    <w:rsid w:val="004C5105"/>
    <w:rsid w:val="004C5167"/>
    <w:rsid w:val="004C516D"/>
    <w:rsid w:val="004C5195"/>
    <w:rsid w:val="004C5282"/>
    <w:rsid w:val="004C52A4"/>
    <w:rsid w:val="004C52BA"/>
    <w:rsid w:val="004C53DB"/>
    <w:rsid w:val="004C5410"/>
    <w:rsid w:val="004C549F"/>
    <w:rsid w:val="004C556E"/>
    <w:rsid w:val="004C55E7"/>
    <w:rsid w:val="004C5639"/>
    <w:rsid w:val="004C5680"/>
    <w:rsid w:val="004C56DD"/>
    <w:rsid w:val="004C5783"/>
    <w:rsid w:val="004C57ED"/>
    <w:rsid w:val="004C59A1"/>
    <w:rsid w:val="004C59E9"/>
    <w:rsid w:val="004C5A11"/>
    <w:rsid w:val="004C5AA7"/>
    <w:rsid w:val="004C5DA8"/>
    <w:rsid w:val="004C5E69"/>
    <w:rsid w:val="004C5E89"/>
    <w:rsid w:val="004C5EB8"/>
    <w:rsid w:val="004C5FFA"/>
    <w:rsid w:val="004C6053"/>
    <w:rsid w:val="004C60E2"/>
    <w:rsid w:val="004C6149"/>
    <w:rsid w:val="004C6200"/>
    <w:rsid w:val="004C62FE"/>
    <w:rsid w:val="004C631D"/>
    <w:rsid w:val="004C6345"/>
    <w:rsid w:val="004C6412"/>
    <w:rsid w:val="004C6440"/>
    <w:rsid w:val="004C64BB"/>
    <w:rsid w:val="004C657B"/>
    <w:rsid w:val="004C6641"/>
    <w:rsid w:val="004C665E"/>
    <w:rsid w:val="004C667E"/>
    <w:rsid w:val="004C66E8"/>
    <w:rsid w:val="004C672E"/>
    <w:rsid w:val="004C6981"/>
    <w:rsid w:val="004C6AEF"/>
    <w:rsid w:val="004C6B20"/>
    <w:rsid w:val="004C6BC5"/>
    <w:rsid w:val="004C6C5D"/>
    <w:rsid w:val="004C6CA6"/>
    <w:rsid w:val="004C6CC7"/>
    <w:rsid w:val="004C6D09"/>
    <w:rsid w:val="004C6D56"/>
    <w:rsid w:val="004C6D65"/>
    <w:rsid w:val="004C6DCF"/>
    <w:rsid w:val="004C6EAF"/>
    <w:rsid w:val="004C6F04"/>
    <w:rsid w:val="004C6F2B"/>
    <w:rsid w:val="004C6F87"/>
    <w:rsid w:val="004C6F95"/>
    <w:rsid w:val="004C7068"/>
    <w:rsid w:val="004C708C"/>
    <w:rsid w:val="004C70DE"/>
    <w:rsid w:val="004C7149"/>
    <w:rsid w:val="004C7225"/>
    <w:rsid w:val="004C73E8"/>
    <w:rsid w:val="004C74D6"/>
    <w:rsid w:val="004C75AA"/>
    <w:rsid w:val="004C75D2"/>
    <w:rsid w:val="004C7677"/>
    <w:rsid w:val="004C76BF"/>
    <w:rsid w:val="004C76D8"/>
    <w:rsid w:val="004C7957"/>
    <w:rsid w:val="004C7973"/>
    <w:rsid w:val="004C7A95"/>
    <w:rsid w:val="004C7AC2"/>
    <w:rsid w:val="004C7B46"/>
    <w:rsid w:val="004C7B57"/>
    <w:rsid w:val="004C7BD2"/>
    <w:rsid w:val="004C7C19"/>
    <w:rsid w:val="004C7C9E"/>
    <w:rsid w:val="004C7CD0"/>
    <w:rsid w:val="004C7CEA"/>
    <w:rsid w:val="004C7D44"/>
    <w:rsid w:val="004C7E4F"/>
    <w:rsid w:val="004C7ECC"/>
    <w:rsid w:val="004C7ED5"/>
    <w:rsid w:val="004C7EF5"/>
    <w:rsid w:val="004C7FC8"/>
    <w:rsid w:val="004C80F4"/>
    <w:rsid w:val="004D0076"/>
    <w:rsid w:val="004D0195"/>
    <w:rsid w:val="004D01C8"/>
    <w:rsid w:val="004D02B4"/>
    <w:rsid w:val="004D0410"/>
    <w:rsid w:val="004D0465"/>
    <w:rsid w:val="004D04D8"/>
    <w:rsid w:val="004D04E2"/>
    <w:rsid w:val="004D055F"/>
    <w:rsid w:val="004D0596"/>
    <w:rsid w:val="004D0658"/>
    <w:rsid w:val="004D0723"/>
    <w:rsid w:val="004D0944"/>
    <w:rsid w:val="004D0A83"/>
    <w:rsid w:val="004D0AF1"/>
    <w:rsid w:val="004D0B3A"/>
    <w:rsid w:val="004D0B74"/>
    <w:rsid w:val="004D0C92"/>
    <w:rsid w:val="004D0E19"/>
    <w:rsid w:val="004D0E96"/>
    <w:rsid w:val="004D1031"/>
    <w:rsid w:val="004D1103"/>
    <w:rsid w:val="004D11C6"/>
    <w:rsid w:val="004D1224"/>
    <w:rsid w:val="004D1315"/>
    <w:rsid w:val="004D142E"/>
    <w:rsid w:val="004D1496"/>
    <w:rsid w:val="004D16F5"/>
    <w:rsid w:val="004D16FF"/>
    <w:rsid w:val="004D19EA"/>
    <w:rsid w:val="004D1A12"/>
    <w:rsid w:val="004D1A2C"/>
    <w:rsid w:val="004D1A9A"/>
    <w:rsid w:val="004D1B30"/>
    <w:rsid w:val="004D1D1E"/>
    <w:rsid w:val="004D1E8A"/>
    <w:rsid w:val="004D1FF8"/>
    <w:rsid w:val="004D208B"/>
    <w:rsid w:val="004D2186"/>
    <w:rsid w:val="004D21B2"/>
    <w:rsid w:val="004D21B7"/>
    <w:rsid w:val="004D221B"/>
    <w:rsid w:val="004D23D3"/>
    <w:rsid w:val="004D2410"/>
    <w:rsid w:val="004D2432"/>
    <w:rsid w:val="004D2474"/>
    <w:rsid w:val="004D251A"/>
    <w:rsid w:val="004D2527"/>
    <w:rsid w:val="004D2587"/>
    <w:rsid w:val="004D25E1"/>
    <w:rsid w:val="004D261C"/>
    <w:rsid w:val="004D271D"/>
    <w:rsid w:val="004D279C"/>
    <w:rsid w:val="004D287E"/>
    <w:rsid w:val="004D2887"/>
    <w:rsid w:val="004D28CF"/>
    <w:rsid w:val="004D292D"/>
    <w:rsid w:val="004D2999"/>
    <w:rsid w:val="004D2B01"/>
    <w:rsid w:val="004D2B9A"/>
    <w:rsid w:val="004D2CB8"/>
    <w:rsid w:val="004D2D49"/>
    <w:rsid w:val="004D2D9D"/>
    <w:rsid w:val="004D2E3B"/>
    <w:rsid w:val="004D2E72"/>
    <w:rsid w:val="004D2F6E"/>
    <w:rsid w:val="004D2FB3"/>
    <w:rsid w:val="004D3009"/>
    <w:rsid w:val="004D3019"/>
    <w:rsid w:val="004D3163"/>
    <w:rsid w:val="004D3234"/>
    <w:rsid w:val="004D326B"/>
    <w:rsid w:val="004D32AF"/>
    <w:rsid w:val="004D35B2"/>
    <w:rsid w:val="004D35F6"/>
    <w:rsid w:val="004D363E"/>
    <w:rsid w:val="004D367F"/>
    <w:rsid w:val="004D36CF"/>
    <w:rsid w:val="004D372F"/>
    <w:rsid w:val="004D3863"/>
    <w:rsid w:val="004D39A7"/>
    <w:rsid w:val="004D39B5"/>
    <w:rsid w:val="004D3A43"/>
    <w:rsid w:val="004D3BB6"/>
    <w:rsid w:val="004D3CBC"/>
    <w:rsid w:val="004D3E90"/>
    <w:rsid w:val="004D3F9E"/>
    <w:rsid w:val="004D4026"/>
    <w:rsid w:val="004D4296"/>
    <w:rsid w:val="004D4332"/>
    <w:rsid w:val="004D43A8"/>
    <w:rsid w:val="004D4444"/>
    <w:rsid w:val="004D4479"/>
    <w:rsid w:val="004D45A6"/>
    <w:rsid w:val="004D4723"/>
    <w:rsid w:val="004D47CF"/>
    <w:rsid w:val="004D4B61"/>
    <w:rsid w:val="004D4C8A"/>
    <w:rsid w:val="004D4CD1"/>
    <w:rsid w:val="004D4D12"/>
    <w:rsid w:val="004D4F88"/>
    <w:rsid w:val="004D502A"/>
    <w:rsid w:val="004D50AA"/>
    <w:rsid w:val="004D50D2"/>
    <w:rsid w:val="004D51C0"/>
    <w:rsid w:val="004D5304"/>
    <w:rsid w:val="004D5319"/>
    <w:rsid w:val="004D5336"/>
    <w:rsid w:val="004D539A"/>
    <w:rsid w:val="004D553E"/>
    <w:rsid w:val="004D558F"/>
    <w:rsid w:val="004D55C9"/>
    <w:rsid w:val="004D57AE"/>
    <w:rsid w:val="004D57D3"/>
    <w:rsid w:val="004D5822"/>
    <w:rsid w:val="004D585C"/>
    <w:rsid w:val="004D5889"/>
    <w:rsid w:val="004D599D"/>
    <w:rsid w:val="004D59BB"/>
    <w:rsid w:val="004D5A55"/>
    <w:rsid w:val="004D5B4E"/>
    <w:rsid w:val="004D5BA4"/>
    <w:rsid w:val="004D5C90"/>
    <w:rsid w:val="004D5EE5"/>
    <w:rsid w:val="004D5F20"/>
    <w:rsid w:val="004D5F81"/>
    <w:rsid w:val="004D6022"/>
    <w:rsid w:val="004D6094"/>
    <w:rsid w:val="004D6130"/>
    <w:rsid w:val="004D6163"/>
    <w:rsid w:val="004D61C3"/>
    <w:rsid w:val="004D6237"/>
    <w:rsid w:val="004D6263"/>
    <w:rsid w:val="004D6270"/>
    <w:rsid w:val="004D62E8"/>
    <w:rsid w:val="004D62FE"/>
    <w:rsid w:val="004D6395"/>
    <w:rsid w:val="004D63B0"/>
    <w:rsid w:val="004D63C7"/>
    <w:rsid w:val="004D640A"/>
    <w:rsid w:val="004D657F"/>
    <w:rsid w:val="004D66A1"/>
    <w:rsid w:val="004D66CA"/>
    <w:rsid w:val="004D66E1"/>
    <w:rsid w:val="004D6752"/>
    <w:rsid w:val="004D676F"/>
    <w:rsid w:val="004D67DF"/>
    <w:rsid w:val="004D67FB"/>
    <w:rsid w:val="004D6A2B"/>
    <w:rsid w:val="004D6A35"/>
    <w:rsid w:val="004D6A3A"/>
    <w:rsid w:val="004D6A43"/>
    <w:rsid w:val="004D6A65"/>
    <w:rsid w:val="004D6AB9"/>
    <w:rsid w:val="004D6AF2"/>
    <w:rsid w:val="004D6B13"/>
    <w:rsid w:val="004D6B1F"/>
    <w:rsid w:val="004D6BE5"/>
    <w:rsid w:val="004D6D70"/>
    <w:rsid w:val="004D6F90"/>
    <w:rsid w:val="004D70C4"/>
    <w:rsid w:val="004D7276"/>
    <w:rsid w:val="004D72EE"/>
    <w:rsid w:val="004D737D"/>
    <w:rsid w:val="004D7553"/>
    <w:rsid w:val="004D757E"/>
    <w:rsid w:val="004D75E9"/>
    <w:rsid w:val="004D76BD"/>
    <w:rsid w:val="004D770E"/>
    <w:rsid w:val="004D7854"/>
    <w:rsid w:val="004D7878"/>
    <w:rsid w:val="004D789B"/>
    <w:rsid w:val="004D79AD"/>
    <w:rsid w:val="004D7A4C"/>
    <w:rsid w:val="004D7B4B"/>
    <w:rsid w:val="004D7DE9"/>
    <w:rsid w:val="004D7FAC"/>
    <w:rsid w:val="004D7FEC"/>
    <w:rsid w:val="004E0025"/>
    <w:rsid w:val="004E007B"/>
    <w:rsid w:val="004E009A"/>
    <w:rsid w:val="004E00C8"/>
    <w:rsid w:val="004E01BE"/>
    <w:rsid w:val="004E01D8"/>
    <w:rsid w:val="004E0225"/>
    <w:rsid w:val="004E02D8"/>
    <w:rsid w:val="004E0375"/>
    <w:rsid w:val="004E03FC"/>
    <w:rsid w:val="004E0449"/>
    <w:rsid w:val="004E0487"/>
    <w:rsid w:val="004E0558"/>
    <w:rsid w:val="004E05DB"/>
    <w:rsid w:val="004E05FF"/>
    <w:rsid w:val="004E062C"/>
    <w:rsid w:val="004E070E"/>
    <w:rsid w:val="004E0764"/>
    <w:rsid w:val="004E077E"/>
    <w:rsid w:val="004E0976"/>
    <w:rsid w:val="004E09AD"/>
    <w:rsid w:val="004E09D1"/>
    <w:rsid w:val="004E09D4"/>
    <w:rsid w:val="004E0B6F"/>
    <w:rsid w:val="004E0DB0"/>
    <w:rsid w:val="004E0E68"/>
    <w:rsid w:val="004E0F27"/>
    <w:rsid w:val="004E0F58"/>
    <w:rsid w:val="004E0FEA"/>
    <w:rsid w:val="004E1077"/>
    <w:rsid w:val="004E113C"/>
    <w:rsid w:val="004E1160"/>
    <w:rsid w:val="004E1172"/>
    <w:rsid w:val="004E11C4"/>
    <w:rsid w:val="004E1355"/>
    <w:rsid w:val="004E1468"/>
    <w:rsid w:val="004E152D"/>
    <w:rsid w:val="004E15ED"/>
    <w:rsid w:val="004E1603"/>
    <w:rsid w:val="004E1794"/>
    <w:rsid w:val="004E18DB"/>
    <w:rsid w:val="004E18EF"/>
    <w:rsid w:val="004E1985"/>
    <w:rsid w:val="004E1A18"/>
    <w:rsid w:val="004E1A20"/>
    <w:rsid w:val="004E1A24"/>
    <w:rsid w:val="004E1A3D"/>
    <w:rsid w:val="004E1A44"/>
    <w:rsid w:val="004E1A47"/>
    <w:rsid w:val="004E1A98"/>
    <w:rsid w:val="004E1B39"/>
    <w:rsid w:val="004E1C9D"/>
    <w:rsid w:val="004E1D29"/>
    <w:rsid w:val="004E1E56"/>
    <w:rsid w:val="004E1E5F"/>
    <w:rsid w:val="004E1ED3"/>
    <w:rsid w:val="004E1FA5"/>
    <w:rsid w:val="004E1FCA"/>
    <w:rsid w:val="004E20C7"/>
    <w:rsid w:val="004E2120"/>
    <w:rsid w:val="004E2194"/>
    <w:rsid w:val="004E2201"/>
    <w:rsid w:val="004E235D"/>
    <w:rsid w:val="004E251F"/>
    <w:rsid w:val="004E2523"/>
    <w:rsid w:val="004E2540"/>
    <w:rsid w:val="004E258B"/>
    <w:rsid w:val="004E25BB"/>
    <w:rsid w:val="004E263E"/>
    <w:rsid w:val="004E26A5"/>
    <w:rsid w:val="004E284F"/>
    <w:rsid w:val="004E28F6"/>
    <w:rsid w:val="004E297B"/>
    <w:rsid w:val="004E29E7"/>
    <w:rsid w:val="004E2C50"/>
    <w:rsid w:val="004E2D10"/>
    <w:rsid w:val="004E2D1B"/>
    <w:rsid w:val="004E2D72"/>
    <w:rsid w:val="004E2DB2"/>
    <w:rsid w:val="004E2DCD"/>
    <w:rsid w:val="004E2F51"/>
    <w:rsid w:val="004E2FF4"/>
    <w:rsid w:val="004E309C"/>
    <w:rsid w:val="004E30A4"/>
    <w:rsid w:val="004E30DB"/>
    <w:rsid w:val="004E30DC"/>
    <w:rsid w:val="004E3141"/>
    <w:rsid w:val="004E32A3"/>
    <w:rsid w:val="004E32D3"/>
    <w:rsid w:val="004E33A2"/>
    <w:rsid w:val="004E34A6"/>
    <w:rsid w:val="004E34FE"/>
    <w:rsid w:val="004E357F"/>
    <w:rsid w:val="004E364C"/>
    <w:rsid w:val="004E3825"/>
    <w:rsid w:val="004E3831"/>
    <w:rsid w:val="004E38BA"/>
    <w:rsid w:val="004E38FC"/>
    <w:rsid w:val="004E3962"/>
    <w:rsid w:val="004E3972"/>
    <w:rsid w:val="004E3A97"/>
    <w:rsid w:val="004E3B07"/>
    <w:rsid w:val="004E3B3E"/>
    <w:rsid w:val="004E3BC4"/>
    <w:rsid w:val="004E3C2B"/>
    <w:rsid w:val="004E3C60"/>
    <w:rsid w:val="004E4005"/>
    <w:rsid w:val="004E4022"/>
    <w:rsid w:val="004E4110"/>
    <w:rsid w:val="004E411E"/>
    <w:rsid w:val="004E426D"/>
    <w:rsid w:val="004E4279"/>
    <w:rsid w:val="004E42B5"/>
    <w:rsid w:val="004E437A"/>
    <w:rsid w:val="004E43B2"/>
    <w:rsid w:val="004E43C9"/>
    <w:rsid w:val="004E44F9"/>
    <w:rsid w:val="004E4593"/>
    <w:rsid w:val="004E48AD"/>
    <w:rsid w:val="004E48CC"/>
    <w:rsid w:val="004E48E5"/>
    <w:rsid w:val="004E4ADE"/>
    <w:rsid w:val="004E4B44"/>
    <w:rsid w:val="004E4B5A"/>
    <w:rsid w:val="004E4D1B"/>
    <w:rsid w:val="004E4D2D"/>
    <w:rsid w:val="004E4D9B"/>
    <w:rsid w:val="004E4DBD"/>
    <w:rsid w:val="004E4E09"/>
    <w:rsid w:val="004E4E64"/>
    <w:rsid w:val="004E4FEB"/>
    <w:rsid w:val="004E504F"/>
    <w:rsid w:val="004E506D"/>
    <w:rsid w:val="004E507A"/>
    <w:rsid w:val="004E51C4"/>
    <w:rsid w:val="004E5253"/>
    <w:rsid w:val="004E52BA"/>
    <w:rsid w:val="004E537C"/>
    <w:rsid w:val="004E53B3"/>
    <w:rsid w:val="004E5416"/>
    <w:rsid w:val="004E5598"/>
    <w:rsid w:val="004E559A"/>
    <w:rsid w:val="004E55C3"/>
    <w:rsid w:val="004E57C8"/>
    <w:rsid w:val="004E58D9"/>
    <w:rsid w:val="004E594E"/>
    <w:rsid w:val="004E5996"/>
    <w:rsid w:val="004E5B97"/>
    <w:rsid w:val="004E5C52"/>
    <w:rsid w:val="004E5D9A"/>
    <w:rsid w:val="004E5EB0"/>
    <w:rsid w:val="004E5EE4"/>
    <w:rsid w:val="004E5EEA"/>
    <w:rsid w:val="004E5F1F"/>
    <w:rsid w:val="004E5FDB"/>
    <w:rsid w:val="004E612E"/>
    <w:rsid w:val="004E61C1"/>
    <w:rsid w:val="004E636F"/>
    <w:rsid w:val="004E6381"/>
    <w:rsid w:val="004E6398"/>
    <w:rsid w:val="004E63B1"/>
    <w:rsid w:val="004E63D2"/>
    <w:rsid w:val="004E6508"/>
    <w:rsid w:val="004E6532"/>
    <w:rsid w:val="004E65A4"/>
    <w:rsid w:val="004E65B6"/>
    <w:rsid w:val="004E65E0"/>
    <w:rsid w:val="004E660A"/>
    <w:rsid w:val="004E6685"/>
    <w:rsid w:val="004E673B"/>
    <w:rsid w:val="004E6775"/>
    <w:rsid w:val="004E6827"/>
    <w:rsid w:val="004E6837"/>
    <w:rsid w:val="004E6867"/>
    <w:rsid w:val="004E68AD"/>
    <w:rsid w:val="004E69B3"/>
    <w:rsid w:val="004E6A90"/>
    <w:rsid w:val="004E6B98"/>
    <w:rsid w:val="004E6C95"/>
    <w:rsid w:val="004E6CB4"/>
    <w:rsid w:val="004E6E4B"/>
    <w:rsid w:val="004E6EC4"/>
    <w:rsid w:val="004E6F84"/>
    <w:rsid w:val="004E6FEA"/>
    <w:rsid w:val="004E70A4"/>
    <w:rsid w:val="004E7130"/>
    <w:rsid w:val="004E7132"/>
    <w:rsid w:val="004E71F5"/>
    <w:rsid w:val="004E7229"/>
    <w:rsid w:val="004E727E"/>
    <w:rsid w:val="004E72BA"/>
    <w:rsid w:val="004E740E"/>
    <w:rsid w:val="004E74D7"/>
    <w:rsid w:val="004E7508"/>
    <w:rsid w:val="004E75C8"/>
    <w:rsid w:val="004E76FE"/>
    <w:rsid w:val="004E77A1"/>
    <w:rsid w:val="004E77AC"/>
    <w:rsid w:val="004E785E"/>
    <w:rsid w:val="004E78D5"/>
    <w:rsid w:val="004E78E2"/>
    <w:rsid w:val="004E7987"/>
    <w:rsid w:val="004E7A6F"/>
    <w:rsid w:val="004E7B0F"/>
    <w:rsid w:val="004E7B18"/>
    <w:rsid w:val="004E7EF2"/>
    <w:rsid w:val="004E7F6D"/>
    <w:rsid w:val="004F0073"/>
    <w:rsid w:val="004F01EA"/>
    <w:rsid w:val="004F025B"/>
    <w:rsid w:val="004F02C1"/>
    <w:rsid w:val="004F02E7"/>
    <w:rsid w:val="004F062B"/>
    <w:rsid w:val="004F06A0"/>
    <w:rsid w:val="004F07C6"/>
    <w:rsid w:val="004F07E5"/>
    <w:rsid w:val="004F07E6"/>
    <w:rsid w:val="004F0808"/>
    <w:rsid w:val="004F08CD"/>
    <w:rsid w:val="004F096A"/>
    <w:rsid w:val="004F09FE"/>
    <w:rsid w:val="004F0AAA"/>
    <w:rsid w:val="004F0BCC"/>
    <w:rsid w:val="004F0C36"/>
    <w:rsid w:val="004F0CB2"/>
    <w:rsid w:val="004F0D8A"/>
    <w:rsid w:val="004F0E1A"/>
    <w:rsid w:val="004F0F44"/>
    <w:rsid w:val="004F0FB3"/>
    <w:rsid w:val="004F0FE6"/>
    <w:rsid w:val="004F1194"/>
    <w:rsid w:val="004F127C"/>
    <w:rsid w:val="004F1350"/>
    <w:rsid w:val="004F13DD"/>
    <w:rsid w:val="004F13DE"/>
    <w:rsid w:val="004F151D"/>
    <w:rsid w:val="004F1579"/>
    <w:rsid w:val="004F172A"/>
    <w:rsid w:val="004F1741"/>
    <w:rsid w:val="004F17C2"/>
    <w:rsid w:val="004F1804"/>
    <w:rsid w:val="004F1826"/>
    <w:rsid w:val="004F1863"/>
    <w:rsid w:val="004F191D"/>
    <w:rsid w:val="004F19A3"/>
    <w:rsid w:val="004F1A1E"/>
    <w:rsid w:val="004F1BCD"/>
    <w:rsid w:val="004F1F28"/>
    <w:rsid w:val="004F1F5F"/>
    <w:rsid w:val="004F1FA8"/>
    <w:rsid w:val="004F225D"/>
    <w:rsid w:val="004F22AF"/>
    <w:rsid w:val="004F2325"/>
    <w:rsid w:val="004F2353"/>
    <w:rsid w:val="004F246B"/>
    <w:rsid w:val="004F25DF"/>
    <w:rsid w:val="004F26F0"/>
    <w:rsid w:val="004F27AE"/>
    <w:rsid w:val="004F29B7"/>
    <w:rsid w:val="004F2B8C"/>
    <w:rsid w:val="004F2C50"/>
    <w:rsid w:val="004F2C5C"/>
    <w:rsid w:val="004F2C5F"/>
    <w:rsid w:val="004F2CC1"/>
    <w:rsid w:val="004F2D56"/>
    <w:rsid w:val="004F2D91"/>
    <w:rsid w:val="004F2DEC"/>
    <w:rsid w:val="004F2E0A"/>
    <w:rsid w:val="004F2E11"/>
    <w:rsid w:val="004F2E5B"/>
    <w:rsid w:val="004F2E66"/>
    <w:rsid w:val="004F2EBB"/>
    <w:rsid w:val="004F2F15"/>
    <w:rsid w:val="004F2F61"/>
    <w:rsid w:val="004F3016"/>
    <w:rsid w:val="004F307D"/>
    <w:rsid w:val="004F322F"/>
    <w:rsid w:val="004F32CF"/>
    <w:rsid w:val="004F3307"/>
    <w:rsid w:val="004F34EF"/>
    <w:rsid w:val="004F3553"/>
    <w:rsid w:val="004F35F2"/>
    <w:rsid w:val="004F362F"/>
    <w:rsid w:val="004F36BC"/>
    <w:rsid w:val="004F370C"/>
    <w:rsid w:val="004F3763"/>
    <w:rsid w:val="004F3849"/>
    <w:rsid w:val="004F387F"/>
    <w:rsid w:val="004F38F0"/>
    <w:rsid w:val="004F3996"/>
    <w:rsid w:val="004F39C0"/>
    <w:rsid w:val="004F3B83"/>
    <w:rsid w:val="004F3B99"/>
    <w:rsid w:val="004F3CBA"/>
    <w:rsid w:val="004F3D35"/>
    <w:rsid w:val="004F3F12"/>
    <w:rsid w:val="004F3F2A"/>
    <w:rsid w:val="004F3FED"/>
    <w:rsid w:val="004F40A0"/>
    <w:rsid w:val="004F40C3"/>
    <w:rsid w:val="004F40F1"/>
    <w:rsid w:val="004F414F"/>
    <w:rsid w:val="004F42E6"/>
    <w:rsid w:val="004F43EE"/>
    <w:rsid w:val="004F4423"/>
    <w:rsid w:val="004F467D"/>
    <w:rsid w:val="004F46F1"/>
    <w:rsid w:val="004F4720"/>
    <w:rsid w:val="004F48D9"/>
    <w:rsid w:val="004F4941"/>
    <w:rsid w:val="004F4A9E"/>
    <w:rsid w:val="004F4B7D"/>
    <w:rsid w:val="004F4BC2"/>
    <w:rsid w:val="004F4CFC"/>
    <w:rsid w:val="004F4DBD"/>
    <w:rsid w:val="004F4F3C"/>
    <w:rsid w:val="004F509E"/>
    <w:rsid w:val="004F5177"/>
    <w:rsid w:val="004F51F8"/>
    <w:rsid w:val="004F5263"/>
    <w:rsid w:val="004F5287"/>
    <w:rsid w:val="004F5364"/>
    <w:rsid w:val="004F5381"/>
    <w:rsid w:val="004F541A"/>
    <w:rsid w:val="004F5433"/>
    <w:rsid w:val="004F548E"/>
    <w:rsid w:val="004F54C3"/>
    <w:rsid w:val="004F5598"/>
    <w:rsid w:val="004F5660"/>
    <w:rsid w:val="004F5807"/>
    <w:rsid w:val="004F585E"/>
    <w:rsid w:val="004F5891"/>
    <w:rsid w:val="004F58FD"/>
    <w:rsid w:val="004F5979"/>
    <w:rsid w:val="004F59B7"/>
    <w:rsid w:val="004F59FB"/>
    <w:rsid w:val="004F5A6C"/>
    <w:rsid w:val="004F5BC3"/>
    <w:rsid w:val="004F5C4F"/>
    <w:rsid w:val="004F5C5D"/>
    <w:rsid w:val="004F5CCA"/>
    <w:rsid w:val="004F5CDE"/>
    <w:rsid w:val="004F5D0F"/>
    <w:rsid w:val="004F5D6E"/>
    <w:rsid w:val="004F5ECD"/>
    <w:rsid w:val="004F5FEE"/>
    <w:rsid w:val="004F6016"/>
    <w:rsid w:val="004F60B2"/>
    <w:rsid w:val="004F6164"/>
    <w:rsid w:val="004F616F"/>
    <w:rsid w:val="004F61DF"/>
    <w:rsid w:val="004F62C8"/>
    <w:rsid w:val="004F63C6"/>
    <w:rsid w:val="004F6810"/>
    <w:rsid w:val="004F68B7"/>
    <w:rsid w:val="004F68C2"/>
    <w:rsid w:val="004F6921"/>
    <w:rsid w:val="004F69B0"/>
    <w:rsid w:val="004F6B4A"/>
    <w:rsid w:val="004F6B92"/>
    <w:rsid w:val="004F6C1E"/>
    <w:rsid w:val="004F6CAD"/>
    <w:rsid w:val="004F6CB0"/>
    <w:rsid w:val="004F6D12"/>
    <w:rsid w:val="004F6D2A"/>
    <w:rsid w:val="004F6E10"/>
    <w:rsid w:val="004F6E47"/>
    <w:rsid w:val="004F6EEA"/>
    <w:rsid w:val="004F6F10"/>
    <w:rsid w:val="004F6F90"/>
    <w:rsid w:val="004F6FFE"/>
    <w:rsid w:val="004F70A1"/>
    <w:rsid w:val="004F7161"/>
    <w:rsid w:val="004F71B8"/>
    <w:rsid w:val="004F71C1"/>
    <w:rsid w:val="004F7265"/>
    <w:rsid w:val="004F72C6"/>
    <w:rsid w:val="004F73D5"/>
    <w:rsid w:val="004F74EC"/>
    <w:rsid w:val="004F7570"/>
    <w:rsid w:val="004F75B2"/>
    <w:rsid w:val="004F7643"/>
    <w:rsid w:val="004F76F9"/>
    <w:rsid w:val="004F77AE"/>
    <w:rsid w:val="004F77D1"/>
    <w:rsid w:val="004F78F5"/>
    <w:rsid w:val="004F79A8"/>
    <w:rsid w:val="004F7AA1"/>
    <w:rsid w:val="004F7ADC"/>
    <w:rsid w:val="004F7B5A"/>
    <w:rsid w:val="004F7BF5"/>
    <w:rsid w:val="004F7CBD"/>
    <w:rsid w:val="004F7D0A"/>
    <w:rsid w:val="004F7DB3"/>
    <w:rsid w:val="004F7F65"/>
    <w:rsid w:val="00500203"/>
    <w:rsid w:val="0050023D"/>
    <w:rsid w:val="00500291"/>
    <w:rsid w:val="005004C6"/>
    <w:rsid w:val="005004DB"/>
    <w:rsid w:val="0050059B"/>
    <w:rsid w:val="005005EC"/>
    <w:rsid w:val="0050062C"/>
    <w:rsid w:val="0050065D"/>
    <w:rsid w:val="0050068B"/>
    <w:rsid w:val="00500707"/>
    <w:rsid w:val="00500717"/>
    <w:rsid w:val="0050088D"/>
    <w:rsid w:val="0050096D"/>
    <w:rsid w:val="00500993"/>
    <w:rsid w:val="00500AD6"/>
    <w:rsid w:val="00500C1B"/>
    <w:rsid w:val="00500C33"/>
    <w:rsid w:val="00500C88"/>
    <w:rsid w:val="00500DCE"/>
    <w:rsid w:val="00500DE0"/>
    <w:rsid w:val="00500E17"/>
    <w:rsid w:val="00500F36"/>
    <w:rsid w:val="00500FFB"/>
    <w:rsid w:val="005010A3"/>
    <w:rsid w:val="005011D2"/>
    <w:rsid w:val="00501243"/>
    <w:rsid w:val="005012BB"/>
    <w:rsid w:val="00501411"/>
    <w:rsid w:val="0050143F"/>
    <w:rsid w:val="0050153E"/>
    <w:rsid w:val="00501554"/>
    <w:rsid w:val="00501586"/>
    <w:rsid w:val="0050164C"/>
    <w:rsid w:val="00501674"/>
    <w:rsid w:val="00501719"/>
    <w:rsid w:val="0050177D"/>
    <w:rsid w:val="00501925"/>
    <w:rsid w:val="00501AB4"/>
    <w:rsid w:val="00501AD3"/>
    <w:rsid w:val="00501BBE"/>
    <w:rsid w:val="00501C2C"/>
    <w:rsid w:val="00501CA3"/>
    <w:rsid w:val="00501CF6"/>
    <w:rsid w:val="00501D6E"/>
    <w:rsid w:val="00501F72"/>
    <w:rsid w:val="00501F74"/>
    <w:rsid w:val="00501F9F"/>
    <w:rsid w:val="00501FCD"/>
    <w:rsid w:val="005020CF"/>
    <w:rsid w:val="005021D7"/>
    <w:rsid w:val="0050224A"/>
    <w:rsid w:val="0050229C"/>
    <w:rsid w:val="00502538"/>
    <w:rsid w:val="00502541"/>
    <w:rsid w:val="00502543"/>
    <w:rsid w:val="005025D1"/>
    <w:rsid w:val="0050265C"/>
    <w:rsid w:val="005026B3"/>
    <w:rsid w:val="005027A6"/>
    <w:rsid w:val="00502807"/>
    <w:rsid w:val="00502816"/>
    <w:rsid w:val="0050287F"/>
    <w:rsid w:val="005028AA"/>
    <w:rsid w:val="0050293A"/>
    <w:rsid w:val="005029E1"/>
    <w:rsid w:val="00502A7C"/>
    <w:rsid w:val="00502A92"/>
    <w:rsid w:val="00502AEC"/>
    <w:rsid w:val="00502B77"/>
    <w:rsid w:val="00502CB1"/>
    <w:rsid w:val="00502D4D"/>
    <w:rsid w:val="00502D95"/>
    <w:rsid w:val="00502DCE"/>
    <w:rsid w:val="00502E77"/>
    <w:rsid w:val="0050300D"/>
    <w:rsid w:val="005030F8"/>
    <w:rsid w:val="0050312C"/>
    <w:rsid w:val="005031E2"/>
    <w:rsid w:val="0050329A"/>
    <w:rsid w:val="005032BC"/>
    <w:rsid w:val="00503390"/>
    <w:rsid w:val="0050346E"/>
    <w:rsid w:val="005034EF"/>
    <w:rsid w:val="005035BC"/>
    <w:rsid w:val="005035FA"/>
    <w:rsid w:val="00503632"/>
    <w:rsid w:val="0050363B"/>
    <w:rsid w:val="00503671"/>
    <w:rsid w:val="005036DC"/>
    <w:rsid w:val="00503764"/>
    <w:rsid w:val="005038DC"/>
    <w:rsid w:val="00503969"/>
    <w:rsid w:val="00503989"/>
    <w:rsid w:val="005039B2"/>
    <w:rsid w:val="005039C1"/>
    <w:rsid w:val="005039D5"/>
    <w:rsid w:val="00503C49"/>
    <w:rsid w:val="00503D52"/>
    <w:rsid w:val="00503D6C"/>
    <w:rsid w:val="00503F23"/>
    <w:rsid w:val="00503FC2"/>
    <w:rsid w:val="00503FF7"/>
    <w:rsid w:val="005040A4"/>
    <w:rsid w:val="00504109"/>
    <w:rsid w:val="00504181"/>
    <w:rsid w:val="005041FE"/>
    <w:rsid w:val="0050424B"/>
    <w:rsid w:val="00504333"/>
    <w:rsid w:val="005043ED"/>
    <w:rsid w:val="00504408"/>
    <w:rsid w:val="0050455A"/>
    <w:rsid w:val="00504827"/>
    <w:rsid w:val="0050486B"/>
    <w:rsid w:val="005049AD"/>
    <w:rsid w:val="00504AA5"/>
    <w:rsid w:val="00504C38"/>
    <w:rsid w:val="00504CA9"/>
    <w:rsid w:val="00504CEB"/>
    <w:rsid w:val="00504CEE"/>
    <w:rsid w:val="00504D85"/>
    <w:rsid w:val="00504F37"/>
    <w:rsid w:val="005051A3"/>
    <w:rsid w:val="00505204"/>
    <w:rsid w:val="00505287"/>
    <w:rsid w:val="00505291"/>
    <w:rsid w:val="00505342"/>
    <w:rsid w:val="00505618"/>
    <w:rsid w:val="00505679"/>
    <w:rsid w:val="0050568A"/>
    <w:rsid w:val="0050591C"/>
    <w:rsid w:val="00505A76"/>
    <w:rsid w:val="00505B5E"/>
    <w:rsid w:val="00505C03"/>
    <w:rsid w:val="00505D08"/>
    <w:rsid w:val="00505F21"/>
    <w:rsid w:val="00505F7E"/>
    <w:rsid w:val="00505FDD"/>
    <w:rsid w:val="005060FD"/>
    <w:rsid w:val="005061B3"/>
    <w:rsid w:val="00506247"/>
    <w:rsid w:val="0050625A"/>
    <w:rsid w:val="0050634A"/>
    <w:rsid w:val="005063E7"/>
    <w:rsid w:val="005065EC"/>
    <w:rsid w:val="00506906"/>
    <w:rsid w:val="0050698B"/>
    <w:rsid w:val="005069F0"/>
    <w:rsid w:val="00506B0C"/>
    <w:rsid w:val="00506B74"/>
    <w:rsid w:val="00506C8E"/>
    <w:rsid w:val="00506D11"/>
    <w:rsid w:val="00506D1B"/>
    <w:rsid w:val="00506D20"/>
    <w:rsid w:val="00506D5D"/>
    <w:rsid w:val="00506E06"/>
    <w:rsid w:val="00506E30"/>
    <w:rsid w:val="00506EC9"/>
    <w:rsid w:val="00506FC8"/>
    <w:rsid w:val="00506FCA"/>
    <w:rsid w:val="00506FFC"/>
    <w:rsid w:val="005070AB"/>
    <w:rsid w:val="005070B2"/>
    <w:rsid w:val="005070E6"/>
    <w:rsid w:val="005070E8"/>
    <w:rsid w:val="00507118"/>
    <w:rsid w:val="00507278"/>
    <w:rsid w:val="005072C2"/>
    <w:rsid w:val="005072C9"/>
    <w:rsid w:val="005072D0"/>
    <w:rsid w:val="005072F2"/>
    <w:rsid w:val="00507343"/>
    <w:rsid w:val="0050745C"/>
    <w:rsid w:val="00507632"/>
    <w:rsid w:val="0050765A"/>
    <w:rsid w:val="00507716"/>
    <w:rsid w:val="00507763"/>
    <w:rsid w:val="00507773"/>
    <w:rsid w:val="00507788"/>
    <w:rsid w:val="005077B5"/>
    <w:rsid w:val="0050785E"/>
    <w:rsid w:val="00507890"/>
    <w:rsid w:val="0050799D"/>
    <w:rsid w:val="00507A9D"/>
    <w:rsid w:val="00507AF3"/>
    <w:rsid w:val="00507CC5"/>
    <w:rsid w:val="00507D72"/>
    <w:rsid w:val="00507E10"/>
    <w:rsid w:val="00507F7D"/>
    <w:rsid w:val="00507FE9"/>
    <w:rsid w:val="00510045"/>
    <w:rsid w:val="005100E0"/>
    <w:rsid w:val="00510102"/>
    <w:rsid w:val="005102D8"/>
    <w:rsid w:val="00510701"/>
    <w:rsid w:val="00510760"/>
    <w:rsid w:val="00510789"/>
    <w:rsid w:val="00510859"/>
    <w:rsid w:val="00510CEB"/>
    <w:rsid w:val="00510D69"/>
    <w:rsid w:val="00510DF6"/>
    <w:rsid w:val="00510E49"/>
    <w:rsid w:val="00510F09"/>
    <w:rsid w:val="0051117E"/>
    <w:rsid w:val="005112C8"/>
    <w:rsid w:val="005112F4"/>
    <w:rsid w:val="00511401"/>
    <w:rsid w:val="005116CB"/>
    <w:rsid w:val="0051182C"/>
    <w:rsid w:val="005118AE"/>
    <w:rsid w:val="005119BA"/>
    <w:rsid w:val="00511A88"/>
    <w:rsid w:val="00511A95"/>
    <w:rsid w:val="00511BCD"/>
    <w:rsid w:val="00511C1D"/>
    <w:rsid w:val="00511CCB"/>
    <w:rsid w:val="00511CDD"/>
    <w:rsid w:val="00511E66"/>
    <w:rsid w:val="00511E73"/>
    <w:rsid w:val="00511E98"/>
    <w:rsid w:val="00511EBD"/>
    <w:rsid w:val="00511F97"/>
    <w:rsid w:val="00512041"/>
    <w:rsid w:val="00512063"/>
    <w:rsid w:val="0051208F"/>
    <w:rsid w:val="005120C2"/>
    <w:rsid w:val="0051221C"/>
    <w:rsid w:val="00512284"/>
    <w:rsid w:val="005122A4"/>
    <w:rsid w:val="00512305"/>
    <w:rsid w:val="005124BC"/>
    <w:rsid w:val="00512518"/>
    <w:rsid w:val="00512558"/>
    <w:rsid w:val="005125A3"/>
    <w:rsid w:val="005125BA"/>
    <w:rsid w:val="005125F2"/>
    <w:rsid w:val="005127A5"/>
    <w:rsid w:val="00512895"/>
    <w:rsid w:val="005128A2"/>
    <w:rsid w:val="00512A53"/>
    <w:rsid w:val="00512AE7"/>
    <w:rsid w:val="00512B2B"/>
    <w:rsid w:val="00512B46"/>
    <w:rsid w:val="00512C82"/>
    <w:rsid w:val="00512C90"/>
    <w:rsid w:val="00512CA6"/>
    <w:rsid w:val="00512D83"/>
    <w:rsid w:val="00512FA0"/>
    <w:rsid w:val="00513075"/>
    <w:rsid w:val="005132F9"/>
    <w:rsid w:val="005133EC"/>
    <w:rsid w:val="0051345D"/>
    <w:rsid w:val="00513551"/>
    <w:rsid w:val="00513615"/>
    <w:rsid w:val="0051378E"/>
    <w:rsid w:val="0051386A"/>
    <w:rsid w:val="0051394E"/>
    <w:rsid w:val="00513988"/>
    <w:rsid w:val="00513A72"/>
    <w:rsid w:val="00513AC6"/>
    <w:rsid w:val="00513AEF"/>
    <w:rsid w:val="00513B8E"/>
    <w:rsid w:val="00513BDA"/>
    <w:rsid w:val="00513C11"/>
    <w:rsid w:val="00513D1E"/>
    <w:rsid w:val="00513D55"/>
    <w:rsid w:val="00513FDB"/>
    <w:rsid w:val="005140DB"/>
    <w:rsid w:val="0051415B"/>
    <w:rsid w:val="00514195"/>
    <w:rsid w:val="005141EE"/>
    <w:rsid w:val="005142F4"/>
    <w:rsid w:val="00514372"/>
    <w:rsid w:val="00514418"/>
    <w:rsid w:val="00514420"/>
    <w:rsid w:val="00514595"/>
    <w:rsid w:val="0051478A"/>
    <w:rsid w:val="00514851"/>
    <w:rsid w:val="005148FB"/>
    <w:rsid w:val="0051493E"/>
    <w:rsid w:val="005149A1"/>
    <w:rsid w:val="005149D5"/>
    <w:rsid w:val="005149E3"/>
    <w:rsid w:val="00514A83"/>
    <w:rsid w:val="00514D78"/>
    <w:rsid w:val="00514D81"/>
    <w:rsid w:val="00514DA1"/>
    <w:rsid w:val="00514E7A"/>
    <w:rsid w:val="00514EEB"/>
    <w:rsid w:val="00514EFB"/>
    <w:rsid w:val="0051508D"/>
    <w:rsid w:val="005151E0"/>
    <w:rsid w:val="00515206"/>
    <w:rsid w:val="005152BE"/>
    <w:rsid w:val="005152DC"/>
    <w:rsid w:val="00515377"/>
    <w:rsid w:val="0051547A"/>
    <w:rsid w:val="005154EC"/>
    <w:rsid w:val="00515556"/>
    <w:rsid w:val="00515597"/>
    <w:rsid w:val="005155F7"/>
    <w:rsid w:val="00515645"/>
    <w:rsid w:val="0051576D"/>
    <w:rsid w:val="00515836"/>
    <w:rsid w:val="00515853"/>
    <w:rsid w:val="005158B8"/>
    <w:rsid w:val="005158DF"/>
    <w:rsid w:val="00515917"/>
    <w:rsid w:val="00515940"/>
    <w:rsid w:val="005159BF"/>
    <w:rsid w:val="005159FE"/>
    <w:rsid w:val="00515A5E"/>
    <w:rsid w:val="00515A8D"/>
    <w:rsid w:val="00515A95"/>
    <w:rsid w:val="00515A9C"/>
    <w:rsid w:val="00515AE9"/>
    <w:rsid w:val="00515AF4"/>
    <w:rsid w:val="00515B07"/>
    <w:rsid w:val="00515C80"/>
    <w:rsid w:val="00515D87"/>
    <w:rsid w:val="00515E10"/>
    <w:rsid w:val="00515ECB"/>
    <w:rsid w:val="00515F37"/>
    <w:rsid w:val="00515F7C"/>
    <w:rsid w:val="00515FB8"/>
    <w:rsid w:val="00515FC2"/>
    <w:rsid w:val="00516009"/>
    <w:rsid w:val="005160AF"/>
    <w:rsid w:val="005161BB"/>
    <w:rsid w:val="00516256"/>
    <w:rsid w:val="0051625D"/>
    <w:rsid w:val="00516334"/>
    <w:rsid w:val="005163DB"/>
    <w:rsid w:val="00516407"/>
    <w:rsid w:val="00516560"/>
    <w:rsid w:val="0051656F"/>
    <w:rsid w:val="0051667D"/>
    <w:rsid w:val="0051671F"/>
    <w:rsid w:val="00516743"/>
    <w:rsid w:val="00516755"/>
    <w:rsid w:val="005167D2"/>
    <w:rsid w:val="00516878"/>
    <w:rsid w:val="005168F6"/>
    <w:rsid w:val="00516903"/>
    <w:rsid w:val="0051693F"/>
    <w:rsid w:val="00516AC1"/>
    <w:rsid w:val="00516B49"/>
    <w:rsid w:val="00516BFB"/>
    <w:rsid w:val="00516C0B"/>
    <w:rsid w:val="00516CCC"/>
    <w:rsid w:val="00516DF2"/>
    <w:rsid w:val="00516FBC"/>
    <w:rsid w:val="00516FD6"/>
    <w:rsid w:val="00517013"/>
    <w:rsid w:val="00517045"/>
    <w:rsid w:val="0051709A"/>
    <w:rsid w:val="005171EE"/>
    <w:rsid w:val="005173AC"/>
    <w:rsid w:val="005173D4"/>
    <w:rsid w:val="00517442"/>
    <w:rsid w:val="00517464"/>
    <w:rsid w:val="00517465"/>
    <w:rsid w:val="0051764C"/>
    <w:rsid w:val="00517651"/>
    <w:rsid w:val="005176DF"/>
    <w:rsid w:val="0051788F"/>
    <w:rsid w:val="005179A0"/>
    <w:rsid w:val="00517A7C"/>
    <w:rsid w:val="00517B8C"/>
    <w:rsid w:val="00517D79"/>
    <w:rsid w:val="00517D88"/>
    <w:rsid w:val="00517DDF"/>
    <w:rsid w:val="00517E16"/>
    <w:rsid w:val="00517FD3"/>
    <w:rsid w:val="00517FD7"/>
    <w:rsid w:val="00520084"/>
    <w:rsid w:val="005200CB"/>
    <w:rsid w:val="005201C9"/>
    <w:rsid w:val="005201DE"/>
    <w:rsid w:val="005202FF"/>
    <w:rsid w:val="00520415"/>
    <w:rsid w:val="005204C2"/>
    <w:rsid w:val="00520509"/>
    <w:rsid w:val="005205CF"/>
    <w:rsid w:val="0052076D"/>
    <w:rsid w:val="00520A90"/>
    <w:rsid w:val="00520AC8"/>
    <w:rsid w:val="00520B3E"/>
    <w:rsid w:val="00520CF5"/>
    <w:rsid w:val="00520D13"/>
    <w:rsid w:val="00520E70"/>
    <w:rsid w:val="00520E8F"/>
    <w:rsid w:val="00520F7F"/>
    <w:rsid w:val="00521150"/>
    <w:rsid w:val="0052121A"/>
    <w:rsid w:val="005213D3"/>
    <w:rsid w:val="00521510"/>
    <w:rsid w:val="0052159F"/>
    <w:rsid w:val="005216A1"/>
    <w:rsid w:val="00521710"/>
    <w:rsid w:val="0052174D"/>
    <w:rsid w:val="0052178F"/>
    <w:rsid w:val="005217CC"/>
    <w:rsid w:val="005217F0"/>
    <w:rsid w:val="0052186C"/>
    <w:rsid w:val="0052189B"/>
    <w:rsid w:val="00521A0D"/>
    <w:rsid w:val="00521C3E"/>
    <w:rsid w:val="00521D4E"/>
    <w:rsid w:val="00521D59"/>
    <w:rsid w:val="00521D6B"/>
    <w:rsid w:val="00521E43"/>
    <w:rsid w:val="00521F82"/>
    <w:rsid w:val="00522262"/>
    <w:rsid w:val="005222A3"/>
    <w:rsid w:val="005222BF"/>
    <w:rsid w:val="0052241A"/>
    <w:rsid w:val="005224D3"/>
    <w:rsid w:val="005225FA"/>
    <w:rsid w:val="00522703"/>
    <w:rsid w:val="00522789"/>
    <w:rsid w:val="0052281D"/>
    <w:rsid w:val="005229EA"/>
    <w:rsid w:val="00522A12"/>
    <w:rsid w:val="00522AB2"/>
    <w:rsid w:val="00522BAE"/>
    <w:rsid w:val="00522CA7"/>
    <w:rsid w:val="00522CE8"/>
    <w:rsid w:val="00522CEE"/>
    <w:rsid w:val="00522D2B"/>
    <w:rsid w:val="00522D9C"/>
    <w:rsid w:val="00522DC8"/>
    <w:rsid w:val="00522FB4"/>
    <w:rsid w:val="00522FBB"/>
    <w:rsid w:val="00523073"/>
    <w:rsid w:val="0052333F"/>
    <w:rsid w:val="00523341"/>
    <w:rsid w:val="005233D2"/>
    <w:rsid w:val="005233D5"/>
    <w:rsid w:val="00523430"/>
    <w:rsid w:val="005234D4"/>
    <w:rsid w:val="0052354F"/>
    <w:rsid w:val="0052359B"/>
    <w:rsid w:val="0052376A"/>
    <w:rsid w:val="005237D8"/>
    <w:rsid w:val="005237E8"/>
    <w:rsid w:val="005237F3"/>
    <w:rsid w:val="005237FA"/>
    <w:rsid w:val="00523835"/>
    <w:rsid w:val="0052387A"/>
    <w:rsid w:val="005238B1"/>
    <w:rsid w:val="005239AF"/>
    <w:rsid w:val="005239FB"/>
    <w:rsid w:val="00523A76"/>
    <w:rsid w:val="00523A97"/>
    <w:rsid w:val="00523B15"/>
    <w:rsid w:val="00523B47"/>
    <w:rsid w:val="00523C5C"/>
    <w:rsid w:val="00523D45"/>
    <w:rsid w:val="00523D82"/>
    <w:rsid w:val="00523F44"/>
    <w:rsid w:val="00523FF3"/>
    <w:rsid w:val="0052402D"/>
    <w:rsid w:val="00524073"/>
    <w:rsid w:val="005240B7"/>
    <w:rsid w:val="0052413A"/>
    <w:rsid w:val="00524207"/>
    <w:rsid w:val="005242C6"/>
    <w:rsid w:val="00524315"/>
    <w:rsid w:val="0052432D"/>
    <w:rsid w:val="0052441D"/>
    <w:rsid w:val="0052442B"/>
    <w:rsid w:val="005245BD"/>
    <w:rsid w:val="00524658"/>
    <w:rsid w:val="005246B7"/>
    <w:rsid w:val="005248AA"/>
    <w:rsid w:val="005248B0"/>
    <w:rsid w:val="005249F5"/>
    <w:rsid w:val="00524AD9"/>
    <w:rsid w:val="00524B67"/>
    <w:rsid w:val="00524D20"/>
    <w:rsid w:val="00524DE9"/>
    <w:rsid w:val="00525097"/>
    <w:rsid w:val="005251CE"/>
    <w:rsid w:val="00525240"/>
    <w:rsid w:val="005252E3"/>
    <w:rsid w:val="005252E9"/>
    <w:rsid w:val="00525382"/>
    <w:rsid w:val="00525445"/>
    <w:rsid w:val="005254DA"/>
    <w:rsid w:val="0052560E"/>
    <w:rsid w:val="00525671"/>
    <w:rsid w:val="005256E2"/>
    <w:rsid w:val="005257A1"/>
    <w:rsid w:val="00525817"/>
    <w:rsid w:val="00525835"/>
    <w:rsid w:val="00525841"/>
    <w:rsid w:val="0052585B"/>
    <w:rsid w:val="005258DB"/>
    <w:rsid w:val="005259E3"/>
    <w:rsid w:val="00525AAE"/>
    <w:rsid w:val="00525C3A"/>
    <w:rsid w:val="00525DBA"/>
    <w:rsid w:val="00525DC8"/>
    <w:rsid w:val="00525E12"/>
    <w:rsid w:val="00525E6A"/>
    <w:rsid w:val="00525F98"/>
    <w:rsid w:val="005260B7"/>
    <w:rsid w:val="0052612B"/>
    <w:rsid w:val="00526233"/>
    <w:rsid w:val="00526462"/>
    <w:rsid w:val="005266C5"/>
    <w:rsid w:val="005266F6"/>
    <w:rsid w:val="005267EA"/>
    <w:rsid w:val="00526A15"/>
    <w:rsid w:val="00526AC2"/>
    <w:rsid w:val="00526C21"/>
    <w:rsid w:val="00526CBD"/>
    <w:rsid w:val="00526D26"/>
    <w:rsid w:val="00526DD1"/>
    <w:rsid w:val="00526DE0"/>
    <w:rsid w:val="00526DE2"/>
    <w:rsid w:val="00526E66"/>
    <w:rsid w:val="00526F5F"/>
    <w:rsid w:val="00526FC3"/>
    <w:rsid w:val="00526FD7"/>
    <w:rsid w:val="0052703B"/>
    <w:rsid w:val="0052704D"/>
    <w:rsid w:val="00527176"/>
    <w:rsid w:val="005271EB"/>
    <w:rsid w:val="005272AE"/>
    <w:rsid w:val="005272E2"/>
    <w:rsid w:val="005273FC"/>
    <w:rsid w:val="00527441"/>
    <w:rsid w:val="005274C3"/>
    <w:rsid w:val="005274CF"/>
    <w:rsid w:val="0052750A"/>
    <w:rsid w:val="0052753A"/>
    <w:rsid w:val="00527593"/>
    <w:rsid w:val="005275A2"/>
    <w:rsid w:val="005275A3"/>
    <w:rsid w:val="005275BC"/>
    <w:rsid w:val="005275E4"/>
    <w:rsid w:val="00527626"/>
    <w:rsid w:val="00527648"/>
    <w:rsid w:val="0052774C"/>
    <w:rsid w:val="0052775A"/>
    <w:rsid w:val="00527811"/>
    <w:rsid w:val="0052788A"/>
    <w:rsid w:val="00527A60"/>
    <w:rsid w:val="00527AE2"/>
    <w:rsid w:val="00527BB5"/>
    <w:rsid w:val="00527BCE"/>
    <w:rsid w:val="00527BD2"/>
    <w:rsid w:val="00527C06"/>
    <w:rsid w:val="00527C51"/>
    <w:rsid w:val="00527CEB"/>
    <w:rsid w:val="00527D0B"/>
    <w:rsid w:val="00527D97"/>
    <w:rsid w:val="00527F48"/>
    <w:rsid w:val="00527F4B"/>
    <w:rsid w:val="00527FC8"/>
    <w:rsid w:val="005301A5"/>
    <w:rsid w:val="0053028D"/>
    <w:rsid w:val="0053035F"/>
    <w:rsid w:val="0053036A"/>
    <w:rsid w:val="005303AE"/>
    <w:rsid w:val="005303CB"/>
    <w:rsid w:val="0053042E"/>
    <w:rsid w:val="00530593"/>
    <w:rsid w:val="0053074C"/>
    <w:rsid w:val="0053094B"/>
    <w:rsid w:val="00530AD3"/>
    <w:rsid w:val="00530AD8"/>
    <w:rsid w:val="00530AED"/>
    <w:rsid w:val="00530BF7"/>
    <w:rsid w:val="00530CD4"/>
    <w:rsid w:val="00530D57"/>
    <w:rsid w:val="00530D84"/>
    <w:rsid w:val="00530D96"/>
    <w:rsid w:val="00530DF4"/>
    <w:rsid w:val="00530DF6"/>
    <w:rsid w:val="00530F74"/>
    <w:rsid w:val="0053107B"/>
    <w:rsid w:val="0053110D"/>
    <w:rsid w:val="00531185"/>
    <w:rsid w:val="005311C2"/>
    <w:rsid w:val="005311EC"/>
    <w:rsid w:val="005312C4"/>
    <w:rsid w:val="005315F6"/>
    <w:rsid w:val="0053165C"/>
    <w:rsid w:val="0053166D"/>
    <w:rsid w:val="00531670"/>
    <w:rsid w:val="00531721"/>
    <w:rsid w:val="005317CB"/>
    <w:rsid w:val="0053189F"/>
    <w:rsid w:val="00531A39"/>
    <w:rsid w:val="00531A6B"/>
    <w:rsid w:val="00531B5C"/>
    <w:rsid w:val="00531C48"/>
    <w:rsid w:val="00531D35"/>
    <w:rsid w:val="00531D43"/>
    <w:rsid w:val="00531E67"/>
    <w:rsid w:val="00531E94"/>
    <w:rsid w:val="00531EDF"/>
    <w:rsid w:val="00531F2B"/>
    <w:rsid w:val="00531F5D"/>
    <w:rsid w:val="00531F88"/>
    <w:rsid w:val="0053229A"/>
    <w:rsid w:val="005322AF"/>
    <w:rsid w:val="00532397"/>
    <w:rsid w:val="005323B3"/>
    <w:rsid w:val="00532412"/>
    <w:rsid w:val="00532508"/>
    <w:rsid w:val="0053268E"/>
    <w:rsid w:val="00532733"/>
    <w:rsid w:val="00532777"/>
    <w:rsid w:val="00532804"/>
    <w:rsid w:val="005328C8"/>
    <w:rsid w:val="0053296F"/>
    <w:rsid w:val="00532AD7"/>
    <w:rsid w:val="00532AE3"/>
    <w:rsid w:val="00532B4F"/>
    <w:rsid w:val="00532B98"/>
    <w:rsid w:val="00532BB6"/>
    <w:rsid w:val="00532C2A"/>
    <w:rsid w:val="00532C38"/>
    <w:rsid w:val="00532C5E"/>
    <w:rsid w:val="00532D61"/>
    <w:rsid w:val="00532E3E"/>
    <w:rsid w:val="00532F71"/>
    <w:rsid w:val="00532FFA"/>
    <w:rsid w:val="0053316B"/>
    <w:rsid w:val="00533185"/>
    <w:rsid w:val="005332EE"/>
    <w:rsid w:val="00533394"/>
    <w:rsid w:val="0053344E"/>
    <w:rsid w:val="0053354E"/>
    <w:rsid w:val="005335EF"/>
    <w:rsid w:val="0053363B"/>
    <w:rsid w:val="00533737"/>
    <w:rsid w:val="00533776"/>
    <w:rsid w:val="00533865"/>
    <w:rsid w:val="005338CE"/>
    <w:rsid w:val="00533920"/>
    <w:rsid w:val="00533A63"/>
    <w:rsid w:val="00533AAE"/>
    <w:rsid w:val="00533C21"/>
    <w:rsid w:val="00533CBD"/>
    <w:rsid w:val="00533E77"/>
    <w:rsid w:val="00533FC8"/>
    <w:rsid w:val="00533FD7"/>
    <w:rsid w:val="0053400F"/>
    <w:rsid w:val="0053407C"/>
    <w:rsid w:val="005340B8"/>
    <w:rsid w:val="005340E7"/>
    <w:rsid w:val="00534197"/>
    <w:rsid w:val="005341AA"/>
    <w:rsid w:val="005341AC"/>
    <w:rsid w:val="0053428B"/>
    <w:rsid w:val="005342DE"/>
    <w:rsid w:val="005342F9"/>
    <w:rsid w:val="0053436E"/>
    <w:rsid w:val="00534486"/>
    <w:rsid w:val="0053448E"/>
    <w:rsid w:val="00534504"/>
    <w:rsid w:val="0053459D"/>
    <w:rsid w:val="005345EB"/>
    <w:rsid w:val="005346EE"/>
    <w:rsid w:val="0053492A"/>
    <w:rsid w:val="00534A29"/>
    <w:rsid w:val="00534A36"/>
    <w:rsid w:val="00534A7C"/>
    <w:rsid w:val="00534B6C"/>
    <w:rsid w:val="00534B73"/>
    <w:rsid w:val="00534BA1"/>
    <w:rsid w:val="00534BD6"/>
    <w:rsid w:val="00534CA2"/>
    <w:rsid w:val="00534D31"/>
    <w:rsid w:val="00534E5A"/>
    <w:rsid w:val="0053504D"/>
    <w:rsid w:val="00535051"/>
    <w:rsid w:val="0053507D"/>
    <w:rsid w:val="005350C8"/>
    <w:rsid w:val="0053527A"/>
    <w:rsid w:val="00535312"/>
    <w:rsid w:val="0053539E"/>
    <w:rsid w:val="005353E3"/>
    <w:rsid w:val="0053547A"/>
    <w:rsid w:val="0053549C"/>
    <w:rsid w:val="0053558B"/>
    <w:rsid w:val="00535640"/>
    <w:rsid w:val="005357BB"/>
    <w:rsid w:val="00535994"/>
    <w:rsid w:val="00535A78"/>
    <w:rsid w:val="00535ABC"/>
    <w:rsid w:val="00535B89"/>
    <w:rsid w:val="00535B91"/>
    <w:rsid w:val="00535C4F"/>
    <w:rsid w:val="00535D99"/>
    <w:rsid w:val="00535EB2"/>
    <w:rsid w:val="00535F6C"/>
    <w:rsid w:val="005360E5"/>
    <w:rsid w:val="005360F7"/>
    <w:rsid w:val="0053618C"/>
    <w:rsid w:val="005361A2"/>
    <w:rsid w:val="005361A8"/>
    <w:rsid w:val="005361E5"/>
    <w:rsid w:val="005362FB"/>
    <w:rsid w:val="00536338"/>
    <w:rsid w:val="0053634A"/>
    <w:rsid w:val="005363B2"/>
    <w:rsid w:val="005363B5"/>
    <w:rsid w:val="005363F9"/>
    <w:rsid w:val="00536570"/>
    <w:rsid w:val="005366CA"/>
    <w:rsid w:val="005366D9"/>
    <w:rsid w:val="00536729"/>
    <w:rsid w:val="005367B6"/>
    <w:rsid w:val="00536872"/>
    <w:rsid w:val="005368C5"/>
    <w:rsid w:val="00536984"/>
    <w:rsid w:val="005369F8"/>
    <w:rsid w:val="00536C5A"/>
    <w:rsid w:val="00536C8E"/>
    <w:rsid w:val="00536CA7"/>
    <w:rsid w:val="00536D21"/>
    <w:rsid w:val="00536D73"/>
    <w:rsid w:val="00536DCF"/>
    <w:rsid w:val="00536E60"/>
    <w:rsid w:val="00536E7B"/>
    <w:rsid w:val="00536E9F"/>
    <w:rsid w:val="00536F1C"/>
    <w:rsid w:val="005370AA"/>
    <w:rsid w:val="005370FA"/>
    <w:rsid w:val="00537102"/>
    <w:rsid w:val="005372F6"/>
    <w:rsid w:val="005372F8"/>
    <w:rsid w:val="0053734F"/>
    <w:rsid w:val="0053737D"/>
    <w:rsid w:val="00537407"/>
    <w:rsid w:val="00537521"/>
    <w:rsid w:val="0053752C"/>
    <w:rsid w:val="0053758B"/>
    <w:rsid w:val="0053769D"/>
    <w:rsid w:val="005376EC"/>
    <w:rsid w:val="005377F7"/>
    <w:rsid w:val="00537845"/>
    <w:rsid w:val="005378B3"/>
    <w:rsid w:val="00537920"/>
    <w:rsid w:val="005379A4"/>
    <w:rsid w:val="00537BAC"/>
    <w:rsid w:val="00537C9C"/>
    <w:rsid w:val="00537D45"/>
    <w:rsid w:val="00537DA7"/>
    <w:rsid w:val="00537DB4"/>
    <w:rsid w:val="00537E30"/>
    <w:rsid w:val="00537F04"/>
    <w:rsid w:val="00537F05"/>
    <w:rsid w:val="00537F49"/>
    <w:rsid w:val="00540012"/>
    <w:rsid w:val="0054002F"/>
    <w:rsid w:val="00540223"/>
    <w:rsid w:val="005402A7"/>
    <w:rsid w:val="00540304"/>
    <w:rsid w:val="005404CE"/>
    <w:rsid w:val="005405C7"/>
    <w:rsid w:val="005405FC"/>
    <w:rsid w:val="005406D3"/>
    <w:rsid w:val="005407D1"/>
    <w:rsid w:val="00540884"/>
    <w:rsid w:val="005409C8"/>
    <w:rsid w:val="00540A84"/>
    <w:rsid w:val="00540BDD"/>
    <w:rsid w:val="00540CAA"/>
    <w:rsid w:val="00540E7F"/>
    <w:rsid w:val="00541109"/>
    <w:rsid w:val="005411AA"/>
    <w:rsid w:val="0054123A"/>
    <w:rsid w:val="005412C9"/>
    <w:rsid w:val="0054133B"/>
    <w:rsid w:val="0054135A"/>
    <w:rsid w:val="0054146D"/>
    <w:rsid w:val="00541492"/>
    <w:rsid w:val="0054160F"/>
    <w:rsid w:val="005417B1"/>
    <w:rsid w:val="005417CB"/>
    <w:rsid w:val="005419B8"/>
    <w:rsid w:val="005419C9"/>
    <w:rsid w:val="00541A32"/>
    <w:rsid w:val="00541A42"/>
    <w:rsid w:val="00541B56"/>
    <w:rsid w:val="00541B9C"/>
    <w:rsid w:val="00541C1D"/>
    <w:rsid w:val="00541CB1"/>
    <w:rsid w:val="00541D2D"/>
    <w:rsid w:val="00541DC1"/>
    <w:rsid w:val="00541EE8"/>
    <w:rsid w:val="00541F93"/>
    <w:rsid w:val="0054202C"/>
    <w:rsid w:val="005420A7"/>
    <w:rsid w:val="005421E0"/>
    <w:rsid w:val="005421F3"/>
    <w:rsid w:val="0054228E"/>
    <w:rsid w:val="0054232C"/>
    <w:rsid w:val="00542341"/>
    <w:rsid w:val="00542346"/>
    <w:rsid w:val="005423D1"/>
    <w:rsid w:val="0054240B"/>
    <w:rsid w:val="0054251D"/>
    <w:rsid w:val="0054258D"/>
    <w:rsid w:val="005426D9"/>
    <w:rsid w:val="0054271A"/>
    <w:rsid w:val="0054273A"/>
    <w:rsid w:val="00542780"/>
    <w:rsid w:val="00542877"/>
    <w:rsid w:val="00542BFF"/>
    <w:rsid w:val="00542C02"/>
    <w:rsid w:val="00542C97"/>
    <w:rsid w:val="00542E13"/>
    <w:rsid w:val="00542FD7"/>
    <w:rsid w:val="00542FEC"/>
    <w:rsid w:val="00542FFE"/>
    <w:rsid w:val="00543013"/>
    <w:rsid w:val="00543048"/>
    <w:rsid w:val="00543062"/>
    <w:rsid w:val="00543279"/>
    <w:rsid w:val="0054329E"/>
    <w:rsid w:val="005433B8"/>
    <w:rsid w:val="005433C2"/>
    <w:rsid w:val="005433F5"/>
    <w:rsid w:val="005433FA"/>
    <w:rsid w:val="005434FA"/>
    <w:rsid w:val="00543570"/>
    <w:rsid w:val="005436A5"/>
    <w:rsid w:val="00543940"/>
    <w:rsid w:val="0054398C"/>
    <w:rsid w:val="005439E6"/>
    <w:rsid w:val="00543A00"/>
    <w:rsid w:val="00543ADA"/>
    <w:rsid w:val="00543B29"/>
    <w:rsid w:val="00543B88"/>
    <w:rsid w:val="00543B9A"/>
    <w:rsid w:val="00543C5D"/>
    <w:rsid w:val="00543D01"/>
    <w:rsid w:val="00543D08"/>
    <w:rsid w:val="00543D82"/>
    <w:rsid w:val="00543DA9"/>
    <w:rsid w:val="00543EE8"/>
    <w:rsid w:val="00543F58"/>
    <w:rsid w:val="00543FCE"/>
    <w:rsid w:val="005440D1"/>
    <w:rsid w:val="0054412A"/>
    <w:rsid w:val="00544139"/>
    <w:rsid w:val="00544165"/>
    <w:rsid w:val="005441AE"/>
    <w:rsid w:val="005441B1"/>
    <w:rsid w:val="00544290"/>
    <w:rsid w:val="00544305"/>
    <w:rsid w:val="00544416"/>
    <w:rsid w:val="005444C0"/>
    <w:rsid w:val="005445C6"/>
    <w:rsid w:val="005446AB"/>
    <w:rsid w:val="005446C3"/>
    <w:rsid w:val="005446FA"/>
    <w:rsid w:val="00544712"/>
    <w:rsid w:val="00544899"/>
    <w:rsid w:val="00544994"/>
    <w:rsid w:val="005449F1"/>
    <w:rsid w:val="00544ACD"/>
    <w:rsid w:val="00544AF3"/>
    <w:rsid w:val="00544AFE"/>
    <w:rsid w:val="00544B0C"/>
    <w:rsid w:val="00544B66"/>
    <w:rsid w:val="00544B68"/>
    <w:rsid w:val="00544BA4"/>
    <w:rsid w:val="00544D2C"/>
    <w:rsid w:val="00544D34"/>
    <w:rsid w:val="00544D37"/>
    <w:rsid w:val="00544D61"/>
    <w:rsid w:val="00544DA7"/>
    <w:rsid w:val="00544DAA"/>
    <w:rsid w:val="00544E1F"/>
    <w:rsid w:val="00544E47"/>
    <w:rsid w:val="00544E48"/>
    <w:rsid w:val="00544F01"/>
    <w:rsid w:val="00544F68"/>
    <w:rsid w:val="00544F7E"/>
    <w:rsid w:val="00544FE9"/>
    <w:rsid w:val="00545026"/>
    <w:rsid w:val="00545091"/>
    <w:rsid w:val="005452AA"/>
    <w:rsid w:val="005452F1"/>
    <w:rsid w:val="00545376"/>
    <w:rsid w:val="0054539A"/>
    <w:rsid w:val="0054549B"/>
    <w:rsid w:val="00545526"/>
    <w:rsid w:val="00545561"/>
    <w:rsid w:val="00545584"/>
    <w:rsid w:val="005456D3"/>
    <w:rsid w:val="005456DE"/>
    <w:rsid w:val="00545707"/>
    <w:rsid w:val="0054576E"/>
    <w:rsid w:val="005457AD"/>
    <w:rsid w:val="00545992"/>
    <w:rsid w:val="00545A12"/>
    <w:rsid w:val="00545C3F"/>
    <w:rsid w:val="00545CB0"/>
    <w:rsid w:val="00545EA6"/>
    <w:rsid w:val="00545F73"/>
    <w:rsid w:val="00545FA4"/>
    <w:rsid w:val="00546061"/>
    <w:rsid w:val="005461D6"/>
    <w:rsid w:val="0054626B"/>
    <w:rsid w:val="0054646A"/>
    <w:rsid w:val="005465D1"/>
    <w:rsid w:val="00546602"/>
    <w:rsid w:val="005466A3"/>
    <w:rsid w:val="005466E9"/>
    <w:rsid w:val="005467A7"/>
    <w:rsid w:val="00546966"/>
    <w:rsid w:val="00546A2B"/>
    <w:rsid w:val="00546B40"/>
    <w:rsid w:val="00546B64"/>
    <w:rsid w:val="00546B72"/>
    <w:rsid w:val="00546BE4"/>
    <w:rsid w:val="00546C13"/>
    <w:rsid w:val="00546CA3"/>
    <w:rsid w:val="00546CC5"/>
    <w:rsid w:val="00546D2E"/>
    <w:rsid w:val="00546DD2"/>
    <w:rsid w:val="00546E53"/>
    <w:rsid w:val="00546E9D"/>
    <w:rsid w:val="00546ECF"/>
    <w:rsid w:val="005470C5"/>
    <w:rsid w:val="005470FD"/>
    <w:rsid w:val="0054715B"/>
    <w:rsid w:val="00547373"/>
    <w:rsid w:val="005473E8"/>
    <w:rsid w:val="00547498"/>
    <w:rsid w:val="005474D4"/>
    <w:rsid w:val="00547654"/>
    <w:rsid w:val="0054771B"/>
    <w:rsid w:val="0054790F"/>
    <w:rsid w:val="0054795C"/>
    <w:rsid w:val="00547A48"/>
    <w:rsid w:val="00547AF5"/>
    <w:rsid w:val="00547B18"/>
    <w:rsid w:val="00547B6A"/>
    <w:rsid w:val="00547BB1"/>
    <w:rsid w:val="00547E44"/>
    <w:rsid w:val="00547FDB"/>
    <w:rsid w:val="00547FF5"/>
    <w:rsid w:val="0055004E"/>
    <w:rsid w:val="005500F9"/>
    <w:rsid w:val="0055013B"/>
    <w:rsid w:val="005501F0"/>
    <w:rsid w:val="00550252"/>
    <w:rsid w:val="005502A8"/>
    <w:rsid w:val="0055033D"/>
    <w:rsid w:val="005503DA"/>
    <w:rsid w:val="00550470"/>
    <w:rsid w:val="005504F0"/>
    <w:rsid w:val="00550522"/>
    <w:rsid w:val="0055059E"/>
    <w:rsid w:val="005505C5"/>
    <w:rsid w:val="005505ED"/>
    <w:rsid w:val="0055062B"/>
    <w:rsid w:val="0055069C"/>
    <w:rsid w:val="0055078A"/>
    <w:rsid w:val="0055078D"/>
    <w:rsid w:val="005507C9"/>
    <w:rsid w:val="0055095D"/>
    <w:rsid w:val="00550A66"/>
    <w:rsid w:val="00550A9E"/>
    <w:rsid w:val="00550ABD"/>
    <w:rsid w:val="00550AE9"/>
    <w:rsid w:val="00550AFC"/>
    <w:rsid w:val="00550C29"/>
    <w:rsid w:val="00550C3B"/>
    <w:rsid w:val="00550CA0"/>
    <w:rsid w:val="00550CF7"/>
    <w:rsid w:val="00550DE6"/>
    <w:rsid w:val="00550E9B"/>
    <w:rsid w:val="00550EC2"/>
    <w:rsid w:val="00550F05"/>
    <w:rsid w:val="00550F39"/>
    <w:rsid w:val="00551030"/>
    <w:rsid w:val="005510B2"/>
    <w:rsid w:val="00551116"/>
    <w:rsid w:val="0055115C"/>
    <w:rsid w:val="005511E7"/>
    <w:rsid w:val="0055123A"/>
    <w:rsid w:val="00551368"/>
    <w:rsid w:val="00551455"/>
    <w:rsid w:val="005514AA"/>
    <w:rsid w:val="0055160E"/>
    <w:rsid w:val="00551725"/>
    <w:rsid w:val="005517E0"/>
    <w:rsid w:val="00551824"/>
    <w:rsid w:val="005518ED"/>
    <w:rsid w:val="0055194B"/>
    <w:rsid w:val="005519FD"/>
    <w:rsid w:val="00551A36"/>
    <w:rsid w:val="00551A41"/>
    <w:rsid w:val="00551A62"/>
    <w:rsid w:val="00551B52"/>
    <w:rsid w:val="00551B91"/>
    <w:rsid w:val="00551BA6"/>
    <w:rsid w:val="00551C28"/>
    <w:rsid w:val="00551CDA"/>
    <w:rsid w:val="00551DE2"/>
    <w:rsid w:val="00551EE1"/>
    <w:rsid w:val="00552101"/>
    <w:rsid w:val="00552217"/>
    <w:rsid w:val="00552273"/>
    <w:rsid w:val="005522B1"/>
    <w:rsid w:val="005522D7"/>
    <w:rsid w:val="005522E9"/>
    <w:rsid w:val="00552339"/>
    <w:rsid w:val="005523DE"/>
    <w:rsid w:val="00552442"/>
    <w:rsid w:val="00552532"/>
    <w:rsid w:val="005527E6"/>
    <w:rsid w:val="005528A2"/>
    <w:rsid w:val="005528C2"/>
    <w:rsid w:val="00552933"/>
    <w:rsid w:val="005529B8"/>
    <w:rsid w:val="00552A51"/>
    <w:rsid w:val="00552B77"/>
    <w:rsid w:val="00552BA4"/>
    <w:rsid w:val="00552BBF"/>
    <w:rsid w:val="00552D9E"/>
    <w:rsid w:val="00552E1B"/>
    <w:rsid w:val="00552F0A"/>
    <w:rsid w:val="00552F69"/>
    <w:rsid w:val="00553008"/>
    <w:rsid w:val="00553027"/>
    <w:rsid w:val="0055308E"/>
    <w:rsid w:val="005530A5"/>
    <w:rsid w:val="00553103"/>
    <w:rsid w:val="0055321F"/>
    <w:rsid w:val="0055325E"/>
    <w:rsid w:val="0055326E"/>
    <w:rsid w:val="005532EA"/>
    <w:rsid w:val="0055346D"/>
    <w:rsid w:val="00553482"/>
    <w:rsid w:val="005534AB"/>
    <w:rsid w:val="005534C3"/>
    <w:rsid w:val="005534F9"/>
    <w:rsid w:val="0055357E"/>
    <w:rsid w:val="00553701"/>
    <w:rsid w:val="00553822"/>
    <w:rsid w:val="00553AA9"/>
    <w:rsid w:val="00553D1C"/>
    <w:rsid w:val="00553F56"/>
    <w:rsid w:val="00554238"/>
    <w:rsid w:val="005542BD"/>
    <w:rsid w:val="00554352"/>
    <w:rsid w:val="0055442E"/>
    <w:rsid w:val="005544BD"/>
    <w:rsid w:val="0055450D"/>
    <w:rsid w:val="0055452B"/>
    <w:rsid w:val="005545D5"/>
    <w:rsid w:val="005545EE"/>
    <w:rsid w:val="00554603"/>
    <w:rsid w:val="00554618"/>
    <w:rsid w:val="00554742"/>
    <w:rsid w:val="00554823"/>
    <w:rsid w:val="00554869"/>
    <w:rsid w:val="0055490A"/>
    <w:rsid w:val="00554936"/>
    <w:rsid w:val="00554978"/>
    <w:rsid w:val="00554A38"/>
    <w:rsid w:val="00554A4B"/>
    <w:rsid w:val="00554ABF"/>
    <w:rsid w:val="00554BA6"/>
    <w:rsid w:val="00554BC9"/>
    <w:rsid w:val="00554BD7"/>
    <w:rsid w:val="00554BEE"/>
    <w:rsid w:val="00554C10"/>
    <w:rsid w:val="00554C4A"/>
    <w:rsid w:val="00554D93"/>
    <w:rsid w:val="00554DB0"/>
    <w:rsid w:val="00554DDC"/>
    <w:rsid w:val="00554EEF"/>
    <w:rsid w:val="00555185"/>
    <w:rsid w:val="005551E8"/>
    <w:rsid w:val="0055534D"/>
    <w:rsid w:val="005553B0"/>
    <w:rsid w:val="005553CE"/>
    <w:rsid w:val="00555426"/>
    <w:rsid w:val="00555490"/>
    <w:rsid w:val="005554B4"/>
    <w:rsid w:val="005555BC"/>
    <w:rsid w:val="00555668"/>
    <w:rsid w:val="0055581F"/>
    <w:rsid w:val="00555897"/>
    <w:rsid w:val="005558C7"/>
    <w:rsid w:val="00555936"/>
    <w:rsid w:val="00555943"/>
    <w:rsid w:val="0055598A"/>
    <w:rsid w:val="00555995"/>
    <w:rsid w:val="005559BF"/>
    <w:rsid w:val="00555A59"/>
    <w:rsid w:val="00555ACD"/>
    <w:rsid w:val="00555AFF"/>
    <w:rsid w:val="00555B63"/>
    <w:rsid w:val="00555C35"/>
    <w:rsid w:val="00555D29"/>
    <w:rsid w:val="00555D75"/>
    <w:rsid w:val="00555EDA"/>
    <w:rsid w:val="00555FA9"/>
    <w:rsid w:val="00555FB6"/>
    <w:rsid w:val="00555FD0"/>
    <w:rsid w:val="00556172"/>
    <w:rsid w:val="0055630F"/>
    <w:rsid w:val="005563C2"/>
    <w:rsid w:val="005563D0"/>
    <w:rsid w:val="0055648D"/>
    <w:rsid w:val="0055649A"/>
    <w:rsid w:val="005565E3"/>
    <w:rsid w:val="00556724"/>
    <w:rsid w:val="00556789"/>
    <w:rsid w:val="00556873"/>
    <w:rsid w:val="005568FB"/>
    <w:rsid w:val="005569D2"/>
    <w:rsid w:val="005569E6"/>
    <w:rsid w:val="00556A37"/>
    <w:rsid w:val="00556A45"/>
    <w:rsid w:val="00556A54"/>
    <w:rsid w:val="00556C10"/>
    <w:rsid w:val="00556C43"/>
    <w:rsid w:val="00556D3E"/>
    <w:rsid w:val="00556D8E"/>
    <w:rsid w:val="00556EC0"/>
    <w:rsid w:val="00556ED7"/>
    <w:rsid w:val="00556FB1"/>
    <w:rsid w:val="00557060"/>
    <w:rsid w:val="00557076"/>
    <w:rsid w:val="005570CF"/>
    <w:rsid w:val="00557301"/>
    <w:rsid w:val="00557332"/>
    <w:rsid w:val="00557576"/>
    <w:rsid w:val="00557578"/>
    <w:rsid w:val="005577C3"/>
    <w:rsid w:val="00557817"/>
    <w:rsid w:val="00557843"/>
    <w:rsid w:val="00557850"/>
    <w:rsid w:val="005578C2"/>
    <w:rsid w:val="00557927"/>
    <w:rsid w:val="0055793A"/>
    <w:rsid w:val="0055793C"/>
    <w:rsid w:val="005579B6"/>
    <w:rsid w:val="005579BF"/>
    <w:rsid w:val="005579E2"/>
    <w:rsid w:val="00557A08"/>
    <w:rsid w:val="00557AE0"/>
    <w:rsid w:val="00557AEF"/>
    <w:rsid w:val="00557B18"/>
    <w:rsid w:val="00557BC1"/>
    <w:rsid w:val="00557C17"/>
    <w:rsid w:val="00557C95"/>
    <w:rsid w:val="00557F77"/>
    <w:rsid w:val="00557FE8"/>
    <w:rsid w:val="00560000"/>
    <w:rsid w:val="0056009C"/>
    <w:rsid w:val="005600D6"/>
    <w:rsid w:val="0056044F"/>
    <w:rsid w:val="00560519"/>
    <w:rsid w:val="0056054E"/>
    <w:rsid w:val="005605F5"/>
    <w:rsid w:val="00560609"/>
    <w:rsid w:val="0056076C"/>
    <w:rsid w:val="00560781"/>
    <w:rsid w:val="0056083A"/>
    <w:rsid w:val="005608DB"/>
    <w:rsid w:val="005609C8"/>
    <w:rsid w:val="00560AE0"/>
    <w:rsid w:val="00560CD8"/>
    <w:rsid w:val="00560DC2"/>
    <w:rsid w:val="00560DCC"/>
    <w:rsid w:val="00561026"/>
    <w:rsid w:val="005610B9"/>
    <w:rsid w:val="005610D5"/>
    <w:rsid w:val="005610DD"/>
    <w:rsid w:val="005613A8"/>
    <w:rsid w:val="005613FC"/>
    <w:rsid w:val="00561454"/>
    <w:rsid w:val="005614BF"/>
    <w:rsid w:val="005614E3"/>
    <w:rsid w:val="0056158D"/>
    <w:rsid w:val="00561665"/>
    <w:rsid w:val="005616DA"/>
    <w:rsid w:val="005617E5"/>
    <w:rsid w:val="0056184D"/>
    <w:rsid w:val="005618D3"/>
    <w:rsid w:val="005618D6"/>
    <w:rsid w:val="00561916"/>
    <w:rsid w:val="00561924"/>
    <w:rsid w:val="005619A2"/>
    <w:rsid w:val="00561B0B"/>
    <w:rsid w:val="00561B12"/>
    <w:rsid w:val="00561B13"/>
    <w:rsid w:val="00561CF4"/>
    <w:rsid w:val="00561D9C"/>
    <w:rsid w:val="00561DBB"/>
    <w:rsid w:val="00561E2F"/>
    <w:rsid w:val="005620DA"/>
    <w:rsid w:val="005620F0"/>
    <w:rsid w:val="00562137"/>
    <w:rsid w:val="00562241"/>
    <w:rsid w:val="00562269"/>
    <w:rsid w:val="005622FD"/>
    <w:rsid w:val="0056237E"/>
    <w:rsid w:val="00562495"/>
    <w:rsid w:val="0056256A"/>
    <w:rsid w:val="005625C0"/>
    <w:rsid w:val="0056271D"/>
    <w:rsid w:val="00562734"/>
    <w:rsid w:val="0056277F"/>
    <w:rsid w:val="005628D7"/>
    <w:rsid w:val="00562AAA"/>
    <w:rsid w:val="00562BD1"/>
    <w:rsid w:val="00562D10"/>
    <w:rsid w:val="00562D76"/>
    <w:rsid w:val="00563040"/>
    <w:rsid w:val="005630EA"/>
    <w:rsid w:val="005631AB"/>
    <w:rsid w:val="005631FA"/>
    <w:rsid w:val="005632DD"/>
    <w:rsid w:val="00563317"/>
    <w:rsid w:val="00563391"/>
    <w:rsid w:val="005634F6"/>
    <w:rsid w:val="00563516"/>
    <w:rsid w:val="0056352B"/>
    <w:rsid w:val="00563577"/>
    <w:rsid w:val="0056363C"/>
    <w:rsid w:val="0056364A"/>
    <w:rsid w:val="005637ED"/>
    <w:rsid w:val="005638CE"/>
    <w:rsid w:val="00563967"/>
    <w:rsid w:val="00563AC4"/>
    <w:rsid w:val="00563B90"/>
    <w:rsid w:val="00563BAD"/>
    <w:rsid w:val="00563C46"/>
    <w:rsid w:val="00563C7C"/>
    <w:rsid w:val="00563C99"/>
    <w:rsid w:val="00563CA9"/>
    <w:rsid w:val="00563CB2"/>
    <w:rsid w:val="00563D07"/>
    <w:rsid w:val="00563D8B"/>
    <w:rsid w:val="00563F2B"/>
    <w:rsid w:val="005641B8"/>
    <w:rsid w:val="005643F7"/>
    <w:rsid w:val="00564465"/>
    <w:rsid w:val="005645C3"/>
    <w:rsid w:val="00564654"/>
    <w:rsid w:val="005647F6"/>
    <w:rsid w:val="0056488A"/>
    <w:rsid w:val="005648A8"/>
    <w:rsid w:val="005648BA"/>
    <w:rsid w:val="005648DC"/>
    <w:rsid w:val="005648EF"/>
    <w:rsid w:val="0056490A"/>
    <w:rsid w:val="00564A7D"/>
    <w:rsid w:val="00564B17"/>
    <w:rsid w:val="00564B30"/>
    <w:rsid w:val="00564C04"/>
    <w:rsid w:val="00564C39"/>
    <w:rsid w:val="00564C42"/>
    <w:rsid w:val="00564E7A"/>
    <w:rsid w:val="00564E81"/>
    <w:rsid w:val="00564E88"/>
    <w:rsid w:val="005650F1"/>
    <w:rsid w:val="0056519B"/>
    <w:rsid w:val="00565248"/>
    <w:rsid w:val="005652A5"/>
    <w:rsid w:val="0056540C"/>
    <w:rsid w:val="0056540E"/>
    <w:rsid w:val="0056541F"/>
    <w:rsid w:val="00565486"/>
    <w:rsid w:val="005654D2"/>
    <w:rsid w:val="00565527"/>
    <w:rsid w:val="00565555"/>
    <w:rsid w:val="005655DD"/>
    <w:rsid w:val="00565638"/>
    <w:rsid w:val="00565647"/>
    <w:rsid w:val="00565668"/>
    <w:rsid w:val="005657AB"/>
    <w:rsid w:val="00565834"/>
    <w:rsid w:val="00565933"/>
    <w:rsid w:val="00565AE5"/>
    <w:rsid w:val="00565B5A"/>
    <w:rsid w:val="00565BFD"/>
    <w:rsid w:val="00565C3E"/>
    <w:rsid w:val="00565C69"/>
    <w:rsid w:val="00565CE3"/>
    <w:rsid w:val="00565D57"/>
    <w:rsid w:val="00565DA3"/>
    <w:rsid w:val="00565F27"/>
    <w:rsid w:val="00565F3A"/>
    <w:rsid w:val="00565F93"/>
    <w:rsid w:val="0056602D"/>
    <w:rsid w:val="00566140"/>
    <w:rsid w:val="005661B2"/>
    <w:rsid w:val="005661FE"/>
    <w:rsid w:val="00566218"/>
    <w:rsid w:val="005663D8"/>
    <w:rsid w:val="005663DC"/>
    <w:rsid w:val="005663E6"/>
    <w:rsid w:val="00566407"/>
    <w:rsid w:val="00566539"/>
    <w:rsid w:val="0056653B"/>
    <w:rsid w:val="00566559"/>
    <w:rsid w:val="005665BF"/>
    <w:rsid w:val="00566627"/>
    <w:rsid w:val="005667A7"/>
    <w:rsid w:val="0056684B"/>
    <w:rsid w:val="005668FA"/>
    <w:rsid w:val="00566A29"/>
    <w:rsid w:val="00566AFC"/>
    <w:rsid w:val="00566B07"/>
    <w:rsid w:val="00566B56"/>
    <w:rsid w:val="00566BA3"/>
    <w:rsid w:val="00566BE3"/>
    <w:rsid w:val="00566C0B"/>
    <w:rsid w:val="00566DD6"/>
    <w:rsid w:val="00566E8E"/>
    <w:rsid w:val="00566EA9"/>
    <w:rsid w:val="00566FA0"/>
    <w:rsid w:val="0056702C"/>
    <w:rsid w:val="00567104"/>
    <w:rsid w:val="005672AC"/>
    <w:rsid w:val="005672C0"/>
    <w:rsid w:val="00567305"/>
    <w:rsid w:val="0056731F"/>
    <w:rsid w:val="005673B8"/>
    <w:rsid w:val="00567483"/>
    <w:rsid w:val="005674F1"/>
    <w:rsid w:val="00567585"/>
    <w:rsid w:val="0056761A"/>
    <w:rsid w:val="00567632"/>
    <w:rsid w:val="00567637"/>
    <w:rsid w:val="00567639"/>
    <w:rsid w:val="005677C8"/>
    <w:rsid w:val="005678DB"/>
    <w:rsid w:val="0056794E"/>
    <w:rsid w:val="005679ED"/>
    <w:rsid w:val="005679F0"/>
    <w:rsid w:val="00567A40"/>
    <w:rsid w:val="00567ADD"/>
    <w:rsid w:val="00567DFB"/>
    <w:rsid w:val="00567E39"/>
    <w:rsid w:val="00567F70"/>
    <w:rsid w:val="0056D01C"/>
    <w:rsid w:val="0057006C"/>
    <w:rsid w:val="00570087"/>
    <w:rsid w:val="005700AE"/>
    <w:rsid w:val="005700B5"/>
    <w:rsid w:val="005701A4"/>
    <w:rsid w:val="005701CD"/>
    <w:rsid w:val="00570250"/>
    <w:rsid w:val="00570318"/>
    <w:rsid w:val="00570356"/>
    <w:rsid w:val="005706F2"/>
    <w:rsid w:val="005707A8"/>
    <w:rsid w:val="00570841"/>
    <w:rsid w:val="005709A9"/>
    <w:rsid w:val="00570A82"/>
    <w:rsid w:val="00570AC3"/>
    <w:rsid w:val="00570BB0"/>
    <w:rsid w:val="00570C54"/>
    <w:rsid w:val="00570CC5"/>
    <w:rsid w:val="00570FBA"/>
    <w:rsid w:val="005710E0"/>
    <w:rsid w:val="005710F3"/>
    <w:rsid w:val="00571131"/>
    <w:rsid w:val="00571275"/>
    <w:rsid w:val="0057131A"/>
    <w:rsid w:val="00571396"/>
    <w:rsid w:val="00571435"/>
    <w:rsid w:val="0057146B"/>
    <w:rsid w:val="00571564"/>
    <w:rsid w:val="005715B6"/>
    <w:rsid w:val="005715D7"/>
    <w:rsid w:val="005716DF"/>
    <w:rsid w:val="005716F1"/>
    <w:rsid w:val="005717CB"/>
    <w:rsid w:val="00571895"/>
    <w:rsid w:val="005719BB"/>
    <w:rsid w:val="00571A14"/>
    <w:rsid w:val="00571A83"/>
    <w:rsid w:val="00571AD1"/>
    <w:rsid w:val="00571AFB"/>
    <w:rsid w:val="00571B80"/>
    <w:rsid w:val="00571CAE"/>
    <w:rsid w:val="00571D08"/>
    <w:rsid w:val="00571D72"/>
    <w:rsid w:val="00571E45"/>
    <w:rsid w:val="00571EA5"/>
    <w:rsid w:val="00571F1B"/>
    <w:rsid w:val="00571FB1"/>
    <w:rsid w:val="00571FD7"/>
    <w:rsid w:val="005720D1"/>
    <w:rsid w:val="005721FB"/>
    <w:rsid w:val="00572284"/>
    <w:rsid w:val="005722F5"/>
    <w:rsid w:val="005722FC"/>
    <w:rsid w:val="00572367"/>
    <w:rsid w:val="005723FD"/>
    <w:rsid w:val="00572406"/>
    <w:rsid w:val="005725B4"/>
    <w:rsid w:val="005727EE"/>
    <w:rsid w:val="005728DB"/>
    <w:rsid w:val="005728F2"/>
    <w:rsid w:val="005729BB"/>
    <w:rsid w:val="00572AC3"/>
    <w:rsid w:val="00572B5A"/>
    <w:rsid w:val="00572BA7"/>
    <w:rsid w:val="00572BC7"/>
    <w:rsid w:val="00572D69"/>
    <w:rsid w:val="00572DAC"/>
    <w:rsid w:val="00572E0F"/>
    <w:rsid w:val="00572EAE"/>
    <w:rsid w:val="00572F1E"/>
    <w:rsid w:val="00572F32"/>
    <w:rsid w:val="00572F3A"/>
    <w:rsid w:val="00572F41"/>
    <w:rsid w:val="00572FA4"/>
    <w:rsid w:val="00573161"/>
    <w:rsid w:val="005732D8"/>
    <w:rsid w:val="00573360"/>
    <w:rsid w:val="005734CF"/>
    <w:rsid w:val="00573775"/>
    <w:rsid w:val="00573799"/>
    <w:rsid w:val="005737BB"/>
    <w:rsid w:val="0057380B"/>
    <w:rsid w:val="0057383E"/>
    <w:rsid w:val="0057384C"/>
    <w:rsid w:val="00573899"/>
    <w:rsid w:val="005739F2"/>
    <w:rsid w:val="00573A53"/>
    <w:rsid w:val="00573B11"/>
    <w:rsid w:val="00573B90"/>
    <w:rsid w:val="00573BDB"/>
    <w:rsid w:val="00573CC7"/>
    <w:rsid w:val="00573CDD"/>
    <w:rsid w:val="00573D1C"/>
    <w:rsid w:val="00573F13"/>
    <w:rsid w:val="00573F3C"/>
    <w:rsid w:val="00573F4B"/>
    <w:rsid w:val="00574172"/>
    <w:rsid w:val="0057418D"/>
    <w:rsid w:val="0057421C"/>
    <w:rsid w:val="00574289"/>
    <w:rsid w:val="0057433D"/>
    <w:rsid w:val="0057459B"/>
    <w:rsid w:val="00574687"/>
    <w:rsid w:val="005747A6"/>
    <w:rsid w:val="005747F2"/>
    <w:rsid w:val="005747F8"/>
    <w:rsid w:val="00574862"/>
    <w:rsid w:val="0057493A"/>
    <w:rsid w:val="00574963"/>
    <w:rsid w:val="0057498A"/>
    <w:rsid w:val="00574BA8"/>
    <w:rsid w:val="00574BB3"/>
    <w:rsid w:val="00574C27"/>
    <w:rsid w:val="00574C48"/>
    <w:rsid w:val="00574CD2"/>
    <w:rsid w:val="00574D00"/>
    <w:rsid w:val="00574D27"/>
    <w:rsid w:val="00574DCB"/>
    <w:rsid w:val="00574EA3"/>
    <w:rsid w:val="00574F6E"/>
    <w:rsid w:val="00575005"/>
    <w:rsid w:val="0057517E"/>
    <w:rsid w:val="005751F7"/>
    <w:rsid w:val="005752FC"/>
    <w:rsid w:val="00575319"/>
    <w:rsid w:val="00575355"/>
    <w:rsid w:val="00575381"/>
    <w:rsid w:val="0057543D"/>
    <w:rsid w:val="00575559"/>
    <w:rsid w:val="005755BE"/>
    <w:rsid w:val="00575731"/>
    <w:rsid w:val="005758AF"/>
    <w:rsid w:val="005758EC"/>
    <w:rsid w:val="005758ED"/>
    <w:rsid w:val="00575B17"/>
    <w:rsid w:val="00575BD6"/>
    <w:rsid w:val="00575D43"/>
    <w:rsid w:val="00575D9B"/>
    <w:rsid w:val="00575DA5"/>
    <w:rsid w:val="00575F2D"/>
    <w:rsid w:val="00575F32"/>
    <w:rsid w:val="00576069"/>
    <w:rsid w:val="005761D6"/>
    <w:rsid w:val="00576213"/>
    <w:rsid w:val="00576257"/>
    <w:rsid w:val="005762A9"/>
    <w:rsid w:val="005763EC"/>
    <w:rsid w:val="00576432"/>
    <w:rsid w:val="0057643F"/>
    <w:rsid w:val="00576445"/>
    <w:rsid w:val="0057645D"/>
    <w:rsid w:val="00576635"/>
    <w:rsid w:val="005766C8"/>
    <w:rsid w:val="005769E8"/>
    <w:rsid w:val="005769F7"/>
    <w:rsid w:val="00576A15"/>
    <w:rsid w:val="00576B88"/>
    <w:rsid w:val="00576C92"/>
    <w:rsid w:val="00576E3A"/>
    <w:rsid w:val="00576F2E"/>
    <w:rsid w:val="0057709B"/>
    <w:rsid w:val="00577163"/>
    <w:rsid w:val="00577171"/>
    <w:rsid w:val="0057720A"/>
    <w:rsid w:val="00577212"/>
    <w:rsid w:val="005772BA"/>
    <w:rsid w:val="00577311"/>
    <w:rsid w:val="005773CC"/>
    <w:rsid w:val="00577479"/>
    <w:rsid w:val="00577587"/>
    <w:rsid w:val="005775CA"/>
    <w:rsid w:val="00577614"/>
    <w:rsid w:val="00577661"/>
    <w:rsid w:val="005776E1"/>
    <w:rsid w:val="005776F8"/>
    <w:rsid w:val="00577728"/>
    <w:rsid w:val="005777A0"/>
    <w:rsid w:val="00577897"/>
    <w:rsid w:val="00577956"/>
    <w:rsid w:val="00577A39"/>
    <w:rsid w:val="00577A3F"/>
    <w:rsid w:val="00577B86"/>
    <w:rsid w:val="00577B95"/>
    <w:rsid w:val="00577C61"/>
    <w:rsid w:val="00577C84"/>
    <w:rsid w:val="00577D73"/>
    <w:rsid w:val="00577DB6"/>
    <w:rsid w:val="00577E22"/>
    <w:rsid w:val="00577E97"/>
    <w:rsid w:val="00577F1E"/>
    <w:rsid w:val="00577F4F"/>
    <w:rsid w:val="00577FB6"/>
    <w:rsid w:val="0058011F"/>
    <w:rsid w:val="00580164"/>
    <w:rsid w:val="00580323"/>
    <w:rsid w:val="00580517"/>
    <w:rsid w:val="0058051C"/>
    <w:rsid w:val="0058066A"/>
    <w:rsid w:val="00580812"/>
    <w:rsid w:val="00580937"/>
    <w:rsid w:val="00580964"/>
    <w:rsid w:val="00580A4C"/>
    <w:rsid w:val="00580B77"/>
    <w:rsid w:val="00580C4F"/>
    <w:rsid w:val="00580C8E"/>
    <w:rsid w:val="00580D14"/>
    <w:rsid w:val="00580DFF"/>
    <w:rsid w:val="00580E34"/>
    <w:rsid w:val="00580EAF"/>
    <w:rsid w:val="00580F46"/>
    <w:rsid w:val="00581039"/>
    <w:rsid w:val="00581089"/>
    <w:rsid w:val="00581095"/>
    <w:rsid w:val="005810EF"/>
    <w:rsid w:val="00581237"/>
    <w:rsid w:val="0058127F"/>
    <w:rsid w:val="00581291"/>
    <w:rsid w:val="00581295"/>
    <w:rsid w:val="00581301"/>
    <w:rsid w:val="0058134F"/>
    <w:rsid w:val="00581584"/>
    <w:rsid w:val="005815D3"/>
    <w:rsid w:val="00581678"/>
    <w:rsid w:val="0058172E"/>
    <w:rsid w:val="0058173F"/>
    <w:rsid w:val="005818F5"/>
    <w:rsid w:val="005818F9"/>
    <w:rsid w:val="0058199A"/>
    <w:rsid w:val="005819F5"/>
    <w:rsid w:val="005819FE"/>
    <w:rsid w:val="00581B15"/>
    <w:rsid w:val="00581B6D"/>
    <w:rsid w:val="00581B78"/>
    <w:rsid w:val="00581B9E"/>
    <w:rsid w:val="00581C1B"/>
    <w:rsid w:val="00581C27"/>
    <w:rsid w:val="00581C50"/>
    <w:rsid w:val="00581D60"/>
    <w:rsid w:val="00581EA7"/>
    <w:rsid w:val="00581EAB"/>
    <w:rsid w:val="0058204D"/>
    <w:rsid w:val="005820A0"/>
    <w:rsid w:val="005821AD"/>
    <w:rsid w:val="0058221B"/>
    <w:rsid w:val="00582316"/>
    <w:rsid w:val="005823CB"/>
    <w:rsid w:val="00582430"/>
    <w:rsid w:val="00582457"/>
    <w:rsid w:val="0058254F"/>
    <w:rsid w:val="00582588"/>
    <w:rsid w:val="00582604"/>
    <w:rsid w:val="00582620"/>
    <w:rsid w:val="005826D4"/>
    <w:rsid w:val="005826E7"/>
    <w:rsid w:val="00582757"/>
    <w:rsid w:val="00582782"/>
    <w:rsid w:val="00582868"/>
    <w:rsid w:val="00582992"/>
    <w:rsid w:val="00582995"/>
    <w:rsid w:val="005829E5"/>
    <w:rsid w:val="00582AED"/>
    <w:rsid w:val="00582C39"/>
    <w:rsid w:val="00582C7D"/>
    <w:rsid w:val="00582D91"/>
    <w:rsid w:val="00582DA2"/>
    <w:rsid w:val="00582DBD"/>
    <w:rsid w:val="00582DDC"/>
    <w:rsid w:val="00582E25"/>
    <w:rsid w:val="00582F20"/>
    <w:rsid w:val="00582F65"/>
    <w:rsid w:val="00582F66"/>
    <w:rsid w:val="00582F93"/>
    <w:rsid w:val="00582FA7"/>
    <w:rsid w:val="00583059"/>
    <w:rsid w:val="0058315B"/>
    <w:rsid w:val="0058318F"/>
    <w:rsid w:val="005831B0"/>
    <w:rsid w:val="005831DA"/>
    <w:rsid w:val="005831FF"/>
    <w:rsid w:val="0058323C"/>
    <w:rsid w:val="005833F6"/>
    <w:rsid w:val="005834D6"/>
    <w:rsid w:val="005834D8"/>
    <w:rsid w:val="00583521"/>
    <w:rsid w:val="005835E0"/>
    <w:rsid w:val="0058361E"/>
    <w:rsid w:val="005836C7"/>
    <w:rsid w:val="00583997"/>
    <w:rsid w:val="005839AB"/>
    <w:rsid w:val="005839C5"/>
    <w:rsid w:val="005839DC"/>
    <w:rsid w:val="00583A8F"/>
    <w:rsid w:val="00583BDE"/>
    <w:rsid w:val="00583CD2"/>
    <w:rsid w:val="00583DA4"/>
    <w:rsid w:val="00583ED9"/>
    <w:rsid w:val="00583F5C"/>
    <w:rsid w:val="00583F8F"/>
    <w:rsid w:val="005840CE"/>
    <w:rsid w:val="005840DA"/>
    <w:rsid w:val="00584155"/>
    <w:rsid w:val="005841D7"/>
    <w:rsid w:val="00584244"/>
    <w:rsid w:val="005842AC"/>
    <w:rsid w:val="00584302"/>
    <w:rsid w:val="005843AB"/>
    <w:rsid w:val="005843D7"/>
    <w:rsid w:val="005843E0"/>
    <w:rsid w:val="0058446E"/>
    <w:rsid w:val="0058449D"/>
    <w:rsid w:val="00584574"/>
    <w:rsid w:val="0058461B"/>
    <w:rsid w:val="005846DF"/>
    <w:rsid w:val="0058475F"/>
    <w:rsid w:val="0058491B"/>
    <w:rsid w:val="00584A59"/>
    <w:rsid w:val="00584B26"/>
    <w:rsid w:val="00584B53"/>
    <w:rsid w:val="00584B9D"/>
    <w:rsid w:val="00584BE2"/>
    <w:rsid w:val="00584BE4"/>
    <w:rsid w:val="00584C00"/>
    <w:rsid w:val="00584C4E"/>
    <w:rsid w:val="00584DBD"/>
    <w:rsid w:val="00584DF3"/>
    <w:rsid w:val="00584E19"/>
    <w:rsid w:val="005850CB"/>
    <w:rsid w:val="00585289"/>
    <w:rsid w:val="00585359"/>
    <w:rsid w:val="0058535F"/>
    <w:rsid w:val="00585413"/>
    <w:rsid w:val="00585455"/>
    <w:rsid w:val="0058550A"/>
    <w:rsid w:val="005855A3"/>
    <w:rsid w:val="005855F6"/>
    <w:rsid w:val="00585644"/>
    <w:rsid w:val="0058566E"/>
    <w:rsid w:val="0058568D"/>
    <w:rsid w:val="0058584A"/>
    <w:rsid w:val="005858E6"/>
    <w:rsid w:val="00585A09"/>
    <w:rsid w:val="00585A22"/>
    <w:rsid w:val="00585AB8"/>
    <w:rsid w:val="00585B05"/>
    <w:rsid w:val="00585B10"/>
    <w:rsid w:val="00585B49"/>
    <w:rsid w:val="00585C7C"/>
    <w:rsid w:val="00585D14"/>
    <w:rsid w:val="00585D5F"/>
    <w:rsid w:val="00585D8A"/>
    <w:rsid w:val="00585EA3"/>
    <w:rsid w:val="00585ED3"/>
    <w:rsid w:val="00585ED8"/>
    <w:rsid w:val="00585F10"/>
    <w:rsid w:val="00585F86"/>
    <w:rsid w:val="0058631C"/>
    <w:rsid w:val="00586370"/>
    <w:rsid w:val="0058640A"/>
    <w:rsid w:val="0058647F"/>
    <w:rsid w:val="005864D3"/>
    <w:rsid w:val="00586527"/>
    <w:rsid w:val="005865B5"/>
    <w:rsid w:val="00586637"/>
    <w:rsid w:val="00586661"/>
    <w:rsid w:val="005866B4"/>
    <w:rsid w:val="00586708"/>
    <w:rsid w:val="00586755"/>
    <w:rsid w:val="005867AC"/>
    <w:rsid w:val="00586801"/>
    <w:rsid w:val="00586856"/>
    <w:rsid w:val="00586897"/>
    <w:rsid w:val="0058694E"/>
    <w:rsid w:val="00586A01"/>
    <w:rsid w:val="00586AE4"/>
    <w:rsid w:val="00586B27"/>
    <w:rsid w:val="00586BC3"/>
    <w:rsid w:val="00586D40"/>
    <w:rsid w:val="00586DDC"/>
    <w:rsid w:val="00586FE7"/>
    <w:rsid w:val="005870F5"/>
    <w:rsid w:val="0058710A"/>
    <w:rsid w:val="0058730C"/>
    <w:rsid w:val="0058733A"/>
    <w:rsid w:val="005873D4"/>
    <w:rsid w:val="005873D5"/>
    <w:rsid w:val="00587502"/>
    <w:rsid w:val="00587583"/>
    <w:rsid w:val="0058758C"/>
    <w:rsid w:val="005875B2"/>
    <w:rsid w:val="00587814"/>
    <w:rsid w:val="0058785A"/>
    <w:rsid w:val="005878B3"/>
    <w:rsid w:val="005879D4"/>
    <w:rsid w:val="00587B8C"/>
    <w:rsid w:val="00587BA5"/>
    <w:rsid w:val="00587BDB"/>
    <w:rsid w:val="00587C48"/>
    <w:rsid w:val="00587C9D"/>
    <w:rsid w:val="00587CDA"/>
    <w:rsid w:val="00587D17"/>
    <w:rsid w:val="00587FDF"/>
    <w:rsid w:val="0059019D"/>
    <w:rsid w:val="005901F0"/>
    <w:rsid w:val="005903CF"/>
    <w:rsid w:val="00590450"/>
    <w:rsid w:val="00590509"/>
    <w:rsid w:val="0059053B"/>
    <w:rsid w:val="00590561"/>
    <w:rsid w:val="005905A6"/>
    <w:rsid w:val="005905F9"/>
    <w:rsid w:val="0059061C"/>
    <w:rsid w:val="0059068D"/>
    <w:rsid w:val="00590814"/>
    <w:rsid w:val="005909BA"/>
    <w:rsid w:val="00590BB3"/>
    <w:rsid w:val="00590C00"/>
    <w:rsid w:val="00590CC2"/>
    <w:rsid w:val="00590D80"/>
    <w:rsid w:val="00590E43"/>
    <w:rsid w:val="00590E6B"/>
    <w:rsid w:val="00590E6F"/>
    <w:rsid w:val="00590E7C"/>
    <w:rsid w:val="00590ECE"/>
    <w:rsid w:val="00590FDC"/>
    <w:rsid w:val="00590FDF"/>
    <w:rsid w:val="0059108C"/>
    <w:rsid w:val="005910E8"/>
    <w:rsid w:val="0059119D"/>
    <w:rsid w:val="005912CC"/>
    <w:rsid w:val="00591306"/>
    <w:rsid w:val="0059141B"/>
    <w:rsid w:val="00591473"/>
    <w:rsid w:val="0059151B"/>
    <w:rsid w:val="0059165B"/>
    <w:rsid w:val="005916C5"/>
    <w:rsid w:val="0059173C"/>
    <w:rsid w:val="005917B7"/>
    <w:rsid w:val="00591860"/>
    <w:rsid w:val="00591887"/>
    <w:rsid w:val="00591931"/>
    <w:rsid w:val="00591AB4"/>
    <w:rsid w:val="00591ADF"/>
    <w:rsid w:val="00591B15"/>
    <w:rsid w:val="00591B5E"/>
    <w:rsid w:val="00591B8B"/>
    <w:rsid w:val="00591BF9"/>
    <w:rsid w:val="00591C45"/>
    <w:rsid w:val="00591D52"/>
    <w:rsid w:val="00591DC1"/>
    <w:rsid w:val="00591E25"/>
    <w:rsid w:val="00591F10"/>
    <w:rsid w:val="00591F92"/>
    <w:rsid w:val="00592019"/>
    <w:rsid w:val="0059206E"/>
    <w:rsid w:val="0059207F"/>
    <w:rsid w:val="0059215D"/>
    <w:rsid w:val="00592241"/>
    <w:rsid w:val="00592346"/>
    <w:rsid w:val="00592434"/>
    <w:rsid w:val="0059265E"/>
    <w:rsid w:val="005926C3"/>
    <w:rsid w:val="005926D7"/>
    <w:rsid w:val="005927B4"/>
    <w:rsid w:val="005927BB"/>
    <w:rsid w:val="005927C9"/>
    <w:rsid w:val="00592826"/>
    <w:rsid w:val="00592839"/>
    <w:rsid w:val="005928EE"/>
    <w:rsid w:val="00592B6E"/>
    <w:rsid w:val="00592C6D"/>
    <w:rsid w:val="00592CA5"/>
    <w:rsid w:val="00592CDE"/>
    <w:rsid w:val="00592D20"/>
    <w:rsid w:val="00592D6F"/>
    <w:rsid w:val="00592D7D"/>
    <w:rsid w:val="00592DD1"/>
    <w:rsid w:val="00592F33"/>
    <w:rsid w:val="00592FAF"/>
    <w:rsid w:val="0059301D"/>
    <w:rsid w:val="0059322C"/>
    <w:rsid w:val="00593319"/>
    <w:rsid w:val="00593369"/>
    <w:rsid w:val="005933FC"/>
    <w:rsid w:val="0059340A"/>
    <w:rsid w:val="00593436"/>
    <w:rsid w:val="005936F2"/>
    <w:rsid w:val="0059378F"/>
    <w:rsid w:val="00593878"/>
    <w:rsid w:val="00593895"/>
    <w:rsid w:val="0059389C"/>
    <w:rsid w:val="005938BB"/>
    <w:rsid w:val="0059399A"/>
    <w:rsid w:val="00593AA2"/>
    <w:rsid w:val="00593BA1"/>
    <w:rsid w:val="00593BA9"/>
    <w:rsid w:val="00593BCA"/>
    <w:rsid w:val="00593BEE"/>
    <w:rsid w:val="00593C52"/>
    <w:rsid w:val="00593C58"/>
    <w:rsid w:val="00593EBA"/>
    <w:rsid w:val="00593EF8"/>
    <w:rsid w:val="00593F47"/>
    <w:rsid w:val="0059421E"/>
    <w:rsid w:val="00594251"/>
    <w:rsid w:val="005942A9"/>
    <w:rsid w:val="005942D5"/>
    <w:rsid w:val="00594338"/>
    <w:rsid w:val="005943AA"/>
    <w:rsid w:val="005943DA"/>
    <w:rsid w:val="00594490"/>
    <w:rsid w:val="005944C2"/>
    <w:rsid w:val="005945CB"/>
    <w:rsid w:val="005946C9"/>
    <w:rsid w:val="005947CB"/>
    <w:rsid w:val="005947ED"/>
    <w:rsid w:val="0059488C"/>
    <w:rsid w:val="00594909"/>
    <w:rsid w:val="00594B2B"/>
    <w:rsid w:val="00594B68"/>
    <w:rsid w:val="00594BC8"/>
    <w:rsid w:val="00594CAE"/>
    <w:rsid w:val="00594CB4"/>
    <w:rsid w:val="00594CEE"/>
    <w:rsid w:val="00594CEF"/>
    <w:rsid w:val="00594D98"/>
    <w:rsid w:val="00594E16"/>
    <w:rsid w:val="00594E6C"/>
    <w:rsid w:val="00594EA9"/>
    <w:rsid w:val="00594F9C"/>
    <w:rsid w:val="00594FB2"/>
    <w:rsid w:val="00594FF3"/>
    <w:rsid w:val="0059509A"/>
    <w:rsid w:val="005951E4"/>
    <w:rsid w:val="005952DC"/>
    <w:rsid w:val="005954AD"/>
    <w:rsid w:val="00595578"/>
    <w:rsid w:val="00595590"/>
    <w:rsid w:val="0059565E"/>
    <w:rsid w:val="005956DB"/>
    <w:rsid w:val="00595769"/>
    <w:rsid w:val="00595839"/>
    <w:rsid w:val="00595859"/>
    <w:rsid w:val="0059588B"/>
    <w:rsid w:val="00595996"/>
    <w:rsid w:val="00595A4D"/>
    <w:rsid w:val="00595A6E"/>
    <w:rsid w:val="00595B77"/>
    <w:rsid w:val="00595CD3"/>
    <w:rsid w:val="00595D4B"/>
    <w:rsid w:val="00595F0C"/>
    <w:rsid w:val="00596044"/>
    <w:rsid w:val="00596073"/>
    <w:rsid w:val="0059623E"/>
    <w:rsid w:val="00596281"/>
    <w:rsid w:val="005962CA"/>
    <w:rsid w:val="00596348"/>
    <w:rsid w:val="00596386"/>
    <w:rsid w:val="00596399"/>
    <w:rsid w:val="005963EA"/>
    <w:rsid w:val="00596620"/>
    <w:rsid w:val="0059667B"/>
    <w:rsid w:val="005966AA"/>
    <w:rsid w:val="005967C0"/>
    <w:rsid w:val="00596819"/>
    <w:rsid w:val="00596A2C"/>
    <w:rsid w:val="00596AB5"/>
    <w:rsid w:val="00596AF9"/>
    <w:rsid w:val="00596B0A"/>
    <w:rsid w:val="00596BB4"/>
    <w:rsid w:val="00596C53"/>
    <w:rsid w:val="00596CE0"/>
    <w:rsid w:val="00596D47"/>
    <w:rsid w:val="00596D52"/>
    <w:rsid w:val="00596DA7"/>
    <w:rsid w:val="00596EA1"/>
    <w:rsid w:val="00596EBF"/>
    <w:rsid w:val="00596F65"/>
    <w:rsid w:val="00596FCC"/>
    <w:rsid w:val="00597100"/>
    <w:rsid w:val="00597176"/>
    <w:rsid w:val="005972DA"/>
    <w:rsid w:val="005972FF"/>
    <w:rsid w:val="00597408"/>
    <w:rsid w:val="00597562"/>
    <w:rsid w:val="00597785"/>
    <w:rsid w:val="005977C8"/>
    <w:rsid w:val="00597896"/>
    <w:rsid w:val="00597971"/>
    <w:rsid w:val="0059799B"/>
    <w:rsid w:val="00597A4E"/>
    <w:rsid w:val="00597A6F"/>
    <w:rsid w:val="00597B37"/>
    <w:rsid w:val="00597B44"/>
    <w:rsid w:val="00597CA8"/>
    <w:rsid w:val="00597CFF"/>
    <w:rsid w:val="00597F9C"/>
    <w:rsid w:val="00597FE9"/>
    <w:rsid w:val="005A0045"/>
    <w:rsid w:val="005A0091"/>
    <w:rsid w:val="005A010A"/>
    <w:rsid w:val="005A01B0"/>
    <w:rsid w:val="005A022C"/>
    <w:rsid w:val="005A0282"/>
    <w:rsid w:val="005A03CE"/>
    <w:rsid w:val="005A0474"/>
    <w:rsid w:val="005A047A"/>
    <w:rsid w:val="005A047E"/>
    <w:rsid w:val="005A04B6"/>
    <w:rsid w:val="005A04D9"/>
    <w:rsid w:val="005A050F"/>
    <w:rsid w:val="005A0516"/>
    <w:rsid w:val="005A0735"/>
    <w:rsid w:val="005A0866"/>
    <w:rsid w:val="005A091E"/>
    <w:rsid w:val="005A09B0"/>
    <w:rsid w:val="005A0A5C"/>
    <w:rsid w:val="005A0C92"/>
    <w:rsid w:val="005A0CF8"/>
    <w:rsid w:val="005A0DB3"/>
    <w:rsid w:val="005A0DEE"/>
    <w:rsid w:val="005A0DF1"/>
    <w:rsid w:val="005A0E40"/>
    <w:rsid w:val="005A0EC2"/>
    <w:rsid w:val="005A0F2F"/>
    <w:rsid w:val="005A0F32"/>
    <w:rsid w:val="005A0FE6"/>
    <w:rsid w:val="005A10FB"/>
    <w:rsid w:val="005A116C"/>
    <w:rsid w:val="005A1247"/>
    <w:rsid w:val="005A1259"/>
    <w:rsid w:val="005A13E8"/>
    <w:rsid w:val="005A14F3"/>
    <w:rsid w:val="005A1594"/>
    <w:rsid w:val="005A15D6"/>
    <w:rsid w:val="005A1608"/>
    <w:rsid w:val="005A164C"/>
    <w:rsid w:val="005A170B"/>
    <w:rsid w:val="005A1755"/>
    <w:rsid w:val="005A17EA"/>
    <w:rsid w:val="005A1975"/>
    <w:rsid w:val="005A1AAD"/>
    <w:rsid w:val="005A1B2A"/>
    <w:rsid w:val="005A1BD0"/>
    <w:rsid w:val="005A1C4C"/>
    <w:rsid w:val="005A1D2C"/>
    <w:rsid w:val="005A1DD6"/>
    <w:rsid w:val="005A1E6D"/>
    <w:rsid w:val="005A20CC"/>
    <w:rsid w:val="005A20D7"/>
    <w:rsid w:val="005A2134"/>
    <w:rsid w:val="005A2136"/>
    <w:rsid w:val="005A218B"/>
    <w:rsid w:val="005A21B5"/>
    <w:rsid w:val="005A2250"/>
    <w:rsid w:val="005A2262"/>
    <w:rsid w:val="005A226C"/>
    <w:rsid w:val="005A228A"/>
    <w:rsid w:val="005A230A"/>
    <w:rsid w:val="005A24E7"/>
    <w:rsid w:val="005A26CF"/>
    <w:rsid w:val="005A2719"/>
    <w:rsid w:val="005A274B"/>
    <w:rsid w:val="005A27AC"/>
    <w:rsid w:val="005A27B8"/>
    <w:rsid w:val="005A280C"/>
    <w:rsid w:val="005A2917"/>
    <w:rsid w:val="005A29F2"/>
    <w:rsid w:val="005A2A56"/>
    <w:rsid w:val="005A2BD4"/>
    <w:rsid w:val="005A2BD9"/>
    <w:rsid w:val="005A2C94"/>
    <w:rsid w:val="005A2CC7"/>
    <w:rsid w:val="005A2EFC"/>
    <w:rsid w:val="005A2FF4"/>
    <w:rsid w:val="005A2FFF"/>
    <w:rsid w:val="005A301E"/>
    <w:rsid w:val="005A3198"/>
    <w:rsid w:val="005A342F"/>
    <w:rsid w:val="005A352A"/>
    <w:rsid w:val="005A35A9"/>
    <w:rsid w:val="005A35C0"/>
    <w:rsid w:val="005A35C6"/>
    <w:rsid w:val="005A35CA"/>
    <w:rsid w:val="005A3608"/>
    <w:rsid w:val="005A3727"/>
    <w:rsid w:val="005A3883"/>
    <w:rsid w:val="005A3899"/>
    <w:rsid w:val="005A39BC"/>
    <w:rsid w:val="005A39C5"/>
    <w:rsid w:val="005A3AD9"/>
    <w:rsid w:val="005A3B43"/>
    <w:rsid w:val="005A3BD4"/>
    <w:rsid w:val="005A3C14"/>
    <w:rsid w:val="005A3E3C"/>
    <w:rsid w:val="005A3EE8"/>
    <w:rsid w:val="005A3F36"/>
    <w:rsid w:val="005A3FF1"/>
    <w:rsid w:val="005A4000"/>
    <w:rsid w:val="005A41E2"/>
    <w:rsid w:val="005A44A9"/>
    <w:rsid w:val="005A4533"/>
    <w:rsid w:val="005A46B5"/>
    <w:rsid w:val="005A46B9"/>
    <w:rsid w:val="005A46D3"/>
    <w:rsid w:val="005A4857"/>
    <w:rsid w:val="005A4876"/>
    <w:rsid w:val="005A4A1A"/>
    <w:rsid w:val="005A4AFE"/>
    <w:rsid w:val="005A4C53"/>
    <w:rsid w:val="005A4CBE"/>
    <w:rsid w:val="005A4D49"/>
    <w:rsid w:val="005A4D7E"/>
    <w:rsid w:val="005A4DE8"/>
    <w:rsid w:val="005A5030"/>
    <w:rsid w:val="005A50D5"/>
    <w:rsid w:val="005A53B2"/>
    <w:rsid w:val="005A53C2"/>
    <w:rsid w:val="005A551D"/>
    <w:rsid w:val="005A5556"/>
    <w:rsid w:val="005A559C"/>
    <w:rsid w:val="005A5610"/>
    <w:rsid w:val="005A5682"/>
    <w:rsid w:val="005A575D"/>
    <w:rsid w:val="005A578E"/>
    <w:rsid w:val="005A57ED"/>
    <w:rsid w:val="005A58B6"/>
    <w:rsid w:val="005A58D4"/>
    <w:rsid w:val="005A598A"/>
    <w:rsid w:val="005A59F0"/>
    <w:rsid w:val="005A5A59"/>
    <w:rsid w:val="005A5A70"/>
    <w:rsid w:val="005A5A8B"/>
    <w:rsid w:val="005A5C22"/>
    <w:rsid w:val="005A5C64"/>
    <w:rsid w:val="005A5D0F"/>
    <w:rsid w:val="005A5D6F"/>
    <w:rsid w:val="005A5F9A"/>
    <w:rsid w:val="005A5FBB"/>
    <w:rsid w:val="005A6055"/>
    <w:rsid w:val="005A609B"/>
    <w:rsid w:val="005A60CC"/>
    <w:rsid w:val="005A62CF"/>
    <w:rsid w:val="005A6304"/>
    <w:rsid w:val="005A6609"/>
    <w:rsid w:val="005A662B"/>
    <w:rsid w:val="005A6684"/>
    <w:rsid w:val="005A670A"/>
    <w:rsid w:val="005A67A5"/>
    <w:rsid w:val="005A6836"/>
    <w:rsid w:val="005A688A"/>
    <w:rsid w:val="005A6A17"/>
    <w:rsid w:val="005A6A30"/>
    <w:rsid w:val="005A6B47"/>
    <w:rsid w:val="005A6B80"/>
    <w:rsid w:val="005A6BCD"/>
    <w:rsid w:val="005A6C28"/>
    <w:rsid w:val="005A6C86"/>
    <w:rsid w:val="005A6CD6"/>
    <w:rsid w:val="005A6D20"/>
    <w:rsid w:val="005A6D25"/>
    <w:rsid w:val="005A6D72"/>
    <w:rsid w:val="005A6D94"/>
    <w:rsid w:val="005A6DBC"/>
    <w:rsid w:val="005A6ED2"/>
    <w:rsid w:val="005A6FEB"/>
    <w:rsid w:val="005A7034"/>
    <w:rsid w:val="005A703D"/>
    <w:rsid w:val="005A706D"/>
    <w:rsid w:val="005A7091"/>
    <w:rsid w:val="005A70A7"/>
    <w:rsid w:val="005A70D8"/>
    <w:rsid w:val="005A7177"/>
    <w:rsid w:val="005A72DD"/>
    <w:rsid w:val="005A7446"/>
    <w:rsid w:val="005A7456"/>
    <w:rsid w:val="005A7474"/>
    <w:rsid w:val="005A74E5"/>
    <w:rsid w:val="005A75BE"/>
    <w:rsid w:val="005A76AA"/>
    <w:rsid w:val="005A76ED"/>
    <w:rsid w:val="005A770F"/>
    <w:rsid w:val="005A777D"/>
    <w:rsid w:val="005A77D4"/>
    <w:rsid w:val="005A7976"/>
    <w:rsid w:val="005A7A16"/>
    <w:rsid w:val="005A7B7E"/>
    <w:rsid w:val="005A7C01"/>
    <w:rsid w:val="005A7D33"/>
    <w:rsid w:val="005A7D3A"/>
    <w:rsid w:val="005A7D71"/>
    <w:rsid w:val="005A7DD2"/>
    <w:rsid w:val="005A7DF4"/>
    <w:rsid w:val="005A7F90"/>
    <w:rsid w:val="005A7FFD"/>
    <w:rsid w:val="005B016B"/>
    <w:rsid w:val="005B01F5"/>
    <w:rsid w:val="005B01FF"/>
    <w:rsid w:val="005B02B9"/>
    <w:rsid w:val="005B038B"/>
    <w:rsid w:val="005B03C8"/>
    <w:rsid w:val="005B04B6"/>
    <w:rsid w:val="005B05BD"/>
    <w:rsid w:val="005B071F"/>
    <w:rsid w:val="005B08AE"/>
    <w:rsid w:val="005B0949"/>
    <w:rsid w:val="005B0A56"/>
    <w:rsid w:val="005B0B22"/>
    <w:rsid w:val="005B0BD5"/>
    <w:rsid w:val="005B0BF6"/>
    <w:rsid w:val="005B0C0F"/>
    <w:rsid w:val="005B0C13"/>
    <w:rsid w:val="005B0C28"/>
    <w:rsid w:val="005B0C64"/>
    <w:rsid w:val="005B0C72"/>
    <w:rsid w:val="005B0D23"/>
    <w:rsid w:val="005B0D8A"/>
    <w:rsid w:val="005B0E80"/>
    <w:rsid w:val="005B0EF9"/>
    <w:rsid w:val="005B0F0C"/>
    <w:rsid w:val="005B1091"/>
    <w:rsid w:val="005B12EE"/>
    <w:rsid w:val="005B13BC"/>
    <w:rsid w:val="005B13CB"/>
    <w:rsid w:val="005B142B"/>
    <w:rsid w:val="005B1445"/>
    <w:rsid w:val="005B1626"/>
    <w:rsid w:val="005B167B"/>
    <w:rsid w:val="005B169F"/>
    <w:rsid w:val="005B1710"/>
    <w:rsid w:val="005B1747"/>
    <w:rsid w:val="005B176C"/>
    <w:rsid w:val="005B1815"/>
    <w:rsid w:val="005B18B8"/>
    <w:rsid w:val="005B1992"/>
    <w:rsid w:val="005B19B6"/>
    <w:rsid w:val="005B1A0B"/>
    <w:rsid w:val="005B1A8E"/>
    <w:rsid w:val="005B1B13"/>
    <w:rsid w:val="005B1B40"/>
    <w:rsid w:val="005B1C12"/>
    <w:rsid w:val="005B1D1B"/>
    <w:rsid w:val="005B1D64"/>
    <w:rsid w:val="005B1E7E"/>
    <w:rsid w:val="005B1EA5"/>
    <w:rsid w:val="005B1EC8"/>
    <w:rsid w:val="005B2087"/>
    <w:rsid w:val="005B2101"/>
    <w:rsid w:val="005B214D"/>
    <w:rsid w:val="005B218B"/>
    <w:rsid w:val="005B2198"/>
    <w:rsid w:val="005B2385"/>
    <w:rsid w:val="005B2387"/>
    <w:rsid w:val="005B2391"/>
    <w:rsid w:val="005B2394"/>
    <w:rsid w:val="005B241F"/>
    <w:rsid w:val="005B2430"/>
    <w:rsid w:val="005B2621"/>
    <w:rsid w:val="005B2738"/>
    <w:rsid w:val="005B27C4"/>
    <w:rsid w:val="005B2936"/>
    <w:rsid w:val="005B297C"/>
    <w:rsid w:val="005B2A1A"/>
    <w:rsid w:val="005B2A4B"/>
    <w:rsid w:val="005B2ADA"/>
    <w:rsid w:val="005B2B4E"/>
    <w:rsid w:val="005B2B82"/>
    <w:rsid w:val="005B2BA7"/>
    <w:rsid w:val="005B2C1F"/>
    <w:rsid w:val="005B2CEB"/>
    <w:rsid w:val="005B2DC1"/>
    <w:rsid w:val="005B2EAB"/>
    <w:rsid w:val="005B2F88"/>
    <w:rsid w:val="005B3074"/>
    <w:rsid w:val="005B30DC"/>
    <w:rsid w:val="005B3128"/>
    <w:rsid w:val="005B3222"/>
    <w:rsid w:val="005B33D5"/>
    <w:rsid w:val="005B35A4"/>
    <w:rsid w:val="005B35BE"/>
    <w:rsid w:val="005B3700"/>
    <w:rsid w:val="005B378A"/>
    <w:rsid w:val="005B37AD"/>
    <w:rsid w:val="005B3923"/>
    <w:rsid w:val="005B39D8"/>
    <w:rsid w:val="005B3B81"/>
    <w:rsid w:val="005B3D53"/>
    <w:rsid w:val="005B3E45"/>
    <w:rsid w:val="005B3E83"/>
    <w:rsid w:val="005B3EDD"/>
    <w:rsid w:val="005B3FAD"/>
    <w:rsid w:val="005B3FC5"/>
    <w:rsid w:val="005B3FF6"/>
    <w:rsid w:val="005B4075"/>
    <w:rsid w:val="005B41CD"/>
    <w:rsid w:val="005B42B6"/>
    <w:rsid w:val="005B4501"/>
    <w:rsid w:val="005B455B"/>
    <w:rsid w:val="005B4729"/>
    <w:rsid w:val="005B4736"/>
    <w:rsid w:val="005B4749"/>
    <w:rsid w:val="005B478D"/>
    <w:rsid w:val="005B479C"/>
    <w:rsid w:val="005B47B6"/>
    <w:rsid w:val="005B4A4B"/>
    <w:rsid w:val="005B4C67"/>
    <w:rsid w:val="005B4EE3"/>
    <w:rsid w:val="005B4EF5"/>
    <w:rsid w:val="005B4F27"/>
    <w:rsid w:val="005B5062"/>
    <w:rsid w:val="005B506F"/>
    <w:rsid w:val="005B50B0"/>
    <w:rsid w:val="005B5122"/>
    <w:rsid w:val="005B5165"/>
    <w:rsid w:val="005B51C6"/>
    <w:rsid w:val="005B52B8"/>
    <w:rsid w:val="005B5337"/>
    <w:rsid w:val="005B535D"/>
    <w:rsid w:val="005B5366"/>
    <w:rsid w:val="005B5397"/>
    <w:rsid w:val="005B5471"/>
    <w:rsid w:val="005B55E7"/>
    <w:rsid w:val="005B5656"/>
    <w:rsid w:val="005B56A0"/>
    <w:rsid w:val="005B57EC"/>
    <w:rsid w:val="005B590D"/>
    <w:rsid w:val="005B5994"/>
    <w:rsid w:val="005B5A2D"/>
    <w:rsid w:val="005B5A44"/>
    <w:rsid w:val="005B5B1B"/>
    <w:rsid w:val="005B5B97"/>
    <w:rsid w:val="005B5CF2"/>
    <w:rsid w:val="005B5DC5"/>
    <w:rsid w:val="005B5DEE"/>
    <w:rsid w:val="005B5E58"/>
    <w:rsid w:val="005B5E81"/>
    <w:rsid w:val="005B5EC5"/>
    <w:rsid w:val="005B5ED1"/>
    <w:rsid w:val="005B5F93"/>
    <w:rsid w:val="005B5FC3"/>
    <w:rsid w:val="005B6055"/>
    <w:rsid w:val="005B60E7"/>
    <w:rsid w:val="005B61AC"/>
    <w:rsid w:val="005B61C1"/>
    <w:rsid w:val="005B625E"/>
    <w:rsid w:val="005B638E"/>
    <w:rsid w:val="005B644E"/>
    <w:rsid w:val="005B6453"/>
    <w:rsid w:val="005B6479"/>
    <w:rsid w:val="005B64C9"/>
    <w:rsid w:val="005B64DD"/>
    <w:rsid w:val="005B6531"/>
    <w:rsid w:val="005B663A"/>
    <w:rsid w:val="005B66CD"/>
    <w:rsid w:val="005B67D0"/>
    <w:rsid w:val="005B6A27"/>
    <w:rsid w:val="005B6AFF"/>
    <w:rsid w:val="005B6BC9"/>
    <w:rsid w:val="005B6BD2"/>
    <w:rsid w:val="005B6D1A"/>
    <w:rsid w:val="005B6DAB"/>
    <w:rsid w:val="005B6DD1"/>
    <w:rsid w:val="005B6DDF"/>
    <w:rsid w:val="005B6E6F"/>
    <w:rsid w:val="005B706E"/>
    <w:rsid w:val="005B7138"/>
    <w:rsid w:val="005B71CC"/>
    <w:rsid w:val="005B72F0"/>
    <w:rsid w:val="005B746A"/>
    <w:rsid w:val="005B750C"/>
    <w:rsid w:val="005B7696"/>
    <w:rsid w:val="005B76B1"/>
    <w:rsid w:val="005B7764"/>
    <w:rsid w:val="005B7788"/>
    <w:rsid w:val="005B7850"/>
    <w:rsid w:val="005B7854"/>
    <w:rsid w:val="005B7991"/>
    <w:rsid w:val="005B79A5"/>
    <w:rsid w:val="005B79E8"/>
    <w:rsid w:val="005B7A8E"/>
    <w:rsid w:val="005B7AD6"/>
    <w:rsid w:val="005B7BAA"/>
    <w:rsid w:val="005B7C3B"/>
    <w:rsid w:val="005B7CC3"/>
    <w:rsid w:val="005B7CE5"/>
    <w:rsid w:val="005B7D49"/>
    <w:rsid w:val="005B7F7B"/>
    <w:rsid w:val="005C00EC"/>
    <w:rsid w:val="005C019E"/>
    <w:rsid w:val="005C035C"/>
    <w:rsid w:val="005C03FA"/>
    <w:rsid w:val="005C04CB"/>
    <w:rsid w:val="005C05AF"/>
    <w:rsid w:val="005C063B"/>
    <w:rsid w:val="005C073B"/>
    <w:rsid w:val="005C07ED"/>
    <w:rsid w:val="005C08DE"/>
    <w:rsid w:val="005C08ED"/>
    <w:rsid w:val="005C0914"/>
    <w:rsid w:val="005C094B"/>
    <w:rsid w:val="005C09C2"/>
    <w:rsid w:val="005C09E2"/>
    <w:rsid w:val="005C0A29"/>
    <w:rsid w:val="005C0A78"/>
    <w:rsid w:val="005C0B60"/>
    <w:rsid w:val="005C0C59"/>
    <w:rsid w:val="005C0C60"/>
    <w:rsid w:val="005C0CF5"/>
    <w:rsid w:val="005C0D84"/>
    <w:rsid w:val="005C0D95"/>
    <w:rsid w:val="005C0EE0"/>
    <w:rsid w:val="005C0EFC"/>
    <w:rsid w:val="005C104B"/>
    <w:rsid w:val="005C1052"/>
    <w:rsid w:val="005C10AC"/>
    <w:rsid w:val="005C110D"/>
    <w:rsid w:val="005C1133"/>
    <w:rsid w:val="005C1134"/>
    <w:rsid w:val="005C12B4"/>
    <w:rsid w:val="005C134D"/>
    <w:rsid w:val="005C1381"/>
    <w:rsid w:val="005C13F5"/>
    <w:rsid w:val="005C14D4"/>
    <w:rsid w:val="005C1544"/>
    <w:rsid w:val="005C159D"/>
    <w:rsid w:val="005C167A"/>
    <w:rsid w:val="005C16F9"/>
    <w:rsid w:val="005C189C"/>
    <w:rsid w:val="005C18B4"/>
    <w:rsid w:val="005C1911"/>
    <w:rsid w:val="005C19C3"/>
    <w:rsid w:val="005C1AA7"/>
    <w:rsid w:val="005C1B57"/>
    <w:rsid w:val="005C1B69"/>
    <w:rsid w:val="005C1D0A"/>
    <w:rsid w:val="005C1E65"/>
    <w:rsid w:val="005C1E95"/>
    <w:rsid w:val="005C1EB9"/>
    <w:rsid w:val="005C1F49"/>
    <w:rsid w:val="005C1F89"/>
    <w:rsid w:val="005C2079"/>
    <w:rsid w:val="005C20A4"/>
    <w:rsid w:val="005C21E9"/>
    <w:rsid w:val="005C22BF"/>
    <w:rsid w:val="005C2499"/>
    <w:rsid w:val="005C2529"/>
    <w:rsid w:val="005C253F"/>
    <w:rsid w:val="005C255A"/>
    <w:rsid w:val="005C25BD"/>
    <w:rsid w:val="005C26B1"/>
    <w:rsid w:val="005C26DA"/>
    <w:rsid w:val="005C2831"/>
    <w:rsid w:val="005C284F"/>
    <w:rsid w:val="005C28A3"/>
    <w:rsid w:val="005C28B3"/>
    <w:rsid w:val="005C28D2"/>
    <w:rsid w:val="005C299D"/>
    <w:rsid w:val="005C29E2"/>
    <w:rsid w:val="005C2A2E"/>
    <w:rsid w:val="005C2A7A"/>
    <w:rsid w:val="005C2C45"/>
    <w:rsid w:val="005C2DF4"/>
    <w:rsid w:val="005C2E5E"/>
    <w:rsid w:val="005C2EA7"/>
    <w:rsid w:val="005C2F3F"/>
    <w:rsid w:val="005C2F51"/>
    <w:rsid w:val="005C308C"/>
    <w:rsid w:val="005C30FD"/>
    <w:rsid w:val="005C315D"/>
    <w:rsid w:val="005C32C4"/>
    <w:rsid w:val="005C33BF"/>
    <w:rsid w:val="005C34D2"/>
    <w:rsid w:val="005C3511"/>
    <w:rsid w:val="005C3689"/>
    <w:rsid w:val="005C377D"/>
    <w:rsid w:val="005C3910"/>
    <w:rsid w:val="005C39AC"/>
    <w:rsid w:val="005C39FC"/>
    <w:rsid w:val="005C3A3C"/>
    <w:rsid w:val="005C3B7D"/>
    <w:rsid w:val="005C3B98"/>
    <w:rsid w:val="005C3DA8"/>
    <w:rsid w:val="005C3E26"/>
    <w:rsid w:val="005C3F5D"/>
    <w:rsid w:val="005C3FF6"/>
    <w:rsid w:val="005C41B2"/>
    <w:rsid w:val="005C4316"/>
    <w:rsid w:val="005C4334"/>
    <w:rsid w:val="005C435A"/>
    <w:rsid w:val="005C43C2"/>
    <w:rsid w:val="005C4562"/>
    <w:rsid w:val="005C4574"/>
    <w:rsid w:val="005C4607"/>
    <w:rsid w:val="005C46C5"/>
    <w:rsid w:val="005C4784"/>
    <w:rsid w:val="005C47AB"/>
    <w:rsid w:val="005C47C9"/>
    <w:rsid w:val="005C47E8"/>
    <w:rsid w:val="005C47F0"/>
    <w:rsid w:val="005C4851"/>
    <w:rsid w:val="005C4A18"/>
    <w:rsid w:val="005C4B6E"/>
    <w:rsid w:val="005C4B79"/>
    <w:rsid w:val="005C4C8A"/>
    <w:rsid w:val="005C4EA5"/>
    <w:rsid w:val="005C4EE9"/>
    <w:rsid w:val="005C4FDD"/>
    <w:rsid w:val="005C505A"/>
    <w:rsid w:val="005C50A4"/>
    <w:rsid w:val="005C51E5"/>
    <w:rsid w:val="005C52A6"/>
    <w:rsid w:val="005C52BE"/>
    <w:rsid w:val="005C5305"/>
    <w:rsid w:val="005C532C"/>
    <w:rsid w:val="005C5339"/>
    <w:rsid w:val="005C539D"/>
    <w:rsid w:val="005C54B0"/>
    <w:rsid w:val="005C54F1"/>
    <w:rsid w:val="005C55D2"/>
    <w:rsid w:val="005C5646"/>
    <w:rsid w:val="005C56DF"/>
    <w:rsid w:val="005C56ED"/>
    <w:rsid w:val="005C5761"/>
    <w:rsid w:val="005C5A6F"/>
    <w:rsid w:val="005C5B40"/>
    <w:rsid w:val="005C5D43"/>
    <w:rsid w:val="005C5D55"/>
    <w:rsid w:val="005C5E4D"/>
    <w:rsid w:val="005C5E57"/>
    <w:rsid w:val="005C5EB1"/>
    <w:rsid w:val="005C5FCE"/>
    <w:rsid w:val="005C5FDD"/>
    <w:rsid w:val="005C61F9"/>
    <w:rsid w:val="005C62B3"/>
    <w:rsid w:val="005C6309"/>
    <w:rsid w:val="005C6391"/>
    <w:rsid w:val="005C651C"/>
    <w:rsid w:val="005C651D"/>
    <w:rsid w:val="005C6574"/>
    <w:rsid w:val="005C6575"/>
    <w:rsid w:val="005C65F7"/>
    <w:rsid w:val="005C66DE"/>
    <w:rsid w:val="005C6710"/>
    <w:rsid w:val="005C6772"/>
    <w:rsid w:val="005C678E"/>
    <w:rsid w:val="005C67C2"/>
    <w:rsid w:val="005C682C"/>
    <w:rsid w:val="005C6881"/>
    <w:rsid w:val="005C6A77"/>
    <w:rsid w:val="005C6AFB"/>
    <w:rsid w:val="005C6C2F"/>
    <w:rsid w:val="005C6C43"/>
    <w:rsid w:val="005C6CC3"/>
    <w:rsid w:val="005C6D4A"/>
    <w:rsid w:val="005C6DD0"/>
    <w:rsid w:val="005C6DDB"/>
    <w:rsid w:val="005C6EB7"/>
    <w:rsid w:val="005C6FFA"/>
    <w:rsid w:val="005C7109"/>
    <w:rsid w:val="005C725F"/>
    <w:rsid w:val="005C74ED"/>
    <w:rsid w:val="005C759A"/>
    <w:rsid w:val="005C7629"/>
    <w:rsid w:val="005C76B4"/>
    <w:rsid w:val="005C7732"/>
    <w:rsid w:val="005C7763"/>
    <w:rsid w:val="005C778C"/>
    <w:rsid w:val="005C779F"/>
    <w:rsid w:val="005C792E"/>
    <w:rsid w:val="005C7931"/>
    <w:rsid w:val="005C7B15"/>
    <w:rsid w:val="005C7B20"/>
    <w:rsid w:val="005C7B27"/>
    <w:rsid w:val="005C7C96"/>
    <w:rsid w:val="005C7CCD"/>
    <w:rsid w:val="005C7CEF"/>
    <w:rsid w:val="005C7D4B"/>
    <w:rsid w:val="005D006D"/>
    <w:rsid w:val="005D007B"/>
    <w:rsid w:val="005D0130"/>
    <w:rsid w:val="005D0254"/>
    <w:rsid w:val="005D0306"/>
    <w:rsid w:val="005D034D"/>
    <w:rsid w:val="005D03D6"/>
    <w:rsid w:val="005D055E"/>
    <w:rsid w:val="005D05D3"/>
    <w:rsid w:val="005D06F6"/>
    <w:rsid w:val="005D0705"/>
    <w:rsid w:val="005D075F"/>
    <w:rsid w:val="005D085B"/>
    <w:rsid w:val="005D09A1"/>
    <w:rsid w:val="005D09ED"/>
    <w:rsid w:val="005D09F9"/>
    <w:rsid w:val="005D0AFB"/>
    <w:rsid w:val="005D0B2F"/>
    <w:rsid w:val="005D0BB6"/>
    <w:rsid w:val="005D0C59"/>
    <w:rsid w:val="005D0CD3"/>
    <w:rsid w:val="005D0D4E"/>
    <w:rsid w:val="005D0DD9"/>
    <w:rsid w:val="005D104C"/>
    <w:rsid w:val="005D1053"/>
    <w:rsid w:val="005D11EA"/>
    <w:rsid w:val="005D1211"/>
    <w:rsid w:val="005D1213"/>
    <w:rsid w:val="005D12FF"/>
    <w:rsid w:val="005D1366"/>
    <w:rsid w:val="005D13A1"/>
    <w:rsid w:val="005D1401"/>
    <w:rsid w:val="005D1549"/>
    <w:rsid w:val="005D15CE"/>
    <w:rsid w:val="005D169F"/>
    <w:rsid w:val="005D16FD"/>
    <w:rsid w:val="005D17E2"/>
    <w:rsid w:val="005D1987"/>
    <w:rsid w:val="005D19FD"/>
    <w:rsid w:val="005D1B3E"/>
    <w:rsid w:val="005D1C8F"/>
    <w:rsid w:val="005D1D88"/>
    <w:rsid w:val="005D1DC5"/>
    <w:rsid w:val="005D1DF6"/>
    <w:rsid w:val="005D1E44"/>
    <w:rsid w:val="005D1E6A"/>
    <w:rsid w:val="005D1E85"/>
    <w:rsid w:val="005D1E9E"/>
    <w:rsid w:val="005D1EE6"/>
    <w:rsid w:val="005D1EE7"/>
    <w:rsid w:val="005D1F01"/>
    <w:rsid w:val="005D2122"/>
    <w:rsid w:val="005D216F"/>
    <w:rsid w:val="005D21A8"/>
    <w:rsid w:val="005D23A4"/>
    <w:rsid w:val="005D2498"/>
    <w:rsid w:val="005D252F"/>
    <w:rsid w:val="005D2619"/>
    <w:rsid w:val="005D263B"/>
    <w:rsid w:val="005D265D"/>
    <w:rsid w:val="005D2678"/>
    <w:rsid w:val="005D2696"/>
    <w:rsid w:val="005D26BB"/>
    <w:rsid w:val="005D275F"/>
    <w:rsid w:val="005D27F3"/>
    <w:rsid w:val="005D2983"/>
    <w:rsid w:val="005D29CA"/>
    <w:rsid w:val="005D2B16"/>
    <w:rsid w:val="005D2B30"/>
    <w:rsid w:val="005D2CC0"/>
    <w:rsid w:val="005D2D94"/>
    <w:rsid w:val="005D2E39"/>
    <w:rsid w:val="005D2EC4"/>
    <w:rsid w:val="005D2ED2"/>
    <w:rsid w:val="005D31F8"/>
    <w:rsid w:val="005D33ED"/>
    <w:rsid w:val="005D34BF"/>
    <w:rsid w:val="005D34E7"/>
    <w:rsid w:val="005D3544"/>
    <w:rsid w:val="005D364F"/>
    <w:rsid w:val="005D36EB"/>
    <w:rsid w:val="005D3736"/>
    <w:rsid w:val="005D376F"/>
    <w:rsid w:val="005D3808"/>
    <w:rsid w:val="005D3916"/>
    <w:rsid w:val="005D3A3A"/>
    <w:rsid w:val="005D3A3B"/>
    <w:rsid w:val="005D3AC4"/>
    <w:rsid w:val="005D3ACF"/>
    <w:rsid w:val="005D3C8B"/>
    <w:rsid w:val="005D3CDA"/>
    <w:rsid w:val="005D3E3A"/>
    <w:rsid w:val="005D3EB0"/>
    <w:rsid w:val="005D3FAB"/>
    <w:rsid w:val="005D4006"/>
    <w:rsid w:val="005D401F"/>
    <w:rsid w:val="005D40CB"/>
    <w:rsid w:val="005D40CC"/>
    <w:rsid w:val="005D41B3"/>
    <w:rsid w:val="005D4246"/>
    <w:rsid w:val="005D4284"/>
    <w:rsid w:val="005D42B3"/>
    <w:rsid w:val="005D42F7"/>
    <w:rsid w:val="005D43D0"/>
    <w:rsid w:val="005D4493"/>
    <w:rsid w:val="005D4616"/>
    <w:rsid w:val="005D463D"/>
    <w:rsid w:val="005D474A"/>
    <w:rsid w:val="005D477D"/>
    <w:rsid w:val="005D478F"/>
    <w:rsid w:val="005D47C1"/>
    <w:rsid w:val="005D47C5"/>
    <w:rsid w:val="005D47F5"/>
    <w:rsid w:val="005D48D5"/>
    <w:rsid w:val="005D494E"/>
    <w:rsid w:val="005D4B2B"/>
    <w:rsid w:val="005D4BA7"/>
    <w:rsid w:val="005D4D35"/>
    <w:rsid w:val="005D4D78"/>
    <w:rsid w:val="005D4D8A"/>
    <w:rsid w:val="005D4D8B"/>
    <w:rsid w:val="005D4F3A"/>
    <w:rsid w:val="005D4FDA"/>
    <w:rsid w:val="005D5065"/>
    <w:rsid w:val="005D50FC"/>
    <w:rsid w:val="005D5249"/>
    <w:rsid w:val="005D52FB"/>
    <w:rsid w:val="005D5361"/>
    <w:rsid w:val="005D5495"/>
    <w:rsid w:val="005D5551"/>
    <w:rsid w:val="005D5568"/>
    <w:rsid w:val="005D5833"/>
    <w:rsid w:val="005D58E6"/>
    <w:rsid w:val="005D59CE"/>
    <w:rsid w:val="005D5A88"/>
    <w:rsid w:val="005D5BBB"/>
    <w:rsid w:val="005D5BEB"/>
    <w:rsid w:val="005D5C42"/>
    <w:rsid w:val="005D5CB8"/>
    <w:rsid w:val="005D5DF1"/>
    <w:rsid w:val="005D5E06"/>
    <w:rsid w:val="005D5E2F"/>
    <w:rsid w:val="005D5E61"/>
    <w:rsid w:val="005D603A"/>
    <w:rsid w:val="005D6063"/>
    <w:rsid w:val="005D60A5"/>
    <w:rsid w:val="005D60B6"/>
    <w:rsid w:val="005D6218"/>
    <w:rsid w:val="005D62D1"/>
    <w:rsid w:val="005D62F5"/>
    <w:rsid w:val="005D632D"/>
    <w:rsid w:val="005D63B5"/>
    <w:rsid w:val="005D6754"/>
    <w:rsid w:val="005D676C"/>
    <w:rsid w:val="005D680D"/>
    <w:rsid w:val="005D680E"/>
    <w:rsid w:val="005D68E1"/>
    <w:rsid w:val="005D695A"/>
    <w:rsid w:val="005D69A6"/>
    <w:rsid w:val="005D6AD2"/>
    <w:rsid w:val="005D6AD6"/>
    <w:rsid w:val="005D6B75"/>
    <w:rsid w:val="005D6C35"/>
    <w:rsid w:val="005D6C9D"/>
    <w:rsid w:val="005D6E44"/>
    <w:rsid w:val="005D6E4E"/>
    <w:rsid w:val="005D6E8F"/>
    <w:rsid w:val="005D6FD0"/>
    <w:rsid w:val="005D6FD7"/>
    <w:rsid w:val="005D6FD9"/>
    <w:rsid w:val="005D7182"/>
    <w:rsid w:val="005D722B"/>
    <w:rsid w:val="005D72F0"/>
    <w:rsid w:val="005D73D4"/>
    <w:rsid w:val="005D745A"/>
    <w:rsid w:val="005D7479"/>
    <w:rsid w:val="005D75F1"/>
    <w:rsid w:val="005D761E"/>
    <w:rsid w:val="005D762F"/>
    <w:rsid w:val="005D7663"/>
    <w:rsid w:val="005D7671"/>
    <w:rsid w:val="005D7677"/>
    <w:rsid w:val="005D76B3"/>
    <w:rsid w:val="005D7811"/>
    <w:rsid w:val="005D7824"/>
    <w:rsid w:val="005D7915"/>
    <w:rsid w:val="005D796C"/>
    <w:rsid w:val="005D798D"/>
    <w:rsid w:val="005D7A8A"/>
    <w:rsid w:val="005D7ADB"/>
    <w:rsid w:val="005D7B63"/>
    <w:rsid w:val="005D7DAE"/>
    <w:rsid w:val="005D7FB7"/>
    <w:rsid w:val="005E00BE"/>
    <w:rsid w:val="005E01E9"/>
    <w:rsid w:val="005E03CE"/>
    <w:rsid w:val="005E0439"/>
    <w:rsid w:val="005E0654"/>
    <w:rsid w:val="005E06F9"/>
    <w:rsid w:val="005E0712"/>
    <w:rsid w:val="005E0728"/>
    <w:rsid w:val="005E0753"/>
    <w:rsid w:val="005E08A7"/>
    <w:rsid w:val="005E08F4"/>
    <w:rsid w:val="005E09E4"/>
    <w:rsid w:val="005E0A1A"/>
    <w:rsid w:val="005E0A75"/>
    <w:rsid w:val="005E0AFC"/>
    <w:rsid w:val="005E0B4B"/>
    <w:rsid w:val="005E0BAB"/>
    <w:rsid w:val="005E0C44"/>
    <w:rsid w:val="005E0D68"/>
    <w:rsid w:val="005E0E44"/>
    <w:rsid w:val="005E0EEB"/>
    <w:rsid w:val="005E0F3C"/>
    <w:rsid w:val="005E100C"/>
    <w:rsid w:val="005E1026"/>
    <w:rsid w:val="005E1043"/>
    <w:rsid w:val="005E1047"/>
    <w:rsid w:val="005E10ED"/>
    <w:rsid w:val="005E1139"/>
    <w:rsid w:val="005E11BB"/>
    <w:rsid w:val="005E12FB"/>
    <w:rsid w:val="005E133B"/>
    <w:rsid w:val="005E14B9"/>
    <w:rsid w:val="005E1522"/>
    <w:rsid w:val="005E15BB"/>
    <w:rsid w:val="005E15F2"/>
    <w:rsid w:val="005E1722"/>
    <w:rsid w:val="005E17DA"/>
    <w:rsid w:val="005E1830"/>
    <w:rsid w:val="005E1837"/>
    <w:rsid w:val="005E18A6"/>
    <w:rsid w:val="005E194A"/>
    <w:rsid w:val="005E1965"/>
    <w:rsid w:val="005E1ACA"/>
    <w:rsid w:val="005E1ADC"/>
    <w:rsid w:val="005E1B10"/>
    <w:rsid w:val="005E1B8C"/>
    <w:rsid w:val="005E1C00"/>
    <w:rsid w:val="005E1C23"/>
    <w:rsid w:val="005E1C76"/>
    <w:rsid w:val="005E1CA0"/>
    <w:rsid w:val="005E1D3E"/>
    <w:rsid w:val="005E1DC9"/>
    <w:rsid w:val="005E1E2B"/>
    <w:rsid w:val="005E1FA2"/>
    <w:rsid w:val="005E2031"/>
    <w:rsid w:val="005E207F"/>
    <w:rsid w:val="005E2092"/>
    <w:rsid w:val="005E20F8"/>
    <w:rsid w:val="005E2148"/>
    <w:rsid w:val="005E2196"/>
    <w:rsid w:val="005E222D"/>
    <w:rsid w:val="005E2231"/>
    <w:rsid w:val="005E22F9"/>
    <w:rsid w:val="005E2463"/>
    <w:rsid w:val="005E24B7"/>
    <w:rsid w:val="005E25C7"/>
    <w:rsid w:val="005E2603"/>
    <w:rsid w:val="005E2606"/>
    <w:rsid w:val="005E26A9"/>
    <w:rsid w:val="005E26CF"/>
    <w:rsid w:val="005E26E5"/>
    <w:rsid w:val="005E274D"/>
    <w:rsid w:val="005E274E"/>
    <w:rsid w:val="005E2763"/>
    <w:rsid w:val="005E27C8"/>
    <w:rsid w:val="005E27D5"/>
    <w:rsid w:val="005E285D"/>
    <w:rsid w:val="005E2863"/>
    <w:rsid w:val="005E28B4"/>
    <w:rsid w:val="005E28DE"/>
    <w:rsid w:val="005E2A49"/>
    <w:rsid w:val="005E2A5E"/>
    <w:rsid w:val="005E2A7B"/>
    <w:rsid w:val="005E2B19"/>
    <w:rsid w:val="005E2B8D"/>
    <w:rsid w:val="005E2C8D"/>
    <w:rsid w:val="005E2CA8"/>
    <w:rsid w:val="005E2CBA"/>
    <w:rsid w:val="005E2CC8"/>
    <w:rsid w:val="005E2DB5"/>
    <w:rsid w:val="005E2DF8"/>
    <w:rsid w:val="005E2E63"/>
    <w:rsid w:val="005E2F59"/>
    <w:rsid w:val="005E2FF8"/>
    <w:rsid w:val="005E309C"/>
    <w:rsid w:val="005E30B4"/>
    <w:rsid w:val="005E311B"/>
    <w:rsid w:val="005E3191"/>
    <w:rsid w:val="005E3293"/>
    <w:rsid w:val="005E336E"/>
    <w:rsid w:val="005E33EB"/>
    <w:rsid w:val="005E345D"/>
    <w:rsid w:val="005E3480"/>
    <w:rsid w:val="005E3487"/>
    <w:rsid w:val="005E3504"/>
    <w:rsid w:val="005E3525"/>
    <w:rsid w:val="005E3530"/>
    <w:rsid w:val="005E35B4"/>
    <w:rsid w:val="005E35D6"/>
    <w:rsid w:val="005E366D"/>
    <w:rsid w:val="005E3671"/>
    <w:rsid w:val="005E375C"/>
    <w:rsid w:val="005E37DE"/>
    <w:rsid w:val="005E38DD"/>
    <w:rsid w:val="005E38EE"/>
    <w:rsid w:val="005E3A5B"/>
    <w:rsid w:val="005E3B1A"/>
    <w:rsid w:val="005E3CDE"/>
    <w:rsid w:val="005E3D4A"/>
    <w:rsid w:val="005E3D5D"/>
    <w:rsid w:val="005E3DCD"/>
    <w:rsid w:val="005E3DF7"/>
    <w:rsid w:val="005E3EE8"/>
    <w:rsid w:val="005E3FC5"/>
    <w:rsid w:val="005E40A8"/>
    <w:rsid w:val="005E416E"/>
    <w:rsid w:val="005E418B"/>
    <w:rsid w:val="005E41C3"/>
    <w:rsid w:val="005E42DA"/>
    <w:rsid w:val="005E42E2"/>
    <w:rsid w:val="005E4357"/>
    <w:rsid w:val="005E4369"/>
    <w:rsid w:val="005E4395"/>
    <w:rsid w:val="005E45C1"/>
    <w:rsid w:val="005E46AA"/>
    <w:rsid w:val="005E46DB"/>
    <w:rsid w:val="005E4733"/>
    <w:rsid w:val="005E473D"/>
    <w:rsid w:val="005E486E"/>
    <w:rsid w:val="005E48D6"/>
    <w:rsid w:val="005E4A99"/>
    <w:rsid w:val="005E4A9A"/>
    <w:rsid w:val="005E4B49"/>
    <w:rsid w:val="005E4B99"/>
    <w:rsid w:val="005E4C12"/>
    <w:rsid w:val="005E4DF9"/>
    <w:rsid w:val="005E4E66"/>
    <w:rsid w:val="005E4E86"/>
    <w:rsid w:val="005E4EE8"/>
    <w:rsid w:val="005E4F3D"/>
    <w:rsid w:val="005E4F59"/>
    <w:rsid w:val="005E50A6"/>
    <w:rsid w:val="005E50C5"/>
    <w:rsid w:val="005E50ED"/>
    <w:rsid w:val="005E5139"/>
    <w:rsid w:val="005E5187"/>
    <w:rsid w:val="005E51B3"/>
    <w:rsid w:val="005E5238"/>
    <w:rsid w:val="005E5279"/>
    <w:rsid w:val="005E52D6"/>
    <w:rsid w:val="005E531B"/>
    <w:rsid w:val="005E5374"/>
    <w:rsid w:val="005E54D7"/>
    <w:rsid w:val="005E5508"/>
    <w:rsid w:val="005E551B"/>
    <w:rsid w:val="005E554D"/>
    <w:rsid w:val="005E555B"/>
    <w:rsid w:val="005E5701"/>
    <w:rsid w:val="005E581C"/>
    <w:rsid w:val="005E5834"/>
    <w:rsid w:val="005E58AC"/>
    <w:rsid w:val="005E590F"/>
    <w:rsid w:val="005E59F6"/>
    <w:rsid w:val="005E5AE5"/>
    <w:rsid w:val="005E5C31"/>
    <w:rsid w:val="005E5C4C"/>
    <w:rsid w:val="005E5C92"/>
    <w:rsid w:val="005E5D6E"/>
    <w:rsid w:val="005E5DF4"/>
    <w:rsid w:val="005E5DFE"/>
    <w:rsid w:val="005E5E20"/>
    <w:rsid w:val="005E5E24"/>
    <w:rsid w:val="005E5E29"/>
    <w:rsid w:val="005E5F2F"/>
    <w:rsid w:val="005E5F8B"/>
    <w:rsid w:val="005E5F98"/>
    <w:rsid w:val="005E5FC8"/>
    <w:rsid w:val="005E607D"/>
    <w:rsid w:val="005E60EA"/>
    <w:rsid w:val="005E6189"/>
    <w:rsid w:val="005E61C3"/>
    <w:rsid w:val="005E6233"/>
    <w:rsid w:val="005E6324"/>
    <w:rsid w:val="005E6408"/>
    <w:rsid w:val="005E643F"/>
    <w:rsid w:val="005E665E"/>
    <w:rsid w:val="005E67DB"/>
    <w:rsid w:val="005E684E"/>
    <w:rsid w:val="005E6870"/>
    <w:rsid w:val="005E68B5"/>
    <w:rsid w:val="005E6A90"/>
    <w:rsid w:val="005E6A9A"/>
    <w:rsid w:val="005E6B7C"/>
    <w:rsid w:val="005E6E98"/>
    <w:rsid w:val="005E6FA7"/>
    <w:rsid w:val="005E70DA"/>
    <w:rsid w:val="005E7292"/>
    <w:rsid w:val="005E73A5"/>
    <w:rsid w:val="005E7622"/>
    <w:rsid w:val="005E76B4"/>
    <w:rsid w:val="005E76E6"/>
    <w:rsid w:val="005E771C"/>
    <w:rsid w:val="005E77F9"/>
    <w:rsid w:val="005E7807"/>
    <w:rsid w:val="005E78CE"/>
    <w:rsid w:val="005E797B"/>
    <w:rsid w:val="005E79AC"/>
    <w:rsid w:val="005E79C6"/>
    <w:rsid w:val="005E7C8C"/>
    <w:rsid w:val="005E7CB2"/>
    <w:rsid w:val="005E7D95"/>
    <w:rsid w:val="005E7EF8"/>
    <w:rsid w:val="005E7F0E"/>
    <w:rsid w:val="005E7F37"/>
    <w:rsid w:val="005F00DE"/>
    <w:rsid w:val="005F0144"/>
    <w:rsid w:val="005F03D8"/>
    <w:rsid w:val="005F03EA"/>
    <w:rsid w:val="005F057A"/>
    <w:rsid w:val="005F05C1"/>
    <w:rsid w:val="005F05E3"/>
    <w:rsid w:val="005F0698"/>
    <w:rsid w:val="005F06F6"/>
    <w:rsid w:val="005F0763"/>
    <w:rsid w:val="005F07DC"/>
    <w:rsid w:val="005F07E7"/>
    <w:rsid w:val="005F07F3"/>
    <w:rsid w:val="005F081D"/>
    <w:rsid w:val="005F087A"/>
    <w:rsid w:val="005F0A08"/>
    <w:rsid w:val="005F0A7A"/>
    <w:rsid w:val="005F0AAE"/>
    <w:rsid w:val="005F0B30"/>
    <w:rsid w:val="005F0B6F"/>
    <w:rsid w:val="005F0C41"/>
    <w:rsid w:val="005F0CF7"/>
    <w:rsid w:val="005F0D02"/>
    <w:rsid w:val="005F0D2F"/>
    <w:rsid w:val="005F0EDB"/>
    <w:rsid w:val="005F0F3D"/>
    <w:rsid w:val="005F0FA8"/>
    <w:rsid w:val="005F0FA9"/>
    <w:rsid w:val="005F0FE8"/>
    <w:rsid w:val="005F105B"/>
    <w:rsid w:val="005F10B1"/>
    <w:rsid w:val="005F1170"/>
    <w:rsid w:val="005F1259"/>
    <w:rsid w:val="005F125D"/>
    <w:rsid w:val="005F127B"/>
    <w:rsid w:val="005F1326"/>
    <w:rsid w:val="005F1450"/>
    <w:rsid w:val="005F1473"/>
    <w:rsid w:val="005F14FC"/>
    <w:rsid w:val="005F1586"/>
    <w:rsid w:val="005F1599"/>
    <w:rsid w:val="005F15C2"/>
    <w:rsid w:val="005F15D6"/>
    <w:rsid w:val="005F164D"/>
    <w:rsid w:val="005F176A"/>
    <w:rsid w:val="005F188C"/>
    <w:rsid w:val="005F1992"/>
    <w:rsid w:val="005F19A7"/>
    <w:rsid w:val="005F19C9"/>
    <w:rsid w:val="005F1A79"/>
    <w:rsid w:val="005F1A86"/>
    <w:rsid w:val="005F1AA5"/>
    <w:rsid w:val="005F1AFE"/>
    <w:rsid w:val="005F1B30"/>
    <w:rsid w:val="005F1B3E"/>
    <w:rsid w:val="005F1D2A"/>
    <w:rsid w:val="005F1D71"/>
    <w:rsid w:val="005F1E82"/>
    <w:rsid w:val="005F1EE1"/>
    <w:rsid w:val="005F1F19"/>
    <w:rsid w:val="005F1F48"/>
    <w:rsid w:val="005F1F4E"/>
    <w:rsid w:val="005F1F8A"/>
    <w:rsid w:val="005F1FE9"/>
    <w:rsid w:val="005F1FF3"/>
    <w:rsid w:val="005F217F"/>
    <w:rsid w:val="005F22FE"/>
    <w:rsid w:val="005F233B"/>
    <w:rsid w:val="005F2396"/>
    <w:rsid w:val="005F2494"/>
    <w:rsid w:val="005F24BB"/>
    <w:rsid w:val="005F24BF"/>
    <w:rsid w:val="005F24D0"/>
    <w:rsid w:val="005F269A"/>
    <w:rsid w:val="005F270C"/>
    <w:rsid w:val="005F28E5"/>
    <w:rsid w:val="005F299F"/>
    <w:rsid w:val="005F29CB"/>
    <w:rsid w:val="005F2A1C"/>
    <w:rsid w:val="005F2A5F"/>
    <w:rsid w:val="005F2B03"/>
    <w:rsid w:val="005F2BFF"/>
    <w:rsid w:val="005F2C89"/>
    <w:rsid w:val="005F2DB0"/>
    <w:rsid w:val="005F2E39"/>
    <w:rsid w:val="005F2F36"/>
    <w:rsid w:val="005F2F77"/>
    <w:rsid w:val="005F2FBE"/>
    <w:rsid w:val="005F30BD"/>
    <w:rsid w:val="005F3246"/>
    <w:rsid w:val="005F329D"/>
    <w:rsid w:val="005F32C3"/>
    <w:rsid w:val="005F33A2"/>
    <w:rsid w:val="005F3439"/>
    <w:rsid w:val="005F3456"/>
    <w:rsid w:val="005F34F2"/>
    <w:rsid w:val="005F3597"/>
    <w:rsid w:val="005F35F1"/>
    <w:rsid w:val="005F3629"/>
    <w:rsid w:val="005F3640"/>
    <w:rsid w:val="005F36F6"/>
    <w:rsid w:val="005F387D"/>
    <w:rsid w:val="005F3919"/>
    <w:rsid w:val="005F39F8"/>
    <w:rsid w:val="005F3CF1"/>
    <w:rsid w:val="005F3D06"/>
    <w:rsid w:val="005F3D3C"/>
    <w:rsid w:val="005F3D6A"/>
    <w:rsid w:val="005F3E43"/>
    <w:rsid w:val="005F3E63"/>
    <w:rsid w:val="005F3E9C"/>
    <w:rsid w:val="005F3F99"/>
    <w:rsid w:val="005F4161"/>
    <w:rsid w:val="005F4200"/>
    <w:rsid w:val="005F4405"/>
    <w:rsid w:val="005F4420"/>
    <w:rsid w:val="005F4768"/>
    <w:rsid w:val="005F4812"/>
    <w:rsid w:val="005F48AE"/>
    <w:rsid w:val="005F4956"/>
    <w:rsid w:val="005F4987"/>
    <w:rsid w:val="005F49F8"/>
    <w:rsid w:val="005F4A87"/>
    <w:rsid w:val="005F4B22"/>
    <w:rsid w:val="005F4B8C"/>
    <w:rsid w:val="005F4C03"/>
    <w:rsid w:val="005F4D6D"/>
    <w:rsid w:val="005F4DC4"/>
    <w:rsid w:val="005F4E03"/>
    <w:rsid w:val="005F4ECE"/>
    <w:rsid w:val="005F4F51"/>
    <w:rsid w:val="005F509D"/>
    <w:rsid w:val="005F50B1"/>
    <w:rsid w:val="005F53F0"/>
    <w:rsid w:val="005F5455"/>
    <w:rsid w:val="005F5457"/>
    <w:rsid w:val="005F548A"/>
    <w:rsid w:val="005F54A9"/>
    <w:rsid w:val="005F54CC"/>
    <w:rsid w:val="005F551F"/>
    <w:rsid w:val="005F557B"/>
    <w:rsid w:val="005F55E4"/>
    <w:rsid w:val="005F55FD"/>
    <w:rsid w:val="005F5678"/>
    <w:rsid w:val="005F56AF"/>
    <w:rsid w:val="005F57C3"/>
    <w:rsid w:val="005F5863"/>
    <w:rsid w:val="005F587C"/>
    <w:rsid w:val="005F5902"/>
    <w:rsid w:val="005F5941"/>
    <w:rsid w:val="005F59AA"/>
    <w:rsid w:val="005F59F9"/>
    <w:rsid w:val="005F5A23"/>
    <w:rsid w:val="005F5B51"/>
    <w:rsid w:val="005F5B52"/>
    <w:rsid w:val="005F5BE1"/>
    <w:rsid w:val="005F5D2F"/>
    <w:rsid w:val="005F5D6A"/>
    <w:rsid w:val="005F5D70"/>
    <w:rsid w:val="005F5DD2"/>
    <w:rsid w:val="005F5E31"/>
    <w:rsid w:val="005F5EF2"/>
    <w:rsid w:val="005F5FDA"/>
    <w:rsid w:val="005F6058"/>
    <w:rsid w:val="005F60BA"/>
    <w:rsid w:val="005F60DD"/>
    <w:rsid w:val="005F612F"/>
    <w:rsid w:val="005F61EB"/>
    <w:rsid w:val="005F623D"/>
    <w:rsid w:val="005F6310"/>
    <w:rsid w:val="005F63A0"/>
    <w:rsid w:val="005F643D"/>
    <w:rsid w:val="005F64A9"/>
    <w:rsid w:val="005F6634"/>
    <w:rsid w:val="005F6654"/>
    <w:rsid w:val="005F66B1"/>
    <w:rsid w:val="005F6820"/>
    <w:rsid w:val="005F686D"/>
    <w:rsid w:val="005F688B"/>
    <w:rsid w:val="005F6A3C"/>
    <w:rsid w:val="005F6ABE"/>
    <w:rsid w:val="005F6AC8"/>
    <w:rsid w:val="005F6B16"/>
    <w:rsid w:val="005F6C90"/>
    <w:rsid w:val="005F6CFB"/>
    <w:rsid w:val="005F6E1D"/>
    <w:rsid w:val="005F6EFD"/>
    <w:rsid w:val="005F6F33"/>
    <w:rsid w:val="005F7044"/>
    <w:rsid w:val="005F7070"/>
    <w:rsid w:val="005F7203"/>
    <w:rsid w:val="005F7227"/>
    <w:rsid w:val="005F728B"/>
    <w:rsid w:val="005F72DA"/>
    <w:rsid w:val="005F7365"/>
    <w:rsid w:val="005F73BC"/>
    <w:rsid w:val="005F74F8"/>
    <w:rsid w:val="005F75BE"/>
    <w:rsid w:val="005F7661"/>
    <w:rsid w:val="005F76F8"/>
    <w:rsid w:val="005F7754"/>
    <w:rsid w:val="005F7845"/>
    <w:rsid w:val="005F7BDB"/>
    <w:rsid w:val="005F7C4F"/>
    <w:rsid w:val="005F7C98"/>
    <w:rsid w:val="005F7CC7"/>
    <w:rsid w:val="005F7E0A"/>
    <w:rsid w:val="005F7E4E"/>
    <w:rsid w:val="005F7FC4"/>
    <w:rsid w:val="00600052"/>
    <w:rsid w:val="006000AA"/>
    <w:rsid w:val="006000BD"/>
    <w:rsid w:val="00600145"/>
    <w:rsid w:val="00600164"/>
    <w:rsid w:val="00600175"/>
    <w:rsid w:val="0060017D"/>
    <w:rsid w:val="006001D7"/>
    <w:rsid w:val="0060025D"/>
    <w:rsid w:val="00600262"/>
    <w:rsid w:val="006004B7"/>
    <w:rsid w:val="0060058B"/>
    <w:rsid w:val="00600636"/>
    <w:rsid w:val="0060068B"/>
    <w:rsid w:val="0060078C"/>
    <w:rsid w:val="0060080F"/>
    <w:rsid w:val="006008D2"/>
    <w:rsid w:val="006008D6"/>
    <w:rsid w:val="006009B0"/>
    <w:rsid w:val="006009D1"/>
    <w:rsid w:val="00600A47"/>
    <w:rsid w:val="00600B10"/>
    <w:rsid w:val="00600B44"/>
    <w:rsid w:val="00600CA0"/>
    <w:rsid w:val="00600CFD"/>
    <w:rsid w:val="00600D8C"/>
    <w:rsid w:val="00600DBC"/>
    <w:rsid w:val="00600E1E"/>
    <w:rsid w:val="00600E46"/>
    <w:rsid w:val="00600E8A"/>
    <w:rsid w:val="00600ED3"/>
    <w:rsid w:val="006010C8"/>
    <w:rsid w:val="006010DE"/>
    <w:rsid w:val="00601160"/>
    <w:rsid w:val="00601180"/>
    <w:rsid w:val="00601333"/>
    <w:rsid w:val="0060135F"/>
    <w:rsid w:val="00601484"/>
    <w:rsid w:val="006014A2"/>
    <w:rsid w:val="00601760"/>
    <w:rsid w:val="0060192A"/>
    <w:rsid w:val="006019D1"/>
    <w:rsid w:val="00601A67"/>
    <w:rsid w:val="00601C7D"/>
    <w:rsid w:val="00601C97"/>
    <w:rsid w:val="00601E2A"/>
    <w:rsid w:val="00601E35"/>
    <w:rsid w:val="00602040"/>
    <w:rsid w:val="006023B2"/>
    <w:rsid w:val="006023C5"/>
    <w:rsid w:val="006023EF"/>
    <w:rsid w:val="0060256E"/>
    <w:rsid w:val="006025A3"/>
    <w:rsid w:val="0060264F"/>
    <w:rsid w:val="00602661"/>
    <w:rsid w:val="0060269C"/>
    <w:rsid w:val="00602750"/>
    <w:rsid w:val="006027AA"/>
    <w:rsid w:val="006027B1"/>
    <w:rsid w:val="006028B9"/>
    <w:rsid w:val="00602910"/>
    <w:rsid w:val="00602932"/>
    <w:rsid w:val="0060293C"/>
    <w:rsid w:val="0060299F"/>
    <w:rsid w:val="00602A96"/>
    <w:rsid w:val="00602B06"/>
    <w:rsid w:val="00602C4F"/>
    <w:rsid w:val="00602D42"/>
    <w:rsid w:val="00602DCE"/>
    <w:rsid w:val="00602DD5"/>
    <w:rsid w:val="00602E04"/>
    <w:rsid w:val="00602E18"/>
    <w:rsid w:val="00602E37"/>
    <w:rsid w:val="00602E40"/>
    <w:rsid w:val="00602E98"/>
    <w:rsid w:val="00602E9B"/>
    <w:rsid w:val="0060303D"/>
    <w:rsid w:val="00603072"/>
    <w:rsid w:val="00603187"/>
    <w:rsid w:val="0060318E"/>
    <w:rsid w:val="0060329E"/>
    <w:rsid w:val="006033AD"/>
    <w:rsid w:val="006033DC"/>
    <w:rsid w:val="00603526"/>
    <w:rsid w:val="00603572"/>
    <w:rsid w:val="006037BF"/>
    <w:rsid w:val="006037DD"/>
    <w:rsid w:val="00603863"/>
    <w:rsid w:val="00603899"/>
    <w:rsid w:val="0060395F"/>
    <w:rsid w:val="006039C2"/>
    <w:rsid w:val="00603A6A"/>
    <w:rsid w:val="00603ACA"/>
    <w:rsid w:val="00603BEE"/>
    <w:rsid w:val="00603DB2"/>
    <w:rsid w:val="00603DCD"/>
    <w:rsid w:val="00603DF8"/>
    <w:rsid w:val="00603E0C"/>
    <w:rsid w:val="00603F5D"/>
    <w:rsid w:val="00603FC0"/>
    <w:rsid w:val="00603FCC"/>
    <w:rsid w:val="0060401D"/>
    <w:rsid w:val="00604115"/>
    <w:rsid w:val="00604336"/>
    <w:rsid w:val="0060437C"/>
    <w:rsid w:val="006043DE"/>
    <w:rsid w:val="00604409"/>
    <w:rsid w:val="00604449"/>
    <w:rsid w:val="00604456"/>
    <w:rsid w:val="006045FC"/>
    <w:rsid w:val="00604677"/>
    <w:rsid w:val="006046EC"/>
    <w:rsid w:val="00604702"/>
    <w:rsid w:val="0060484E"/>
    <w:rsid w:val="00604872"/>
    <w:rsid w:val="00604979"/>
    <w:rsid w:val="00604A83"/>
    <w:rsid w:val="00604B6A"/>
    <w:rsid w:val="00604BC2"/>
    <w:rsid w:val="00604D79"/>
    <w:rsid w:val="00604DEA"/>
    <w:rsid w:val="0060502F"/>
    <w:rsid w:val="00605156"/>
    <w:rsid w:val="00605201"/>
    <w:rsid w:val="006052EC"/>
    <w:rsid w:val="00605410"/>
    <w:rsid w:val="006054BD"/>
    <w:rsid w:val="0060566A"/>
    <w:rsid w:val="006058EE"/>
    <w:rsid w:val="0060593B"/>
    <w:rsid w:val="0060594D"/>
    <w:rsid w:val="00605951"/>
    <w:rsid w:val="006059FD"/>
    <w:rsid w:val="00605A7F"/>
    <w:rsid w:val="00605BB3"/>
    <w:rsid w:val="00605BCE"/>
    <w:rsid w:val="00605CD3"/>
    <w:rsid w:val="00605CF4"/>
    <w:rsid w:val="00605D20"/>
    <w:rsid w:val="00605E5C"/>
    <w:rsid w:val="00605E9D"/>
    <w:rsid w:val="006061DA"/>
    <w:rsid w:val="006063BE"/>
    <w:rsid w:val="00606562"/>
    <w:rsid w:val="0060657F"/>
    <w:rsid w:val="006065BE"/>
    <w:rsid w:val="006065D2"/>
    <w:rsid w:val="0060671B"/>
    <w:rsid w:val="0060679D"/>
    <w:rsid w:val="00606854"/>
    <w:rsid w:val="00606922"/>
    <w:rsid w:val="0060693F"/>
    <w:rsid w:val="00606941"/>
    <w:rsid w:val="00606A8D"/>
    <w:rsid w:val="00606B22"/>
    <w:rsid w:val="00606B71"/>
    <w:rsid w:val="00606BA7"/>
    <w:rsid w:val="00606C14"/>
    <w:rsid w:val="00606C8B"/>
    <w:rsid w:val="00606CFE"/>
    <w:rsid w:val="00606D8F"/>
    <w:rsid w:val="00606EAD"/>
    <w:rsid w:val="00606F28"/>
    <w:rsid w:val="00606F7F"/>
    <w:rsid w:val="00606FF1"/>
    <w:rsid w:val="0060714A"/>
    <w:rsid w:val="0060717E"/>
    <w:rsid w:val="0060720D"/>
    <w:rsid w:val="00607225"/>
    <w:rsid w:val="006072D5"/>
    <w:rsid w:val="0060739A"/>
    <w:rsid w:val="0060740E"/>
    <w:rsid w:val="006074FE"/>
    <w:rsid w:val="00607546"/>
    <w:rsid w:val="00607712"/>
    <w:rsid w:val="00607741"/>
    <w:rsid w:val="00607819"/>
    <w:rsid w:val="00607830"/>
    <w:rsid w:val="00607865"/>
    <w:rsid w:val="006078E0"/>
    <w:rsid w:val="006078F2"/>
    <w:rsid w:val="006079C2"/>
    <w:rsid w:val="006079C3"/>
    <w:rsid w:val="006079DE"/>
    <w:rsid w:val="00607A48"/>
    <w:rsid w:val="00607A78"/>
    <w:rsid w:val="00607CAE"/>
    <w:rsid w:val="00607D64"/>
    <w:rsid w:val="00607DDA"/>
    <w:rsid w:val="00607DFF"/>
    <w:rsid w:val="00607E00"/>
    <w:rsid w:val="00607E62"/>
    <w:rsid w:val="00607F3E"/>
    <w:rsid w:val="0061001C"/>
    <w:rsid w:val="00610124"/>
    <w:rsid w:val="0061013A"/>
    <w:rsid w:val="0061019A"/>
    <w:rsid w:val="0061020D"/>
    <w:rsid w:val="00610232"/>
    <w:rsid w:val="0061033F"/>
    <w:rsid w:val="00610348"/>
    <w:rsid w:val="00610510"/>
    <w:rsid w:val="006106D3"/>
    <w:rsid w:val="006107DA"/>
    <w:rsid w:val="006108AC"/>
    <w:rsid w:val="00610907"/>
    <w:rsid w:val="006109AB"/>
    <w:rsid w:val="00610A40"/>
    <w:rsid w:val="00610A78"/>
    <w:rsid w:val="00610BD2"/>
    <w:rsid w:val="00610C2F"/>
    <w:rsid w:val="00610C7F"/>
    <w:rsid w:val="00610CDC"/>
    <w:rsid w:val="00610CF0"/>
    <w:rsid w:val="00610DCE"/>
    <w:rsid w:val="00610F2A"/>
    <w:rsid w:val="00611003"/>
    <w:rsid w:val="00611026"/>
    <w:rsid w:val="00611046"/>
    <w:rsid w:val="00611119"/>
    <w:rsid w:val="00611138"/>
    <w:rsid w:val="0061113C"/>
    <w:rsid w:val="006111E7"/>
    <w:rsid w:val="0061123E"/>
    <w:rsid w:val="0061131E"/>
    <w:rsid w:val="0061137F"/>
    <w:rsid w:val="0061150A"/>
    <w:rsid w:val="00611549"/>
    <w:rsid w:val="006116A0"/>
    <w:rsid w:val="00611880"/>
    <w:rsid w:val="00611A2A"/>
    <w:rsid w:val="00611D9B"/>
    <w:rsid w:val="00611DA5"/>
    <w:rsid w:val="00611DAA"/>
    <w:rsid w:val="00611DF3"/>
    <w:rsid w:val="00611EA6"/>
    <w:rsid w:val="00612107"/>
    <w:rsid w:val="00612316"/>
    <w:rsid w:val="00612324"/>
    <w:rsid w:val="0061236C"/>
    <w:rsid w:val="006123D2"/>
    <w:rsid w:val="006123F6"/>
    <w:rsid w:val="006123FE"/>
    <w:rsid w:val="0061243B"/>
    <w:rsid w:val="006124AC"/>
    <w:rsid w:val="006125BD"/>
    <w:rsid w:val="0061263C"/>
    <w:rsid w:val="006126FA"/>
    <w:rsid w:val="0061274C"/>
    <w:rsid w:val="006127D4"/>
    <w:rsid w:val="00612854"/>
    <w:rsid w:val="006129BF"/>
    <w:rsid w:val="00612A8F"/>
    <w:rsid w:val="00612AE5"/>
    <w:rsid w:val="00612B13"/>
    <w:rsid w:val="00612DC7"/>
    <w:rsid w:val="00612E42"/>
    <w:rsid w:val="00612E4C"/>
    <w:rsid w:val="00612E64"/>
    <w:rsid w:val="00612EFD"/>
    <w:rsid w:val="00612F57"/>
    <w:rsid w:val="0061303A"/>
    <w:rsid w:val="006130B4"/>
    <w:rsid w:val="00613162"/>
    <w:rsid w:val="006131CB"/>
    <w:rsid w:val="0061323C"/>
    <w:rsid w:val="0061324E"/>
    <w:rsid w:val="00613281"/>
    <w:rsid w:val="006133A4"/>
    <w:rsid w:val="0061364D"/>
    <w:rsid w:val="0061365E"/>
    <w:rsid w:val="006137B5"/>
    <w:rsid w:val="006137FA"/>
    <w:rsid w:val="0061391C"/>
    <w:rsid w:val="00613945"/>
    <w:rsid w:val="0061399A"/>
    <w:rsid w:val="006139A4"/>
    <w:rsid w:val="006139B2"/>
    <w:rsid w:val="00613A1B"/>
    <w:rsid w:val="00613ABE"/>
    <w:rsid w:val="00613B65"/>
    <w:rsid w:val="00613B6E"/>
    <w:rsid w:val="00613D82"/>
    <w:rsid w:val="00613E65"/>
    <w:rsid w:val="006140A4"/>
    <w:rsid w:val="00614375"/>
    <w:rsid w:val="006143A9"/>
    <w:rsid w:val="00614459"/>
    <w:rsid w:val="0061445E"/>
    <w:rsid w:val="00614602"/>
    <w:rsid w:val="006146FA"/>
    <w:rsid w:val="0061471B"/>
    <w:rsid w:val="0061472C"/>
    <w:rsid w:val="00614748"/>
    <w:rsid w:val="0061477E"/>
    <w:rsid w:val="00614A28"/>
    <w:rsid w:val="00614AAA"/>
    <w:rsid w:val="00614ACB"/>
    <w:rsid w:val="00614B06"/>
    <w:rsid w:val="00614B14"/>
    <w:rsid w:val="00614B95"/>
    <w:rsid w:val="00614C51"/>
    <w:rsid w:val="00614CD6"/>
    <w:rsid w:val="00614D35"/>
    <w:rsid w:val="00614E33"/>
    <w:rsid w:val="00614E4A"/>
    <w:rsid w:val="00614E9C"/>
    <w:rsid w:val="00614EE5"/>
    <w:rsid w:val="00614F14"/>
    <w:rsid w:val="00614F36"/>
    <w:rsid w:val="0061506D"/>
    <w:rsid w:val="006151C6"/>
    <w:rsid w:val="006151E0"/>
    <w:rsid w:val="0061525B"/>
    <w:rsid w:val="00615304"/>
    <w:rsid w:val="00615459"/>
    <w:rsid w:val="0061573C"/>
    <w:rsid w:val="00615887"/>
    <w:rsid w:val="00615A57"/>
    <w:rsid w:val="00615A6B"/>
    <w:rsid w:val="00615B77"/>
    <w:rsid w:val="00615B91"/>
    <w:rsid w:val="00615BD4"/>
    <w:rsid w:val="00615CF1"/>
    <w:rsid w:val="00615D29"/>
    <w:rsid w:val="00615D76"/>
    <w:rsid w:val="00615DA9"/>
    <w:rsid w:val="00615E26"/>
    <w:rsid w:val="00615F2F"/>
    <w:rsid w:val="00615FE1"/>
    <w:rsid w:val="00616049"/>
    <w:rsid w:val="006160EB"/>
    <w:rsid w:val="006161D9"/>
    <w:rsid w:val="00616286"/>
    <w:rsid w:val="006162F8"/>
    <w:rsid w:val="00616405"/>
    <w:rsid w:val="00616485"/>
    <w:rsid w:val="006164BE"/>
    <w:rsid w:val="006164F3"/>
    <w:rsid w:val="006165B7"/>
    <w:rsid w:val="0061661E"/>
    <w:rsid w:val="00616747"/>
    <w:rsid w:val="00616785"/>
    <w:rsid w:val="006167F5"/>
    <w:rsid w:val="00616812"/>
    <w:rsid w:val="00616816"/>
    <w:rsid w:val="0061698A"/>
    <w:rsid w:val="00616993"/>
    <w:rsid w:val="00616A15"/>
    <w:rsid w:val="00616BB7"/>
    <w:rsid w:val="00616C28"/>
    <w:rsid w:val="00616CF5"/>
    <w:rsid w:val="00616D5C"/>
    <w:rsid w:val="00616DE1"/>
    <w:rsid w:val="00616E0D"/>
    <w:rsid w:val="00616EDE"/>
    <w:rsid w:val="006170B3"/>
    <w:rsid w:val="00617163"/>
    <w:rsid w:val="006171C9"/>
    <w:rsid w:val="00617318"/>
    <w:rsid w:val="0061740E"/>
    <w:rsid w:val="00617418"/>
    <w:rsid w:val="00617431"/>
    <w:rsid w:val="00617449"/>
    <w:rsid w:val="0061744C"/>
    <w:rsid w:val="00617473"/>
    <w:rsid w:val="006174AC"/>
    <w:rsid w:val="00617653"/>
    <w:rsid w:val="0061766F"/>
    <w:rsid w:val="0061768B"/>
    <w:rsid w:val="006176B8"/>
    <w:rsid w:val="0061779D"/>
    <w:rsid w:val="006177CC"/>
    <w:rsid w:val="0061780A"/>
    <w:rsid w:val="006178A1"/>
    <w:rsid w:val="006179A4"/>
    <w:rsid w:val="00617BC3"/>
    <w:rsid w:val="00617CF0"/>
    <w:rsid w:val="00617D2B"/>
    <w:rsid w:val="00617E7E"/>
    <w:rsid w:val="00617F7B"/>
    <w:rsid w:val="006200B8"/>
    <w:rsid w:val="00620119"/>
    <w:rsid w:val="0062013D"/>
    <w:rsid w:val="00620164"/>
    <w:rsid w:val="006201C2"/>
    <w:rsid w:val="006202AF"/>
    <w:rsid w:val="006202E4"/>
    <w:rsid w:val="006202F9"/>
    <w:rsid w:val="00620305"/>
    <w:rsid w:val="006203E4"/>
    <w:rsid w:val="0062050A"/>
    <w:rsid w:val="0062052B"/>
    <w:rsid w:val="006205A3"/>
    <w:rsid w:val="006205F0"/>
    <w:rsid w:val="00620684"/>
    <w:rsid w:val="0062069D"/>
    <w:rsid w:val="00620787"/>
    <w:rsid w:val="006207C1"/>
    <w:rsid w:val="006207F9"/>
    <w:rsid w:val="006208C9"/>
    <w:rsid w:val="006208D6"/>
    <w:rsid w:val="00620977"/>
    <w:rsid w:val="006209F9"/>
    <w:rsid w:val="00620BBC"/>
    <w:rsid w:val="00620C40"/>
    <w:rsid w:val="00620C57"/>
    <w:rsid w:val="00620CF8"/>
    <w:rsid w:val="00620E66"/>
    <w:rsid w:val="00620F0C"/>
    <w:rsid w:val="00620FC7"/>
    <w:rsid w:val="0062104B"/>
    <w:rsid w:val="006210E1"/>
    <w:rsid w:val="0062115E"/>
    <w:rsid w:val="00621218"/>
    <w:rsid w:val="006212CC"/>
    <w:rsid w:val="006212DC"/>
    <w:rsid w:val="0062138B"/>
    <w:rsid w:val="00621398"/>
    <w:rsid w:val="006213B5"/>
    <w:rsid w:val="006213C0"/>
    <w:rsid w:val="00621400"/>
    <w:rsid w:val="00621405"/>
    <w:rsid w:val="0062151F"/>
    <w:rsid w:val="006215F2"/>
    <w:rsid w:val="00621751"/>
    <w:rsid w:val="00621780"/>
    <w:rsid w:val="006217A9"/>
    <w:rsid w:val="006217DB"/>
    <w:rsid w:val="00621828"/>
    <w:rsid w:val="00621874"/>
    <w:rsid w:val="006218A4"/>
    <w:rsid w:val="00621B87"/>
    <w:rsid w:val="00621B96"/>
    <w:rsid w:val="00621BC4"/>
    <w:rsid w:val="00621BCA"/>
    <w:rsid w:val="00621BDE"/>
    <w:rsid w:val="00621C2F"/>
    <w:rsid w:val="00621CA6"/>
    <w:rsid w:val="00621F97"/>
    <w:rsid w:val="0062207D"/>
    <w:rsid w:val="006220B5"/>
    <w:rsid w:val="006220FA"/>
    <w:rsid w:val="0062210B"/>
    <w:rsid w:val="006221C3"/>
    <w:rsid w:val="0062224B"/>
    <w:rsid w:val="0062233D"/>
    <w:rsid w:val="006224B0"/>
    <w:rsid w:val="0062258A"/>
    <w:rsid w:val="0062278A"/>
    <w:rsid w:val="00622870"/>
    <w:rsid w:val="006229D9"/>
    <w:rsid w:val="006229EB"/>
    <w:rsid w:val="00622A3A"/>
    <w:rsid w:val="00622B78"/>
    <w:rsid w:val="00622B97"/>
    <w:rsid w:val="00622C77"/>
    <w:rsid w:val="00622CCF"/>
    <w:rsid w:val="00622CDF"/>
    <w:rsid w:val="00622D0B"/>
    <w:rsid w:val="00622DB3"/>
    <w:rsid w:val="00622FDD"/>
    <w:rsid w:val="0062301A"/>
    <w:rsid w:val="006231B6"/>
    <w:rsid w:val="00623274"/>
    <w:rsid w:val="006232D0"/>
    <w:rsid w:val="006232DB"/>
    <w:rsid w:val="006232FB"/>
    <w:rsid w:val="00623350"/>
    <w:rsid w:val="0062357A"/>
    <w:rsid w:val="00623606"/>
    <w:rsid w:val="006236F4"/>
    <w:rsid w:val="00623773"/>
    <w:rsid w:val="006238D5"/>
    <w:rsid w:val="00623A73"/>
    <w:rsid w:val="00623B0E"/>
    <w:rsid w:val="00623CF6"/>
    <w:rsid w:val="00623EAA"/>
    <w:rsid w:val="00623EDC"/>
    <w:rsid w:val="00623FAA"/>
    <w:rsid w:val="00624057"/>
    <w:rsid w:val="006240CC"/>
    <w:rsid w:val="006242FC"/>
    <w:rsid w:val="00624311"/>
    <w:rsid w:val="00624373"/>
    <w:rsid w:val="0062438A"/>
    <w:rsid w:val="00624403"/>
    <w:rsid w:val="006245D0"/>
    <w:rsid w:val="0062465E"/>
    <w:rsid w:val="006246B3"/>
    <w:rsid w:val="006247A9"/>
    <w:rsid w:val="00624858"/>
    <w:rsid w:val="0062488D"/>
    <w:rsid w:val="0062494A"/>
    <w:rsid w:val="006249EE"/>
    <w:rsid w:val="00624A2D"/>
    <w:rsid w:val="00624AA6"/>
    <w:rsid w:val="00624B14"/>
    <w:rsid w:val="00624B1C"/>
    <w:rsid w:val="00624BA8"/>
    <w:rsid w:val="00624C62"/>
    <w:rsid w:val="00624C8B"/>
    <w:rsid w:val="00624C96"/>
    <w:rsid w:val="00624D6F"/>
    <w:rsid w:val="00624D75"/>
    <w:rsid w:val="00624DC1"/>
    <w:rsid w:val="00624E5B"/>
    <w:rsid w:val="00624E9E"/>
    <w:rsid w:val="00625022"/>
    <w:rsid w:val="00625057"/>
    <w:rsid w:val="006250BD"/>
    <w:rsid w:val="006252EE"/>
    <w:rsid w:val="00625390"/>
    <w:rsid w:val="00625529"/>
    <w:rsid w:val="0062555A"/>
    <w:rsid w:val="006257F4"/>
    <w:rsid w:val="00625937"/>
    <w:rsid w:val="00625A8A"/>
    <w:rsid w:val="00625BEE"/>
    <w:rsid w:val="00625CA3"/>
    <w:rsid w:val="00625DB5"/>
    <w:rsid w:val="00625DC7"/>
    <w:rsid w:val="00625DE7"/>
    <w:rsid w:val="00625DF6"/>
    <w:rsid w:val="00625EB5"/>
    <w:rsid w:val="00625ED3"/>
    <w:rsid w:val="00625EFD"/>
    <w:rsid w:val="00625FAC"/>
    <w:rsid w:val="0062600E"/>
    <w:rsid w:val="00626113"/>
    <w:rsid w:val="00626124"/>
    <w:rsid w:val="0062618C"/>
    <w:rsid w:val="006261BB"/>
    <w:rsid w:val="0062622C"/>
    <w:rsid w:val="00626274"/>
    <w:rsid w:val="0062627E"/>
    <w:rsid w:val="0062638D"/>
    <w:rsid w:val="006264A0"/>
    <w:rsid w:val="006264A8"/>
    <w:rsid w:val="00626531"/>
    <w:rsid w:val="00626645"/>
    <w:rsid w:val="00626686"/>
    <w:rsid w:val="006266FA"/>
    <w:rsid w:val="00626724"/>
    <w:rsid w:val="0062672C"/>
    <w:rsid w:val="00626749"/>
    <w:rsid w:val="006267E7"/>
    <w:rsid w:val="00626803"/>
    <w:rsid w:val="00626A6E"/>
    <w:rsid w:val="00626ABA"/>
    <w:rsid w:val="00626ACB"/>
    <w:rsid w:val="00626BD7"/>
    <w:rsid w:val="00626CA3"/>
    <w:rsid w:val="00626CC6"/>
    <w:rsid w:val="00626DAE"/>
    <w:rsid w:val="00626E1A"/>
    <w:rsid w:val="0062705E"/>
    <w:rsid w:val="00627174"/>
    <w:rsid w:val="006271B0"/>
    <w:rsid w:val="006271E4"/>
    <w:rsid w:val="006272BA"/>
    <w:rsid w:val="006272D3"/>
    <w:rsid w:val="00627421"/>
    <w:rsid w:val="00627452"/>
    <w:rsid w:val="00627571"/>
    <w:rsid w:val="006275B8"/>
    <w:rsid w:val="0062773F"/>
    <w:rsid w:val="00627786"/>
    <w:rsid w:val="0062783B"/>
    <w:rsid w:val="00627872"/>
    <w:rsid w:val="00627880"/>
    <w:rsid w:val="0062788A"/>
    <w:rsid w:val="006278AF"/>
    <w:rsid w:val="00627909"/>
    <w:rsid w:val="00627927"/>
    <w:rsid w:val="00627B44"/>
    <w:rsid w:val="00627C07"/>
    <w:rsid w:val="00627C79"/>
    <w:rsid w:val="00627D48"/>
    <w:rsid w:val="00627E13"/>
    <w:rsid w:val="00627E32"/>
    <w:rsid w:val="00627F13"/>
    <w:rsid w:val="00627FCF"/>
    <w:rsid w:val="006303B4"/>
    <w:rsid w:val="0063058F"/>
    <w:rsid w:val="0063064C"/>
    <w:rsid w:val="00630760"/>
    <w:rsid w:val="00630933"/>
    <w:rsid w:val="00630A17"/>
    <w:rsid w:val="00630AA1"/>
    <w:rsid w:val="00630CED"/>
    <w:rsid w:val="00630E0D"/>
    <w:rsid w:val="00630E23"/>
    <w:rsid w:val="00630F45"/>
    <w:rsid w:val="0063113D"/>
    <w:rsid w:val="006311E9"/>
    <w:rsid w:val="006312AD"/>
    <w:rsid w:val="006312B0"/>
    <w:rsid w:val="00631324"/>
    <w:rsid w:val="00631375"/>
    <w:rsid w:val="00631380"/>
    <w:rsid w:val="006313B1"/>
    <w:rsid w:val="00631454"/>
    <w:rsid w:val="006314D1"/>
    <w:rsid w:val="0063153B"/>
    <w:rsid w:val="0063153C"/>
    <w:rsid w:val="00631620"/>
    <w:rsid w:val="00631726"/>
    <w:rsid w:val="00631AD3"/>
    <w:rsid w:val="00631AF2"/>
    <w:rsid w:val="00631B04"/>
    <w:rsid w:val="00631B56"/>
    <w:rsid w:val="00631B70"/>
    <w:rsid w:val="00631B97"/>
    <w:rsid w:val="00631BA4"/>
    <w:rsid w:val="00631BF2"/>
    <w:rsid w:val="00631C89"/>
    <w:rsid w:val="00631D4B"/>
    <w:rsid w:val="00631F2C"/>
    <w:rsid w:val="00632208"/>
    <w:rsid w:val="0063222E"/>
    <w:rsid w:val="006322E7"/>
    <w:rsid w:val="0063236B"/>
    <w:rsid w:val="006325C3"/>
    <w:rsid w:val="00632625"/>
    <w:rsid w:val="00632640"/>
    <w:rsid w:val="006327FE"/>
    <w:rsid w:val="00632868"/>
    <w:rsid w:val="006328DD"/>
    <w:rsid w:val="00632944"/>
    <w:rsid w:val="006329F2"/>
    <w:rsid w:val="00632AF4"/>
    <w:rsid w:val="00632B63"/>
    <w:rsid w:val="00632BA5"/>
    <w:rsid w:val="00632C35"/>
    <w:rsid w:val="00632C5F"/>
    <w:rsid w:val="00632CCF"/>
    <w:rsid w:val="00632EFC"/>
    <w:rsid w:val="00632F16"/>
    <w:rsid w:val="0063306D"/>
    <w:rsid w:val="00633126"/>
    <w:rsid w:val="0063312B"/>
    <w:rsid w:val="00633137"/>
    <w:rsid w:val="006332CB"/>
    <w:rsid w:val="00633303"/>
    <w:rsid w:val="0063349A"/>
    <w:rsid w:val="006334E4"/>
    <w:rsid w:val="00633631"/>
    <w:rsid w:val="00633634"/>
    <w:rsid w:val="00633637"/>
    <w:rsid w:val="006336A1"/>
    <w:rsid w:val="006336EC"/>
    <w:rsid w:val="00633784"/>
    <w:rsid w:val="0063382B"/>
    <w:rsid w:val="0063382F"/>
    <w:rsid w:val="00633920"/>
    <w:rsid w:val="00633996"/>
    <w:rsid w:val="00633A01"/>
    <w:rsid w:val="00633C73"/>
    <w:rsid w:val="00633C78"/>
    <w:rsid w:val="00633D24"/>
    <w:rsid w:val="00634057"/>
    <w:rsid w:val="006340F1"/>
    <w:rsid w:val="006341A1"/>
    <w:rsid w:val="0063439D"/>
    <w:rsid w:val="006343A5"/>
    <w:rsid w:val="00634426"/>
    <w:rsid w:val="0063446E"/>
    <w:rsid w:val="00634503"/>
    <w:rsid w:val="0063454B"/>
    <w:rsid w:val="0063456B"/>
    <w:rsid w:val="0063457F"/>
    <w:rsid w:val="00634603"/>
    <w:rsid w:val="00634687"/>
    <w:rsid w:val="00634735"/>
    <w:rsid w:val="006347D1"/>
    <w:rsid w:val="006348A5"/>
    <w:rsid w:val="0063499F"/>
    <w:rsid w:val="00634A07"/>
    <w:rsid w:val="00634A3F"/>
    <w:rsid w:val="00634A53"/>
    <w:rsid w:val="00634B08"/>
    <w:rsid w:val="00634C7D"/>
    <w:rsid w:val="00634D9A"/>
    <w:rsid w:val="00634ECD"/>
    <w:rsid w:val="00634F65"/>
    <w:rsid w:val="0063507D"/>
    <w:rsid w:val="0063509F"/>
    <w:rsid w:val="006350DF"/>
    <w:rsid w:val="006351AD"/>
    <w:rsid w:val="006351C2"/>
    <w:rsid w:val="006351EC"/>
    <w:rsid w:val="006352EB"/>
    <w:rsid w:val="006353A8"/>
    <w:rsid w:val="006353FF"/>
    <w:rsid w:val="00635470"/>
    <w:rsid w:val="00635491"/>
    <w:rsid w:val="00635575"/>
    <w:rsid w:val="006355EB"/>
    <w:rsid w:val="00635613"/>
    <w:rsid w:val="0063564A"/>
    <w:rsid w:val="0063564D"/>
    <w:rsid w:val="006356D9"/>
    <w:rsid w:val="00635761"/>
    <w:rsid w:val="006357A3"/>
    <w:rsid w:val="006358BA"/>
    <w:rsid w:val="00635953"/>
    <w:rsid w:val="00635986"/>
    <w:rsid w:val="006359BE"/>
    <w:rsid w:val="00635A2A"/>
    <w:rsid w:val="00635A36"/>
    <w:rsid w:val="00635AC7"/>
    <w:rsid w:val="00635ADE"/>
    <w:rsid w:val="00635B4F"/>
    <w:rsid w:val="00635BA8"/>
    <w:rsid w:val="00635C6D"/>
    <w:rsid w:val="00635D76"/>
    <w:rsid w:val="00635DC9"/>
    <w:rsid w:val="00635F53"/>
    <w:rsid w:val="0063601C"/>
    <w:rsid w:val="00636165"/>
    <w:rsid w:val="00636213"/>
    <w:rsid w:val="00636221"/>
    <w:rsid w:val="00636284"/>
    <w:rsid w:val="0063636B"/>
    <w:rsid w:val="00636376"/>
    <w:rsid w:val="0063645E"/>
    <w:rsid w:val="006365C8"/>
    <w:rsid w:val="0063660B"/>
    <w:rsid w:val="006366E6"/>
    <w:rsid w:val="006367A9"/>
    <w:rsid w:val="00636946"/>
    <w:rsid w:val="006369FC"/>
    <w:rsid w:val="00636A33"/>
    <w:rsid w:val="00636A79"/>
    <w:rsid w:val="00636B43"/>
    <w:rsid w:val="00636B50"/>
    <w:rsid w:val="00636BBA"/>
    <w:rsid w:val="00636CB5"/>
    <w:rsid w:val="00636CED"/>
    <w:rsid w:val="00636D6B"/>
    <w:rsid w:val="00636FD0"/>
    <w:rsid w:val="00637028"/>
    <w:rsid w:val="0063703E"/>
    <w:rsid w:val="00637041"/>
    <w:rsid w:val="00637090"/>
    <w:rsid w:val="0063710A"/>
    <w:rsid w:val="0063727F"/>
    <w:rsid w:val="00637285"/>
    <w:rsid w:val="0063730E"/>
    <w:rsid w:val="00637337"/>
    <w:rsid w:val="006373C1"/>
    <w:rsid w:val="00637470"/>
    <w:rsid w:val="006374A0"/>
    <w:rsid w:val="00637513"/>
    <w:rsid w:val="00637575"/>
    <w:rsid w:val="0063765F"/>
    <w:rsid w:val="006376AE"/>
    <w:rsid w:val="00637746"/>
    <w:rsid w:val="006377A8"/>
    <w:rsid w:val="00637873"/>
    <w:rsid w:val="0063793F"/>
    <w:rsid w:val="00637A25"/>
    <w:rsid w:val="00637AA9"/>
    <w:rsid w:val="00637AB7"/>
    <w:rsid w:val="00637B86"/>
    <w:rsid w:val="00637BF0"/>
    <w:rsid w:val="00637C0A"/>
    <w:rsid w:val="00637C35"/>
    <w:rsid w:val="00637C50"/>
    <w:rsid w:val="00637D6E"/>
    <w:rsid w:val="00637ECC"/>
    <w:rsid w:val="00637FAD"/>
    <w:rsid w:val="0064005B"/>
    <w:rsid w:val="006400D7"/>
    <w:rsid w:val="006401E1"/>
    <w:rsid w:val="0064035F"/>
    <w:rsid w:val="006403FD"/>
    <w:rsid w:val="00640499"/>
    <w:rsid w:val="006404AB"/>
    <w:rsid w:val="00640509"/>
    <w:rsid w:val="006405B0"/>
    <w:rsid w:val="006406BA"/>
    <w:rsid w:val="00640725"/>
    <w:rsid w:val="0064074A"/>
    <w:rsid w:val="00640889"/>
    <w:rsid w:val="0064091D"/>
    <w:rsid w:val="00640938"/>
    <w:rsid w:val="00640984"/>
    <w:rsid w:val="006409B7"/>
    <w:rsid w:val="00640A21"/>
    <w:rsid w:val="00640A32"/>
    <w:rsid w:val="00640A6B"/>
    <w:rsid w:val="00640AB0"/>
    <w:rsid w:val="00640B61"/>
    <w:rsid w:val="00640BC5"/>
    <w:rsid w:val="00640D37"/>
    <w:rsid w:val="00640D46"/>
    <w:rsid w:val="00640E28"/>
    <w:rsid w:val="00640EEB"/>
    <w:rsid w:val="00640F11"/>
    <w:rsid w:val="00640F3E"/>
    <w:rsid w:val="00640F7D"/>
    <w:rsid w:val="00640FB9"/>
    <w:rsid w:val="00641075"/>
    <w:rsid w:val="006410A6"/>
    <w:rsid w:val="006410B5"/>
    <w:rsid w:val="006411DD"/>
    <w:rsid w:val="00641262"/>
    <w:rsid w:val="0064131D"/>
    <w:rsid w:val="00641336"/>
    <w:rsid w:val="00641387"/>
    <w:rsid w:val="006413A9"/>
    <w:rsid w:val="006413BF"/>
    <w:rsid w:val="00641462"/>
    <w:rsid w:val="006414CF"/>
    <w:rsid w:val="006415D3"/>
    <w:rsid w:val="0064161B"/>
    <w:rsid w:val="0064165E"/>
    <w:rsid w:val="00641755"/>
    <w:rsid w:val="006417C2"/>
    <w:rsid w:val="006417D7"/>
    <w:rsid w:val="006418B0"/>
    <w:rsid w:val="00641979"/>
    <w:rsid w:val="00641986"/>
    <w:rsid w:val="00641A71"/>
    <w:rsid w:val="00641ABC"/>
    <w:rsid w:val="00641AC0"/>
    <w:rsid w:val="00641AD8"/>
    <w:rsid w:val="00641AEA"/>
    <w:rsid w:val="00641B27"/>
    <w:rsid w:val="00641C66"/>
    <w:rsid w:val="00641C89"/>
    <w:rsid w:val="00641CCB"/>
    <w:rsid w:val="00641D1D"/>
    <w:rsid w:val="00641D64"/>
    <w:rsid w:val="00641E0E"/>
    <w:rsid w:val="00641EB6"/>
    <w:rsid w:val="00642081"/>
    <w:rsid w:val="006420FD"/>
    <w:rsid w:val="00642113"/>
    <w:rsid w:val="00642162"/>
    <w:rsid w:val="006422ED"/>
    <w:rsid w:val="00642478"/>
    <w:rsid w:val="0064248C"/>
    <w:rsid w:val="006424BC"/>
    <w:rsid w:val="00642524"/>
    <w:rsid w:val="006425BB"/>
    <w:rsid w:val="006425D8"/>
    <w:rsid w:val="0064262B"/>
    <w:rsid w:val="006429E3"/>
    <w:rsid w:val="00642B1E"/>
    <w:rsid w:val="00642B2A"/>
    <w:rsid w:val="00642B4B"/>
    <w:rsid w:val="00642BD2"/>
    <w:rsid w:val="00642C85"/>
    <w:rsid w:val="00642CE3"/>
    <w:rsid w:val="00642D21"/>
    <w:rsid w:val="00642F0F"/>
    <w:rsid w:val="00642F2F"/>
    <w:rsid w:val="00642FC3"/>
    <w:rsid w:val="00643060"/>
    <w:rsid w:val="006430DA"/>
    <w:rsid w:val="006432D1"/>
    <w:rsid w:val="00643373"/>
    <w:rsid w:val="006433D9"/>
    <w:rsid w:val="0064340B"/>
    <w:rsid w:val="006434C6"/>
    <w:rsid w:val="0064354F"/>
    <w:rsid w:val="006435E9"/>
    <w:rsid w:val="0064360A"/>
    <w:rsid w:val="006437BE"/>
    <w:rsid w:val="00643923"/>
    <w:rsid w:val="00643A1E"/>
    <w:rsid w:val="00643AD6"/>
    <w:rsid w:val="00643CE0"/>
    <w:rsid w:val="00643D1F"/>
    <w:rsid w:val="00643DF8"/>
    <w:rsid w:val="00643EC0"/>
    <w:rsid w:val="00643EEA"/>
    <w:rsid w:val="00643FC7"/>
    <w:rsid w:val="00644137"/>
    <w:rsid w:val="00644245"/>
    <w:rsid w:val="006442F3"/>
    <w:rsid w:val="0064435E"/>
    <w:rsid w:val="0064438C"/>
    <w:rsid w:val="00644449"/>
    <w:rsid w:val="00644455"/>
    <w:rsid w:val="00644567"/>
    <w:rsid w:val="0064465A"/>
    <w:rsid w:val="00644668"/>
    <w:rsid w:val="006447B2"/>
    <w:rsid w:val="006447B4"/>
    <w:rsid w:val="006447C5"/>
    <w:rsid w:val="00644A0E"/>
    <w:rsid w:val="00644B13"/>
    <w:rsid w:val="00644B14"/>
    <w:rsid w:val="00644BAB"/>
    <w:rsid w:val="00644C7B"/>
    <w:rsid w:val="00644C8C"/>
    <w:rsid w:val="00644F1B"/>
    <w:rsid w:val="00644F9F"/>
    <w:rsid w:val="00645097"/>
    <w:rsid w:val="006451CB"/>
    <w:rsid w:val="006452DA"/>
    <w:rsid w:val="006453E1"/>
    <w:rsid w:val="006453EA"/>
    <w:rsid w:val="006453F9"/>
    <w:rsid w:val="00645425"/>
    <w:rsid w:val="006455E7"/>
    <w:rsid w:val="00645633"/>
    <w:rsid w:val="006456CD"/>
    <w:rsid w:val="0064573E"/>
    <w:rsid w:val="00645964"/>
    <w:rsid w:val="00645A26"/>
    <w:rsid w:val="00645B36"/>
    <w:rsid w:val="00645B53"/>
    <w:rsid w:val="00645BB5"/>
    <w:rsid w:val="00645BB9"/>
    <w:rsid w:val="00645C30"/>
    <w:rsid w:val="00645C36"/>
    <w:rsid w:val="00645D5A"/>
    <w:rsid w:val="00645D92"/>
    <w:rsid w:val="00645DD6"/>
    <w:rsid w:val="00645E69"/>
    <w:rsid w:val="00645EE9"/>
    <w:rsid w:val="00645F3E"/>
    <w:rsid w:val="00645FF7"/>
    <w:rsid w:val="0064602C"/>
    <w:rsid w:val="0064603B"/>
    <w:rsid w:val="00646056"/>
    <w:rsid w:val="006460A0"/>
    <w:rsid w:val="006460BE"/>
    <w:rsid w:val="00646424"/>
    <w:rsid w:val="00646651"/>
    <w:rsid w:val="00646655"/>
    <w:rsid w:val="00646888"/>
    <w:rsid w:val="00646A21"/>
    <w:rsid w:val="00646A3D"/>
    <w:rsid w:val="00646A41"/>
    <w:rsid w:val="00646A95"/>
    <w:rsid w:val="00646ABB"/>
    <w:rsid w:val="00646BD9"/>
    <w:rsid w:val="00646BE2"/>
    <w:rsid w:val="00646BE8"/>
    <w:rsid w:val="00646BF9"/>
    <w:rsid w:val="00646C43"/>
    <w:rsid w:val="00646C5A"/>
    <w:rsid w:val="00646C5F"/>
    <w:rsid w:val="00646D2B"/>
    <w:rsid w:val="00646E24"/>
    <w:rsid w:val="00646EAB"/>
    <w:rsid w:val="006470A6"/>
    <w:rsid w:val="00647218"/>
    <w:rsid w:val="0064721E"/>
    <w:rsid w:val="00647284"/>
    <w:rsid w:val="006473F3"/>
    <w:rsid w:val="006473F6"/>
    <w:rsid w:val="00647430"/>
    <w:rsid w:val="0064745D"/>
    <w:rsid w:val="0064752F"/>
    <w:rsid w:val="0064759A"/>
    <w:rsid w:val="006475B1"/>
    <w:rsid w:val="006475B8"/>
    <w:rsid w:val="006475EA"/>
    <w:rsid w:val="00647704"/>
    <w:rsid w:val="006477B3"/>
    <w:rsid w:val="0064786A"/>
    <w:rsid w:val="006479E7"/>
    <w:rsid w:val="00647A2E"/>
    <w:rsid w:val="00647B8B"/>
    <w:rsid w:val="00647C4D"/>
    <w:rsid w:val="00647C86"/>
    <w:rsid w:val="00647E34"/>
    <w:rsid w:val="00647F0D"/>
    <w:rsid w:val="00647F76"/>
    <w:rsid w:val="00647F7B"/>
    <w:rsid w:val="0065010B"/>
    <w:rsid w:val="00650211"/>
    <w:rsid w:val="006502EE"/>
    <w:rsid w:val="006503C9"/>
    <w:rsid w:val="006504B7"/>
    <w:rsid w:val="006504E0"/>
    <w:rsid w:val="00650508"/>
    <w:rsid w:val="00650532"/>
    <w:rsid w:val="006507C5"/>
    <w:rsid w:val="006507E8"/>
    <w:rsid w:val="0065085A"/>
    <w:rsid w:val="006508A9"/>
    <w:rsid w:val="006508BC"/>
    <w:rsid w:val="006508FB"/>
    <w:rsid w:val="00650910"/>
    <w:rsid w:val="0065091F"/>
    <w:rsid w:val="006509BF"/>
    <w:rsid w:val="00650B13"/>
    <w:rsid w:val="00650BA7"/>
    <w:rsid w:val="00650C8F"/>
    <w:rsid w:val="00650D15"/>
    <w:rsid w:val="00650E06"/>
    <w:rsid w:val="00650E16"/>
    <w:rsid w:val="00650E63"/>
    <w:rsid w:val="00650ED6"/>
    <w:rsid w:val="00650F04"/>
    <w:rsid w:val="00650FB2"/>
    <w:rsid w:val="00650FFD"/>
    <w:rsid w:val="00651029"/>
    <w:rsid w:val="0065108D"/>
    <w:rsid w:val="006510B0"/>
    <w:rsid w:val="0065116D"/>
    <w:rsid w:val="0065118B"/>
    <w:rsid w:val="00651285"/>
    <w:rsid w:val="006512CB"/>
    <w:rsid w:val="006512F1"/>
    <w:rsid w:val="00651456"/>
    <w:rsid w:val="0065150F"/>
    <w:rsid w:val="006515DD"/>
    <w:rsid w:val="00651640"/>
    <w:rsid w:val="0065166F"/>
    <w:rsid w:val="006516FF"/>
    <w:rsid w:val="00651756"/>
    <w:rsid w:val="00651A8C"/>
    <w:rsid w:val="00651AF1"/>
    <w:rsid w:val="00651BB9"/>
    <w:rsid w:val="00651CCD"/>
    <w:rsid w:val="00651DFB"/>
    <w:rsid w:val="00651E83"/>
    <w:rsid w:val="00651F13"/>
    <w:rsid w:val="00652094"/>
    <w:rsid w:val="0065209A"/>
    <w:rsid w:val="006520A4"/>
    <w:rsid w:val="0065219F"/>
    <w:rsid w:val="006523C8"/>
    <w:rsid w:val="00652483"/>
    <w:rsid w:val="006524CF"/>
    <w:rsid w:val="006526D3"/>
    <w:rsid w:val="00652779"/>
    <w:rsid w:val="00652836"/>
    <w:rsid w:val="0065293C"/>
    <w:rsid w:val="0065293F"/>
    <w:rsid w:val="00652AA2"/>
    <w:rsid w:val="00652B8E"/>
    <w:rsid w:val="00652C5A"/>
    <w:rsid w:val="00652CFF"/>
    <w:rsid w:val="00652DCC"/>
    <w:rsid w:val="00652E6C"/>
    <w:rsid w:val="00652E72"/>
    <w:rsid w:val="00652E88"/>
    <w:rsid w:val="00652ED4"/>
    <w:rsid w:val="00652F44"/>
    <w:rsid w:val="00652F5C"/>
    <w:rsid w:val="00653023"/>
    <w:rsid w:val="00653191"/>
    <w:rsid w:val="006531D4"/>
    <w:rsid w:val="006532CA"/>
    <w:rsid w:val="006533B5"/>
    <w:rsid w:val="0065357A"/>
    <w:rsid w:val="006535F7"/>
    <w:rsid w:val="006537C2"/>
    <w:rsid w:val="00653825"/>
    <w:rsid w:val="006538D7"/>
    <w:rsid w:val="006539F8"/>
    <w:rsid w:val="00653A1F"/>
    <w:rsid w:val="00653ADF"/>
    <w:rsid w:val="00653BA4"/>
    <w:rsid w:val="00653C21"/>
    <w:rsid w:val="00653C42"/>
    <w:rsid w:val="00653C89"/>
    <w:rsid w:val="00653D4B"/>
    <w:rsid w:val="00653E99"/>
    <w:rsid w:val="00654082"/>
    <w:rsid w:val="006540B4"/>
    <w:rsid w:val="0065412C"/>
    <w:rsid w:val="0065423A"/>
    <w:rsid w:val="00654294"/>
    <w:rsid w:val="006542CC"/>
    <w:rsid w:val="00654337"/>
    <w:rsid w:val="0065439B"/>
    <w:rsid w:val="006543E8"/>
    <w:rsid w:val="00654597"/>
    <w:rsid w:val="006545F1"/>
    <w:rsid w:val="00654683"/>
    <w:rsid w:val="006546B7"/>
    <w:rsid w:val="00654765"/>
    <w:rsid w:val="006548BC"/>
    <w:rsid w:val="00654A02"/>
    <w:rsid w:val="00654CEE"/>
    <w:rsid w:val="00654D68"/>
    <w:rsid w:val="00654DAF"/>
    <w:rsid w:val="00654E3D"/>
    <w:rsid w:val="00654E6B"/>
    <w:rsid w:val="0065503E"/>
    <w:rsid w:val="00655154"/>
    <w:rsid w:val="0065515C"/>
    <w:rsid w:val="0065520F"/>
    <w:rsid w:val="006552B6"/>
    <w:rsid w:val="00655408"/>
    <w:rsid w:val="00655458"/>
    <w:rsid w:val="006554F2"/>
    <w:rsid w:val="00655577"/>
    <w:rsid w:val="00655704"/>
    <w:rsid w:val="006559D4"/>
    <w:rsid w:val="00655A14"/>
    <w:rsid w:val="00655B17"/>
    <w:rsid w:val="00655D46"/>
    <w:rsid w:val="00655E0B"/>
    <w:rsid w:val="00655EB1"/>
    <w:rsid w:val="00655EB9"/>
    <w:rsid w:val="00655F44"/>
    <w:rsid w:val="0065605D"/>
    <w:rsid w:val="0065631D"/>
    <w:rsid w:val="00656391"/>
    <w:rsid w:val="006563C7"/>
    <w:rsid w:val="006563D2"/>
    <w:rsid w:val="006563D7"/>
    <w:rsid w:val="0065641A"/>
    <w:rsid w:val="00656498"/>
    <w:rsid w:val="006564B8"/>
    <w:rsid w:val="00656614"/>
    <w:rsid w:val="00656625"/>
    <w:rsid w:val="00656700"/>
    <w:rsid w:val="00656805"/>
    <w:rsid w:val="00656864"/>
    <w:rsid w:val="006568AF"/>
    <w:rsid w:val="0065693B"/>
    <w:rsid w:val="006569A5"/>
    <w:rsid w:val="00656B6D"/>
    <w:rsid w:val="00656D35"/>
    <w:rsid w:val="00656EF5"/>
    <w:rsid w:val="00656F2B"/>
    <w:rsid w:val="00656F32"/>
    <w:rsid w:val="00656F4C"/>
    <w:rsid w:val="00656FB2"/>
    <w:rsid w:val="00657021"/>
    <w:rsid w:val="00657158"/>
    <w:rsid w:val="006571D3"/>
    <w:rsid w:val="0065724B"/>
    <w:rsid w:val="006572F3"/>
    <w:rsid w:val="00657374"/>
    <w:rsid w:val="006573E9"/>
    <w:rsid w:val="006574D8"/>
    <w:rsid w:val="0065760C"/>
    <w:rsid w:val="006576BF"/>
    <w:rsid w:val="00657717"/>
    <w:rsid w:val="006577E2"/>
    <w:rsid w:val="00657878"/>
    <w:rsid w:val="006579F6"/>
    <w:rsid w:val="00657A6C"/>
    <w:rsid w:val="00657B72"/>
    <w:rsid w:val="00657BD5"/>
    <w:rsid w:val="00657C5E"/>
    <w:rsid w:val="00657DCE"/>
    <w:rsid w:val="00657DFD"/>
    <w:rsid w:val="00657EF9"/>
    <w:rsid w:val="00657F4D"/>
    <w:rsid w:val="00660123"/>
    <w:rsid w:val="00660165"/>
    <w:rsid w:val="006603B5"/>
    <w:rsid w:val="0066056C"/>
    <w:rsid w:val="006605DA"/>
    <w:rsid w:val="006606A0"/>
    <w:rsid w:val="00660715"/>
    <w:rsid w:val="00660744"/>
    <w:rsid w:val="006607F1"/>
    <w:rsid w:val="00660878"/>
    <w:rsid w:val="006609E7"/>
    <w:rsid w:val="006609F0"/>
    <w:rsid w:val="00660A3E"/>
    <w:rsid w:val="00660AAF"/>
    <w:rsid w:val="00660BC3"/>
    <w:rsid w:val="00660BFA"/>
    <w:rsid w:val="00660C41"/>
    <w:rsid w:val="00660CC0"/>
    <w:rsid w:val="00660D0A"/>
    <w:rsid w:val="00660D22"/>
    <w:rsid w:val="00660E5F"/>
    <w:rsid w:val="00660EF6"/>
    <w:rsid w:val="00660F17"/>
    <w:rsid w:val="00660F80"/>
    <w:rsid w:val="00660FAD"/>
    <w:rsid w:val="00661036"/>
    <w:rsid w:val="0066103F"/>
    <w:rsid w:val="00661174"/>
    <w:rsid w:val="006611CF"/>
    <w:rsid w:val="0066137D"/>
    <w:rsid w:val="006613F7"/>
    <w:rsid w:val="00661446"/>
    <w:rsid w:val="006614AD"/>
    <w:rsid w:val="0066150E"/>
    <w:rsid w:val="0066176F"/>
    <w:rsid w:val="006617E4"/>
    <w:rsid w:val="006617F8"/>
    <w:rsid w:val="00661854"/>
    <w:rsid w:val="0066189D"/>
    <w:rsid w:val="0066198A"/>
    <w:rsid w:val="006619BD"/>
    <w:rsid w:val="00661A63"/>
    <w:rsid w:val="00661AC7"/>
    <w:rsid w:val="00661ACD"/>
    <w:rsid w:val="00661B1F"/>
    <w:rsid w:val="00661B8A"/>
    <w:rsid w:val="00661B93"/>
    <w:rsid w:val="00661D51"/>
    <w:rsid w:val="0066200E"/>
    <w:rsid w:val="00662076"/>
    <w:rsid w:val="006620DF"/>
    <w:rsid w:val="00662181"/>
    <w:rsid w:val="00662284"/>
    <w:rsid w:val="00662362"/>
    <w:rsid w:val="00662519"/>
    <w:rsid w:val="0066251C"/>
    <w:rsid w:val="00662538"/>
    <w:rsid w:val="0066256F"/>
    <w:rsid w:val="00662588"/>
    <w:rsid w:val="006626CA"/>
    <w:rsid w:val="00662718"/>
    <w:rsid w:val="0066284C"/>
    <w:rsid w:val="006628A0"/>
    <w:rsid w:val="006628CE"/>
    <w:rsid w:val="006628EC"/>
    <w:rsid w:val="006629BA"/>
    <w:rsid w:val="00662B95"/>
    <w:rsid w:val="00662BC4"/>
    <w:rsid w:val="00662CAC"/>
    <w:rsid w:val="00662D08"/>
    <w:rsid w:val="00662D7A"/>
    <w:rsid w:val="00663054"/>
    <w:rsid w:val="00663167"/>
    <w:rsid w:val="00663346"/>
    <w:rsid w:val="0066334D"/>
    <w:rsid w:val="00663376"/>
    <w:rsid w:val="006633C0"/>
    <w:rsid w:val="006633CA"/>
    <w:rsid w:val="006633D9"/>
    <w:rsid w:val="006633E6"/>
    <w:rsid w:val="00663422"/>
    <w:rsid w:val="0066343B"/>
    <w:rsid w:val="0066359C"/>
    <w:rsid w:val="0066379F"/>
    <w:rsid w:val="0066384D"/>
    <w:rsid w:val="0066385A"/>
    <w:rsid w:val="00663887"/>
    <w:rsid w:val="0066393A"/>
    <w:rsid w:val="00663950"/>
    <w:rsid w:val="0066396A"/>
    <w:rsid w:val="00663A36"/>
    <w:rsid w:val="00663ABC"/>
    <w:rsid w:val="00663B2F"/>
    <w:rsid w:val="00663B9B"/>
    <w:rsid w:val="00663BB2"/>
    <w:rsid w:val="00663C6D"/>
    <w:rsid w:val="00663E97"/>
    <w:rsid w:val="00663EEC"/>
    <w:rsid w:val="006640B0"/>
    <w:rsid w:val="006640C9"/>
    <w:rsid w:val="0066414A"/>
    <w:rsid w:val="006641E0"/>
    <w:rsid w:val="00664216"/>
    <w:rsid w:val="006642C6"/>
    <w:rsid w:val="0066439C"/>
    <w:rsid w:val="006643AC"/>
    <w:rsid w:val="00664473"/>
    <w:rsid w:val="00664499"/>
    <w:rsid w:val="006644FF"/>
    <w:rsid w:val="00664587"/>
    <w:rsid w:val="006645AA"/>
    <w:rsid w:val="006646C0"/>
    <w:rsid w:val="00664709"/>
    <w:rsid w:val="00664776"/>
    <w:rsid w:val="006648CE"/>
    <w:rsid w:val="00664A37"/>
    <w:rsid w:val="00664A5E"/>
    <w:rsid w:val="00664BA4"/>
    <w:rsid w:val="00664CFB"/>
    <w:rsid w:val="00664D22"/>
    <w:rsid w:val="00664DE3"/>
    <w:rsid w:val="00664DE8"/>
    <w:rsid w:val="00664F2B"/>
    <w:rsid w:val="00664F61"/>
    <w:rsid w:val="00664F90"/>
    <w:rsid w:val="006650C5"/>
    <w:rsid w:val="006650FB"/>
    <w:rsid w:val="006651B6"/>
    <w:rsid w:val="0066527C"/>
    <w:rsid w:val="00665299"/>
    <w:rsid w:val="00665304"/>
    <w:rsid w:val="0066537D"/>
    <w:rsid w:val="0066538E"/>
    <w:rsid w:val="006653CB"/>
    <w:rsid w:val="00665402"/>
    <w:rsid w:val="00665411"/>
    <w:rsid w:val="00665449"/>
    <w:rsid w:val="00665534"/>
    <w:rsid w:val="0066568B"/>
    <w:rsid w:val="00665816"/>
    <w:rsid w:val="006659EB"/>
    <w:rsid w:val="006659FA"/>
    <w:rsid w:val="00665B2C"/>
    <w:rsid w:val="00665C25"/>
    <w:rsid w:val="00665CB7"/>
    <w:rsid w:val="00665CEB"/>
    <w:rsid w:val="00665D0A"/>
    <w:rsid w:val="00665EE1"/>
    <w:rsid w:val="00665EE7"/>
    <w:rsid w:val="00665EF5"/>
    <w:rsid w:val="00665FB7"/>
    <w:rsid w:val="00665FD4"/>
    <w:rsid w:val="00665FE1"/>
    <w:rsid w:val="00666013"/>
    <w:rsid w:val="00666043"/>
    <w:rsid w:val="006660F5"/>
    <w:rsid w:val="006661E4"/>
    <w:rsid w:val="006662B7"/>
    <w:rsid w:val="00666301"/>
    <w:rsid w:val="006663CF"/>
    <w:rsid w:val="006663F0"/>
    <w:rsid w:val="0066649A"/>
    <w:rsid w:val="006665D5"/>
    <w:rsid w:val="006666B1"/>
    <w:rsid w:val="0066679B"/>
    <w:rsid w:val="006667E5"/>
    <w:rsid w:val="006669B6"/>
    <w:rsid w:val="00666ADC"/>
    <w:rsid w:val="00666B4B"/>
    <w:rsid w:val="00666BE2"/>
    <w:rsid w:val="00666C04"/>
    <w:rsid w:val="00666E23"/>
    <w:rsid w:val="00666E39"/>
    <w:rsid w:val="00666E7E"/>
    <w:rsid w:val="00666EB0"/>
    <w:rsid w:val="0066732B"/>
    <w:rsid w:val="00667362"/>
    <w:rsid w:val="0066749E"/>
    <w:rsid w:val="006674F4"/>
    <w:rsid w:val="0066767F"/>
    <w:rsid w:val="006676AB"/>
    <w:rsid w:val="006676BA"/>
    <w:rsid w:val="00667733"/>
    <w:rsid w:val="006677C0"/>
    <w:rsid w:val="006677EA"/>
    <w:rsid w:val="0066787D"/>
    <w:rsid w:val="00667930"/>
    <w:rsid w:val="00667931"/>
    <w:rsid w:val="006679B8"/>
    <w:rsid w:val="006679F3"/>
    <w:rsid w:val="00667A20"/>
    <w:rsid w:val="00667ABE"/>
    <w:rsid w:val="00667B48"/>
    <w:rsid w:val="00667B6C"/>
    <w:rsid w:val="00667B70"/>
    <w:rsid w:val="00667C29"/>
    <w:rsid w:val="00667C7C"/>
    <w:rsid w:val="00667E6D"/>
    <w:rsid w:val="00667F1A"/>
    <w:rsid w:val="006700F3"/>
    <w:rsid w:val="00670169"/>
    <w:rsid w:val="0067018C"/>
    <w:rsid w:val="0067031D"/>
    <w:rsid w:val="00670331"/>
    <w:rsid w:val="00670347"/>
    <w:rsid w:val="00670477"/>
    <w:rsid w:val="0067048D"/>
    <w:rsid w:val="00670494"/>
    <w:rsid w:val="00670565"/>
    <w:rsid w:val="0067059A"/>
    <w:rsid w:val="0067064B"/>
    <w:rsid w:val="006706AE"/>
    <w:rsid w:val="00670776"/>
    <w:rsid w:val="006707DC"/>
    <w:rsid w:val="0067082C"/>
    <w:rsid w:val="006708E5"/>
    <w:rsid w:val="0067090E"/>
    <w:rsid w:val="00670ADE"/>
    <w:rsid w:val="00670BAF"/>
    <w:rsid w:val="00670E27"/>
    <w:rsid w:val="00670EEF"/>
    <w:rsid w:val="00670F7B"/>
    <w:rsid w:val="00670F7D"/>
    <w:rsid w:val="00671038"/>
    <w:rsid w:val="00671276"/>
    <w:rsid w:val="0067131E"/>
    <w:rsid w:val="00671428"/>
    <w:rsid w:val="006714A7"/>
    <w:rsid w:val="006714D0"/>
    <w:rsid w:val="006715C1"/>
    <w:rsid w:val="00671616"/>
    <w:rsid w:val="00671665"/>
    <w:rsid w:val="006716BB"/>
    <w:rsid w:val="006717B0"/>
    <w:rsid w:val="0067188F"/>
    <w:rsid w:val="006719B0"/>
    <w:rsid w:val="00671AD3"/>
    <w:rsid w:val="00671B9D"/>
    <w:rsid w:val="00671D14"/>
    <w:rsid w:val="0067203C"/>
    <w:rsid w:val="0067204A"/>
    <w:rsid w:val="0067206A"/>
    <w:rsid w:val="006720AA"/>
    <w:rsid w:val="006720D2"/>
    <w:rsid w:val="00672135"/>
    <w:rsid w:val="00672155"/>
    <w:rsid w:val="006721A5"/>
    <w:rsid w:val="006721C0"/>
    <w:rsid w:val="00672243"/>
    <w:rsid w:val="00672418"/>
    <w:rsid w:val="006724B6"/>
    <w:rsid w:val="006724D1"/>
    <w:rsid w:val="006724F0"/>
    <w:rsid w:val="006724F5"/>
    <w:rsid w:val="00672679"/>
    <w:rsid w:val="00672746"/>
    <w:rsid w:val="006727F3"/>
    <w:rsid w:val="00672B38"/>
    <w:rsid w:val="00672CA5"/>
    <w:rsid w:val="00672E91"/>
    <w:rsid w:val="006730F3"/>
    <w:rsid w:val="006730FA"/>
    <w:rsid w:val="0067311B"/>
    <w:rsid w:val="006731B3"/>
    <w:rsid w:val="00673237"/>
    <w:rsid w:val="00673342"/>
    <w:rsid w:val="00673385"/>
    <w:rsid w:val="00673387"/>
    <w:rsid w:val="00673481"/>
    <w:rsid w:val="006734B7"/>
    <w:rsid w:val="006734D5"/>
    <w:rsid w:val="006734E4"/>
    <w:rsid w:val="006734E8"/>
    <w:rsid w:val="0067351F"/>
    <w:rsid w:val="006737D5"/>
    <w:rsid w:val="006737EB"/>
    <w:rsid w:val="00673811"/>
    <w:rsid w:val="00673949"/>
    <w:rsid w:val="0067398B"/>
    <w:rsid w:val="006739F2"/>
    <w:rsid w:val="006739FC"/>
    <w:rsid w:val="00673A9A"/>
    <w:rsid w:val="00673AB1"/>
    <w:rsid w:val="00673B4F"/>
    <w:rsid w:val="00673C0F"/>
    <w:rsid w:val="00673C3B"/>
    <w:rsid w:val="00673C68"/>
    <w:rsid w:val="00674196"/>
    <w:rsid w:val="006741AB"/>
    <w:rsid w:val="006741D8"/>
    <w:rsid w:val="00674206"/>
    <w:rsid w:val="00674237"/>
    <w:rsid w:val="0067430A"/>
    <w:rsid w:val="00674315"/>
    <w:rsid w:val="006743AD"/>
    <w:rsid w:val="00674444"/>
    <w:rsid w:val="00674503"/>
    <w:rsid w:val="0067458A"/>
    <w:rsid w:val="006745AC"/>
    <w:rsid w:val="0067472D"/>
    <w:rsid w:val="006747F3"/>
    <w:rsid w:val="00674865"/>
    <w:rsid w:val="0067491B"/>
    <w:rsid w:val="00674B3A"/>
    <w:rsid w:val="00674BE2"/>
    <w:rsid w:val="00674C1A"/>
    <w:rsid w:val="00674CB2"/>
    <w:rsid w:val="00674CEA"/>
    <w:rsid w:val="00674D59"/>
    <w:rsid w:val="00674E37"/>
    <w:rsid w:val="006750A8"/>
    <w:rsid w:val="0067512A"/>
    <w:rsid w:val="00675134"/>
    <w:rsid w:val="00675206"/>
    <w:rsid w:val="006752CD"/>
    <w:rsid w:val="00675338"/>
    <w:rsid w:val="00675375"/>
    <w:rsid w:val="00675406"/>
    <w:rsid w:val="006754E7"/>
    <w:rsid w:val="00675526"/>
    <w:rsid w:val="0067552D"/>
    <w:rsid w:val="006755EC"/>
    <w:rsid w:val="006755F9"/>
    <w:rsid w:val="0067563C"/>
    <w:rsid w:val="0067577D"/>
    <w:rsid w:val="006758F4"/>
    <w:rsid w:val="00675930"/>
    <w:rsid w:val="00675969"/>
    <w:rsid w:val="00675AE1"/>
    <w:rsid w:val="00675C21"/>
    <w:rsid w:val="00675D9C"/>
    <w:rsid w:val="00675DDE"/>
    <w:rsid w:val="00675E4B"/>
    <w:rsid w:val="00675F3F"/>
    <w:rsid w:val="00675F9A"/>
    <w:rsid w:val="00676081"/>
    <w:rsid w:val="006762AB"/>
    <w:rsid w:val="00676404"/>
    <w:rsid w:val="00676417"/>
    <w:rsid w:val="0067665A"/>
    <w:rsid w:val="00676702"/>
    <w:rsid w:val="0067688E"/>
    <w:rsid w:val="00676957"/>
    <w:rsid w:val="00676A5F"/>
    <w:rsid w:val="00676AAF"/>
    <w:rsid w:val="00676B5C"/>
    <w:rsid w:val="00676B65"/>
    <w:rsid w:val="00676D20"/>
    <w:rsid w:val="00676DBC"/>
    <w:rsid w:val="00676EDD"/>
    <w:rsid w:val="00676FDB"/>
    <w:rsid w:val="00676FF9"/>
    <w:rsid w:val="0067700D"/>
    <w:rsid w:val="00677063"/>
    <w:rsid w:val="00677083"/>
    <w:rsid w:val="00677157"/>
    <w:rsid w:val="006771AC"/>
    <w:rsid w:val="00677459"/>
    <w:rsid w:val="006774DE"/>
    <w:rsid w:val="006776F1"/>
    <w:rsid w:val="00677702"/>
    <w:rsid w:val="0067771F"/>
    <w:rsid w:val="00677763"/>
    <w:rsid w:val="00677793"/>
    <w:rsid w:val="006777D4"/>
    <w:rsid w:val="00677909"/>
    <w:rsid w:val="00677A45"/>
    <w:rsid w:val="00677B05"/>
    <w:rsid w:val="00677BA0"/>
    <w:rsid w:val="00677BCE"/>
    <w:rsid w:val="00677BF7"/>
    <w:rsid w:val="00677C05"/>
    <w:rsid w:val="00677C60"/>
    <w:rsid w:val="00677CF6"/>
    <w:rsid w:val="00677D36"/>
    <w:rsid w:val="00677E5D"/>
    <w:rsid w:val="00677F74"/>
    <w:rsid w:val="00680125"/>
    <w:rsid w:val="00680174"/>
    <w:rsid w:val="00680327"/>
    <w:rsid w:val="006803E4"/>
    <w:rsid w:val="006804B1"/>
    <w:rsid w:val="006804F0"/>
    <w:rsid w:val="00680617"/>
    <w:rsid w:val="0068062D"/>
    <w:rsid w:val="006806E5"/>
    <w:rsid w:val="006806F4"/>
    <w:rsid w:val="006807B5"/>
    <w:rsid w:val="006807CE"/>
    <w:rsid w:val="00680936"/>
    <w:rsid w:val="00680991"/>
    <w:rsid w:val="00680A3E"/>
    <w:rsid w:val="00680A64"/>
    <w:rsid w:val="00680AA0"/>
    <w:rsid w:val="00680BD6"/>
    <w:rsid w:val="00680D14"/>
    <w:rsid w:val="00680D38"/>
    <w:rsid w:val="00680EAD"/>
    <w:rsid w:val="00680EAF"/>
    <w:rsid w:val="00680EF2"/>
    <w:rsid w:val="00680F48"/>
    <w:rsid w:val="006810A0"/>
    <w:rsid w:val="0068114B"/>
    <w:rsid w:val="0068123E"/>
    <w:rsid w:val="0068124A"/>
    <w:rsid w:val="006812A0"/>
    <w:rsid w:val="006812C6"/>
    <w:rsid w:val="006813B9"/>
    <w:rsid w:val="00681425"/>
    <w:rsid w:val="0068143A"/>
    <w:rsid w:val="006814A4"/>
    <w:rsid w:val="006814A5"/>
    <w:rsid w:val="00681533"/>
    <w:rsid w:val="00681553"/>
    <w:rsid w:val="00681572"/>
    <w:rsid w:val="006817AE"/>
    <w:rsid w:val="006817D1"/>
    <w:rsid w:val="0068183B"/>
    <w:rsid w:val="0068195B"/>
    <w:rsid w:val="006819F0"/>
    <w:rsid w:val="00681AA9"/>
    <w:rsid w:val="00681C78"/>
    <w:rsid w:val="00681C7D"/>
    <w:rsid w:val="00681CB6"/>
    <w:rsid w:val="00681CE7"/>
    <w:rsid w:val="00681D55"/>
    <w:rsid w:val="00681D59"/>
    <w:rsid w:val="00681DA5"/>
    <w:rsid w:val="00681DEE"/>
    <w:rsid w:val="00682006"/>
    <w:rsid w:val="006820F2"/>
    <w:rsid w:val="0068211C"/>
    <w:rsid w:val="00682134"/>
    <w:rsid w:val="006821A7"/>
    <w:rsid w:val="00682245"/>
    <w:rsid w:val="00682448"/>
    <w:rsid w:val="0068247B"/>
    <w:rsid w:val="006824D2"/>
    <w:rsid w:val="006824E0"/>
    <w:rsid w:val="00682557"/>
    <w:rsid w:val="006827D9"/>
    <w:rsid w:val="006827E0"/>
    <w:rsid w:val="0068280F"/>
    <w:rsid w:val="006828BF"/>
    <w:rsid w:val="00682A79"/>
    <w:rsid w:val="00682C2C"/>
    <w:rsid w:val="00682DBB"/>
    <w:rsid w:val="00682DC3"/>
    <w:rsid w:val="00682E13"/>
    <w:rsid w:val="00682FB3"/>
    <w:rsid w:val="006830A8"/>
    <w:rsid w:val="006830C6"/>
    <w:rsid w:val="006831A5"/>
    <w:rsid w:val="0068326E"/>
    <w:rsid w:val="006832DD"/>
    <w:rsid w:val="00683371"/>
    <w:rsid w:val="006833C9"/>
    <w:rsid w:val="00683507"/>
    <w:rsid w:val="00683548"/>
    <w:rsid w:val="00683554"/>
    <w:rsid w:val="006835DB"/>
    <w:rsid w:val="006836A5"/>
    <w:rsid w:val="0068377C"/>
    <w:rsid w:val="006837AC"/>
    <w:rsid w:val="006837D3"/>
    <w:rsid w:val="006837F2"/>
    <w:rsid w:val="006838A0"/>
    <w:rsid w:val="006838B9"/>
    <w:rsid w:val="006839AD"/>
    <w:rsid w:val="006839FA"/>
    <w:rsid w:val="00683B53"/>
    <w:rsid w:val="00683BA0"/>
    <w:rsid w:val="00683BAB"/>
    <w:rsid w:val="00683C9D"/>
    <w:rsid w:val="00683D69"/>
    <w:rsid w:val="00683EC8"/>
    <w:rsid w:val="00683F27"/>
    <w:rsid w:val="00684029"/>
    <w:rsid w:val="00684062"/>
    <w:rsid w:val="0068418A"/>
    <w:rsid w:val="0068428C"/>
    <w:rsid w:val="00684322"/>
    <w:rsid w:val="00684324"/>
    <w:rsid w:val="00684344"/>
    <w:rsid w:val="006843A3"/>
    <w:rsid w:val="00684465"/>
    <w:rsid w:val="006844C9"/>
    <w:rsid w:val="00684507"/>
    <w:rsid w:val="00684686"/>
    <w:rsid w:val="00684813"/>
    <w:rsid w:val="006848DB"/>
    <w:rsid w:val="00684943"/>
    <w:rsid w:val="00684A54"/>
    <w:rsid w:val="00684A97"/>
    <w:rsid w:val="00684B2F"/>
    <w:rsid w:val="00684BAA"/>
    <w:rsid w:val="00684C0D"/>
    <w:rsid w:val="00684C67"/>
    <w:rsid w:val="00684DE7"/>
    <w:rsid w:val="00684E31"/>
    <w:rsid w:val="00684E82"/>
    <w:rsid w:val="00684F9C"/>
    <w:rsid w:val="00684FE7"/>
    <w:rsid w:val="00685092"/>
    <w:rsid w:val="006850CE"/>
    <w:rsid w:val="0068510F"/>
    <w:rsid w:val="00685113"/>
    <w:rsid w:val="00685247"/>
    <w:rsid w:val="00685262"/>
    <w:rsid w:val="006852B2"/>
    <w:rsid w:val="006852D3"/>
    <w:rsid w:val="006853C3"/>
    <w:rsid w:val="006854D0"/>
    <w:rsid w:val="006855AC"/>
    <w:rsid w:val="006855C5"/>
    <w:rsid w:val="00685639"/>
    <w:rsid w:val="006856A8"/>
    <w:rsid w:val="006856C2"/>
    <w:rsid w:val="0068572D"/>
    <w:rsid w:val="00685762"/>
    <w:rsid w:val="00685AA9"/>
    <w:rsid w:val="00685AFC"/>
    <w:rsid w:val="00685B58"/>
    <w:rsid w:val="00685D65"/>
    <w:rsid w:val="00685D99"/>
    <w:rsid w:val="00685DE8"/>
    <w:rsid w:val="00685E28"/>
    <w:rsid w:val="00685F63"/>
    <w:rsid w:val="00685F77"/>
    <w:rsid w:val="00686093"/>
    <w:rsid w:val="0068609E"/>
    <w:rsid w:val="006860FB"/>
    <w:rsid w:val="0068610F"/>
    <w:rsid w:val="00686127"/>
    <w:rsid w:val="0068612B"/>
    <w:rsid w:val="0068617E"/>
    <w:rsid w:val="0068624A"/>
    <w:rsid w:val="006863CD"/>
    <w:rsid w:val="006865DE"/>
    <w:rsid w:val="006865ED"/>
    <w:rsid w:val="0068663B"/>
    <w:rsid w:val="0068664F"/>
    <w:rsid w:val="006866A6"/>
    <w:rsid w:val="006867EC"/>
    <w:rsid w:val="006868F5"/>
    <w:rsid w:val="006869CE"/>
    <w:rsid w:val="006869D0"/>
    <w:rsid w:val="006869EA"/>
    <w:rsid w:val="00686A0E"/>
    <w:rsid w:val="00686A16"/>
    <w:rsid w:val="00686A22"/>
    <w:rsid w:val="00686AB6"/>
    <w:rsid w:val="00686B49"/>
    <w:rsid w:val="00686BA3"/>
    <w:rsid w:val="00686BBD"/>
    <w:rsid w:val="00686BD0"/>
    <w:rsid w:val="00686C2F"/>
    <w:rsid w:val="00686C4B"/>
    <w:rsid w:val="00686C5B"/>
    <w:rsid w:val="00686CBB"/>
    <w:rsid w:val="00686D6A"/>
    <w:rsid w:val="00686E0C"/>
    <w:rsid w:val="00687247"/>
    <w:rsid w:val="00687288"/>
    <w:rsid w:val="006872D8"/>
    <w:rsid w:val="00687324"/>
    <w:rsid w:val="006874AD"/>
    <w:rsid w:val="006874BE"/>
    <w:rsid w:val="006875B1"/>
    <w:rsid w:val="0068766F"/>
    <w:rsid w:val="006877A3"/>
    <w:rsid w:val="0068782D"/>
    <w:rsid w:val="0068790B"/>
    <w:rsid w:val="006879E2"/>
    <w:rsid w:val="006879FE"/>
    <w:rsid w:val="00687AB2"/>
    <w:rsid w:val="00687B19"/>
    <w:rsid w:val="00687B31"/>
    <w:rsid w:val="00687B84"/>
    <w:rsid w:val="00687BE9"/>
    <w:rsid w:val="00687D31"/>
    <w:rsid w:val="00687DED"/>
    <w:rsid w:val="00687E8D"/>
    <w:rsid w:val="00687EB6"/>
    <w:rsid w:val="00687F11"/>
    <w:rsid w:val="006900FE"/>
    <w:rsid w:val="00690118"/>
    <w:rsid w:val="00690217"/>
    <w:rsid w:val="006902CA"/>
    <w:rsid w:val="006902F6"/>
    <w:rsid w:val="0069033C"/>
    <w:rsid w:val="00690394"/>
    <w:rsid w:val="00690463"/>
    <w:rsid w:val="006906B3"/>
    <w:rsid w:val="006907A8"/>
    <w:rsid w:val="006909AF"/>
    <w:rsid w:val="00690A2D"/>
    <w:rsid w:val="00690A84"/>
    <w:rsid w:val="00690B03"/>
    <w:rsid w:val="00690C4D"/>
    <w:rsid w:val="00690C83"/>
    <w:rsid w:val="00690CE4"/>
    <w:rsid w:val="00690F2C"/>
    <w:rsid w:val="00690F36"/>
    <w:rsid w:val="00691263"/>
    <w:rsid w:val="00691267"/>
    <w:rsid w:val="00691434"/>
    <w:rsid w:val="0069144A"/>
    <w:rsid w:val="0069145C"/>
    <w:rsid w:val="00691464"/>
    <w:rsid w:val="00691491"/>
    <w:rsid w:val="0069153F"/>
    <w:rsid w:val="00691567"/>
    <w:rsid w:val="006915CB"/>
    <w:rsid w:val="00691644"/>
    <w:rsid w:val="006916F3"/>
    <w:rsid w:val="006916FB"/>
    <w:rsid w:val="00691746"/>
    <w:rsid w:val="0069176B"/>
    <w:rsid w:val="006918A2"/>
    <w:rsid w:val="006918CB"/>
    <w:rsid w:val="006918CE"/>
    <w:rsid w:val="006919D0"/>
    <w:rsid w:val="00691A5F"/>
    <w:rsid w:val="00691AEA"/>
    <w:rsid w:val="00691BAA"/>
    <w:rsid w:val="00691C38"/>
    <w:rsid w:val="00691E73"/>
    <w:rsid w:val="00691FDC"/>
    <w:rsid w:val="00691FFD"/>
    <w:rsid w:val="006920DB"/>
    <w:rsid w:val="0069219B"/>
    <w:rsid w:val="006924D9"/>
    <w:rsid w:val="00692566"/>
    <w:rsid w:val="006925F0"/>
    <w:rsid w:val="0069265E"/>
    <w:rsid w:val="006926F7"/>
    <w:rsid w:val="00692798"/>
    <w:rsid w:val="006927FC"/>
    <w:rsid w:val="00692802"/>
    <w:rsid w:val="0069282D"/>
    <w:rsid w:val="00692880"/>
    <w:rsid w:val="00692934"/>
    <w:rsid w:val="006929D6"/>
    <w:rsid w:val="00692ABB"/>
    <w:rsid w:val="00692AED"/>
    <w:rsid w:val="00692B2B"/>
    <w:rsid w:val="00692BA4"/>
    <w:rsid w:val="00692CC5"/>
    <w:rsid w:val="00692CFF"/>
    <w:rsid w:val="00692E0E"/>
    <w:rsid w:val="00692EB3"/>
    <w:rsid w:val="00692EE8"/>
    <w:rsid w:val="00692FE1"/>
    <w:rsid w:val="006930D0"/>
    <w:rsid w:val="006931E6"/>
    <w:rsid w:val="00693247"/>
    <w:rsid w:val="00693285"/>
    <w:rsid w:val="0069337F"/>
    <w:rsid w:val="0069342E"/>
    <w:rsid w:val="006934E0"/>
    <w:rsid w:val="0069369B"/>
    <w:rsid w:val="00693735"/>
    <w:rsid w:val="006937BD"/>
    <w:rsid w:val="00693A39"/>
    <w:rsid w:val="00693AB7"/>
    <w:rsid w:val="00693AD1"/>
    <w:rsid w:val="00693B7C"/>
    <w:rsid w:val="00693D83"/>
    <w:rsid w:val="00693E5B"/>
    <w:rsid w:val="00693F5D"/>
    <w:rsid w:val="00694071"/>
    <w:rsid w:val="00694092"/>
    <w:rsid w:val="00694165"/>
    <w:rsid w:val="00694296"/>
    <w:rsid w:val="00694366"/>
    <w:rsid w:val="0069437A"/>
    <w:rsid w:val="006943D5"/>
    <w:rsid w:val="006944A2"/>
    <w:rsid w:val="006944B4"/>
    <w:rsid w:val="006944CC"/>
    <w:rsid w:val="006944E0"/>
    <w:rsid w:val="0069450E"/>
    <w:rsid w:val="00694528"/>
    <w:rsid w:val="006945CA"/>
    <w:rsid w:val="006945FC"/>
    <w:rsid w:val="00694634"/>
    <w:rsid w:val="006946FD"/>
    <w:rsid w:val="006947C6"/>
    <w:rsid w:val="0069482D"/>
    <w:rsid w:val="00694905"/>
    <w:rsid w:val="0069490F"/>
    <w:rsid w:val="0069499A"/>
    <w:rsid w:val="006949A9"/>
    <w:rsid w:val="00694B5B"/>
    <w:rsid w:val="00694DA2"/>
    <w:rsid w:val="00694E72"/>
    <w:rsid w:val="00694E7E"/>
    <w:rsid w:val="00695038"/>
    <w:rsid w:val="0069509D"/>
    <w:rsid w:val="006950CC"/>
    <w:rsid w:val="006951C1"/>
    <w:rsid w:val="00695212"/>
    <w:rsid w:val="00695306"/>
    <w:rsid w:val="0069531F"/>
    <w:rsid w:val="00695360"/>
    <w:rsid w:val="0069537E"/>
    <w:rsid w:val="006953C1"/>
    <w:rsid w:val="006954AC"/>
    <w:rsid w:val="0069552A"/>
    <w:rsid w:val="00695540"/>
    <w:rsid w:val="0069559F"/>
    <w:rsid w:val="0069561C"/>
    <w:rsid w:val="00695654"/>
    <w:rsid w:val="00695794"/>
    <w:rsid w:val="00695842"/>
    <w:rsid w:val="0069587F"/>
    <w:rsid w:val="006958E4"/>
    <w:rsid w:val="00695949"/>
    <w:rsid w:val="00695ACC"/>
    <w:rsid w:val="00695ACF"/>
    <w:rsid w:val="00695B56"/>
    <w:rsid w:val="00695C46"/>
    <w:rsid w:val="00695C91"/>
    <w:rsid w:val="00695D24"/>
    <w:rsid w:val="00695D39"/>
    <w:rsid w:val="00695E0F"/>
    <w:rsid w:val="00695E28"/>
    <w:rsid w:val="00695EC3"/>
    <w:rsid w:val="00695FFD"/>
    <w:rsid w:val="0069602C"/>
    <w:rsid w:val="006961B5"/>
    <w:rsid w:val="00696200"/>
    <w:rsid w:val="00696229"/>
    <w:rsid w:val="0069623C"/>
    <w:rsid w:val="00696275"/>
    <w:rsid w:val="006962D2"/>
    <w:rsid w:val="0069642D"/>
    <w:rsid w:val="00696444"/>
    <w:rsid w:val="0069645F"/>
    <w:rsid w:val="006964FD"/>
    <w:rsid w:val="0069674F"/>
    <w:rsid w:val="006967B4"/>
    <w:rsid w:val="006967D8"/>
    <w:rsid w:val="006967F3"/>
    <w:rsid w:val="0069687D"/>
    <w:rsid w:val="0069695A"/>
    <w:rsid w:val="00696A61"/>
    <w:rsid w:val="00696B6E"/>
    <w:rsid w:val="00696B80"/>
    <w:rsid w:val="00696BA6"/>
    <w:rsid w:val="00696CBF"/>
    <w:rsid w:val="00696D3B"/>
    <w:rsid w:val="00696D86"/>
    <w:rsid w:val="00696DDD"/>
    <w:rsid w:val="00696ED3"/>
    <w:rsid w:val="006970AF"/>
    <w:rsid w:val="006970C8"/>
    <w:rsid w:val="00697106"/>
    <w:rsid w:val="00697115"/>
    <w:rsid w:val="00697150"/>
    <w:rsid w:val="0069715C"/>
    <w:rsid w:val="006971AA"/>
    <w:rsid w:val="006971BF"/>
    <w:rsid w:val="006972D6"/>
    <w:rsid w:val="006972DD"/>
    <w:rsid w:val="00697303"/>
    <w:rsid w:val="00697353"/>
    <w:rsid w:val="00697372"/>
    <w:rsid w:val="006973DC"/>
    <w:rsid w:val="0069741E"/>
    <w:rsid w:val="0069749A"/>
    <w:rsid w:val="0069749E"/>
    <w:rsid w:val="00697579"/>
    <w:rsid w:val="00697584"/>
    <w:rsid w:val="006975E8"/>
    <w:rsid w:val="00697636"/>
    <w:rsid w:val="0069770F"/>
    <w:rsid w:val="0069780A"/>
    <w:rsid w:val="00697847"/>
    <w:rsid w:val="006978AA"/>
    <w:rsid w:val="00697913"/>
    <w:rsid w:val="00697A23"/>
    <w:rsid w:val="00697BB1"/>
    <w:rsid w:val="00697BF2"/>
    <w:rsid w:val="00697C2B"/>
    <w:rsid w:val="00697C35"/>
    <w:rsid w:val="00697E01"/>
    <w:rsid w:val="00697E06"/>
    <w:rsid w:val="00697F78"/>
    <w:rsid w:val="00697F83"/>
    <w:rsid w:val="00697FA4"/>
    <w:rsid w:val="00697FFB"/>
    <w:rsid w:val="006A0056"/>
    <w:rsid w:val="006A0178"/>
    <w:rsid w:val="006A01BD"/>
    <w:rsid w:val="006A036A"/>
    <w:rsid w:val="006A04BB"/>
    <w:rsid w:val="006A056D"/>
    <w:rsid w:val="006A05F4"/>
    <w:rsid w:val="006A064F"/>
    <w:rsid w:val="006A0659"/>
    <w:rsid w:val="006A07EE"/>
    <w:rsid w:val="006A0977"/>
    <w:rsid w:val="006A0ACA"/>
    <w:rsid w:val="006A0BEE"/>
    <w:rsid w:val="006A0C15"/>
    <w:rsid w:val="006A0CB1"/>
    <w:rsid w:val="006A0DEF"/>
    <w:rsid w:val="006A0E2C"/>
    <w:rsid w:val="006A0E30"/>
    <w:rsid w:val="006A0F9E"/>
    <w:rsid w:val="006A1026"/>
    <w:rsid w:val="006A10B7"/>
    <w:rsid w:val="006A111B"/>
    <w:rsid w:val="006A1186"/>
    <w:rsid w:val="006A11C7"/>
    <w:rsid w:val="006A1210"/>
    <w:rsid w:val="006A12A6"/>
    <w:rsid w:val="006A12D1"/>
    <w:rsid w:val="006A1338"/>
    <w:rsid w:val="006A13A8"/>
    <w:rsid w:val="006A14AE"/>
    <w:rsid w:val="006A14C6"/>
    <w:rsid w:val="006A14E8"/>
    <w:rsid w:val="006A15CE"/>
    <w:rsid w:val="006A167F"/>
    <w:rsid w:val="006A16AA"/>
    <w:rsid w:val="006A1798"/>
    <w:rsid w:val="006A1999"/>
    <w:rsid w:val="006A19CA"/>
    <w:rsid w:val="006A19F7"/>
    <w:rsid w:val="006A1ADE"/>
    <w:rsid w:val="006A1B4A"/>
    <w:rsid w:val="006A1B60"/>
    <w:rsid w:val="006A1C4A"/>
    <w:rsid w:val="006A1D62"/>
    <w:rsid w:val="006A1D9E"/>
    <w:rsid w:val="006A1E4C"/>
    <w:rsid w:val="006A1EF5"/>
    <w:rsid w:val="006A1F60"/>
    <w:rsid w:val="006A1FA5"/>
    <w:rsid w:val="006A1FDE"/>
    <w:rsid w:val="006A2055"/>
    <w:rsid w:val="006A2111"/>
    <w:rsid w:val="006A2161"/>
    <w:rsid w:val="006A21DB"/>
    <w:rsid w:val="006A21F6"/>
    <w:rsid w:val="006A22C2"/>
    <w:rsid w:val="006A23D3"/>
    <w:rsid w:val="006A2588"/>
    <w:rsid w:val="006A25AE"/>
    <w:rsid w:val="006A2669"/>
    <w:rsid w:val="006A2748"/>
    <w:rsid w:val="006A297A"/>
    <w:rsid w:val="006A2999"/>
    <w:rsid w:val="006A29B6"/>
    <w:rsid w:val="006A2A28"/>
    <w:rsid w:val="006A2A48"/>
    <w:rsid w:val="006A2AD6"/>
    <w:rsid w:val="006A2B36"/>
    <w:rsid w:val="006A2B66"/>
    <w:rsid w:val="006A2C86"/>
    <w:rsid w:val="006A2C9A"/>
    <w:rsid w:val="006A2CDE"/>
    <w:rsid w:val="006A2E37"/>
    <w:rsid w:val="006A2E49"/>
    <w:rsid w:val="006A2F51"/>
    <w:rsid w:val="006A31AB"/>
    <w:rsid w:val="006A3277"/>
    <w:rsid w:val="006A3439"/>
    <w:rsid w:val="006A358F"/>
    <w:rsid w:val="006A3672"/>
    <w:rsid w:val="006A36B0"/>
    <w:rsid w:val="006A36D7"/>
    <w:rsid w:val="006A3822"/>
    <w:rsid w:val="006A383B"/>
    <w:rsid w:val="006A383D"/>
    <w:rsid w:val="006A3877"/>
    <w:rsid w:val="006A39E0"/>
    <w:rsid w:val="006A3A34"/>
    <w:rsid w:val="006A3BA8"/>
    <w:rsid w:val="006A3BFE"/>
    <w:rsid w:val="006A3DBD"/>
    <w:rsid w:val="006A3E63"/>
    <w:rsid w:val="006A3E82"/>
    <w:rsid w:val="006A4022"/>
    <w:rsid w:val="006A4286"/>
    <w:rsid w:val="006A42EF"/>
    <w:rsid w:val="006A42F2"/>
    <w:rsid w:val="006A435D"/>
    <w:rsid w:val="006A43D2"/>
    <w:rsid w:val="006A440A"/>
    <w:rsid w:val="006A4481"/>
    <w:rsid w:val="006A461F"/>
    <w:rsid w:val="006A4666"/>
    <w:rsid w:val="006A4792"/>
    <w:rsid w:val="006A47A7"/>
    <w:rsid w:val="006A47EE"/>
    <w:rsid w:val="006A47FB"/>
    <w:rsid w:val="006A48A0"/>
    <w:rsid w:val="006A48CA"/>
    <w:rsid w:val="006A4A33"/>
    <w:rsid w:val="006A4B27"/>
    <w:rsid w:val="006A4B32"/>
    <w:rsid w:val="006A4C26"/>
    <w:rsid w:val="006A4C7D"/>
    <w:rsid w:val="006A4D56"/>
    <w:rsid w:val="006A4DC4"/>
    <w:rsid w:val="006A4E49"/>
    <w:rsid w:val="006A4F0E"/>
    <w:rsid w:val="006A5072"/>
    <w:rsid w:val="006A50A9"/>
    <w:rsid w:val="006A5164"/>
    <w:rsid w:val="006A5230"/>
    <w:rsid w:val="006A523F"/>
    <w:rsid w:val="006A528D"/>
    <w:rsid w:val="006A52A3"/>
    <w:rsid w:val="006A52B3"/>
    <w:rsid w:val="006A5303"/>
    <w:rsid w:val="006A539B"/>
    <w:rsid w:val="006A53AF"/>
    <w:rsid w:val="006A53B4"/>
    <w:rsid w:val="006A54C3"/>
    <w:rsid w:val="006A54F4"/>
    <w:rsid w:val="006A554C"/>
    <w:rsid w:val="006A555A"/>
    <w:rsid w:val="006A55A6"/>
    <w:rsid w:val="006A563D"/>
    <w:rsid w:val="006A5654"/>
    <w:rsid w:val="006A575D"/>
    <w:rsid w:val="006A5804"/>
    <w:rsid w:val="006A58E7"/>
    <w:rsid w:val="006A595F"/>
    <w:rsid w:val="006A5A2B"/>
    <w:rsid w:val="006A5BAB"/>
    <w:rsid w:val="006A5C37"/>
    <w:rsid w:val="006A5C7A"/>
    <w:rsid w:val="006A5CD0"/>
    <w:rsid w:val="006A5D7A"/>
    <w:rsid w:val="006A5DB2"/>
    <w:rsid w:val="006A5E48"/>
    <w:rsid w:val="006A5EB4"/>
    <w:rsid w:val="006A5ED6"/>
    <w:rsid w:val="006A5F7C"/>
    <w:rsid w:val="006A5F87"/>
    <w:rsid w:val="006A6000"/>
    <w:rsid w:val="006A6177"/>
    <w:rsid w:val="006A61DC"/>
    <w:rsid w:val="006A62C6"/>
    <w:rsid w:val="006A62E6"/>
    <w:rsid w:val="006A642C"/>
    <w:rsid w:val="006A6434"/>
    <w:rsid w:val="006A644A"/>
    <w:rsid w:val="006A64D4"/>
    <w:rsid w:val="006A6510"/>
    <w:rsid w:val="006A6599"/>
    <w:rsid w:val="006A672C"/>
    <w:rsid w:val="006A68DF"/>
    <w:rsid w:val="006A6956"/>
    <w:rsid w:val="006A6962"/>
    <w:rsid w:val="006A6963"/>
    <w:rsid w:val="006A6AA9"/>
    <w:rsid w:val="006A6B4D"/>
    <w:rsid w:val="006A6BDB"/>
    <w:rsid w:val="006A6C91"/>
    <w:rsid w:val="006A6E0C"/>
    <w:rsid w:val="006A6E27"/>
    <w:rsid w:val="006A6E96"/>
    <w:rsid w:val="006A718D"/>
    <w:rsid w:val="006A71A8"/>
    <w:rsid w:val="006A71D6"/>
    <w:rsid w:val="006A728F"/>
    <w:rsid w:val="006A7538"/>
    <w:rsid w:val="006A769B"/>
    <w:rsid w:val="006A77CB"/>
    <w:rsid w:val="006A7820"/>
    <w:rsid w:val="006A7881"/>
    <w:rsid w:val="006A7889"/>
    <w:rsid w:val="006A78DF"/>
    <w:rsid w:val="006A7A20"/>
    <w:rsid w:val="006A7A58"/>
    <w:rsid w:val="006A7B0C"/>
    <w:rsid w:val="006A7B1F"/>
    <w:rsid w:val="006A7B3C"/>
    <w:rsid w:val="006A7C04"/>
    <w:rsid w:val="006A7C16"/>
    <w:rsid w:val="006A7CBD"/>
    <w:rsid w:val="006A7DAB"/>
    <w:rsid w:val="006A7E23"/>
    <w:rsid w:val="006A7EA3"/>
    <w:rsid w:val="006A7EEC"/>
    <w:rsid w:val="006A7F38"/>
    <w:rsid w:val="006AAE7D"/>
    <w:rsid w:val="006B00C7"/>
    <w:rsid w:val="006B016A"/>
    <w:rsid w:val="006B01DF"/>
    <w:rsid w:val="006B0219"/>
    <w:rsid w:val="006B024D"/>
    <w:rsid w:val="006B027B"/>
    <w:rsid w:val="006B02C2"/>
    <w:rsid w:val="006B0448"/>
    <w:rsid w:val="006B0452"/>
    <w:rsid w:val="006B04D2"/>
    <w:rsid w:val="006B04DE"/>
    <w:rsid w:val="006B04DF"/>
    <w:rsid w:val="006B052B"/>
    <w:rsid w:val="006B0566"/>
    <w:rsid w:val="006B0592"/>
    <w:rsid w:val="006B05FE"/>
    <w:rsid w:val="006B0668"/>
    <w:rsid w:val="006B0672"/>
    <w:rsid w:val="006B06A2"/>
    <w:rsid w:val="006B087E"/>
    <w:rsid w:val="006B093F"/>
    <w:rsid w:val="006B0955"/>
    <w:rsid w:val="006B0B2C"/>
    <w:rsid w:val="006B0B57"/>
    <w:rsid w:val="006B0B81"/>
    <w:rsid w:val="006B0C56"/>
    <w:rsid w:val="006B0D91"/>
    <w:rsid w:val="006B0E90"/>
    <w:rsid w:val="006B0F12"/>
    <w:rsid w:val="006B0F9A"/>
    <w:rsid w:val="006B0FEE"/>
    <w:rsid w:val="006B102C"/>
    <w:rsid w:val="006B10AD"/>
    <w:rsid w:val="006B10D1"/>
    <w:rsid w:val="006B127C"/>
    <w:rsid w:val="006B127E"/>
    <w:rsid w:val="006B12F1"/>
    <w:rsid w:val="006B1399"/>
    <w:rsid w:val="006B13D1"/>
    <w:rsid w:val="006B141E"/>
    <w:rsid w:val="006B141F"/>
    <w:rsid w:val="006B143A"/>
    <w:rsid w:val="006B153F"/>
    <w:rsid w:val="006B15EB"/>
    <w:rsid w:val="006B1669"/>
    <w:rsid w:val="006B1705"/>
    <w:rsid w:val="006B19D9"/>
    <w:rsid w:val="006B1A0D"/>
    <w:rsid w:val="006B1C3A"/>
    <w:rsid w:val="006B1C6B"/>
    <w:rsid w:val="006B1C8D"/>
    <w:rsid w:val="006B1D5C"/>
    <w:rsid w:val="006B1E3A"/>
    <w:rsid w:val="006B1E83"/>
    <w:rsid w:val="006B1EB7"/>
    <w:rsid w:val="006B1F6D"/>
    <w:rsid w:val="006B206A"/>
    <w:rsid w:val="006B2084"/>
    <w:rsid w:val="006B21D0"/>
    <w:rsid w:val="006B22EB"/>
    <w:rsid w:val="006B23D6"/>
    <w:rsid w:val="006B2404"/>
    <w:rsid w:val="006B2416"/>
    <w:rsid w:val="006B24D3"/>
    <w:rsid w:val="006B2602"/>
    <w:rsid w:val="006B26AD"/>
    <w:rsid w:val="006B27B2"/>
    <w:rsid w:val="006B27F5"/>
    <w:rsid w:val="006B27F9"/>
    <w:rsid w:val="006B28E5"/>
    <w:rsid w:val="006B2990"/>
    <w:rsid w:val="006B29AA"/>
    <w:rsid w:val="006B2A1F"/>
    <w:rsid w:val="006B2B8C"/>
    <w:rsid w:val="006B2C8F"/>
    <w:rsid w:val="006B2CEB"/>
    <w:rsid w:val="006B2D54"/>
    <w:rsid w:val="006B2E0B"/>
    <w:rsid w:val="006B2F71"/>
    <w:rsid w:val="006B2F88"/>
    <w:rsid w:val="006B2FEF"/>
    <w:rsid w:val="006B30D3"/>
    <w:rsid w:val="006B3173"/>
    <w:rsid w:val="006B31CC"/>
    <w:rsid w:val="006B3223"/>
    <w:rsid w:val="006B32D3"/>
    <w:rsid w:val="006B32FA"/>
    <w:rsid w:val="006B3322"/>
    <w:rsid w:val="006B341C"/>
    <w:rsid w:val="006B352D"/>
    <w:rsid w:val="006B364F"/>
    <w:rsid w:val="006B36C4"/>
    <w:rsid w:val="006B370B"/>
    <w:rsid w:val="006B3720"/>
    <w:rsid w:val="006B38AC"/>
    <w:rsid w:val="006B3946"/>
    <w:rsid w:val="006B396C"/>
    <w:rsid w:val="006B3A4E"/>
    <w:rsid w:val="006B3B16"/>
    <w:rsid w:val="006B3B60"/>
    <w:rsid w:val="006B3B78"/>
    <w:rsid w:val="006B3CC4"/>
    <w:rsid w:val="006B3DA0"/>
    <w:rsid w:val="006B3DEB"/>
    <w:rsid w:val="006B3E0A"/>
    <w:rsid w:val="006B3E68"/>
    <w:rsid w:val="006B3E69"/>
    <w:rsid w:val="006B4179"/>
    <w:rsid w:val="006B41A4"/>
    <w:rsid w:val="006B4284"/>
    <w:rsid w:val="006B429A"/>
    <w:rsid w:val="006B429E"/>
    <w:rsid w:val="006B42E6"/>
    <w:rsid w:val="006B4456"/>
    <w:rsid w:val="006B4487"/>
    <w:rsid w:val="006B44C5"/>
    <w:rsid w:val="006B44F8"/>
    <w:rsid w:val="006B4555"/>
    <w:rsid w:val="006B45E8"/>
    <w:rsid w:val="006B461F"/>
    <w:rsid w:val="006B4649"/>
    <w:rsid w:val="006B466B"/>
    <w:rsid w:val="006B46D1"/>
    <w:rsid w:val="006B4753"/>
    <w:rsid w:val="006B47FD"/>
    <w:rsid w:val="006B4909"/>
    <w:rsid w:val="006B49AF"/>
    <w:rsid w:val="006B4A6B"/>
    <w:rsid w:val="006B4AD2"/>
    <w:rsid w:val="006B4B15"/>
    <w:rsid w:val="006B4B3B"/>
    <w:rsid w:val="006B4B5B"/>
    <w:rsid w:val="006B4D1B"/>
    <w:rsid w:val="006B4E7B"/>
    <w:rsid w:val="006B4F3F"/>
    <w:rsid w:val="006B4FB7"/>
    <w:rsid w:val="006B50CE"/>
    <w:rsid w:val="006B5107"/>
    <w:rsid w:val="006B52C0"/>
    <w:rsid w:val="006B5327"/>
    <w:rsid w:val="006B5413"/>
    <w:rsid w:val="006B5491"/>
    <w:rsid w:val="006B5532"/>
    <w:rsid w:val="006B5553"/>
    <w:rsid w:val="006B55B3"/>
    <w:rsid w:val="006B562C"/>
    <w:rsid w:val="006B5654"/>
    <w:rsid w:val="006B5756"/>
    <w:rsid w:val="006B57FE"/>
    <w:rsid w:val="006B5888"/>
    <w:rsid w:val="006B5AD8"/>
    <w:rsid w:val="006B5B8D"/>
    <w:rsid w:val="006B5B93"/>
    <w:rsid w:val="006B5BA2"/>
    <w:rsid w:val="006B5C24"/>
    <w:rsid w:val="006B5CA3"/>
    <w:rsid w:val="006B5CEE"/>
    <w:rsid w:val="006B5D74"/>
    <w:rsid w:val="006B5F56"/>
    <w:rsid w:val="006B5F67"/>
    <w:rsid w:val="006B5FFF"/>
    <w:rsid w:val="006B6076"/>
    <w:rsid w:val="006B6094"/>
    <w:rsid w:val="006B60CC"/>
    <w:rsid w:val="006B61EA"/>
    <w:rsid w:val="006B6213"/>
    <w:rsid w:val="006B62BB"/>
    <w:rsid w:val="006B63E6"/>
    <w:rsid w:val="006B6459"/>
    <w:rsid w:val="006B64BD"/>
    <w:rsid w:val="006B64BF"/>
    <w:rsid w:val="006B64FD"/>
    <w:rsid w:val="006B6598"/>
    <w:rsid w:val="006B66BC"/>
    <w:rsid w:val="006B6742"/>
    <w:rsid w:val="006B6761"/>
    <w:rsid w:val="006B67A1"/>
    <w:rsid w:val="006B6850"/>
    <w:rsid w:val="006B686D"/>
    <w:rsid w:val="006B6891"/>
    <w:rsid w:val="006B6B83"/>
    <w:rsid w:val="006B6BA0"/>
    <w:rsid w:val="006B6BC1"/>
    <w:rsid w:val="006B6BD1"/>
    <w:rsid w:val="006B6BD2"/>
    <w:rsid w:val="006B6C7E"/>
    <w:rsid w:val="006B6CA7"/>
    <w:rsid w:val="006B6D3D"/>
    <w:rsid w:val="006B6D75"/>
    <w:rsid w:val="006B6EF4"/>
    <w:rsid w:val="006B6F54"/>
    <w:rsid w:val="006B6F59"/>
    <w:rsid w:val="006B6FAC"/>
    <w:rsid w:val="006B7033"/>
    <w:rsid w:val="006B7284"/>
    <w:rsid w:val="006B72A2"/>
    <w:rsid w:val="006B72CD"/>
    <w:rsid w:val="006B72DC"/>
    <w:rsid w:val="006B73EC"/>
    <w:rsid w:val="006B73F1"/>
    <w:rsid w:val="006B74DE"/>
    <w:rsid w:val="006B75CB"/>
    <w:rsid w:val="006B762C"/>
    <w:rsid w:val="006B7634"/>
    <w:rsid w:val="006B7684"/>
    <w:rsid w:val="006B771E"/>
    <w:rsid w:val="006B7772"/>
    <w:rsid w:val="006B788D"/>
    <w:rsid w:val="006B79DB"/>
    <w:rsid w:val="006B7BDB"/>
    <w:rsid w:val="006B7C7E"/>
    <w:rsid w:val="006B7CA4"/>
    <w:rsid w:val="006B7D42"/>
    <w:rsid w:val="006B7DF4"/>
    <w:rsid w:val="006B7E1A"/>
    <w:rsid w:val="006B7F1A"/>
    <w:rsid w:val="006B7F69"/>
    <w:rsid w:val="006B7FDA"/>
    <w:rsid w:val="006C012B"/>
    <w:rsid w:val="006C0160"/>
    <w:rsid w:val="006C03D5"/>
    <w:rsid w:val="006C0422"/>
    <w:rsid w:val="006C04CA"/>
    <w:rsid w:val="006C04E8"/>
    <w:rsid w:val="006C057B"/>
    <w:rsid w:val="006C0590"/>
    <w:rsid w:val="006C0661"/>
    <w:rsid w:val="006C08D1"/>
    <w:rsid w:val="006C091A"/>
    <w:rsid w:val="006C0965"/>
    <w:rsid w:val="006C096D"/>
    <w:rsid w:val="006C09B8"/>
    <w:rsid w:val="006C0AF9"/>
    <w:rsid w:val="006C0BA7"/>
    <w:rsid w:val="006C0BCD"/>
    <w:rsid w:val="006C0BDC"/>
    <w:rsid w:val="006C0C7B"/>
    <w:rsid w:val="006C0E5B"/>
    <w:rsid w:val="006C0E8E"/>
    <w:rsid w:val="006C0F11"/>
    <w:rsid w:val="006C0F1D"/>
    <w:rsid w:val="006C10C0"/>
    <w:rsid w:val="006C10EA"/>
    <w:rsid w:val="006C1135"/>
    <w:rsid w:val="006C1264"/>
    <w:rsid w:val="006C132E"/>
    <w:rsid w:val="006C13ED"/>
    <w:rsid w:val="006C13FC"/>
    <w:rsid w:val="006C1483"/>
    <w:rsid w:val="006C154E"/>
    <w:rsid w:val="006C155A"/>
    <w:rsid w:val="006C158C"/>
    <w:rsid w:val="006C15BA"/>
    <w:rsid w:val="006C1605"/>
    <w:rsid w:val="006C1697"/>
    <w:rsid w:val="006C16A2"/>
    <w:rsid w:val="006C16E2"/>
    <w:rsid w:val="006C17DB"/>
    <w:rsid w:val="006C185D"/>
    <w:rsid w:val="006C1B4A"/>
    <w:rsid w:val="006C1B6A"/>
    <w:rsid w:val="006C1E37"/>
    <w:rsid w:val="006C1E50"/>
    <w:rsid w:val="006C1ED7"/>
    <w:rsid w:val="006C1F95"/>
    <w:rsid w:val="006C2020"/>
    <w:rsid w:val="006C2408"/>
    <w:rsid w:val="006C255C"/>
    <w:rsid w:val="006C257D"/>
    <w:rsid w:val="006C25CC"/>
    <w:rsid w:val="006C2691"/>
    <w:rsid w:val="006C2723"/>
    <w:rsid w:val="006C27A2"/>
    <w:rsid w:val="006C2991"/>
    <w:rsid w:val="006C2AE8"/>
    <w:rsid w:val="006C2BE8"/>
    <w:rsid w:val="006C2C01"/>
    <w:rsid w:val="006C2C42"/>
    <w:rsid w:val="006C2D5F"/>
    <w:rsid w:val="006C2F7F"/>
    <w:rsid w:val="006C3035"/>
    <w:rsid w:val="006C3036"/>
    <w:rsid w:val="006C30A5"/>
    <w:rsid w:val="006C30FB"/>
    <w:rsid w:val="006C32E0"/>
    <w:rsid w:val="006C3362"/>
    <w:rsid w:val="006C3367"/>
    <w:rsid w:val="006C33AF"/>
    <w:rsid w:val="006C33E0"/>
    <w:rsid w:val="006C34E1"/>
    <w:rsid w:val="006C3703"/>
    <w:rsid w:val="006C373B"/>
    <w:rsid w:val="006C3891"/>
    <w:rsid w:val="006C38AD"/>
    <w:rsid w:val="006C398C"/>
    <w:rsid w:val="006C3B6A"/>
    <w:rsid w:val="006C3BFE"/>
    <w:rsid w:val="006C3C0C"/>
    <w:rsid w:val="006C3CE3"/>
    <w:rsid w:val="006C3D99"/>
    <w:rsid w:val="006C3D9C"/>
    <w:rsid w:val="006C3DEC"/>
    <w:rsid w:val="006C3F44"/>
    <w:rsid w:val="006C411E"/>
    <w:rsid w:val="006C421A"/>
    <w:rsid w:val="006C43A5"/>
    <w:rsid w:val="006C43FF"/>
    <w:rsid w:val="006C440D"/>
    <w:rsid w:val="006C4500"/>
    <w:rsid w:val="006C4591"/>
    <w:rsid w:val="006C45B7"/>
    <w:rsid w:val="006C4708"/>
    <w:rsid w:val="006C4712"/>
    <w:rsid w:val="006C497F"/>
    <w:rsid w:val="006C498B"/>
    <w:rsid w:val="006C498D"/>
    <w:rsid w:val="006C4B44"/>
    <w:rsid w:val="006C4B53"/>
    <w:rsid w:val="006C4C98"/>
    <w:rsid w:val="006C4E7C"/>
    <w:rsid w:val="006C4EFE"/>
    <w:rsid w:val="006C4F0A"/>
    <w:rsid w:val="006C50FA"/>
    <w:rsid w:val="006C51EC"/>
    <w:rsid w:val="006C52B7"/>
    <w:rsid w:val="006C5388"/>
    <w:rsid w:val="006C53F0"/>
    <w:rsid w:val="006C5428"/>
    <w:rsid w:val="006C5450"/>
    <w:rsid w:val="006C5484"/>
    <w:rsid w:val="006C559F"/>
    <w:rsid w:val="006C56D3"/>
    <w:rsid w:val="006C571B"/>
    <w:rsid w:val="006C57AE"/>
    <w:rsid w:val="006C584F"/>
    <w:rsid w:val="006C5892"/>
    <w:rsid w:val="006C5909"/>
    <w:rsid w:val="006C59AC"/>
    <w:rsid w:val="006C59FB"/>
    <w:rsid w:val="006C5A93"/>
    <w:rsid w:val="006C5AD6"/>
    <w:rsid w:val="006C5BA6"/>
    <w:rsid w:val="006C5C9A"/>
    <w:rsid w:val="006C5D11"/>
    <w:rsid w:val="006C6125"/>
    <w:rsid w:val="006C622E"/>
    <w:rsid w:val="006C6379"/>
    <w:rsid w:val="006C63BE"/>
    <w:rsid w:val="006C63EE"/>
    <w:rsid w:val="006C654E"/>
    <w:rsid w:val="006C6570"/>
    <w:rsid w:val="006C6573"/>
    <w:rsid w:val="006C66B2"/>
    <w:rsid w:val="006C66BE"/>
    <w:rsid w:val="006C66E5"/>
    <w:rsid w:val="006C6751"/>
    <w:rsid w:val="006C68F2"/>
    <w:rsid w:val="006C6904"/>
    <w:rsid w:val="006C69B9"/>
    <w:rsid w:val="006C6A7E"/>
    <w:rsid w:val="006C6A91"/>
    <w:rsid w:val="006C6A95"/>
    <w:rsid w:val="006C6C2B"/>
    <w:rsid w:val="006C6C6F"/>
    <w:rsid w:val="006C6C79"/>
    <w:rsid w:val="006C6CB4"/>
    <w:rsid w:val="006C6D04"/>
    <w:rsid w:val="006C6DE7"/>
    <w:rsid w:val="006C6E1F"/>
    <w:rsid w:val="006C6E5C"/>
    <w:rsid w:val="006C6E60"/>
    <w:rsid w:val="006C704D"/>
    <w:rsid w:val="006C705E"/>
    <w:rsid w:val="006C708F"/>
    <w:rsid w:val="006C7104"/>
    <w:rsid w:val="006C7161"/>
    <w:rsid w:val="006C71F6"/>
    <w:rsid w:val="006C722A"/>
    <w:rsid w:val="006C746C"/>
    <w:rsid w:val="006C7633"/>
    <w:rsid w:val="006C76CC"/>
    <w:rsid w:val="006C7774"/>
    <w:rsid w:val="006C7780"/>
    <w:rsid w:val="006C7B08"/>
    <w:rsid w:val="006C7D15"/>
    <w:rsid w:val="006C7D3C"/>
    <w:rsid w:val="006C7F66"/>
    <w:rsid w:val="006C7FE5"/>
    <w:rsid w:val="006D000F"/>
    <w:rsid w:val="006D00F2"/>
    <w:rsid w:val="006D01B4"/>
    <w:rsid w:val="006D0261"/>
    <w:rsid w:val="006D02E1"/>
    <w:rsid w:val="006D03DC"/>
    <w:rsid w:val="006D03EA"/>
    <w:rsid w:val="006D0473"/>
    <w:rsid w:val="006D04A1"/>
    <w:rsid w:val="006D04B3"/>
    <w:rsid w:val="006D0509"/>
    <w:rsid w:val="006D0519"/>
    <w:rsid w:val="006D05AB"/>
    <w:rsid w:val="006D05AE"/>
    <w:rsid w:val="006D05C2"/>
    <w:rsid w:val="006D061A"/>
    <w:rsid w:val="006D0640"/>
    <w:rsid w:val="006D0651"/>
    <w:rsid w:val="006D06F6"/>
    <w:rsid w:val="006D06FD"/>
    <w:rsid w:val="006D07D0"/>
    <w:rsid w:val="006D08D7"/>
    <w:rsid w:val="006D0961"/>
    <w:rsid w:val="006D09FD"/>
    <w:rsid w:val="006D0AA4"/>
    <w:rsid w:val="006D0AFF"/>
    <w:rsid w:val="006D0B12"/>
    <w:rsid w:val="006D0BBB"/>
    <w:rsid w:val="006D0D32"/>
    <w:rsid w:val="006D0DE7"/>
    <w:rsid w:val="006D0E0C"/>
    <w:rsid w:val="006D0EAC"/>
    <w:rsid w:val="006D0F3D"/>
    <w:rsid w:val="006D0FF1"/>
    <w:rsid w:val="006D109E"/>
    <w:rsid w:val="006D10FC"/>
    <w:rsid w:val="006D12CA"/>
    <w:rsid w:val="006D143F"/>
    <w:rsid w:val="006D1515"/>
    <w:rsid w:val="006D15E1"/>
    <w:rsid w:val="006D16AF"/>
    <w:rsid w:val="006D171A"/>
    <w:rsid w:val="006D1883"/>
    <w:rsid w:val="006D19BF"/>
    <w:rsid w:val="006D1AFC"/>
    <w:rsid w:val="006D1B45"/>
    <w:rsid w:val="006D1B59"/>
    <w:rsid w:val="006D1B6D"/>
    <w:rsid w:val="006D1C24"/>
    <w:rsid w:val="006D1C51"/>
    <w:rsid w:val="006D1D33"/>
    <w:rsid w:val="006D1E0B"/>
    <w:rsid w:val="006D1EE4"/>
    <w:rsid w:val="006D1FFB"/>
    <w:rsid w:val="006D2012"/>
    <w:rsid w:val="006D207A"/>
    <w:rsid w:val="006D2149"/>
    <w:rsid w:val="006D214C"/>
    <w:rsid w:val="006D21C7"/>
    <w:rsid w:val="006D2238"/>
    <w:rsid w:val="006D2390"/>
    <w:rsid w:val="006D2421"/>
    <w:rsid w:val="006D2495"/>
    <w:rsid w:val="006D24D6"/>
    <w:rsid w:val="006D24E0"/>
    <w:rsid w:val="006D257E"/>
    <w:rsid w:val="006D25F7"/>
    <w:rsid w:val="006D260A"/>
    <w:rsid w:val="006D27B8"/>
    <w:rsid w:val="006D27EF"/>
    <w:rsid w:val="006D27FF"/>
    <w:rsid w:val="006D28FB"/>
    <w:rsid w:val="006D2928"/>
    <w:rsid w:val="006D2971"/>
    <w:rsid w:val="006D2977"/>
    <w:rsid w:val="006D29C2"/>
    <w:rsid w:val="006D2A17"/>
    <w:rsid w:val="006D2B0B"/>
    <w:rsid w:val="006D2CB1"/>
    <w:rsid w:val="006D2CE3"/>
    <w:rsid w:val="006D2DA0"/>
    <w:rsid w:val="006D2DF0"/>
    <w:rsid w:val="006D2FB8"/>
    <w:rsid w:val="006D3290"/>
    <w:rsid w:val="006D3342"/>
    <w:rsid w:val="006D338E"/>
    <w:rsid w:val="006D34D1"/>
    <w:rsid w:val="006D3505"/>
    <w:rsid w:val="006D361C"/>
    <w:rsid w:val="006D36CD"/>
    <w:rsid w:val="006D3701"/>
    <w:rsid w:val="006D3808"/>
    <w:rsid w:val="006D380E"/>
    <w:rsid w:val="006D38A7"/>
    <w:rsid w:val="006D39CB"/>
    <w:rsid w:val="006D3A24"/>
    <w:rsid w:val="006D3ABE"/>
    <w:rsid w:val="006D3AFA"/>
    <w:rsid w:val="006D3B39"/>
    <w:rsid w:val="006D3B7B"/>
    <w:rsid w:val="006D3C6E"/>
    <w:rsid w:val="006D3D07"/>
    <w:rsid w:val="006D3D2B"/>
    <w:rsid w:val="006D3D48"/>
    <w:rsid w:val="006D3DE0"/>
    <w:rsid w:val="006D3E81"/>
    <w:rsid w:val="006D3FAE"/>
    <w:rsid w:val="006D3FD0"/>
    <w:rsid w:val="006D409F"/>
    <w:rsid w:val="006D4226"/>
    <w:rsid w:val="006D4348"/>
    <w:rsid w:val="006D43B3"/>
    <w:rsid w:val="006D43F0"/>
    <w:rsid w:val="006D4408"/>
    <w:rsid w:val="006D4463"/>
    <w:rsid w:val="006D446B"/>
    <w:rsid w:val="006D44CB"/>
    <w:rsid w:val="006D453D"/>
    <w:rsid w:val="006D4578"/>
    <w:rsid w:val="006D45D0"/>
    <w:rsid w:val="006D474B"/>
    <w:rsid w:val="006D4765"/>
    <w:rsid w:val="006D47BC"/>
    <w:rsid w:val="006D47E6"/>
    <w:rsid w:val="006D4954"/>
    <w:rsid w:val="006D499C"/>
    <w:rsid w:val="006D4AA2"/>
    <w:rsid w:val="006D4AFD"/>
    <w:rsid w:val="006D4B0F"/>
    <w:rsid w:val="006D4BEA"/>
    <w:rsid w:val="006D4C42"/>
    <w:rsid w:val="006D4C5D"/>
    <w:rsid w:val="006D4D89"/>
    <w:rsid w:val="006D4E08"/>
    <w:rsid w:val="006D4E58"/>
    <w:rsid w:val="006D4F09"/>
    <w:rsid w:val="006D4F43"/>
    <w:rsid w:val="006D4F48"/>
    <w:rsid w:val="006D50F8"/>
    <w:rsid w:val="006D5178"/>
    <w:rsid w:val="006D526D"/>
    <w:rsid w:val="006D5285"/>
    <w:rsid w:val="006D548B"/>
    <w:rsid w:val="006D552A"/>
    <w:rsid w:val="006D5541"/>
    <w:rsid w:val="006D55C3"/>
    <w:rsid w:val="006D561B"/>
    <w:rsid w:val="006D562A"/>
    <w:rsid w:val="006D566C"/>
    <w:rsid w:val="006D574B"/>
    <w:rsid w:val="006D5793"/>
    <w:rsid w:val="006D5820"/>
    <w:rsid w:val="006D5829"/>
    <w:rsid w:val="006D589D"/>
    <w:rsid w:val="006D591C"/>
    <w:rsid w:val="006D593E"/>
    <w:rsid w:val="006D597D"/>
    <w:rsid w:val="006D5986"/>
    <w:rsid w:val="006D59A8"/>
    <w:rsid w:val="006D5B12"/>
    <w:rsid w:val="006D5BC8"/>
    <w:rsid w:val="006D5BFC"/>
    <w:rsid w:val="006D5C03"/>
    <w:rsid w:val="006D5C57"/>
    <w:rsid w:val="006D5CB7"/>
    <w:rsid w:val="006D5CD3"/>
    <w:rsid w:val="006D5D43"/>
    <w:rsid w:val="006D5F4E"/>
    <w:rsid w:val="006D5F88"/>
    <w:rsid w:val="006D5FFB"/>
    <w:rsid w:val="006D6029"/>
    <w:rsid w:val="006D605C"/>
    <w:rsid w:val="006D635A"/>
    <w:rsid w:val="006D6370"/>
    <w:rsid w:val="006D63C2"/>
    <w:rsid w:val="006D645D"/>
    <w:rsid w:val="006D6493"/>
    <w:rsid w:val="006D686D"/>
    <w:rsid w:val="006D68B8"/>
    <w:rsid w:val="006D6911"/>
    <w:rsid w:val="006D6B3D"/>
    <w:rsid w:val="006D6CF3"/>
    <w:rsid w:val="006D6D6D"/>
    <w:rsid w:val="006D6E91"/>
    <w:rsid w:val="006D6F46"/>
    <w:rsid w:val="006D7128"/>
    <w:rsid w:val="006D734E"/>
    <w:rsid w:val="006D7382"/>
    <w:rsid w:val="006D73E4"/>
    <w:rsid w:val="006D7476"/>
    <w:rsid w:val="006D758F"/>
    <w:rsid w:val="006D7629"/>
    <w:rsid w:val="006D762D"/>
    <w:rsid w:val="006D774E"/>
    <w:rsid w:val="006D7796"/>
    <w:rsid w:val="006D77D4"/>
    <w:rsid w:val="006D77D7"/>
    <w:rsid w:val="006D77F4"/>
    <w:rsid w:val="006D784A"/>
    <w:rsid w:val="006D78A9"/>
    <w:rsid w:val="006D796A"/>
    <w:rsid w:val="006D7971"/>
    <w:rsid w:val="006D79AA"/>
    <w:rsid w:val="006D7A2C"/>
    <w:rsid w:val="006D7A6D"/>
    <w:rsid w:val="006D7B11"/>
    <w:rsid w:val="006D7B90"/>
    <w:rsid w:val="006D7C3D"/>
    <w:rsid w:val="006D7FA8"/>
    <w:rsid w:val="006DA811"/>
    <w:rsid w:val="006E0041"/>
    <w:rsid w:val="006E0055"/>
    <w:rsid w:val="006E005F"/>
    <w:rsid w:val="006E0072"/>
    <w:rsid w:val="006E008B"/>
    <w:rsid w:val="006E00BE"/>
    <w:rsid w:val="006E0149"/>
    <w:rsid w:val="006E01D1"/>
    <w:rsid w:val="006E01FA"/>
    <w:rsid w:val="006E02E5"/>
    <w:rsid w:val="006E03DA"/>
    <w:rsid w:val="006E043C"/>
    <w:rsid w:val="006E049F"/>
    <w:rsid w:val="006E0518"/>
    <w:rsid w:val="006E0535"/>
    <w:rsid w:val="006E0546"/>
    <w:rsid w:val="006E0582"/>
    <w:rsid w:val="006E0642"/>
    <w:rsid w:val="006E06A3"/>
    <w:rsid w:val="006E06CB"/>
    <w:rsid w:val="006E0715"/>
    <w:rsid w:val="006E07AA"/>
    <w:rsid w:val="006E07AD"/>
    <w:rsid w:val="006E07B0"/>
    <w:rsid w:val="006E09BB"/>
    <w:rsid w:val="006E0A04"/>
    <w:rsid w:val="006E0C02"/>
    <w:rsid w:val="006E0C43"/>
    <w:rsid w:val="006E0C51"/>
    <w:rsid w:val="006E0D11"/>
    <w:rsid w:val="006E0E0A"/>
    <w:rsid w:val="006E13A1"/>
    <w:rsid w:val="006E13C3"/>
    <w:rsid w:val="006E13F0"/>
    <w:rsid w:val="006E14A5"/>
    <w:rsid w:val="006E15D1"/>
    <w:rsid w:val="006E16A4"/>
    <w:rsid w:val="006E16CB"/>
    <w:rsid w:val="006E16D5"/>
    <w:rsid w:val="006E16F4"/>
    <w:rsid w:val="006E172E"/>
    <w:rsid w:val="006E1743"/>
    <w:rsid w:val="006E1811"/>
    <w:rsid w:val="006E1895"/>
    <w:rsid w:val="006E18B7"/>
    <w:rsid w:val="006E19E3"/>
    <w:rsid w:val="006E1A6C"/>
    <w:rsid w:val="006E1A77"/>
    <w:rsid w:val="006E1B11"/>
    <w:rsid w:val="006E1B1E"/>
    <w:rsid w:val="006E1D0E"/>
    <w:rsid w:val="006E1D8F"/>
    <w:rsid w:val="006E1EBB"/>
    <w:rsid w:val="006E1F51"/>
    <w:rsid w:val="006E2024"/>
    <w:rsid w:val="006E20F7"/>
    <w:rsid w:val="006E21C5"/>
    <w:rsid w:val="006E2407"/>
    <w:rsid w:val="006E2429"/>
    <w:rsid w:val="006E24D5"/>
    <w:rsid w:val="006E251A"/>
    <w:rsid w:val="006E257F"/>
    <w:rsid w:val="006E25A7"/>
    <w:rsid w:val="006E25FA"/>
    <w:rsid w:val="006E25FE"/>
    <w:rsid w:val="006E260B"/>
    <w:rsid w:val="006E260F"/>
    <w:rsid w:val="006E2630"/>
    <w:rsid w:val="006E279A"/>
    <w:rsid w:val="006E28C4"/>
    <w:rsid w:val="006E2909"/>
    <w:rsid w:val="006E292D"/>
    <w:rsid w:val="006E2A1B"/>
    <w:rsid w:val="006E2A24"/>
    <w:rsid w:val="006E2A73"/>
    <w:rsid w:val="006E2C08"/>
    <w:rsid w:val="006E2C44"/>
    <w:rsid w:val="006E2D7C"/>
    <w:rsid w:val="006E2FAD"/>
    <w:rsid w:val="006E2FC2"/>
    <w:rsid w:val="006E2FF3"/>
    <w:rsid w:val="006E304E"/>
    <w:rsid w:val="006E30D7"/>
    <w:rsid w:val="006E30E9"/>
    <w:rsid w:val="006E30EA"/>
    <w:rsid w:val="006E3155"/>
    <w:rsid w:val="006E31B2"/>
    <w:rsid w:val="006E3251"/>
    <w:rsid w:val="006E33DF"/>
    <w:rsid w:val="006E3488"/>
    <w:rsid w:val="006E34CB"/>
    <w:rsid w:val="006E350E"/>
    <w:rsid w:val="006E3650"/>
    <w:rsid w:val="006E36EC"/>
    <w:rsid w:val="006E380C"/>
    <w:rsid w:val="006E3888"/>
    <w:rsid w:val="006E38CD"/>
    <w:rsid w:val="006E3A5F"/>
    <w:rsid w:val="006E3A75"/>
    <w:rsid w:val="006E3C08"/>
    <w:rsid w:val="006E4034"/>
    <w:rsid w:val="006E409C"/>
    <w:rsid w:val="006E4174"/>
    <w:rsid w:val="006E4370"/>
    <w:rsid w:val="006E4484"/>
    <w:rsid w:val="006E44E9"/>
    <w:rsid w:val="006E462C"/>
    <w:rsid w:val="006E46A3"/>
    <w:rsid w:val="006E4725"/>
    <w:rsid w:val="006E47A6"/>
    <w:rsid w:val="006E4866"/>
    <w:rsid w:val="006E4876"/>
    <w:rsid w:val="006E488A"/>
    <w:rsid w:val="006E48E8"/>
    <w:rsid w:val="006E4909"/>
    <w:rsid w:val="006E4963"/>
    <w:rsid w:val="006E4A27"/>
    <w:rsid w:val="006E4A69"/>
    <w:rsid w:val="006E4AD5"/>
    <w:rsid w:val="006E4AFE"/>
    <w:rsid w:val="006E4BB0"/>
    <w:rsid w:val="006E4D1E"/>
    <w:rsid w:val="006E4D2A"/>
    <w:rsid w:val="006E4D8F"/>
    <w:rsid w:val="006E4DA3"/>
    <w:rsid w:val="006E4E3C"/>
    <w:rsid w:val="006E4FBF"/>
    <w:rsid w:val="006E50D4"/>
    <w:rsid w:val="006E50FE"/>
    <w:rsid w:val="006E5128"/>
    <w:rsid w:val="006E51B5"/>
    <w:rsid w:val="006E534B"/>
    <w:rsid w:val="006E5477"/>
    <w:rsid w:val="006E554D"/>
    <w:rsid w:val="006E56C2"/>
    <w:rsid w:val="006E5746"/>
    <w:rsid w:val="006E587E"/>
    <w:rsid w:val="006E58DD"/>
    <w:rsid w:val="006E5925"/>
    <w:rsid w:val="006E5A46"/>
    <w:rsid w:val="006E5A7B"/>
    <w:rsid w:val="006E5B92"/>
    <w:rsid w:val="006E5C47"/>
    <w:rsid w:val="006E5D85"/>
    <w:rsid w:val="006E5E4D"/>
    <w:rsid w:val="006E5EA5"/>
    <w:rsid w:val="006E5EB1"/>
    <w:rsid w:val="006E5FC1"/>
    <w:rsid w:val="006E606E"/>
    <w:rsid w:val="006E61C4"/>
    <w:rsid w:val="006E6323"/>
    <w:rsid w:val="006E6364"/>
    <w:rsid w:val="006E646D"/>
    <w:rsid w:val="006E64CB"/>
    <w:rsid w:val="006E64D3"/>
    <w:rsid w:val="006E6517"/>
    <w:rsid w:val="006E6543"/>
    <w:rsid w:val="006E65E6"/>
    <w:rsid w:val="006E66B3"/>
    <w:rsid w:val="006E6828"/>
    <w:rsid w:val="006E68A4"/>
    <w:rsid w:val="006E691D"/>
    <w:rsid w:val="006E6A3B"/>
    <w:rsid w:val="006E6A7E"/>
    <w:rsid w:val="006E6ABF"/>
    <w:rsid w:val="006E6BA2"/>
    <w:rsid w:val="006E6C36"/>
    <w:rsid w:val="006E6CAE"/>
    <w:rsid w:val="006E6D6A"/>
    <w:rsid w:val="006E6DA7"/>
    <w:rsid w:val="006E6DB0"/>
    <w:rsid w:val="006E6F8B"/>
    <w:rsid w:val="006E70B7"/>
    <w:rsid w:val="006E72E5"/>
    <w:rsid w:val="006E72E6"/>
    <w:rsid w:val="006E74D0"/>
    <w:rsid w:val="006E74E2"/>
    <w:rsid w:val="006E7527"/>
    <w:rsid w:val="006E75B4"/>
    <w:rsid w:val="006E7636"/>
    <w:rsid w:val="006E76B6"/>
    <w:rsid w:val="006E77BC"/>
    <w:rsid w:val="006E784C"/>
    <w:rsid w:val="006E795C"/>
    <w:rsid w:val="006E79C8"/>
    <w:rsid w:val="006E7A3E"/>
    <w:rsid w:val="006E7B32"/>
    <w:rsid w:val="006E7B6E"/>
    <w:rsid w:val="006E7C22"/>
    <w:rsid w:val="006E7C4C"/>
    <w:rsid w:val="006E7DAF"/>
    <w:rsid w:val="006E7DE2"/>
    <w:rsid w:val="006E7F36"/>
    <w:rsid w:val="006E7FA2"/>
    <w:rsid w:val="006F00FE"/>
    <w:rsid w:val="006F01BB"/>
    <w:rsid w:val="006F0242"/>
    <w:rsid w:val="006F028B"/>
    <w:rsid w:val="006F02A6"/>
    <w:rsid w:val="006F0446"/>
    <w:rsid w:val="006F0551"/>
    <w:rsid w:val="006F0576"/>
    <w:rsid w:val="006F0716"/>
    <w:rsid w:val="006F0725"/>
    <w:rsid w:val="006F0785"/>
    <w:rsid w:val="006F07D6"/>
    <w:rsid w:val="006F0845"/>
    <w:rsid w:val="006F0956"/>
    <w:rsid w:val="006F0A90"/>
    <w:rsid w:val="006F0AF0"/>
    <w:rsid w:val="006F0BF0"/>
    <w:rsid w:val="006F0C30"/>
    <w:rsid w:val="006F0CB5"/>
    <w:rsid w:val="006F0D98"/>
    <w:rsid w:val="006F0E04"/>
    <w:rsid w:val="006F0F39"/>
    <w:rsid w:val="006F0F5A"/>
    <w:rsid w:val="006F0FCB"/>
    <w:rsid w:val="006F1261"/>
    <w:rsid w:val="006F1310"/>
    <w:rsid w:val="006F14A2"/>
    <w:rsid w:val="006F14BD"/>
    <w:rsid w:val="006F1525"/>
    <w:rsid w:val="006F1554"/>
    <w:rsid w:val="006F15CD"/>
    <w:rsid w:val="006F15D4"/>
    <w:rsid w:val="006F179C"/>
    <w:rsid w:val="006F1866"/>
    <w:rsid w:val="006F1944"/>
    <w:rsid w:val="006F1A18"/>
    <w:rsid w:val="006F1A47"/>
    <w:rsid w:val="006F1A7C"/>
    <w:rsid w:val="006F1B7E"/>
    <w:rsid w:val="006F1D50"/>
    <w:rsid w:val="006F1DFE"/>
    <w:rsid w:val="006F1E60"/>
    <w:rsid w:val="006F1F59"/>
    <w:rsid w:val="006F1F60"/>
    <w:rsid w:val="006F20E0"/>
    <w:rsid w:val="006F21F9"/>
    <w:rsid w:val="006F2227"/>
    <w:rsid w:val="006F227E"/>
    <w:rsid w:val="006F2284"/>
    <w:rsid w:val="006F229E"/>
    <w:rsid w:val="006F22BE"/>
    <w:rsid w:val="006F2363"/>
    <w:rsid w:val="006F2387"/>
    <w:rsid w:val="006F23AF"/>
    <w:rsid w:val="006F256C"/>
    <w:rsid w:val="006F25DF"/>
    <w:rsid w:val="006F25FF"/>
    <w:rsid w:val="006F2612"/>
    <w:rsid w:val="006F2662"/>
    <w:rsid w:val="006F266E"/>
    <w:rsid w:val="006F2724"/>
    <w:rsid w:val="006F2729"/>
    <w:rsid w:val="006F28AB"/>
    <w:rsid w:val="006F28F5"/>
    <w:rsid w:val="006F2997"/>
    <w:rsid w:val="006F29A0"/>
    <w:rsid w:val="006F2C3D"/>
    <w:rsid w:val="006F2CD6"/>
    <w:rsid w:val="006F2D77"/>
    <w:rsid w:val="006F3105"/>
    <w:rsid w:val="006F31FE"/>
    <w:rsid w:val="006F3301"/>
    <w:rsid w:val="006F33A8"/>
    <w:rsid w:val="006F34D1"/>
    <w:rsid w:val="006F34DA"/>
    <w:rsid w:val="006F3519"/>
    <w:rsid w:val="006F357D"/>
    <w:rsid w:val="006F3635"/>
    <w:rsid w:val="006F367B"/>
    <w:rsid w:val="006F379C"/>
    <w:rsid w:val="006F382B"/>
    <w:rsid w:val="006F395E"/>
    <w:rsid w:val="006F396C"/>
    <w:rsid w:val="006F3AE5"/>
    <w:rsid w:val="006F3BB5"/>
    <w:rsid w:val="006F3C5A"/>
    <w:rsid w:val="006F3C73"/>
    <w:rsid w:val="006F3C7B"/>
    <w:rsid w:val="006F3CBD"/>
    <w:rsid w:val="006F3CD4"/>
    <w:rsid w:val="006F3CEF"/>
    <w:rsid w:val="006F3DAE"/>
    <w:rsid w:val="006F3E4A"/>
    <w:rsid w:val="006F3FCD"/>
    <w:rsid w:val="006F4134"/>
    <w:rsid w:val="006F41B3"/>
    <w:rsid w:val="006F421D"/>
    <w:rsid w:val="006F4286"/>
    <w:rsid w:val="006F42A3"/>
    <w:rsid w:val="006F43FD"/>
    <w:rsid w:val="006F4532"/>
    <w:rsid w:val="006F477D"/>
    <w:rsid w:val="006F47B3"/>
    <w:rsid w:val="006F486D"/>
    <w:rsid w:val="006F48F4"/>
    <w:rsid w:val="006F491C"/>
    <w:rsid w:val="006F4923"/>
    <w:rsid w:val="006F49EC"/>
    <w:rsid w:val="006F4B3A"/>
    <w:rsid w:val="006F4B96"/>
    <w:rsid w:val="006F4CC6"/>
    <w:rsid w:val="006F4CE3"/>
    <w:rsid w:val="006F4D1E"/>
    <w:rsid w:val="006F4F31"/>
    <w:rsid w:val="006F4F9E"/>
    <w:rsid w:val="006F4FA9"/>
    <w:rsid w:val="006F4FC3"/>
    <w:rsid w:val="006F5082"/>
    <w:rsid w:val="006F51A3"/>
    <w:rsid w:val="006F51F3"/>
    <w:rsid w:val="006F520F"/>
    <w:rsid w:val="006F522E"/>
    <w:rsid w:val="006F52CA"/>
    <w:rsid w:val="006F5450"/>
    <w:rsid w:val="006F558A"/>
    <w:rsid w:val="006F5594"/>
    <w:rsid w:val="006F55FF"/>
    <w:rsid w:val="006F562D"/>
    <w:rsid w:val="006F563D"/>
    <w:rsid w:val="006F5864"/>
    <w:rsid w:val="006F5908"/>
    <w:rsid w:val="006F5981"/>
    <w:rsid w:val="006F5C16"/>
    <w:rsid w:val="006F5C77"/>
    <w:rsid w:val="006F5D2E"/>
    <w:rsid w:val="006F5DDA"/>
    <w:rsid w:val="006F5EE2"/>
    <w:rsid w:val="006F5F18"/>
    <w:rsid w:val="006F5FAE"/>
    <w:rsid w:val="006F5FE6"/>
    <w:rsid w:val="006F6090"/>
    <w:rsid w:val="006F60CA"/>
    <w:rsid w:val="006F61A7"/>
    <w:rsid w:val="006F624F"/>
    <w:rsid w:val="006F62AC"/>
    <w:rsid w:val="006F62FE"/>
    <w:rsid w:val="006F633B"/>
    <w:rsid w:val="006F669F"/>
    <w:rsid w:val="006F67B4"/>
    <w:rsid w:val="006F6800"/>
    <w:rsid w:val="006F6881"/>
    <w:rsid w:val="006F688B"/>
    <w:rsid w:val="006F689F"/>
    <w:rsid w:val="006F6939"/>
    <w:rsid w:val="006F6993"/>
    <w:rsid w:val="006F69F1"/>
    <w:rsid w:val="006F6C8F"/>
    <w:rsid w:val="006F6D07"/>
    <w:rsid w:val="006F6D30"/>
    <w:rsid w:val="006F6D6C"/>
    <w:rsid w:val="006F6ED0"/>
    <w:rsid w:val="006F6F09"/>
    <w:rsid w:val="006F70EC"/>
    <w:rsid w:val="006F70FD"/>
    <w:rsid w:val="006F7163"/>
    <w:rsid w:val="006F7171"/>
    <w:rsid w:val="006F717B"/>
    <w:rsid w:val="006F72D4"/>
    <w:rsid w:val="006F73BF"/>
    <w:rsid w:val="006F73FD"/>
    <w:rsid w:val="006F74A4"/>
    <w:rsid w:val="006F7505"/>
    <w:rsid w:val="006F7652"/>
    <w:rsid w:val="006F7804"/>
    <w:rsid w:val="006F793E"/>
    <w:rsid w:val="006F79A7"/>
    <w:rsid w:val="006F7A34"/>
    <w:rsid w:val="006F7B13"/>
    <w:rsid w:val="006F7D21"/>
    <w:rsid w:val="006F7D51"/>
    <w:rsid w:val="006F7D64"/>
    <w:rsid w:val="006F7EE4"/>
    <w:rsid w:val="006F7F2D"/>
    <w:rsid w:val="006F7FE0"/>
    <w:rsid w:val="0070016D"/>
    <w:rsid w:val="00700363"/>
    <w:rsid w:val="00700390"/>
    <w:rsid w:val="007003B1"/>
    <w:rsid w:val="00700423"/>
    <w:rsid w:val="0070045B"/>
    <w:rsid w:val="007005D0"/>
    <w:rsid w:val="00700642"/>
    <w:rsid w:val="00700652"/>
    <w:rsid w:val="007006ED"/>
    <w:rsid w:val="007007B4"/>
    <w:rsid w:val="0070085C"/>
    <w:rsid w:val="007008DF"/>
    <w:rsid w:val="007008F2"/>
    <w:rsid w:val="00700944"/>
    <w:rsid w:val="0070096E"/>
    <w:rsid w:val="00700C00"/>
    <w:rsid w:val="00700C04"/>
    <w:rsid w:val="00700C13"/>
    <w:rsid w:val="00700C6E"/>
    <w:rsid w:val="00700CC9"/>
    <w:rsid w:val="00700DBC"/>
    <w:rsid w:val="00700DE2"/>
    <w:rsid w:val="00700F03"/>
    <w:rsid w:val="00700F50"/>
    <w:rsid w:val="00700FAD"/>
    <w:rsid w:val="007010E7"/>
    <w:rsid w:val="0070111A"/>
    <w:rsid w:val="00701141"/>
    <w:rsid w:val="0070124F"/>
    <w:rsid w:val="007012AF"/>
    <w:rsid w:val="0070130C"/>
    <w:rsid w:val="0070139C"/>
    <w:rsid w:val="0070160C"/>
    <w:rsid w:val="00701695"/>
    <w:rsid w:val="007016AC"/>
    <w:rsid w:val="007016E5"/>
    <w:rsid w:val="00701752"/>
    <w:rsid w:val="007017E8"/>
    <w:rsid w:val="0070190C"/>
    <w:rsid w:val="00701989"/>
    <w:rsid w:val="00701B5C"/>
    <w:rsid w:val="00701B62"/>
    <w:rsid w:val="00701C04"/>
    <w:rsid w:val="00701C25"/>
    <w:rsid w:val="00701D1F"/>
    <w:rsid w:val="00701D7C"/>
    <w:rsid w:val="00701EC7"/>
    <w:rsid w:val="00701F34"/>
    <w:rsid w:val="00701F76"/>
    <w:rsid w:val="00702067"/>
    <w:rsid w:val="00702093"/>
    <w:rsid w:val="007020F8"/>
    <w:rsid w:val="00702119"/>
    <w:rsid w:val="00702219"/>
    <w:rsid w:val="0070233C"/>
    <w:rsid w:val="00702377"/>
    <w:rsid w:val="00702400"/>
    <w:rsid w:val="0070248D"/>
    <w:rsid w:val="007024DA"/>
    <w:rsid w:val="007026B3"/>
    <w:rsid w:val="00702832"/>
    <w:rsid w:val="00702929"/>
    <w:rsid w:val="00702BC9"/>
    <w:rsid w:val="00702BD4"/>
    <w:rsid w:val="00702C27"/>
    <w:rsid w:val="00702D30"/>
    <w:rsid w:val="00702D52"/>
    <w:rsid w:val="00702D9A"/>
    <w:rsid w:val="00702ED9"/>
    <w:rsid w:val="00702F0C"/>
    <w:rsid w:val="00702F84"/>
    <w:rsid w:val="00702FF3"/>
    <w:rsid w:val="00703074"/>
    <w:rsid w:val="00703136"/>
    <w:rsid w:val="007031CC"/>
    <w:rsid w:val="00703328"/>
    <w:rsid w:val="0070353D"/>
    <w:rsid w:val="007036BF"/>
    <w:rsid w:val="007037DF"/>
    <w:rsid w:val="00703847"/>
    <w:rsid w:val="00703882"/>
    <w:rsid w:val="00703890"/>
    <w:rsid w:val="00703921"/>
    <w:rsid w:val="00703998"/>
    <w:rsid w:val="007039C1"/>
    <w:rsid w:val="007039CC"/>
    <w:rsid w:val="00703A3D"/>
    <w:rsid w:val="00703A4A"/>
    <w:rsid w:val="00703BDE"/>
    <w:rsid w:val="00703C1F"/>
    <w:rsid w:val="00703C92"/>
    <w:rsid w:val="00703CDF"/>
    <w:rsid w:val="00703E29"/>
    <w:rsid w:val="00704002"/>
    <w:rsid w:val="00704010"/>
    <w:rsid w:val="007040AC"/>
    <w:rsid w:val="0070416E"/>
    <w:rsid w:val="00704183"/>
    <w:rsid w:val="0070433B"/>
    <w:rsid w:val="00704495"/>
    <w:rsid w:val="00704542"/>
    <w:rsid w:val="0070457E"/>
    <w:rsid w:val="007045D6"/>
    <w:rsid w:val="00704612"/>
    <w:rsid w:val="00704694"/>
    <w:rsid w:val="00704708"/>
    <w:rsid w:val="00704920"/>
    <w:rsid w:val="00704969"/>
    <w:rsid w:val="0070496A"/>
    <w:rsid w:val="00704990"/>
    <w:rsid w:val="00704991"/>
    <w:rsid w:val="00704A39"/>
    <w:rsid w:val="00704A55"/>
    <w:rsid w:val="00704A81"/>
    <w:rsid w:val="00704A97"/>
    <w:rsid w:val="00704B9A"/>
    <w:rsid w:val="00704BA6"/>
    <w:rsid w:val="00704D78"/>
    <w:rsid w:val="00704DF7"/>
    <w:rsid w:val="00704EED"/>
    <w:rsid w:val="00705032"/>
    <w:rsid w:val="007050B7"/>
    <w:rsid w:val="00705109"/>
    <w:rsid w:val="00705115"/>
    <w:rsid w:val="0070511C"/>
    <w:rsid w:val="0070513A"/>
    <w:rsid w:val="00705153"/>
    <w:rsid w:val="007052FB"/>
    <w:rsid w:val="007053D2"/>
    <w:rsid w:val="007054A7"/>
    <w:rsid w:val="0070551F"/>
    <w:rsid w:val="0070559E"/>
    <w:rsid w:val="0070565D"/>
    <w:rsid w:val="00705692"/>
    <w:rsid w:val="007056FA"/>
    <w:rsid w:val="0070577A"/>
    <w:rsid w:val="0070589E"/>
    <w:rsid w:val="007058DC"/>
    <w:rsid w:val="00705976"/>
    <w:rsid w:val="0070597F"/>
    <w:rsid w:val="007059BF"/>
    <w:rsid w:val="00705A35"/>
    <w:rsid w:val="00705A50"/>
    <w:rsid w:val="00705B20"/>
    <w:rsid w:val="00705BBA"/>
    <w:rsid w:val="00705C28"/>
    <w:rsid w:val="00705C2E"/>
    <w:rsid w:val="00705C90"/>
    <w:rsid w:val="00705C9C"/>
    <w:rsid w:val="00705D13"/>
    <w:rsid w:val="00705D19"/>
    <w:rsid w:val="00705DC5"/>
    <w:rsid w:val="00705E79"/>
    <w:rsid w:val="00705EB7"/>
    <w:rsid w:val="00705EBA"/>
    <w:rsid w:val="00705F04"/>
    <w:rsid w:val="00705F37"/>
    <w:rsid w:val="00705FA3"/>
    <w:rsid w:val="00706018"/>
    <w:rsid w:val="007060A8"/>
    <w:rsid w:val="00706104"/>
    <w:rsid w:val="007061F2"/>
    <w:rsid w:val="0070631C"/>
    <w:rsid w:val="00706357"/>
    <w:rsid w:val="0070657F"/>
    <w:rsid w:val="007065F2"/>
    <w:rsid w:val="007066F0"/>
    <w:rsid w:val="00706719"/>
    <w:rsid w:val="0070682D"/>
    <w:rsid w:val="00706929"/>
    <w:rsid w:val="00706B16"/>
    <w:rsid w:val="00706B2D"/>
    <w:rsid w:val="00706B57"/>
    <w:rsid w:val="00706BD3"/>
    <w:rsid w:val="00706C4D"/>
    <w:rsid w:val="00706CD9"/>
    <w:rsid w:val="00706D4C"/>
    <w:rsid w:val="00706E04"/>
    <w:rsid w:val="00706FD6"/>
    <w:rsid w:val="0070700E"/>
    <w:rsid w:val="007070A7"/>
    <w:rsid w:val="00707136"/>
    <w:rsid w:val="0070715A"/>
    <w:rsid w:val="00707160"/>
    <w:rsid w:val="0070722B"/>
    <w:rsid w:val="00707253"/>
    <w:rsid w:val="00707303"/>
    <w:rsid w:val="00707323"/>
    <w:rsid w:val="00707389"/>
    <w:rsid w:val="007073CB"/>
    <w:rsid w:val="007076D3"/>
    <w:rsid w:val="0070771B"/>
    <w:rsid w:val="0070776C"/>
    <w:rsid w:val="007078A4"/>
    <w:rsid w:val="007078DD"/>
    <w:rsid w:val="00707927"/>
    <w:rsid w:val="00707934"/>
    <w:rsid w:val="00707995"/>
    <w:rsid w:val="007079E0"/>
    <w:rsid w:val="00707A49"/>
    <w:rsid w:val="00707AA9"/>
    <w:rsid w:val="00707C88"/>
    <w:rsid w:val="00707CEC"/>
    <w:rsid w:val="00707D56"/>
    <w:rsid w:val="00707E81"/>
    <w:rsid w:val="00707F8A"/>
    <w:rsid w:val="00707FD4"/>
    <w:rsid w:val="0071005F"/>
    <w:rsid w:val="007100A0"/>
    <w:rsid w:val="00710106"/>
    <w:rsid w:val="00710155"/>
    <w:rsid w:val="007101E4"/>
    <w:rsid w:val="007101EE"/>
    <w:rsid w:val="00710255"/>
    <w:rsid w:val="0071027D"/>
    <w:rsid w:val="007102A5"/>
    <w:rsid w:val="00710331"/>
    <w:rsid w:val="00710376"/>
    <w:rsid w:val="007103B6"/>
    <w:rsid w:val="007103F5"/>
    <w:rsid w:val="00710562"/>
    <w:rsid w:val="007105A4"/>
    <w:rsid w:val="007105EF"/>
    <w:rsid w:val="00710781"/>
    <w:rsid w:val="0071090F"/>
    <w:rsid w:val="007109BB"/>
    <w:rsid w:val="007109F3"/>
    <w:rsid w:val="00710A2B"/>
    <w:rsid w:val="00710A98"/>
    <w:rsid w:val="00710AB9"/>
    <w:rsid w:val="00710ACC"/>
    <w:rsid w:val="00710ACE"/>
    <w:rsid w:val="00710BAA"/>
    <w:rsid w:val="00710C74"/>
    <w:rsid w:val="00710F48"/>
    <w:rsid w:val="00710FDA"/>
    <w:rsid w:val="00711008"/>
    <w:rsid w:val="0071101D"/>
    <w:rsid w:val="00711023"/>
    <w:rsid w:val="007111D5"/>
    <w:rsid w:val="00711241"/>
    <w:rsid w:val="007112FC"/>
    <w:rsid w:val="00711378"/>
    <w:rsid w:val="007113D7"/>
    <w:rsid w:val="00711428"/>
    <w:rsid w:val="00711498"/>
    <w:rsid w:val="00711691"/>
    <w:rsid w:val="00711695"/>
    <w:rsid w:val="007116EB"/>
    <w:rsid w:val="0071171B"/>
    <w:rsid w:val="00711792"/>
    <w:rsid w:val="007117A7"/>
    <w:rsid w:val="007118FC"/>
    <w:rsid w:val="00711975"/>
    <w:rsid w:val="0071197D"/>
    <w:rsid w:val="0071199D"/>
    <w:rsid w:val="00711B46"/>
    <w:rsid w:val="00711C04"/>
    <w:rsid w:val="00711CE9"/>
    <w:rsid w:val="00711CEA"/>
    <w:rsid w:val="00711F44"/>
    <w:rsid w:val="00711F5A"/>
    <w:rsid w:val="0071204B"/>
    <w:rsid w:val="00712148"/>
    <w:rsid w:val="007122A1"/>
    <w:rsid w:val="007122EF"/>
    <w:rsid w:val="00712566"/>
    <w:rsid w:val="0071277A"/>
    <w:rsid w:val="007129F7"/>
    <w:rsid w:val="00712A5D"/>
    <w:rsid w:val="00712B29"/>
    <w:rsid w:val="00712C38"/>
    <w:rsid w:val="00712C56"/>
    <w:rsid w:val="00712C5D"/>
    <w:rsid w:val="00712CA7"/>
    <w:rsid w:val="00712CE0"/>
    <w:rsid w:val="00712D24"/>
    <w:rsid w:val="00712E01"/>
    <w:rsid w:val="00712E86"/>
    <w:rsid w:val="00712F17"/>
    <w:rsid w:val="00712F66"/>
    <w:rsid w:val="00712F69"/>
    <w:rsid w:val="00712FCD"/>
    <w:rsid w:val="0071305C"/>
    <w:rsid w:val="007130B2"/>
    <w:rsid w:val="007130D7"/>
    <w:rsid w:val="007131CB"/>
    <w:rsid w:val="007131E6"/>
    <w:rsid w:val="00713378"/>
    <w:rsid w:val="007136D0"/>
    <w:rsid w:val="00713706"/>
    <w:rsid w:val="00713710"/>
    <w:rsid w:val="00713713"/>
    <w:rsid w:val="0071382A"/>
    <w:rsid w:val="007138E2"/>
    <w:rsid w:val="00713996"/>
    <w:rsid w:val="007139E5"/>
    <w:rsid w:val="00713B27"/>
    <w:rsid w:val="00713C52"/>
    <w:rsid w:val="00713E45"/>
    <w:rsid w:val="00713F2C"/>
    <w:rsid w:val="0071406A"/>
    <w:rsid w:val="007140DE"/>
    <w:rsid w:val="007141C9"/>
    <w:rsid w:val="00714305"/>
    <w:rsid w:val="00714396"/>
    <w:rsid w:val="0071447A"/>
    <w:rsid w:val="007144F3"/>
    <w:rsid w:val="0071458D"/>
    <w:rsid w:val="007145D0"/>
    <w:rsid w:val="00714600"/>
    <w:rsid w:val="007146A4"/>
    <w:rsid w:val="007146FE"/>
    <w:rsid w:val="00714817"/>
    <w:rsid w:val="0071489F"/>
    <w:rsid w:val="007148F0"/>
    <w:rsid w:val="0071494A"/>
    <w:rsid w:val="007149A3"/>
    <w:rsid w:val="00714AA3"/>
    <w:rsid w:val="00714AC5"/>
    <w:rsid w:val="00714ADB"/>
    <w:rsid w:val="00714B14"/>
    <w:rsid w:val="00714B31"/>
    <w:rsid w:val="00714B54"/>
    <w:rsid w:val="00714BBE"/>
    <w:rsid w:val="00714D2B"/>
    <w:rsid w:val="00714DB1"/>
    <w:rsid w:val="00714E66"/>
    <w:rsid w:val="00714E80"/>
    <w:rsid w:val="00714F1F"/>
    <w:rsid w:val="00715001"/>
    <w:rsid w:val="007150A1"/>
    <w:rsid w:val="007150C6"/>
    <w:rsid w:val="00715121"/>
    <w:rsid w:val="0071524B"/>
    <w:rsid w:val="00715274"/>
    <w:rsid w:val="007152BA"/>
    <w:rsid w:val="007152D8"/>
    <w:rsid w:val="007152EF"/>
    <w:rsid w:val="0071531F"/>
    <w:rsid w:val="0071544F"/>
    <w:rsid w:val="00715507"/>
    <w:rsid w:val="00715547"/>
    <w:rsid w:val="0071554D"/>
    <w:rsid w:val="007155C5"/>
    <w:rsid w:val="007155CF"/>
    <w:rsid w:val="007156C9"/>
    <w:rsid w:val="007156F7"/>
    <w:rsid w:val="007157DD"/>
    <w:rsid w:val="00715833"/>
    <w:rsid w:val="0071599C"/>
    <w:rsid w:val="00715B22"/>
    <w:rsid w:val="00715BA0"/>
    <w:rsid w:val="00715BB3"/>
    <w:rsid w:val="00715BF5"/>
    <w:rsid w:val="00715CE0"/>
    <w:rsid w:val="00715E21"/>
    <w:rsid w:val="00715FD8"/>
    <w:rsid w:val="007161A3"/>
    <w:rsid w:val="007161F4"/>
    <w:rsid w:val="00716260"/>
    <w:rsid w:val="007162C6"/>
    <w:rsid w:val="007162C9"/>
    <w:rsid w:val="00716470"/>
    <w:rsid w:val="007166DD"/>
    <w:rsid w:val="00716756"/>
    <w:rsid w:val="007167C4"/>
    <w:rsid w:val="00716868"/>
    <w:rsid w:val="007168A9"/>
    <w:rsid w:val="007168C9"/>
    <w:rsid w:val="00716938"/>
    <w:rsid w:val="007169B8"/>
    <w:rsid w:val="00716A6C"/>
    <w:rsid w:val="00716B74"/>
    <w:rsid w:val="00716C1C"/>
    <w:rsid w:val="00716C36"/>
    <w:rsid w:val="00716C7E"/>
    <w:rsid w:val="00716E91"/>
    <w:rsid w:val="00716EB3"/>
    <w:rsid w:val="00716EF7"/>
    <w:rsid w:val="00716F6E"/>
    <w:rsid w:val="00716FB7"/>
    <w:rsid w:val="00716FD5"/>
    <w:rsid w:val="0071704E"/>
    <w:rsid w:val="00717195"/>
    <w:rsid w:val="00717294"/>
    <w:rsid w:val="007172D4"/>
    <w:rsid w:val="007173DF"/>
    <w:rsid w:val="0071747B"/>
    <w:rsid w:val="007174A1"/>
    <w:rsid w:val="007174AB"/>
    <w:rsid w:val="00717552"/>
    <w:rsid w:val="00717674"/>
    <w:rsid w:val="0071767C"/>
    <w:rsid w:val="00717681"/>
    <w:rsid w:val="00717689"/>
    <w:rsid w:val="0071770C"/>
    <w:rsid w:val="00717751"/>
    <w:rsid w:val="007177E8"/>
    <w:rsid w:val="00717923"/>
    <w:rsid w:val="00717943"/>
    <w:rsid w:val="00717980"/>
    <w:rsid w:val="007179A2"/>
    <w:rsid w:val="007179B8"/>
    <w:rsid w:val="00717B5D"/>
    <w:rsid w:val="00717D93"/>
    <w:rsid w:val="00717E70"/>
    <w:rsid w:val="00717EE0"/>
    <w:rsid w:val="00717F66"/>
    <w:rsid w:val="00717FF4"/>
    <w:rsid w:val="0072001C"/>
    <w:rsid w:val="0072002D"/>
    <w:rsid w:val="0072002E"/>
    <w:rsid w:val="00720158"/>
    <w:rsid w:val="00720197"/>
    <w:rsid w:val="00720359"/>
    <w:rsid w:val="00720436"/>
    <w:rsid w:val="0072062E"/>
    <w:rsid w:val="007206FB"/>
    <w:rsid w:val="00720909"/>
    <w:rsid w:val="007209A7"/>
    <w:rsid w:val="00720A62"/>
    <w:rsid w:val="00720B96"/>
    <w:rsid w:val="00720BC8"/>
    <w:rsid w:val="00720D5D"/>
    <w:rsid w:val="00720DB1"/>
    <w:rsid w:val="00720E2D"/>
    <w:rsid w:val="0072105C"/>
    <w:rsid w:val="00721070"/>
    <w:rsid w:val="007210A4"/>
    <w:rsid w:val="007211DA"/>
    <w:rsid w:val="00721291"/>
    <w:rsid w:val="0072136A"/>
    <w:rsid w:val="00721522"/>
    <w:rsid w:val="00721539"/>
    <w:rsid w:val="0072154E"/>
    <w:rsid w:val="00721614"/>
    <w:rsid w:val="00721730"/>
    <w:rsid w:val="00721886"/>
    <w:rsid w:val="00721992"/>
    <w:rsid w:val="007219D3"/>
    <w:rsid w:val="00721C7B"/>
    <w:rsid w:val="00721D2A"/>
    <w:rsid w:val="00721E35"/>
    <w:rsid w:val="00721EDB"/>
    <w:rsid w:val="00721F3F"/>
    <w:rsid w:val="0072208C"/>
    <w:rsid w:val="007221DC"/>
    <w:rsid w:val="00722209"/>
    <w:rsid w:val="00722240"/>
    <w:rsid w:val="00722242"/>
    <w:rsid w:val="00722492"/>
    <w:rsid w:val="007225B6"/>
    <w:rsid w:val="007225FB"/>
    <w:rsid w:val="0072269E"/>
    <w:rsid w:val="007227FB"/>
    <w:rsid w:val="0072280A"/>
    <w:rsid w:val="00722895"/>
    <w:rsid w:val="0072296F"/>
    <w:rsid w:val="00722B4C"/>
    <w:rsid w:val="00722B99"/>
    <w:rsid w:val="00722BED"/>
    <w:rsid w:val="00722BF8"/>
    <w:rsid w:val="00722C37"/>
    <w:rsid w:val="00722CBF"/>
    <w:rsid w:val="00722CEC"/>
    <w:rsid w:val="00722D00"/>
    <w:rsid w:val="00722DF3"/>
    <w:rsid w:val="00722E3D"/>
    <w:rsid w:val="00722E48"/>
    <w:rsid w:val="00722E95"/>
    <w:rsid w:val="00722EC9"/>
    <w:rsid w:val="00722FDD"/>
    <w:rsid w:val="007233B6"/>
    <w:rsid w:val="00723431"/>
    <w:rsid w:val="0072347C"/>
    <w:rsid w:val="007234C4"/>
    <w:rsid w:val="00723548"/>
    <w:rsid w:val="00723566"/>
    <w:rsid w:val="00723640"/>
    <w:rsid w:val="00723708"/>
    <w:rsid w:val="007238BC"/>
    <w:rsid w:val="007238F5"/>
    <w:rsid w:val="0072392F"/>
    <w:rsid w:val="00723B56"/>
    <w:rsid w:val="00723B64"/>
    <w:rsid w:val="00723B84"/>
    <w:rsid w:val="00723D0C"/>
    <w:rsid w:val="00723D14"/>
    <w:rsid w:val="00723E32"/>
    <w:rsid w:val="00723EB0"/>
    <w:rsid w:val="00723F7D"/>
    <w:rsid w:val="00723F95"/>
    <w:rsid w:val="0072401B"/>
    <w:rsid w:val="0072412D"/>
    <w:rsid w:val="00724203"/>
    <w:rsid w:val="007242DE"/>
    <w:rsid w:val="007243F3"/>
    <w:rsid w:val="00724442"/>
    <w:rsid w:val="0072464A"/>
    <w:rsid w:val="007246D5"/>
    <w:rsid w:val="007248F6"/>
    <w:rsid w:val="007249DC"/>
    <w:rsid w:val="00724A71"/>
    <w:rsid w:val="00724A73"/>
    <w:rsid w:val="00724B7C"/>
    <w:rsid w:val="00724BC1"/>
    <w:rsid w:val="00724BFA"/>
    <w:rsid w:val="00724D17"/>
    <w:rsid w:val="00724E8C"/>
    <w:rsid w:val="00724ED5"/>
    <w:rsid w:val="00724F88"/>
    <w:rsid w:val="00724FAA"/>
    <w:rsid w:val="0072503E"/>
    <w:rsid w:val="007251CC"/>
    <w:rsid w:val="00725220"/>
    <w:rsid w:val="0072541C"/>
    <w:rsid w:val="0072548B"/>
    <w:rsid w:val="00725509"/>
    <w:rsid w:val="007256A7"/>
    <w:rsid w:val="0072578B"/>
    <w:rsid w:val="00725859"/>
    <w:rsid w:val="007258E2"/>
    <w:rsid w:val="00725931"/>
    <w:rsid w:val="007259A4"/>
    <w:rsid w:val="007259A9"/>
    <w:rsid w:val="00725B5B"/>
    <w:rsid w:val="00725C49"/>
    <w:rsid w:val="00725C73"/>
    <w:rsid w:val="00725CAD"/>
    <w:rsid w:val="00725DCE"/>
    <w:rsid w:val="00725E2D"/>
    <w:rsid w:val="00725E94"/>
    <w:rsid w:val="00725EA1"/>
    <w:rsid w:val="00725EF0"/>
    <w:rsid w:val="00725F1D"/>
    <w:rsid w:val="0072602B"/>
    <w:rsid w:val="00726046"/>
    <w:rsid w:val="0072604F"/>
    <w:rsid w:val="007260D8"/>
    <w:rsid w:val="00726145"/>
    <w:rsid w:val="007261E0"/>
    <w:rsid w:val="00726258"/>
    <w:rsid w:val="00726359"/>
    <w:rsid w:val="007263E7"/>
    <w:rsid w:val="00726421"/>
    <w:rsid w:val="00726492"/>
    <w:rsid w:val="007264D2"/>
    <w:rsid w:val="007267FB"/>
    <w:rsid w:val="00726874"/>
    <w:rsid w:val="00726961"/>
    <w:rsid w:val="0072696B"/>
    <w:rsid w:val="00726A78"/>
    <w:rsid w:val="00726A96"/>
    <w:rsid w:val="00726AAC"/>
    <w:rsid w:val="00726AFC"/>
    <w:rsid w:val="00726BDE"/>
    <w:rsid w:val="00726CAD"/>
    <w:rsid w:val="00726D11"/>
    <w:rsid w:val="00726D4D"/>
    <w:rsid w:val="00726D84"/>
    <w:rsid w:val="00726E10"/>
    <w:rsid w:val="00726EDE"/>
    <w:rsid w:val="00726F1C"/>
    <w:rsid w:val="00726F47"/>
    <w:rsid w:val="00726FF1"/>
    <w:rsid w:val="00727092"/>
    <w:rsid w:val="00727123"/>
    <w:rsid w:val="00727352"/>
    <w:rsid w:val="0072745F"/>
    <w:rsid w:val="00727541"/>
    <w:rsid w:val="0072769D"/>
    <w:rsid w:val="007276CB"/>
    <w:rsid w:val="007277B8"/>
    <w:rsid w:val="0072783B"/>
    <w:rsid w:val="00727842"/>
    <w:rsid w:val="00727A12"/>
    <w:rsid w:val="00727A5D"/>
    <w:rsid w:val="00727A6A"/>
    <w:rsid w:val="00727AAA"/>
    <w:rsid w:val="00727ABB"/>
    <w:rsid w:val="00727B00"/>
    <w:rsid w:val="00727B01"/>
    <w:rsid w:val="00727C39"/>
    <w:rsid w:val="00727F06"/>
    <w:rsid w:val="00727F1F"/>
    <w:rsid w:val="00727FCB"/>
    <w:rsid w:val="00727FCD"/>
    <w:rsid w:val="0072EC11"/>
    <w:rsid w:val="00730165"/>
    <w:rsid w:val="00730261"/>
    <w:rsid w:val="0073028E"/>
    <w:rsid w:val="007302E6"/>
    <w:rsid w:val="00730483"/>
    <w:rsid w:val="00730494"/>
    <w:rsid w:val="00730499"/>
    <w:rsid w:val="007304D9"/>
    <w:rsid w:val="0073050C"/>
    <w:rsid w:val="00730578"/>
    <w:rsid w:val="0073064E"/>
    <w:rsid w:val="00730699"/>
    <w:rsid w:val="007306C5"/>
    <w:rsid w:val="00730972"/>
    <w:rsid w:val="007309C2"/>
    <w:rsid w:val="00730AB1"/>
    <w:rsid w:val="00730CD5"/>
    <w:rsid w:val="00730D29"/>
    <w:rsid w:val="00730FE9"/>
    <w:rsid w:val="007310F6"/>
    <w:rsid w:val="00731167"/>
    <w:rsid w:val="00731285"/>
    <w:rsid w:val="00731362"/>
    <w:rsid w:val="0073148D"/>
    <w:rsid w:val="007315CF"/>
    <w:rsid w:val="0073164F"/>
    <w:rsid w:val="00731824"/>
    <w:rsid w:val="00731968"/>
    <w:rsid w:val="0073198E"/>
    <w:rsid w:val="007319A2"/>
    <w:rsid w:val="007319C7"/>
    <w:rsid w:val="00731A20"/>
    <w:rsid w:val="00731BEF"/>
    <w:rsid w:val="00731C60"/>
    <w:rsid w:val="00731D7E"/>
    <w:rsid w:val="00731DDE"/>
    <w:rsid w:val="00731E96"/>
    <w:rsid w:val="00731EC2"/>
    <w:rsid w:val="0073207F"/>
    <w:rsid w:val="0073212D"/>
    <w:rsid w:val="007322F8"/>
    <w:rsid w:val="007323B7"/>
    <w:rsid w:val="007324B5"/>
    <w:rsid w:val="007325A9"/>
    <w:rsid w:val="0073274F"/>
    <w:rsid w:val="00732886"/>
    <w:rsid w:val="007328AE"/>
    <w:rsid w:val="00732909"/>
    <w:rsid w:val="00732963"/>
    <w:rsid w:val="00732A65"/>
    <w:rsid w:val="00732AC0"/>
    <w:rsid w:val="00732B47"/>
    <w:rsid w:val="00732C84"/>
    <w:rsid w:val="00732EFB"/>
    <w:rsid w:val="00732F28"/>
    <w:rsid w:val="00732FBC"/>
    <w:rsid w:val="007330D8"/>
    <w:rsid w:val="007332B3"/>
    <w:rsid w:val="007333D2"/>
    <w:rsid w:val="00733408"/>
    <w:rsid w:val="00733529"/>
    <w:rsid w:val="00733533"/>
    <w:rsid w:val="00733617"/>
    <w:rsid w:val="007336ED"/>
    <w:rsid w:val="007337D0"/>
    <w:rsid w:val="0073395F"/>
    <w:rsid w:val="00733B03"/>
    <w:rsid w:val="00733B26"/>
    <w:rsid w:val="00733B3D"/>
    <w:rsid w:val="00733BF3"/>
    <w:rsid w:val="00733CD2"/>
    <w:rsid w:val="00733D93"/>
    <w:rsid w:val="00733E9C"/>
    <w:rsid w:val="00733F19"/>
    <w:rsid w:val="00733F52"/>
    <w:rsid w:val="00733F65"/>
    <w:rsid w:val="00733FB1"/>
    <w:rsid w:val="00733FD8"/>
    <w:rsid w:val="00734079"/>
    <w:rsid w:val="007343CD"/>
    <w:rsid w:val="007344C7"/>
    <w:rsid w:val="0073450E"/>
    <w:rsid w:val="00734513"/>
    <w:rsid w:val="007345CB"/>
    <w:rsid w:val="0073475A"/>
    <w:rsid w:val="007347DE"/>
    <w:rsid w:val="00734834"/>
    <w:rsid w:val="00734837"/>
    <w:rsid w:val="0073493F"/>
    <w:rsid w:val="007349AE"/>
    <w:rsid w:val="00734A1B"/>
    <w:rsid w:val="00734A1C"/>
    <w:rsid w:val="00734A88"/>
    <w:rsid w:val="00734C2C"/>
    <w:rsid w:val="00734E78"/>
    <w:rsid w:val="00734FE3"/>
    <w:rsid w:val="00735050"/>
    <w:rsid w:val="0073508B"/>
    <w:rsid w:val="007350BC"/>
    <w:rsid w:val="00735117"/>
    <w:rsid w:val="007351D2"/>
    <w:rsid w:val="0073529F"/>
    <w:rsid w:val="007352B3"/>
    <w:rsid w:val="00735371"/>
    <w:rsid w:val="00735377"/>
    <w:rsid w:val="00735405"/>
    <w:rsid w:val="00735491"/>
    <w:rsid w:val="0073549B"/>
    <w:rsid w:val="007355E4"/>
    <w:rsid w:val="007355F9"/>
    <w:rsid w:val="0073570B"/>
    <w:rsid w:val="0073575B"/>
    <w:rsid w:val="00735939"/>
    <w:rsid w:val="00735AAB"/>
    <w:rsid w:val="00735B50"/>
    <w:rsid w:val="00735C2A"/>
    <w:rsid w:val="00735C71"/>
    <w:rsid w:val="00735C78"/>
    <w:rsid w:val="00735CEF"/>
    <w:rsid w:val="00735D46"/>
    <w:rsid w:val="00735D93"/>
    <w:rsid w:val="00735E33"/>
    <w:rsid w:val="00735F9C"/>
    <w:rsid w:val="00735FB5"/>
    <w:rsid w:val="00735FB8"/>
    <w:rsid w:val="0073618B"/>
    <w:rsid w:val="007361B9"/>
    <w:rsid w:val="007361C6"/>
    <w:rsid w:val="0073659E"/>
    <w:rsid w:val="00736679"/>
    <w:rsid w:val="00736701"/>
    <w:rsid w:val="00736763"/>
    <w:rsid w:val="00736858"/>
    <w:rsid w:val="007368F7"/>
    <w:rsid w:val="0073695F"/>
    <w:rsid w:val="007369F2"/>
    <w:rsid w:val="00736A75"/>
    <w:rsid w:val="00736B11"/>
    <w:rsid w:val="00736B60"/>
    <w:rsid w:val="00736BAB"/>
    <w:rsid w:val="00736CD9"/>
    <w:rsid w:val="00736CEE"/>
    <w:rsid w:val="00736CF5"/>
    <w:rsid w:val="00736EE6"/>
    <w:rsid w:val="00737054"/>
    <w:rsid w:val="007370B2"/>
    <w:rsid w:val="007371C4"/>
    <w:rsid w:val="007371D7"/>
    <w:rsid w:val="00737227"/>
    <w:rsid w:val="0073725C"/>
    <w:rsid w:val="007372B2"/>
    <w:rsid w:val="0073752D"/>
    <w:rsid w:val="007376F1"/>
    <w:rsid w:val="0073770C"/>
    <w:rsid w:val="0073772B"/>
    <w:rsid w:val="007377E0"/>
    <w:rsid w:val="007378F5"/>
    <w:rsid w:val="007378F9"/>
    <w:rsid w:val="007378FA"/>
    <w:rsid w:val="007379F0"/>
    <w:rsid w:val="00737A61"/>
    <w:rsid w:val="00737BB0"/>
    <w:rsid w:val="00737C7D"/>
    <w:rsid w:val="00737D30"/>
    <w:rsid w:val="00737D86"/>
    <w:rsid w:val="00737DCD"/>
    <w:rsid w:val="00737DE0"/>
    <w:rsid w:val="00737DE4"/>
    <w:rsid w:val="00737F2A"/>
    <w:rsid w:val="00737F46"/>
    <w:rsid w:val="00737F6E"/>
    <w:rsid w:val="00737F80"/>
    <w:rsid w:val="00737FDD"/>
    <w:rsid w:val="00740042"/>
    <w:rsid w:val="00740208"/>
    <w:rsid w:val="0074021F"/>
    <w:rsid w:val="007403B9"/>
    <w:rsid w:val="00740411"/>
    <w:rsid w:val="00740442"/>
    <w:rsid w:val="00740504"/>
    <w:rsid w:val="0074059D"/>
    <w:rsid w:val="007406DB"/>
    <w:rsid w:val="00740716"/>
    <w:rsid w:val="00740758"/>
    <w:rsid w:val="00740784"/>
    <w:rsid w:val="007407EB"/>
    <w:rsid w:val="007407F5"/>
    <w:rsid w:val="0074080E"/>
    <w:rsid w:val="00740812"/>
    <w:rsid w:val="00740848"/>
    <w:rsid w:val="00740917"/>
    <w:rsid w:val="007409C4"/>
    <w:rsid w:val="00740A26"/>
    <w:rsid w:val="00740B10"/>
    <w:rsid w:val="00740B1C"/>
    <w:rsid w:val="00740CA5"/>
    <w:rsid w:val="00740D42"/>
    <w:rsid w:val="00740D4D"/>
    <w:rsid w:val="00740E99"/>
    <w:rsid w:val="00740EB6"/>
    <w:rsid w:val="00740EDB"/>
    <w:rsid w:val="00740F02"/>
    <w:rsid w:val="00740F0E"/>
    <w:rsid w:val="007410CA"/>
    <w:rsid w:val="007411CB"/>
    <w:rsid w:val="007412F9"/>
    <w:rsid w:val="00741324"/>
    <w:rsid w:val="007413C5"/>
    <w:rsid w:val="007413EA"/>
    <w:rsid w:val="007414BA"/>
    <w:rsid w:val="00741604"/>
    <w:rsid w:val="0074165C"/>
    <w:rsid w:val="00741670"/>
    <w:rsid w:val="00741822"/>
    <w:rsid w:val="00741881"/>
    <w:rsid w:val="007419AC"/>
    <w:rsid w:val="00741AE7"/>
    <w:rsid w:val="00741AF7"/>
    <w:rsid w:val="00741AFC"/>
    <w:rsid w:val="00741B01"/>
    <w:rsid w:val="00741B49"/>
    <w:rsid w:val="00741B5A"/>
    <w:rsid w:val="00741BC2"/>
    <w:rsid w:val="00741D05"/>
    <w:rsid w:val="00741D57"/>
    <w:rsid w:val="00741D58"/>
    <w:rsid w:val="00741F71"/>
    <w:rsid w:val="00742109"/>
    <w:rsid w:val="00742201"/>
    <w:rsid w:val="00742390"/>
    <w:rsid w:val="007426C9"/>
    <w:rsid w:val="00742869"/>
    <w:rsid w:val="00742975"/>
    <w:rsid w:val="007429E3"/>
    <w:rsid w:val="00742B25"/>
    <w:rsid w:val="00742BDF"/>
    <w:rsid w:val="00742C82"/>
    <w:rsid w:val="00742CB1"/>
    <w:rsid w:val="00742D53"/>
    <w:rsid w:val="00742DDC"/>
    <w:rsid w:val="00742E83"/>
    <w:rsid w:val="00742F1E"/>
    <w:rsid w:val="00742F80"/>
    <w:rsid w:val="00743023"/>
    <w:rsid w:val="00743039"/>
    <w:rsid w:val="00743135"/>
    <w:rsid w:val="00743201"/>
    <w:rsid w:val="00743239"/>
    <w:rsid w:val="007433E4"/>
    <w:rsid w:val="0074345E"/>
    <w:rsid w:val="007434C2"/>
    <w:rsid w:val="0074350C"/>
    <w:rsid w:val="00743540"/>
    <w:rsid w:val="00743599"/>
    <w:rsid w:val="007435AE"/>
    <w:rsid w:val="007435B6"/>
    <w:rsid w:val="007435EF"/>
    <w:rsid w:val="00743633"/>
    <w:rsid w:val="007436D7"/>
    <w:rsid w:val="0074378C"/>
    <w:rsid w:val="007437AC"/>
    <w:rsid w:val="0074381D"/>
    <w:rsid w:val="0074381F"/>
    <w:rsid w:val="007438E0"/>
    <w:rsid w:val="0074393A"/>
    <w:rsid w:val="00743957"/>
    <w:rsid w:val="00743967"/>
    <w:rsid w:val="00743AF7"/>
    <w:rsid w:val="00743AFD"/>
    <w:rsid w:val="00743B18"/>
    <w:rsid w:val="00743CD1"/>
    <w:rsid w:val="00743D25"/>
    <w:rsid w:val="00743D3A"/>
    <w:rsid w:val="00743DA3"/>
    <w:rsid w:val="00743EEF"/>
    <w:rsid w:val="007440A5"/>
    <w:rsid w:val="007440A7"/>
    <w:rsid w:val="0074438D"/>
    <w:rsid w:val="007443BB"/>
    <w:rsid w:val="00744439"/>
    <w:rsid w:val="00744610"/>
    <w:rsid w:val="00744616"/>
    <w:rsid w:val="00744658"/>
    <w:rsid w:val="00744682"/>
    <w:rsid w:val="00744908"/>
    <w:rsid w:val="00744909"/>
    <w:rsid w:val="00744968"/>
    <w:rsid w:val="00744A3C"/>
    <w:rsid w:val="00744B07"/>
    <w:rsid w:val="00744B15"/>
    <w:rsid w:val="00744C52"/>
    <w:rsid w:val="00744C61"/>
    <w:rsid w:val="00744DA2"/>
    <w:rsid w:val="00744E12"/>
    <w:rsid w:val="00744F7E"/>
    <w:rsid w:val="00744FF8"/>
    <w:rsid w:val="0074506B"/>
    <w:rsid w:val="00745326"/>
    <w:rsid w:val="007453DB"/>
    <w:rsid w:val="007456AE"/>
    <w:rsid w:val="00745802"/>
    <w:rsid w:val="00745877"/>
    <w:rsid w:val="0074596A"/>
    <w:rsid w:val="00745982"/>
    <w:rsid w:val="00745A94"/>
    <w:rsid w:val="00745ACE"/>
    <w:rsid w:val="00745B88"/>
    <w:rsid w:val="00745B9E"/>
    <w:rsid w:val="00745C5C"/>
    <w:rsid w:val="00745C66"/>
    <w:rsid w:val="00745C86"/>
    <w:rsid w:val="00745C98"/>
    <w:rsid w:val="00745CE8"/>
    <w:rsid w:val="00745CEC"/>
    <w:rsid w:val="00745D08"/>
    <w:rsid w:val="00745E55"/>
    <w:rsid w:val="00745FBA"/>
    <w:rsid w:val="00746018"/>
    <w:rsid w:val="0074603B"/>
    <w:rsid w:val="0074610B"/>
    <w:rsid w:val="0074617A"/>
    <w:rsid w:val="007462E1"/>
    <w:rsid w:val="007464AD"/>
    <w:rsid w:val="007464B1"/>
    <w:rsid w:val="007464BF"/>
    <w:rsid w:val="00746573"/>
    <w:rsid w:val="00746582"/>
    <w:rsid w:val="0074661A"/>
    <w:rsid w:val="00746620"/>
    <w:rsid w:val="00746646"/>
    <w:rsid w:val="007466FD"/>
    <w:rsid w:val="00746880"/>
    <w:rsid w:val="007468FD"/>
    <w:rsid w:val="00746910"/>
    <w:rsid w:val="0074693B"/>
    <w:rsid w:val="00746BFF"/>
    <w:rsid w:val="00746C59"/>
    <w:rsid w:val="00746E62"/>
    <w:rsid w:val="00746F1B"/>
    <w:rsid w:val="00746FB1"/>
    <w:rsid w:val="00746FD7"/>
    <w:rsid w:val="007470BC"/>
    <w:rsid w:val="007470E4"/>
    <w:rsid w:val="007470F2"/>
    <w:rsid w:val="00747283"/>
    <w:rsid w:val="007472D8"/>
    <w:rsid w:val="00747310"/>
    <w:rsid w:val="00747459"/>
    <w:rsid w:val="00747633"/>
    <w:rsid w:val="00747659"/>
    <w:rsid w:val="007476C1"/>
    <w:rsid w:val="00747712"/>
    <w:rsid w:val="00747809"/>
    <w:rsid w:val="00747860"/>
    <w:rsid w:val="00747902"/>
    <w:rsid w:val="00747946"/>
    <w:rsid w:val="00747957"/>
    <w:rsid w:val="00747971"/>
    <w:rsid w:val="007479E3"/>
    <w:rsid w:val="00747A2F"/>
    <w:rsid w:val="00747AE9"/>
    <w:rsid w:val="00747B2F"/>
    <w:rsid w:val="00747C07"/>
    <w:rsid w:val="00747CC7"/>
    <w:rsid w:val="00747DB5"/>
    <w:rsid w:val="00747E2D"/>
    <w:rsid w:val="0074A8D9"/>
    <w:rsid w:val="0075016F"/>
    <w:rsid w:val="0075020E"/>
    <w:rsid w:val="00750258"/>
    <w:rsid w:val="00750259"/>
    <w:rsid w:val="00750348"/>
    <w:rsid w:val="007503E3"/>
    <w:rsid w:val="0075056E"/>
    <w:rsid w:val="007505C9"/>
    <w:rsid w:val="007505D7"/>
    <w:rsid w:val="007505DD"/>
    <w:rsid w:val="00750712"/>
    <w:rsid w:val="007508B7"/>
    <w:rsid w:val="00750A2C"/>
    <w:rsid w:val="00750AAD"/>
    <w:rsid w:val="00750BB0"/>
    <w:rsid w:val="00750CEE"/>
    <w:rsid w:val="00750D81"/>
    <w:rsid w:val="00750DC7"/>
    <w:rsid w:val="00750E04"/>
    <w:rsid w:val="00750FC3"/>
    <w:rsid w:val="00750FCB"/>
    <w:rsid w:val="00751199"/>
    <w:rsid w:val="0075144F"/>
    <w:rsid w:val="007514D4"/>
    <w:rsid w:val="0075154B"/>
    <w:rsid w:val="00751734"/>
    <w:rsid w:val="00751799"/>
    <w:rsid w:val="00751891"/>
    <w:rsid w:val="007518D4"/>
    <w:rsid w:val="007519B3"/>
    <w:rsid w:val="00751A0E"/>
    <w:rsid w:val="00751C07"/>
    <w:rsid w:val="00751CE7"/>
    <w:rsid w:val="00751DCC"/>
    <w:rsid w:val="00751E04"/>
    <w:rsid w:val="00751ED3"/>
    <w:rsid w:val="0075212E"/>
    <w:rsid w:val="007521DB"/>
    <w:rsid w:val="00752231"/>
    <w:rsid w:val="00752255"/>
    <w:rsid w:val="00752271"/>
    <w:rsid w:val="007522BA"/>
    <w:rsid w:val="00752389"/>
    <w:rsid w:val="00752429"/>
    <w:rsid w:val="00752432"/>
    <w:rsid w:val="00752493"/>
    <w:rsid w:val="00752671"/>
    <w:rsid w:val="007526B7"/>
    <w:rsid w:val="007528A1"/>
    <w:rsid w:val="00752929"/>
    <w:rsid w:val="00752930"/>
    <w:rsid w:val="00752A3C"/>
    <w:rsid w:val="00752BFD"/>
    <w:rsid w:val="00752C40"/>
    <w:rsid w:val="00752DC8"/>
    <w:rsid w:val="00752E39"/>
    <w:rsid w:val="00752F98"/>
    <w:rsid w:val="00753034"/>
    <w:rsid w:val="0075307D"/>
    <w:rsid w:val="00753131"/>
    <w:rsid w:val="00753180"/>
    <w:rsid w:val="007531E7"/>
    <w:rsid w:val="007533BC"/>
    <w:rsid w:val="007536C3"/>
    <w:rsid w:val="00753739"/>
    <w:rsid w:val="007538B9"/>
    <w:rsid w:val="00753902"/>
    <w:rsid w:val="00753B42"/>
    <w:rsid w:val="00753BB8"/>
    <w:rsid w:val="00753BDA"/>
    <w:rsid w:val="00753CC3"/>
    <w:rsid w:val="00753D62"/>
    <w:rsid w:val="00753E03"/>
    <w:rsid w:val="00753E3D"/>
    <w:rsid w:val="00753EF3"/>
    <w:rsid w:val="00753F8C"/>
    <w:rsid w:val="00753FD2"/>
    <w:rsid w:val="007541BF"/>
    <w:rsid w:val="007543DD"/>
    <w:rsid w:val="00754444"/>
    <w:rsid w:val="00754463"/>
    <w:rsid w:val="00754533"/>
    <w:rsid w:val="007545D8"/>
    <w:rsid w:val="0075461D"/>
    <w:rsid w:val="00754661"/>
    <w:rsid w:val="00754891"/>
    <w:rsid w:val="0075490F"/>
    <w:rsid w:val="0075491B"/>
    <w:rsid w:val="0075491D"/>
    <w:rsid w:val="007549FB"/>
    <w:rsid w:val="00754A00"/>
    <w:rsid w:val="00754CBE"/>
    <w:rsid w:val="00754CD5"/>
    <w:rsid w:val="00754CE1"/>
    <w:rsid w:val="00754E19"/>
    <w:rsid w:val="00754E50"/>
    <w:rsid w:val="00754ED3"/>
    <w:rsid w:val="00754EF4"/>
    <w:rsid w:val="00754F85"/>
    <w:rsid w:val="00754FFF"/>
    <w:rsid w:val="0075507B"/>
    <w:rsid w:val="00755080"/>
    <w:rsid w:val="007550F8"/>
    <w:rsid w:val="0075517D"/>
    <w:rsid w:val="00755248"/>
    <w:rsid w:val="007552BE"/>
    <w:rsid w:val="0075532E"/>
    <w:rsid w:val="007553B9"/>
    <w:rsid w:val="007554C9"/>
    <w:rsid w:val="007555B8"/>
    <w:rsid w:val="00755681"/>
    <w:rsid w:val="007556EA"/>
    <w:rsid w:val="00755762"/>
    <w:rsid w:val="0075576C"/>
    <w:rsid w:val="007557B3"/>
    <w:rsid w:val="00755964"/>
    <w:rsid w:val="007559B5"/>
    <w:rsid w:val="007559CA"/>
    <w:rsid w:val="00755AAC"/>
    <w:rsid w:val="00755BAD"/>
    <w:rsid w:val="00755C74"/>
    <w:rsid w:val="00755D26"/>
    <w:rsid w:val="00755F8B"/>
    <w:rsid w:val="00755F95"/>
    <w:rsid w:val="00756041"/>
    <w:rsid w:val="00756309"/>
    <w:rsid w:val="0075630F"/>
    <w:rsid w:val="00756414"/>
    <w:rsid w:val="00756464"/>
    <w:rsid w:val="00756469"/>
    <w:rsid w:val="00756513"/>
    <w:rsid w:val="00756573"/>
    <w:rsid w:val="0075670B"/>
    <w:rsid w:val="00756746"/>
    <w:rsid w:val="00756751"/>
    <w:rsid w:val="0075680E"/>
    <w:rsid w:val="00756815"/>
    <w:rsid w:val="00756A57"/>
    <w:rsid w:val="00756B1A"/>
    <w:rsid w:val="00756B47"/>
    <w:rsid w:val="00756B90"/>
    <w:rsid w:val="00756C3D"/>
    <w:rsid w:val="00756E55"/>
    <w:rsid w:val="00756E86"/>
    <w:rsid w:val="00756ECC"/>
    <w:rsid w:val="00756F40"/>
    <w:rsid w:val="00756F7A"/>
    <w:rsid w:val="00757081"/>
    <w:rsid w:val="0075716D"/>
    <w:rsid w:val="007571F6"/>
    <w:rsid w:val="00757482"/>
    <w:rsid w:val="007574FC"/>
    <w:rsid w:val="0075762F"/>
    <w:rsid w:val="007577F9"/>
    <w:rsid w:val="007578D0"/>
    <w:rsid w:val="007578E9"/>
    <w:rsid w:val="00757911"/>
    <w:rsid w:val="007579E5"/>
    <w:rsid w:val="00757A31"/>
    <w:rsid w:val="00757CD9"/>
    <w:rsid w:val="00757D7B"/>
    <w:rsid w:val="00757DD2"/>
    <w:rsid w:val="00757DE1"/>
    <w:rsid w:val="00757EC5"/>
    <w:rsid w:val="00757F4F"/>
    <w:rsid w:val="00757FA0"/>
    <w:rsid w:val="00757FAF"/>
    <w:rsid w:val="0076000A"/>
    <w:rsid w:val="00760078"/>
    <w:rsid w:val="0076010A"/>
    <w:rsid w:val="00760127"/>
    <w:rsid w:val="0076013B"/>
    <w:rsid w:val="007601FB"/>
    <w:rsid w:val="00760304"/>
    <w:rsid w:val="00760359"/>
    <w:rsid w:val="0076040D"/>
    <w:rsid w:val="00760469"/>
    <w:rsid w:val="00760502"/>
    <w:rsid w:val="00760768"/>
    <w:rsid w:val="007607C0"/>
    <w:rsid w:val="00760860"/>
    <w:rsid w:val="0076093B"/>
    <w:rsid w:val="0076094D"/>
    <w:rsid w:val="00760968"/>
    <w:rsid w:val="007609A4"/>
    <w:rsid w:val="007609EB"/>
    <w:rsid w:val="007609ED"/>
    <w:rsid w:val="00760A8B"/>
    <w:rsid w:val="00760AEC"/>
    <w:rsid w:val="00760AED"/>
    <w:rsid w:val="00760AFC"/>
    <w:rsid w:val="00760B28"/>
    <w:rsid w:val="00760C64"/>
    <w:rsid w:val="00760D7D"/>
    <w:rsid w:val="00760F5D"/>
    <w:rsid w:val="00760F7A"/>
    <w:rsid w:val="007611E7"/>
    <w:rsid w:val="00761211"/>
    <w:rsid w:val="00761375"/>
    <w:rsid w:val="0076139A"/>
    <w:rsid w:val="0076145F"/>
    <w:rsid w:val="00761681"/>
    <w:rsid w:val="00761808"/>
    <w:rsid w:val="007618BC"/>
    <w:rsid w:val="007618F7"/>
    <w:rsid w:val="00761A0B"/>
    <w:rsid w:val="00761AB5"/>
    <w:rsid w:val="00761B70"/>
    <w:rsid w:val="00761B8F"/>
    <w:rsid w:val="00761CBC"/>
    <w:rsid w:val="00761D13"/>
    <w:rsid w:val="00761D47"/>
    <w:rsid w:val="00761D49"/>
    <w:rsid w:val="00761D65"/>
    <w:rsid w:val="00761D9D"/>
    <w:rsid w:val="00761E21"/>
    <w:rsid w:val="00761EF2"/>
    <w:rsid w:val="00761FA9"/>
    <w:rsid w:val="00762079"/>
    <w:rsid w:val="00762187"/>
    <w:rsid w:val="007621BD"/>
    <w:rsid w:val="007621D1"/>
    <w:rsid w:val="00762241"/>
    <w:rsid w:val="007622A4"/>
    <w:rsid w:val="00762327"/>
    <w:rsid w:val="007623B5"/>
    <w:rsid w:val="00762705"/>
    <w:rsid w:val="00762843"/>
    <w:rsid w:val="00762987"/>
    <w:rsid w:val="007629D8"/>
    <w:rsid w:val="007629D9"/>
    <w:rsid w:val="00762A11"/>
    <w:rsid w:val="00762B5E"/>
    <w:rsid w:val="00762C45"/>
    <w:rsid w:val="00762C58"/>
    <w:rsid w:val="00762CD9"/>
    <w:rsid w:val="00762D39"/>
    <w:rsid w:val="00762D83"/>
    <w:rsid w:val="00762DDC"/>
    <w:rsid w:val="00762E50"/>
    <w:rsid w:val="00762E55"/>
    <w:rsid w:val="00762EB2"/>
    <w:rsid w:val="00762EF8"/>
    <w:rsid w:val="00762FA5"/>
    <w:rsid w:val="007630A8"/>
    <w:rsid w:val="00763110"/>
    <w:rsid w:val="00763151"/>
    <w:rsid w:val="007631C4"/>
    <w:rsid w:val="00763256"/>
    <w:rsid w:val="007632BB"/>
    <w:rsid w:val="0076335D"/>
    <w:rsid w:val="0076349E"/>
    <w:rsid w:val="0076351F"/>
    <w:rsid w:val="00763573"/>
    <w:rsid w:val="0076359E"/>
    <w:rsid w:val="007635CA"/>
    <w:rsid w:val="007636EB"/>
    <w:rsid w:val="0076382B"/>
    <w:rsid w:val="007638AA"/>
    <w:rsid w:val="007638E5"/>
    <w:rsid w:val="00763915"/>
    <w:rsid w:val="007639FF"/>
    <w:rsid w:val="00763C54"/>
    <w:rsid w:val="00763CB2"/>
    <w:rsid w:val="00763E1B"/>
    <w:rsid w:val="00763E35"/>
    <w:rsid w:val="00763E38"/>
    <w:rsid w:val="00763E8C"/>
    <w:rsid w:val="00763F88"/>
    <w:rsid w:val="00763FDF"/>
    <w:rsid w:val="0076408C"/>
    <w:rsid w:val="007641C4"/>
    <w:rsid w:val="00764246"/>
    <w:rsid w:val="00764313"/>
    <w:rsid w:val="00764368"/>
    <w:rsid w:val="007643FB"/>
    <w:rsid w:val="0076448F"/>
    <w:rsid w:val="007644F6"/>
    <w:rsid w:val="00764526"/>
    <w:rsid w:val="007646DF"/>
    <w:rsid w:val="007647F7"/>
    <w:rsid w:val="00764903"/>
    <w:rsid w:val="007649EB"/>
    <w:rsid w:val="00764BB3"/>
    <w:rsid w:val="00764BF7"/>
    <w:rsid w:val="00764CBD"/>
    <w:rsid w:val="00764D35"/>
    <w:rsid w:val="0076510C"/>
    <w:rsid w:val="007651F6"/>
    <w:rsid w:val="00765214"/>
    <w:rsid w:val="007652E7"/>
    <w:rsid w:val="0076531B"/>
    <w:rsid w:val="0076559C"/>
    <w:rsid w:val="007655F3"/>
    <w:rsid w:val="00765705"/>
    <w:rsid w:val="00765789"/>
    <w:rsid w:val="007657B6"/>
    <w:rsid w:val="0076588F"/>
    <w:rsid w:val="007658F0"/>
    <w:rsid w:val="0076592B"/>
    <w:rsid w:val="0076593D"/>
    <w:rsid w:val="00765947"/>
    <w:rsid w:val="00765A1D"/>
    <w:rsid w:val="00765B56"/>
    <w:rsid w:val="00765BD5"/>
    <w:rsid w:val="00765C0E"/>
    <w:rsid w:val="00765C7C"/>
    <w:rsid w:val="00765C86"/>
    <w:rsid w:val="00765D03"/>
    <w:rsid w:val="00765EEC"/>
    <w:rsid w:val="00765F05"/>
    <w:rsid w:val="00765F19"/>
    <w:rsid w:val="00766035"/>
    <w:rsid w:val="007660ED"/>
    <w:rsid w:val="007661B1"/>
    <w:rsid w:val="007661B4"/>
    <w:rsid w:val="00766354"/>
    <w:rsid w:val="0076638B"/>
    <w:rsid w:val="007663C7"/>
    <w:rsid w:val="0076640A"/>
    <w:rsid w:val="00766453"/>
    <w:rsid w:val="0076647F"/>
    <w:rsid w:val="00766491"/>
    <w:rsid w:val="00766521"/>
    <w:rsid w:val="0076653D"/>
    <w:rsid w:val="007665E4"/>
    <w:rsid w:val="007665F5"/>
    <w:rsid w:val="0076664B"/>
    <w:rsid w:val="00766740"/>
    <w:rsid w:val="007667CF"/>
    <w:rsid w:val="00766848"/>
    <w:rsid w:val="00766861"/>
    <w:rsid w:val="007668A2"/>
    <w:rsid w:val="00766959"/>
    <w:rsid w:val="00766C0D"/>
    <w:rsid w:val="00766C10"/>
    <w:rsid w:val="00766C23"/>
    <w:rsid w:val="00766DF6"/>
    <w:rsid w:val="00766EEE"/>
    <w:rsid w:val="00766F97"/>
    <w:rsid w:val="00766FCC"/>
    <w:rsid w:val="00767026"/>
    <w:rsid w:val="007670D9"/>
    <w:rsid w:val="007670EB"/>
    <w:rsid w:val="0076714D"/>
    <w:rsid w:val="007671D6"/>
    <w:rsid w:val="007672E7"/>
    <w:rsid w:val="00767313"/>
    <w:rsid w:val="00767478"/>
    <w:rsid w:val="007674F0"/>
    <w:rsid w:val="007675E0"/>
    <w:rsid w:val="007675E4"/>
    <w:rsid w:val="00767775"/>
    <w:rsid w:val="007677D4"/>
    <w:rsid w:val="007677EB"/>
    <w:rsid w:val="00767901"/>
    <w:rsid w:val="0076792D"/>
    <w:rsid w:val="007679B4"/>
    <w:rsid w:val="00767BC4"/>
    <w:rsid w:val="00767C0E"/>
    <w:rsid w:val="00767C5D"/>
    <w:rsid w:val="00767D0C"/>
    <w:rsid w:val="00767DB4"/>
    <w:rsid w:val="00767E09"/>
    <w:rsid w:val="00767E6C"/>
    <w:rsid w:val="0076E155"/>
    <w:rsid w:val="007700A9"/>
    <w:rsid w:val="007701FB"/>
    <w:rsid w:val="00770258"/>
    <w:rsid w:val="00770272"/>
    <w:rsid w:val="00770339"/>
    <w:rsid w:val="007703B3"/>
    <w:rsid w:val="007704EA"/>
    <w:rsid w:val="0077057B"/>
    <w:rsid w:val="00770705"/>
    <w:rsid w:val="007707EC"/>
    <w:rsid w:val="00770983"/>
    <w:rsid w:val="00770AD9"/>
    <w:rsid w:val="00770BC1"/>
    <w:rsid w:val="00770BE8"/>
    <w:rsid w:val="00770C6E"/>
    <w:rsid w:val="00770D79"/>
    <w:rsid w:val="00770F39"/>
    <w:rsid w:val="00771022"/>
    <w:rsid w:val="007710CD"/>
    <w:rsid w:val="00771284"/>
    <w:rsid w:val="007712F1"/>
    <w:rsid w:val="0077132C"/>
    <w:rsid w:val="007713C8"/>
    <w:rsid w:val="0077141A"/>
    <w:rsid w:val="00771461"/>
    <w:rsid w:val="007714C4"/>
    <w:rsid w:val="00771524"/>
    <w:rsid w:val="0077155D"/>
    <w:rsid w:val="007715BA"/>
    <w:rsid w:val="00771721"/>
    <w:rsid w:val="0077186C"/>
    <w:rsid w:val="007718F9"/>
    <w:rsid w:val="00771929"/>
    <w:rsid w:val="0077194D"/>
    <w:rsid w:val="00771A51"/>
    <w:rsid w:val="00771B86"/>
    <w:rsid w:val="00771BA8"/>
    <w:rsid w:val="00771C06"/>
    <w:rsid w:val="00771E55"/>
    <w:rsid w:val="00771EEC"/>
    <w:rsid w:val="00771F4C"/>
    <w:rsid w:val="00771FE1"/>
    <w:rsid w:val="007720DB"/>
    <w:rsid w:val="00772221"/>
    <w:rsid w:val="0077226D"/>
    <w:rsid w:val="007722D3"/>
    <w:rsid w:val="0077230B"/>
    <w:rsid w:val="0077273B"/>
    <w:rsid w:val="00772815"/>
    <w:rsid w:val="0077290B"/>
    <w:rsid w:val="0077290D"/>
    <w:rsid w:val="0077295E"/>
    <w:rsid w:val="00772A8F"/>
    <w:rsid w:val="00772ABF"/>
    <w:rsid w:val="00772AED"/>
    <w:rsid w:val="00772B39"/>
    <w:rsid w:val="00772B8B"/>
    <w:rsid w:val="00772CEB"/>
    <w:rsid w:val="00772CFD"/>
    <w:rsid w:val="00772D1C"/>
    <w:rsid w:val="00772DFF"/>
    <w:rsid w:val="00772E49"/>
    <w:rsid w:val="00772EBC"/>
    <w:rsid w:val="00772EEE"/>
    <w:rsid w:val="00772F0A"/>
    <w:rsid w:val="00772FB5"/>
    <w:rsid w:val="00773024"/>
    <w:rsid w:val="007730B0"/>
    <w:rsid w:val="0077312F"/>
    <w:rsid w:val="007732CD"/>
    <w:rsid w:val="007732FA"/>
    <w:rsid w:val="00773339"/>
    <w:rsid w:val="00773379"/>
    <w:rsid w:val="00773549"/>
    <w:rsid w:val="007736B1"/>
    <w:rsid w:val="007736CC"/>
    <w:rsid w:val="00773711"/>
    <w:rsid w:val="007737E8"/>
    <w:rsid w:val="007738CF"/>
    <w:rsid w:val="007738E0"/>
    <w:rsid w:val="007739A5"/>
    <w:rsid w:val="00773A99"/>
    <w:rsid w:val="00773B7D"/>
    <w:rsid w:val="00773C0D"/>
    <w:rsid w:val="00773CA8"/>
    <w:rsid w:val="00773E22"/>
    <w:rsid w:val="00773FBC"/>
    <w:rsid w:val="0077406B"/>
    <w:rsid w:val="007740CB"/>
    <w:rsid w:val="0077430B"/>
    <w:rsid w:val="00774382"/>
    <w:rsid w:val="0077438A"/>
    <w:rsid w:val="007743F3"/>
    <w:rsid w:val="007744BD"/>
    <w:rsid w:val="00774516"/>
    <w:rsid w:val="00774586"/>
    <w:rsid w:val="00774634"/>
    <w:rsid w:val="00774701"/>
    <w:rsid w:val="00774744"/>
    <w:rsid w:val="00774809"/>
    <w:rsid w:val="00774866"/>
    <w:rsid w:val="007748BB"/>
    <w:rsid w:val="00774979"/>
    <w:rsid w:val="00774BFB"/>
    <w:rsid w:val="00774C84"/>
    <w:rsid w:val="00774DF9"/>
    <w:rsid w:val="00774E8E"/>
    <w:rsid w:val="00774EDA"/>
    <w:rsid w:val="00774F3F"/>
    <w:rsid w:val="00775158"/>
    <w:rsid w:val="007751D4"/>
    <w:rsid w:val="0077546B"/>
    <w:rsid w:val="00775479"/>
    <w:rsid w:val="007754E1"/>
    <w:rsid w:val="007755B5"/>
    <w:rsid w:val="007756A6"/>
    <w:rsid w:val="0077570D"/>
    <w:rsid w:val="00775820"/>
    <w:rsid w:val="00775858"/>
    <w:rsid w:val="00775A22"/>
    <w:rsid w:val="00775A34"/>
    <w:rsid w:val="00775A8E"/>
    <w:rsid w:val="00775B2C"/>
    <w:rsid w:val="00775BAF"/>
    <w:rsid w:val="00775BE4"/>
    <w:rsid w:val="00775CC7"/>
    <w:rsid w:val="00775D4A"/>
    <w:rsid w:val="00775DF4"/>
    <w:rsid w:val="00775E5F"/>
    <w:rsid w:val="00775E9E"/>
    <w:rsid w:val="00775EA7"/>
    <w:rsid w:val="00776097"/>
    <w:rsid w:val="007760F2"/>
    <w:rsid w:val="007761FE"/>
    <w:rsid w:val="0077621D"/>
    <w:rsid w:val="00776317"/>
    <w:rsid w:val="00776322"/>
    <w:rsid w:val="00776391"/>
    <w:rsid w:val="007763AA"/>
    <w:rsid w:val="007763B6"/>
    <w:rsid w:val="0077642E"/>
    <w:rsid w:val="0077647D"/>
    <w:rsid w:val="0077656C"/>
    <w:rsid w:val="0077660B"/>
    <w:rsid w:val="00776616"/>
    <w:rsid w:val="007767F0"/>
    <w:rsid w:val="0077683E"/>
    <w:rsid w:val="00776A4C"/>
    <w:rsid w:val="00776B71"/>
    <w:rsid w:val="00776C0F"/>
    <w:rsid w:val="00776C99"/>
    <w:rsid w:val="00776DBC"/>
    <w:rsid w:val="00776DC9"/>
    <w:rsid w:val="00776E60"/>
    <w:rsid w:val="00776F34"/>
    <w:rsid w:val="00776F99"/>
    <w:rsid w:val="00776FA0"/>
    <w:rsid w:val="00777043"/>
    <w:rsid w:val="00777178"/>
    <w:rsid w:val="007771FF"/>
    <w:rsid w:val="007772C0"/>
    <w:rsid w:val="00777354"/>
    <w:rsid w:val="007774FF"/>
    <w:rsid w:val="007775B3"/>
    <w:rsid w:val="0077777A"/>
    <w:rsid w:val="0077786C"/>
    <w:rsid w:val="007778B0"/>
    <w:rsid w:val="007778BA"/>
    <w:rsid w:val="0077796E"/>
    <w:rsid w:val="007779CC"/>
    <w:rsid w:val="00777AAC"/>
    <w:rsid w:val="00777ABB"/>
    <w:rsid w:val="00777AC8"/>
    <w:rsid w:val="00777B04"/>
    <w:rsid w:val="00777B23"/>
    <w:rsid w:val="00777C03"/>
    <w:rsid w:val="00777C47"/>
    <w:rsid w:val="00777C76"/>
    <w:rsid w:val="00777D6A"/>
    <w:rsid w:val="00777DC0"/>
    <w:rsid w:val="00777E0D"/>
    <w:rsid w:val="00777E8D"/>
    <w:rsid w:val="00777E97"/>
    <w:rsid w:val="00777E9F"/>
    <w:rsid w:val="007800BF"/>
    <w:rsid w:val="007800D1"/>
    <w:rsid w:val="007801E3"/>
    <w:rsid w:val="007801EF"/>
    <w:rsid w:val="00780296"/>
    <w:rsid w:val="00780388"/>
    <w:rsid w:val="007803AD"/>
    <w:rsid w:val="00780456"/>
    <w:rsid w:val="007804AB"/>
    <w:rsid w:val="00780507"/>
    <w:rsid w:val="007805DA"/>
    <w:rsid w:val="007805EB"/>
    <w:rsid w:val="00780649"/>
    <w:rsid w:val="00780663"/>
    <w:rsid w:val="007806B5"/>
    <w:rsid w:val="007807AA"/>
    <w:rsid w:val="00780880"/>
    <w:rsid w:val="00780A6A"/>
    <w:rsid w:val="00780A6F"/>
    <w:rsid w:val="00780AF0"/>
    <w:rsid w:val="00780B08"/>
    <w:rsid w:val="00780B0C"/>
    <w:rsid w:val="00780B76"/>
    <w:rsid w:val="00780BD8"/>
    <w:rsid w:val="00780D70"/>
    <w:rsid w:val="00780DD4"/>
    <w:rsid w:val="00780ECD"/>
    <w:rsid w:val="00780F40"/>
    <w:rsid w:val="0078121F"/>
    <w:rsid w:val="0078128A"/>
    <w:rsid w:val="00781335"/>
    <w:rsid w:val="007814E0"/>
    <w:rsid w:val="00781508"/>
    <w:rsid w:val="00781533"/>
    <w:rsid w:val="00781587"/>
    <w:rsid w:val="007815C7"/>
    <w:rsid w:val="007815ED"/>
    <w:rsid w:val="0078164D"/>
    <w:rsid w:val="007817C9"/>
    <w:rsid w:val="0078186F"/>
    <w:rsid w:val="007818B0"/>
    <w:rsid w:val="007819F6"/>
    <w:rsid w:val="00781BAE"/>
    <w:rsid w:val="00781BB0"/>
    <w:rsid w:val="00781BCA"/>
    <w:rsid w:val="00781BCB"/>
    <w:rsid w:val="00781D0B"/>
    <w:rsid w:val="00781D65"/>
    <w:rsid w:val="00781F57"/>
    <w:rsid w:val="00781FB8"/>
    <w:rsid w:val="0078203C"/>
    <w:rsid w:val="00782072"/>
    <w:rsid w:val="007820F8"/>
    <w:rsid w:val="00782206"/>
    <w:rsid w:val="007822E2"/>
    <w:rsid w:val="007822EC"/>
    <w:rsid w:val="0078232E"/>
    <w:rsid w:val="00782462"/>
    <w:rsid w:val="007824B4"/>
    <w:rsid w:val="0078250A"/>
    <w:rsid w:val="00782524"/>
    <w:rsid w:val="0078264B"/>
    <w:rsid w:val="007826CC"/>
    <w:rsid w:val="00782794"/>
    <w:rsid w:val="00782820"/>
    <w:rsid w:val="00782843"/>
    <w:rsid w:val="00782884"/>
    <w:rsid w:val="00782A49"/>
    <w:rsid w:val="00782A73"/>
    <w:rsid w:val="00782CE5"/>
    <w:rsid w:val="00782D5E"/>
    <w:rsid w:val="00782F7B"/>
    <w:rsid w:val="00783031"/>
    <w:rsid w:val="00783083"/>
    <w:rsid w:val="007830F7"/>
    <w:rsid w:val="00783152"/>
    <w:rsid w:val="0078333E"/>
    <w:rsid w:val="00783347"/>
    <w:rsid w:val="00783437"/>
    <w:rsid w:val="0078351F"/>
    <w:rsid w:val="0078353B"/>
    <w:rsid w:val="0078354F"/>
    <w:rsid w:val="007835CF"/>
    <w:rsid w:val="00783626"/>
    <w:rsid w:val="0078366A"/>
    <w:rsid w:val="007836F4"/>
    <w:rsid w:val="00783715"/>
    <w:rsid w:val="00783768"/>
    <w:rsid w:val="0078377B"/>
    <w:rsid w:val="007837B7"/>
    <w:rsid w:val="00783955"/>
    <w:rsid w:val="00783999"/>
    <w:rsid w:val="00783A76"/>
    <w:rsid w:val="00783C42"/>
    <w:rsid w:val="00783EB6"/>
    <w:rsid w:val="00783FE3"/>
    <w:rsid w:val="00784084"/>
    <w:rsid w:val="0078418C"/>
    <w:rsid w:val="007842D6"/>
    <w:rsid w:val="0078430F"/>
    <w:rsid w:val="007843A1"/>
    <w:rsid w:val="007843A8"/>
    <w:rsid w:val="007843B6"/>
    <w:rsid w:val="007843B9"/>
    <w:rsid w:val="007843DE"/>
    <w:rsid w:val="0078445F"/>
    <w:rsid w:val="00784489"/>
    <w:rsid w:val="0078455E"/>
    <w:rsid w:val="007845AB"/>
    <w:rsid w:val="007845F7"/>
    <w:rsid w:val="007847B3"/>
    <w:rsid w:val="007847C4"/>
    <w:rsid w:val="007848D3"/>
    <w:rsid w:val="00784C25"/>
    <w:rsid w:val="00784CD1"/>
    <w:rsid w:val="00784E2A"/>
    <w:rsid w:val="00784E5C"/>
    <w:rsid w:val="00784E7A"/>
    <w:rsid w:val="00784EF8"/>
    <w:rsid w:val="00784F20"/>
    <w:rsid w:val="00784F5E"/>
    <w:rsid w:val="0078504C"/>
    <w:rsid w:val="00785093"/>
    <w:rsid w:val="007850B9"/>
    <w:rsid w:val="007850F6"/>
    <w:rsid w:val="00785143"/>
    <w:rsid w:val="0078518E"/>
    <w:rsid w:val="007853B5"/>
    <w:rsid w:val="00785551"/>
    <w:rsid w:val="00785553"/>
    <w:rsid w:val="007855E3"/>
    <w:rsid w:val="00785839"/>
    <w:rsid w:val="00785880"/>
    <w:rsid w:val="007859CC"/>
    <w:rsid w:val="00785A43"/>
    <w:rsid w:val="00785AC6"/>
    <w:rsid w:val="00785BE2"/>
    <w:rsid w:val="00785BFA"/>
    <w:rsid w:val="00785C3E"/>
    <w:rsid w:val="00785CA9"/>
    <w:rsid w:val="00785DC7"/>
    <w:rsid w:val="00785E38"/>
    <w:rsid w:val="00785E48"/>
    <w:rsid w:val="00785F1A"/>
    <w:rsid w:val="0078615E"/>
    <w:rsid w:val="007861CC"/>
    <w:rsid w:val="00786390"/>
    <w:rsid w:val="007863D6"/>
    <w:rsid w:val="0078641B"/>
    <w:rsid w:val="0078641F"/>
    <w:rsid w:val="0078644E"/>
    <w:rsid w:val="007864CB"/>
    <w:rsid w:val="00786689"/>
    <w:rsid w:val="00786709"/>
    <w:rsid w:val="00786807"/>
    <w:rsid w:val="00786931"/>
    <w:rsid w:val="00786A32"/>
    <w:rsid w:val="00786AD0"/>
    <w:rsid w:val="00786AF9"/>
    <w:rsid w:val="00786B14"/>
    <w:rsid w:val="00786B1F"/>
    <w:rsid w:val="00786B4F"/>
    <w:rsid w:val="00786CC6"/>
    <w:rsid w:val="00786D18"/>
    <w:rsid w:val="00786D79"/>
    <w:rsid w:val="00786EC5"/>
    <w:rsid w:val="00786F54"/>
    <w:rsid w:val="00787030"/>
    <w:rsid w:val="007870BB"/>
    <w:rsid w:val="00787118"/>
    <w:rsid w:val="007871B6"/>
    <w:rsid w:val="00787307"/>
    <w:rsid w:val="00787314"/>
    <w:rsid w:val="0078734B"/>
    <w:rsid w:val="00787353"/>
    <w:rsid w:val="0078736E"/>
    <w:rsid w:val="0078737E"/>
    <w:rsid w:val="007873A4"/>
    <w:rsid w:val="0078744C"/>
    <w:rsid w:val="00787487"/>
    <w:rsid w:val="0078759F"/>
    <w:rsid w:val="007875C2"/>
    <w:rsid w:val="007875EE"/>
    <w:rsid w:val="00787623"/>
    <w:rsid w:val="00787661"/>
    <w:rsid w:val="0078779C"/>
    <w:rsid w:val="007877E6"/>
    <w:rsid w:val="007878A0"/>
    <w:rsid w:val="0078792E"/>
    <w:rsid w:val="00787A47"/>
    <w:rsid w:val="00787B20"/>
    <w:rsid w:val="00787CE1"/>
    <w:rsid w:val="00787D52"/>
    <w:rsid w:val="00787DCE"/>
    <w:rsid w:val="00787EB7"/>
    <w:rsid w:val="00787ED3"/>
    <w:rsid w:val="00787EFA"/>
    <w:rsid w:val="00787F03"/>
    <w:rsid w:val="00787F9D"/>
    <w:rsid w:val="00790029"/>
    <w:rsid w:val="0079012C"/>
    <w:rsid w:val="0079022E"/>
    <w:rsid w:val="0079024E"/>
    <w:rsid w:val="00790311"/>
    <w:rsid w:val="00790350"/>
    <w:rsid w:val="00790504"/>
    <w:rsid w:val="00790581"/>
    <w:rsid w:val="00790620"/>
    <w:rsid w:val="00790696"/>
    <w:rsid w:val="007906C0"/>
    <w:rsid w:val="007906E4"/>
    <w:rsid w:val="00790998"/>
    <w:rsid w:val="007909D3"/>
    <w:rsid w:val="007909F1"/>
    <w:rsid w:val="00790B70"/>
    <w:rsid w:val="00790BC2"/>
    <w:rsid w:val="00790C2F"/>
    <w:rsid w:val="00790CB0"/>
    <w:rsid w:val="00790DAD"/>
    <w:rsid w:val="00790DD8"/>
    <w:rsid w:val="00790F10"/>
    <w:rsid w:val="00790F20"/>
    <w:rsid w:val="00790F61"/>
    <w:rsid w:val="00790FDD"/>
    <w:rsid w:val="00790FFA"/>
    <w:rsid w:val="00791027"/>
    <w:rsid w:val="007910D5"/>
    <w:rsid w:val="007911F2"/>
    <w:rsid w:val="00791443"/>
    <w:rsid w:val="00791688"/>
    <w:rsid w:val="007916BA"/>
    <w:rsid w:val="0079171C"/>
    <w:rsid w:val="00791827"/>
    <w:rsid w:val="0079188B"/>
    <w:rsid w:val="007918D5"/>
    <w:rsid w:val="00791AF9"/>
    <w:rsid w:val="00791B8D"/>
    <w:rsid w:val="00791B97"/>
    <w:rsid w:val="00791B9E"/>
    <w:rsid w:val="00791BD7"/>
    <w:rsid w:val="00791C1B"/>
    <w:rsid w:val="00791C54"/>
    <w:rsid w:val="00791C6C"/>
    <w:rsid w:val="00791C77"/>
    <w:rsid w:val="00791CB1"/>
    <w:rsid w:val="00791D0F"/>
    <w:rsid w:val="00791DAC"/>
    <w:rsid w:val="00791E28"/>
    <w:rsid w:val="007920D3"/>
    <w:rsid w:val="0079210F"/>
    <w:rsid w:val="007924FF"/>
    <w:rsid w:val="007925DD"/>
    <w:rsid w:val="0079263E"/>
    <w:rsid w:val="007926A2"/>
    <w:rsid w:val="00792703"/>
    <w:rsid w:val="0079277B"/>
    <w:rsid w:val="00792991"/>
    <w:rsid w:val="00792BA2"/>
    <w:rsid w:val="00792C87"/>
    <w:rsid w:val="00792D23"/>
    <w:rsid w:val="00792E13"/>
    <w:rsid w:val="00792E18"/>
    <w:rsid w:val="00792EBF"/>
    <w:rsid w:val="00792EF5"/>
    <w:rsid w:val="00792FB2"/>
    <w:rsid w:val="00792FD9"/>
    <w:rsid w:val="00793020"/>
    <w:rsid w:val="00793023"/>
    <w:rsid w:val="007931AC"/>
    <w:rsid w:val="007931DB"/>
    <w:rsid w:val="00793245"/>
    <w:rsid w:val="0079328B"/>
    <w:rsid w:val="007932BC"/>
    <w:rsid w:val="007932EE"/>
    <w:rsid w:val="00793389"/>
    <w:rsid w:val="0079339A"/>
    <w:rsid w:val="007933C3"/>
    <w:rsid w:val="007934C8"/>
    <w:rsid w:val="0079356F"/>
    <w:rsid w:val="00793588"/>
    <w:rsid w:val="0079359D"/>
    <w:rsid w:val="0079373C"/>
    <w:rsid w:val="007937ED"/>
    <w:rsid w:val="0079389E"/>
    <w:rsid w:val="007938AB"/>
    <w:rsid w:val="007939DF"/>
    <w:rsid w:val="00793B05"/>
    <w:rsid w:val="00793BDB"/>
    <w:rsid w:val="00793CA9"/>
    <w:rsid w:val="00794077"/>
    <w:rsid w:val="007941D2"/>
    <w:rsid w:val="00794249"/>
    <w:rsid w:val="00794334"/>
    <w:rsid w:val="0079435A"/>
    <w:rsid w:val="007944DC"/>
    <w:rsid w:val="0079459E"/>
    <w:rsid w:val="00794614"/>
    <w:rsid w:val="0079467E"/>
    <w:rsid w:val="007946D1"/>
    <w:rsid w:val="0079486B"/>
    <w:rsid w:val="007948DF"/>
    <w:rsid w:val="007949F3"/>
    <w:rsid w:val="007949F6"/>
    <w:rsid w:val="00794AB6"/>
    <w:rsid w:val="00794ACE"/>
    <w:rsid w:val="00794AEC"/>
    <w:rsid w:val="00794B0E"/>
    <w:rsid w:val="00794B72"/>
    <w:rsid w:val="00794BE3"/>
    <w:rsid w:val="00794C6D"/>
    <w:rsid w:val="00794C83"/>
    <w:rsid w:val="00794DA5"/>
    <w:rsid w:val="00794E1B"/>
    <w:rsid w:val="00794FA2"/>
    <w:rsid w:val="00794FC3"/>
    <w:rsid w:val="00794FD5"/>
    <w:rsid w:val="00794FDA"/>
    <w:rsid w:val="00794FFE"/>
    <w:rsid w:val="00795024"/>
    <w:rsid w:val="0079510F"/>
    <w:rsid w:val="0079514A"/>
    <w:rsid w:val="00795277"/>
    <w:rsid w:val="00795285"/>
    <w:rsid w:val="00795337"/>
    <w:rsid w:val="0079550C"/>
    <w:rsid w:val="0079561D"/>
    <w:rsid w:val="00795624"/>
    <w:rsid w:val="0079570F"/>
    <w:rsid w:val="007957A8"/>
    <w:rsid w:val="007957B5"/>
    <w:rsid w:val="007957C2"/>
    <w:rsid w:val="007957C7"/>
    <w:rsid w:val="00795811"/>
    <w:rsid w:val="00795815"/>
    <w:rsid w:val="00795835"/>
    <w:rsid w:val="00795892"/>
    <w:rsid w:val="007958D7"/>
    <w:rsid w:val="00795A87"/>
    <w:rsid w:val="00795B46"/>
    <w:rsid w:val="00795B4D"/>
    <w:rsid w:val="00795B8D"/>
    <w:rsid w:val="00795C4F"/>
    <w:rsid w:val="00795CDF"/>
    <w:rsid w:val="00795D1D"/>
    <w:rsid w:val="00795E1F"/>
    <w:rsid w:val="00795E30"/>
    <w:rsid w:val="00795EC9"/>
    <w:rsid w:val="00795F49"/>
    <w:rsid w:val="00795F4C"/>
    <w:rsid w:val="00795F6E"/>
    <w:rsid w:val="00795F9F"/>
    <w:rsid w:val="0079603D"/>
    <w:rsid w:val="00796104"/>
    <w:rsid w:val="00796119"/>
    <w:rsid w:val="00796141"/>
    <w:rsid w:val="007961A4"/>
    <w:rsid w:val="00796203"/>
    <w:rsid w:val="00796244"/>
    <w:rsid w:val="007963EB"/>
    <w:rsid w:val="00796525"/>
    <w:rsid w:val="00796760"/>
    <w:rsid w:val="007967DA"/>
    <w:rsid w:val="007968A8"/>
    <w:rsid w:val="00796930"/>
    <w:rsid w:val="007969DC"/>
    <w:rsid w:val="00796A1F"/>
    <w:rsid w:val="00796A33"/>
    <w:rsid w:val="00796B2E"/>
    <w:rsid w:val="00796B80"/>
    <w:rsid w:val="00796B90"/>
    <w:rsid w:val="00796DCE"/>
    <w:rsid w:val="00796DFA"/>
    <w:rsid w:val="00796E16"/>
    <w:rsid w:val="00796E52"/>
    <w:rsid w:val="00796EA7"/>
    <w:rsid w:val="00796EEB"/>
    <w:rsid w:val="00796F6D"/>
    <w:rsid w:val="00796FF4"/>
    <w:rsid w:val="00797040"/>
    <w:rsid w:val="00797075"/>
    <w:rsid w:val="0079717B"/>
    <w:rsid w:val="007971DB"/>
    <w:rsid w:val="00797367"/>
    <w:rsid w:val="007973F8"/>
    <w:rsid w:val="00797462"/>
    <w:rsid w:val="007974B2"/>
    <w:rsid w:val="007974B5"/>
    <w:rsid w:val="0079753E"/>
    <w:rsid w:val="00797668"/>
    <w:rsid w:val="00797696"/>
    <w:rsid w:val="007976C1"/>
    <w:rsid w:val="0079776B"/>
    <w:rsid w:val="00797848"/>
    <w:rsid w:val="007978CF"/>
    <w:rsid w:val="00797B08"/>
    <w:rsid w:val="00797B2B"/>
    <w:rsid w:val="00797BCD"/>
    <w:rsid w:val="00797C4B"/>
    <w:rsid w:val="00797C56"/>
    <w:rsid w:val="00797C57"/>
    <w:rsid w:val="00797CBD"/>
    <w:rsid w:val="00797F15"/>
    <w:rsid w:val="00797F7F"/>
    <w:rsid w:val="00797FE4"/>
    <w:rsid w:val="007A008C"/>
    <w:rsid w:val="007A00BE"/>
    <w:rsid w:val="007A00F9"/>
    <w:rsid w:val="007A0117"/>
    <w:rsid w:val="007A0303"/>
    <w:rsid w:val="007A03A7"/>
    <w:rsid w:val="007A0419"/>
    <w:rsid w:val="007A04AA"/>
    <w:rsid w:val="007A0510"/>
    <w:rsid w:val="007A057E"/>
    <w:rsid w:val="007A06C3"/>
    <w:rsid w:val="007A06E8"/>
    <w:rsid w:val="007A0838"/>
    <w:rsid w:val="007A0872"/>
    <w:rsid w:val="007A09E7"/>
    <w:rsid w:val="007A0B31"/>
    <w:rsid w:val="007A0B53"/>
    <w:rsid w:val="007A0DCC"/>
    <w:rsid w:val="007A0F10"/>
    <w:rsid w:val="007A105C"/>
    <w:rsid w:val="007A10C9"/>
    <w:rsid w:val="007A1119"/>
    <w:rsid w:val="007A11DF"/>
    <w:rsid w:val="007A1452"/>
    <w:rsid w:val="007A1586"/>
    <w:rsid w:val="007A15D0"/>
    <w:rsid w:val="007A1624"/>
    <w:rsid w:val="007A1669"/>
    <w:rsid w:val="007A17A2"/>
    <w:rsid w:val="007A1844"/>
    <w:rsid w:val="007A1993"/>
    <w:rsid w:val="007A1B01"/>
    <w:rsid w:val="007A1C07"/>
    <w:rsid w:val="007A1CC5"/>
    <w:rsid w:val="007A1D69"/>
    <w:rsid w:val="007A1DDF"/>
    <w:rsid w:val="007A1E0E"/>
    <w:rsid w:val="007A1E79"/>
    <w:rsid w:val="007A1EAC"/>
    <w:rsid w:val="007A1ED8"/>
    <w:rsid w:val="007A1F18"/>
    <w:rsid w:val="007A1FD9"/>
    <w:rsid w:val="007A2046"/>
    <w:rsid w:val="007A232E"/>
    <w:rsid w:val="007A2346"/>
    <w:rsid w:val="007A2454"/>
    <w:rsid w:val="007A24E7"/>
    <w:rsid w:val="007A250F"/>
    <w:rsid w:val="007A25B9"/>
    <w:rsid w:val="007A25E4"/>
    <w:rsid w:val="007A2600"/>
    <w:rsid w:val="007A27CC"/>
    <w:rsid w:val="007A27D4"/>
    <w:rsid w:val="007A2861"/>
    <w:rsid w:val="007A29B6"/>
    <w:rsid w:val="007A29F3"/>
    <w:rsid w:val="007A2CF8"/>
    <w:rsid w:val="007A2DF4"/>
    <w:rsid w:val="007A2E08"/>
    <w:rsid w:val="007A2F82"/>
    <w:rsid w:val="007A2FB1"/>
    <w:rsid w:val="007A30A2"/>
    <w:rsid w:val="007A313B"/>
    <w:rsid w:val="007A3231"/>
    <w:rsid w:val="007A3260"/>
    <w:rsid w:val="007A33BE"/>
    <w:rsid w:val="007A3422"/>
    <w:rsid w:val="007A3491"/>
    <w:rsid w:val="007A3596"/>
    <w:rsid w:val="007A35A1"/>
    <w:rsid w:val="007A35D5"/>
    <w:rsid w:val="007A3691"/>
    <w:rsid w:val="007A37AC"/>
    <w:rsid w:val="007A3812"/>
    <w:rsid w:val="007A3864"/>
    <w:rsid w:val="007A3898"/>
    <w:rsid w:val="007A3AB1"/>
    <w:rsid w:val="007A3B5F"/>
    <w:rsid w:val="007A3B6F"/>
    <w:rsid w:val="007A3CB7"/>
    <w:rsid w:val="007A3D10"/>
    <w:rsid w:val="007A3D70"/>
    <w:rsid w:val="007A3D9B"/>
    <w:rsid w:val="007A3DC3"/>
    <w:rsid w:val="007A3DD6"/>
    <w:rsid w:val="007A3DFF"/>
    <w:rsid w:val="007A3E46"/>
    <w:rsid w:val="007A3E6F"/>
    <w:rsid w:val="007A3F31"/>
    <w:rsid w:val="007A410A"/>
    <w:rsid w:val="007A4118"/>
    <w:rsid w:val="007A41B0"/>
    <w:rsid w:val="007A41D8"/>
    <w:rsid w:val="007A4204"/>
    <w:rsid w:val="007A4226"/>
    <w:rsid w:val="007A4234"/>
    <w:rsid w:val="007A43D3"/>
    <w:rsid w:val="007A4618"/>
    <w:rsid w:val="007A46DC"/>
    <w:rsid w:val="007A475A"/>
    <w:rsid w:val="007A47BC"/>
    <w:rsid w:val="007A47ED"/>
    <w:rsid w:val="007A4883"/>
    <w:rsid w:val="007A48BC"/>
    <w:rsid w:val="007A4905"/>
    <w:rsid w:val="007A493B"/>
    <w:rsid w:val="007A4976"/>
    <w:rsid w:val="007A4A27"/>
    <w:rsid w:val="007A4B49"/>
    <w:rsid w:val="007A4C3A"/>
    <w:rsid w:val="007A4D71"/>
    <w:rsid w:val="007A4E25"/>
    <w:rsid w:val="007A4EE6"/>
    <w:rsid w:val="007A4F8E"/>
    <w:rsid w:val="007A5068"/>
    <w:rsid w:val="007A508A"/>
    <w:rsid w:val="007A529E"/>
    <w:rsid w:val="007A52EE"/>
    <w:rsid w:val="007A533F"/>
    <w:rsid w:val="007A53F8"/>
    <w:rsid w:val="007A54B0"/>
    <w:rsid w:val="007A54B4"/>
    <w:rsid w:val="007A54E1"/>
    <w:rsid w:val="007A5802"/>
    <w:rsid w:val="007A5847"/>
    <w:rsid w:val="007A5873"/>
    <w:rsid w:val="007A5A05"/>
    <w:rsid w:val="007A5A3E"/>
    <w:rsid w:val="007A5CEB"/>
    <w:rsid w:val="007A5DC2"/>
    <w:rsid w:val="007A5E5F"/>
    <w:rsid w:val="007A5E7D"/>
    <w:rsid w:val="007A5FBB"/>
    <w:rsid w:val="007A6022"/>
    <w:rsid w:val="007A6243"/>
    <w:rsid w:val="007A628D"/>
    <w:rsid w:val="007A6373"/>
    <w:rsid w:val="007A639F"/>
    <w:rsid w:val="007A66CB"/>
    <w:rsid w:val="007A671C"/>
    <w:rsid w:val="007A6759"/>
    <w:rsid w:val="007A6823"/>
    <w:rsid w:val="007A6829"/>
    <w:rsid w:val="007A69E0"/>
    <w:rsid w:val="007A6BB3"/>
    <w:rsid w:val="007A6BB9"/>
    <w:rsid w:val="007A6BDD"/>
    <w:rsid w:val="007A6BFF"/>
    <w:rsid w:val="007A6C2A"/>
    <w:rsid w:val="007A6D72"/>
    <w:rsid w:val="007A6E99"/>
    <w:rsid w:val="007A6EB3"/>
    <w:rsid w:val="007A6FAD"/>
    <w:rsid w:val="007A707F"/>
    <w:rsid w:val="007A708C"/>
    <w:rsid w:val="007A709F"/>
    <w:rsid w:val="007A70B3"/>
    <w:rsid w:val="007A711D"/>
    <w:rsid w:val="007A714A"/>
    <w:rsid w:val="007A72A0"/>
    <w:rsid w:val="007A72C1"/>
    <w:rsid w:val="007A72D8"/>
    <w:rsid w:val="007A732B"/>
    <w:rsid w:val="007A7487"/>
    <w:rsid w:val="007A7524"/>
    <w:rsid w:val="007A7543"/>
    <w:rsid w:val="007A75E9"/>
    <w:rsid w:val="007A77CD"/>
    <w:rsid w:val="007A781D"/>
    <w:rsid w:val="007A784A"/>
    <w:rsid w:val="007A78E0"/>
    <w:rsid w:val="007A790A"/>
    <w:rsid w:val="007A79AA"/>
    <w:rsid w:val="007A7A8A"/>
    <w:rsid w:val="007A7BB7"/>
    <w:rsid w:val="007A7D89"/>
    <w:rsid w:val="007A7DA8"/>
    <w:rsid w:val="007A7F82"/>
    <w:rsid w:val="007A7FB7"/>
    <w:rsid w:val="007B002F"/>
    <w:rsid w:val="007B0039"/>
    <w:rsid w:val="007B0080"/>
    <w:rsid w:val="007B00E8"/>
    <w:rsid w:val="007B00F0"/>
    <w:rsid w:val="007B010B"/>
    <w:rsid w:val="007B01E1"/>
    <w:rsid w:val="007B0253"/>
    <w:rsid w:val="007B0361"/>
    <w:rsid w:val="007B03CF"/>
    <w:rsid w:val="007B04A9"/>
    <w:rsid w:val="007B0580"/>
    <w:rsid w:val="007B059B"/>
    <w:rsid w:val="007B05FA"/>
    <w:rsid w:val="007B06C6"/>
    <w:rsid w:val="007B079D"/>
    <w:rsid w:val="007B07B5"/>
    <w:rsid w:val="007B0870"/>
    <w:rsid w:val="007B0877"/>
    <w:rsid w:val="007B0AAF"/>
    <w:rsid w:val="007B0ADF"/>
    <w:rsid w:val="007B0B8B"/>
    <w:rsid w:val="007B0C7D"/>
    <w:rsid w:val="007B0CE7"/>
    <w:rsid w:val="007B0DF2"/>
    <w:rsid w:val="007B0EF5"/>
    <w:rsid w:val="007B0F0E"/>
    <w:rsid w:val="007B0F34"/>
    <w:rsid w:val="007B0F36"/>
    <w:rsid w:val="007B1183"/>
    <w:rsid w:val="007B11FD"/>
    <w:rsid w:val="007B1210"/>
    <w:rsid w:val="007B1215"/>
    <w:rsid w:val="007B133C"/>
    <w:rsid w:val="007B135E"/>
    <w:rsid w:val="007B13C0"/>
    <w:rsid w:val="007B1424"/>
    <w:rsid w:val="007B1430"/>
    <w:rsid w:val="007B14C8"/>
    <w:rsid w:val="007B1541"/>
    <w:rsid w:val="007B1594"/>
    <w:rsid w:val="007B15B8"/>
    <w:rsid w:val="007B1673"/>
    <w:rsid w:val="007B1752"/>
    <w:rsid w:val="007B17A2"/>
    <w:rsid w:val="007B17F5"/>
    <w:rsid w:val="007B18A9"/>
    <w:rsid w:val="007B19AC"/>
    <w:rsid w:val="007B1A20"/>
    <w:rsid w:val="007B1A37"/>
    <w:rsid w:val="007B1A8F"/>
    <w:rsid w:val="007B1C17"/>
    <w:rsid w:val="007B1C78"/>
    <w:rsid w:val="007B20A3"/>
    <w:rsid w:val="007B20B0"/>
    <w:rsid w:val="007B236F"/>
    <w:rsid w:val="007B2448"/>
    <w:rsid w:val="007B246D"/>
    <w:rsid w:val="007B254F"/>
    <w:rsid w:val="007B25A9"/>
    <w:rsid w:val="007B25EE"/>
    <w:rsid w:val="007B260E"/>
    <w:rsid w:val="007B261F"/>
    <w:rsid w:val="007B27B4"/>
    <w:rsid w:val="007B282D"/>
    <w:rsid w:val="007B28F5"/>
    <w:rsid w:val="007B29A1"/>
    <w:rsid w:val="007B29A6"/>
    <w:rsid w:val="007B2C1F"/>
    <w:rsid w:val="007B2C50"/>
    <w:rsid w:val="007B2CAD"/>
    <w:rsid w:val="007B2E1D"/>
    <w:rsid w:val="007B2E7B"/>
    <w:rsid w:val="007B2EC8"/>
    <w:rsid w:val="007B2FA2"/>
    <w:rsid w:val="007B2FAF"/>
    <w:rsid w:val="007B2FB3"/>
    <w:rsid w:val="007B2FF3"/>
    <w:rsid w:val="007B3031"/>
    <w:rsid w:val="007B30C6"/>
    <w:rsid w:val="007B30D6"/>
    <w:rsid w:val="007B3149"/>
    <w:rsid w:val="007B3333"/>
    <w:rsid w:val="007B3375"/>
    <w:rsid w:val="007B33B5"/>
    <w:rsid w:val="007B33BD"/>
    <w:rsid w:val="007B3489"/>
    <w:rsid w:val="007B35D4"/>
    <w:rsid w:val="007B367E"/>
    <w:rsid w:val="007B3684"/>
    <w:rsid w:val="007B36ED"/>
    <w:rsid w:val="007B375D"/>
    <w:rsid w:val="007B383A"/>
    <w:rsid w:val="007B3914"/>
    <w:rsid w:val="007B399B"/>
    <w:rsid w:val="007B3A08"/>
    <w:rsid w:val="007B3B00"/>
    <w:rsid w:val="007B3B0B"/>
    <w:rsid w:val="007B3B3C"/>
    <w:rsid w:val="007B3D46"/>
    <w:rsid w:val="007B3DF8"/>
    <w:rsid w:val="007B3E62"/>
    <w:rsid w:val="007B3EB0"/>
    <w:rsid w:val="007B3ED0"/>
    <w:rsid w:val="007B3F47"/>
    <w:rsid w:val="007B3F8D"/>
    <w:rsid w:val="007B40E7"/>
    <w:rsid w:val="007B4184"/>
    <w:rsid w:val="007B4218"/>
    <w:rsid w:val="007B438C"/>
    <w:rsid w:val="007B4429"/>
    <w:rsid w:val="007B447B"/>
    <w:rsid w:val="007B44E3"/>
    <w:rsid w:val="007B455C"/>
    <w:rsid w:val="007B4600"/>
    <w:rsid w:val="007B4638"/>
    <w:rsid w:val="007B466C"/>
    <w:rsid w:val="007B4734"/>
    <w:rsid w:val="007B47C9"/>
    <w:rsid w:val="007B47EF"/>
    <w:rsid w:val="007B495E"/>
    <w:rsid w:val="007B496C"/>
    <w:rsid w:val="007B496D"/>
    <w:rsid w:val="007B4A3C"/>
    <w:rsid w:val="007B4B5A"/>
    <w:rsid w:val="007B4BAA"/>
    <w:rsid w:val="007B4BEA"/>
    <w:rsid w:val="007B4C6E"/>
    <w:rsid w:val="007B4CF0"/>
    <w:rsid w:val="007B4D7C"/>
    <w:rsid w:val="007B4E8D"/>
    <w:rsid w:val="007B4FFF"/>
    <w:rsid w:val="007B500B"/>
    <w:rsid w:val="007B5054"/>
    <w:rsid w:val="007B50F3"/>
    <w:rsid w:val="007B51BC"/>
    <w:rsid w:val="007B51C5"/>
    <w:rsid w:val="007B5276"/>
    <w:rsid w:val="007B52C3"/>
    <w:rsid w:val="007B52D0"/>
    <w:rsid w:val="007B533F"/>
    <w:rsid w:val="007B5376"/>
    <w:rsid w:val="007B5428"/>
    <w:rsid w:val="007B5519"/>
    <w:rsid w:val="007B5688"/>
    <w:rsid w:val="007B56DE"/>
    <w:rsid w:val="007B57A2"/>
    <w:rsid w:val="007B590C"/>
    <w:rsid w:val="007B5937"/>
    <w:rsid w:val="007B5993"/>
    <w:rsid w:val="007B5A18"/>
    <w:rsid w:val="007B5A8B"/>
    <w:rsid w:val="007B5AF4"/>
    <w:rsid w:val="007B5CF8"/>
    <w:rsid w:val="007B5D5B"/>
    <w:rsid w:val="007B5E00"/>
    <w:rsid w:val="007B5E2E"/>
    <w:rsid w:val="007B5E6C"/>
    <w:rsid w:val="007B5EB8"/>
    <w:rsid w:val="007B5FA0"/>
    <w:rsid w:val="007B601E"/>
    <w:rsid w:val="007B60E8"/>
    <w:rsid w:val="007B613E"/>
    <w:rsid w:val="007B614F"/>
    <w:rsid w:val="007B61EC"/>
    <w:rsid w:val="007B6250"/>
    <w:rsid w:val="007B62FE"/>
    <w:rsid w:val="007B653E"/>
    <w:rsid w:val="007B6696"/>
    <w:rsid w:val="007B66BF"/>
    <w:rsid w:val="007B66D8"/>
    <w:rsid w:val="007B6717"/>
    <w:rsid w:val="007B694F"/>
    <w:rsid w:val="007B69F6"/>
    <w:rsid w:val="007B6A4F"/>
    <w:rsid w:val="007B6B34"/>
    <w:rsid w:val="007B6B4F"/>
    <w:rsid w:val="007B6C30"/>
    <w:rsid w:val="007B6D94"/>
    <w:rsid w:val="007B6DAD"/>
    <w:rsid w:val="007B6DE8"/>
    <w:rsid w:val="007B6DFA"/>
    <w:rsid w:val="007B6EF5"/>
    <w:rsid w:val="007B6F4D"/>
    <w:rsid w:val="007B6FB0"/>
    <w:rsid w:val="007B7054"/>
    <w:rsid w:val="007B7084"/>
    <w:rsid w:val="007B70B5"/>
    <w:rsid w:val="007B7134"/>
    <w:rsid w:val="007B728D"/>
    <w:rsid w:val="007B72C2"/>
    <w:rsid w:val="007B738C"/>
    <w:rsid w:val="007B7413"/>
    <w:rsid w:val="007B7473"/>
    <w:rsid w:val="007B752F"/>
    <w:rsid w:val="007B7708"/>
    <w:rsid w:val="007B7753"/>
    <w:rsid w:val="007B7823"/>
    <w:rsid w:val="007B78E2"/>
    <w:rsid w:val="007B791E"/>
    <w:rsid w:val="007B7968"/>
    <w:rsid w:val="007B79B7"/>
    <w:rsid w:val="007B79C3"/>
    <w:rsid w:val="007B79F5"/>
    <w:rsid w:val="007B7A87"/>
    <w:rsid w:val="007B7D07"/>
    <w:rsid w:val="007B7D5B"/>
    <w:rsid w:val="007B7D74"/>
    <w:rsid w:val="007B7D83"/>
    <w:rsid w:val="007B7E79"/>
    <w:rsid w:val="007B7EEC"/>
    <w:rsid w:val="007B7EFD"/>
    <w:rsid w:val="007B7F65"/>
    <w:rsid w:val="007C0011"/>
    <w:rsid w:val="007C0169"/>
    <w:rsid w:val="007C01BC"/>
    <w:rsid w:val="007C0278"/>
    <w:rsid w:val="007C02DB"/>
    <w:rsid w:val="007C030A"/>
    <w:rsid w:val="007C0317"/>
    <w:rsid w:val="007C035A"/>
    <w:rsid w:val="007C035B"/>
    <w:rsid w:val="007C03BC"/>
    <w:rsid w:val="007C0402"/>
    <w:rsid w:val="007C042D"/>
    <w:rsid w:val="007C05B9"/>
    <w:rsid w:val="007C0685"/>
    <w:rsid w:val="007C06EA"/>
    <w:rsid w:val="007C0706"/>
    <w:rsid w:val="007C0A82"/>
    <w:rsid w:val="007C0AE1"/>
    <w:rsid w:val="007C0BE7"/>
    <w:rsid w:val="007C0CA4"/>
    <w:rsid w:val="007C0CE8"/>
    <w:rsid w:val="007C0D1F"/>
    <w:rsid w:val="007C0D21"/>
    <w:rsid w:val="007C0DC0"/>
    <w:rsid w:val="007C0E0C"/>
    <w:rsid w:val="007C11F4"/>
    <w:rsid w:val="007C1219"/>
    <w:rsid w:val="007C12BA"/>
    <w:rsid w:val="007C1516"/>
    <w:rsid w:val="007C1535"/>
    <w:rsid w:val="007C154B"/>
    <w:rsid w:val="007C15F2"/>
    <w:rsid w:val="007C15F3"/>
    <w:rsid w:val="007C16F0"/>
    <w:rsid w:val="007C1782"/>
    <w:rsid w:val="007C17EA"/>
    <w:rsid w:val="007C18D5"/>
    <w:rsid w:val="007C1929"/>
    <w:rsid w:val="007C198B"/>
    <w:rsid w:val="007C1CE2"/>
    <w:rsid w:val="007C1CF1"/>
    <w:rsid w:val="007C1D27"/>
    <w:rsid w:val="007C1D42"/>
    <w:rsid w:val="007C1D5A"/>
    <w:rsid w:val="007C1DBC"/>
    <w:rsid w:val="007C1E79"/>
    <w:rsid w:val="007C1F30"/>
    <w:rsid w:val="007C2083"/>
    <w:rsid w:val="007C2127"/>
    <w:rsid w:val="007C21F7"/>
    <w:rsid w:val="007C2201"/>
    <w:rsid w:val="007C22CD"/>
    <w:rsid w:val="007C2339"/>
    <w:rsid w:val="007C23B1"/>
    <w:rsid w:val="007C259E"/>
    <w:rsid w:val="007C2622"/>
    <w:rsid w:val="007C26BC"/>
    <w:rsid w:val="007C27A5"/>
    <w:rsid w:val="007C2852"/>
    <w:rsid w:val="007C28C8"/>
    <w:rsid w:val="007C28CF"/>
    <w:rsid w:val="007C2950"/>
    <w:rsid w:val="007C2A65"/>
    <w:rsid w:val="007C2A98"/>
    <w:rsid w:val="007C2AAA"/>
    <w:rsid w:val="007C2AAD"/>
    <w:rsid w:val="007C2B9E"/>
    <w:rsid w:val="007C2BE7"/>
    <w:rsid w:val="007C2DDC"/>
    <w:rsid w:val="007C2E0A"/>
    <w:rsid w:val="007C2E4E"/>
    <w:rsid w:val="007C2F25"/>
    <w:rsid w:val="007C2F32"/>
    <w:rsid w:val="007C2FDA"/>
    <w:rsid w:val="007C3088"/>
    <w:rsid w:val="007C310B"/>
    <w:rsid w:val="007C3147"/>
    <w:rsid w:val="007C3211"/>
    <w:rsid w:val="007C321A"/>
    <w:rsid w:val="007C3274"/>
    <w:rsid w:val="007C33A4"/>
    <w:rsid w:val="007C33C1"/>
    <w:rsid w:val="007C37A8"/>
    <w:rsid w:val="007C3C73"/>
    <w:rsid w:val="007C3C8C"/>
    <w:rsid w:val="007C3D07"/>
    <w:rsid w:val="007C3D14"/>
    <w:rsid w:val="007C3D77"/>
    <w:rsid w:val="007C3E69"/>
    <w:rsid w:val="007C3EC2"/>
    <w:rsid w:val="007C3F3D"/>
    <w:rsid w:val="007C4020"/>
    <w:rsid w:val="007C4035"/>
    <w:rsid w:val="007C4158"/>
    <w:rsid w:val="007C41D6"/>
    <w:rsid w:val="007C4335"/>
    <w:rsid w:val="007C43E3"/>
    <w:rsid w:val="007C43FE"/>
    <w:rsid w:val="007C4484"/>
    <w:rsid w:val="007C4492"/>
    <w:rsid w:val="007C44D3"/>
    <w:rsid w:val="007C44F3"/>
    <w:rsid w:val="007C45FC"/>
    <w:rsid w:val="007C46B3"/>
    <w:rsid w:val="007C4777"/>
    <w:rsid w:val="007C4947"/>
    <w:rsid w:val="007C4AF6"/>
    <w:rsid w:val="007C4B07"/>
    <w:rsid w:val="007C4C23"/>
    <w:rsid w:val="007C4C56"/>
    <w:rsid w:val="007C4E2A"/>
    <w:rsid w:val="007C5044"/>
    <w:rsid w:val="007C508C"/>
    <w:rsid w:val="007C50E2"/>
    <w:rsid w:val="007C50EE"/>
    <w:rsid w:val="007C51CE"/>
    <w:rsid w:val="007C531A"/>
    <w:rsid w:val="007C5415"/>
    <w:rsid w:val="007C5475"/>
    <w:rsid w:val="007C54CA"/>
    <w:rsid w:val="007C55B8"/>
    <w:rsid w:val="007C5661"/>
    <w:rsid w:val="007C5678"/>
    <w:rsid w:val="007C56CB"/>
    <w:rsid w:val="007C56E8"/>
    <w:rsid w:val="007C574F"/>
    <w:rsid w:val="007C583F"/>
    <w:rsid w:val="007C594C"/>
    <w:rsid w:val="007C59C8"/>
    <w:rsid w:val="007C5A10"/>
    <w:rsid w:val="007C5A5C"/>
    <w:rsid w:val="007C5C79"/>
    <w:rsid w:val="007C5C7D"/>
    <w:rsid w:val="007C5CB7"/>
    <w:rsid w:val="007C5CBF"/>
    <w:rsid w:val="007C5CDD"/>
    <w:rsid w:val="007C5E70"/>
    <w:rsid w:val="007C5E9A"/>
    <w:rsid w:val="007C5ED1"/>
    <w:rsid w:val="007C5F47"/>
    <w:rsid w:val="007C5F82"/>
    <w:rsid w:val="007C61AD"/>
    <w:rsid w:val="007C6261"/>
    <w:rsid w:val="007C62AC"/>
    <w:rsid w:val="007C62AE"/>
    <w:rsid w:val="007C635A"/>
    <w:rsid w:val="007C6377"/>
    <w:rsid w:val="007C6475"/>
    <w:rsid w:val="007C6575"/>
    <w:rsid w:val="007C6681"/>
    <w:rsid w:val="007C690A"/>
    <w:rsid w:val="007C69B3"/>
    <w:rsid w:val="007C6C75"/>
    <w:rsid w:val="007C6D28"/>
    <w:rsid w:val="007C6D56"/>
    <w:rsid w:val="007C6E1D"/>
    <w:rsid w:val="007C6E2D"/>
    <w:rsid w:val="007C6E69"/>
    <w:rsid w:val="007C6E79"/>
    <w:rsid w:val="007C6F1D"/>
    <w:rsid w:val="007C6F6E"/>
    <w:rsid w:val="007C6F71"/>
    <w:rsid w:val="007C6FBC"/>
    <w:rsid w:val="007C7048"/>
    <w:rsid w:val="007C70C4"/>
    <w:rsid w:val="007C712B"/>
    <w:rsid w:val="007C7147"/>
    <w:rsid w:val="007C727D"/>
    <w:rsid w:val="007C741E"/>
    <w:rsid w:val="007C74DF"/>
    <w:rsid w:val="007C753F"/>
    <w:rsid w:val="007C758B"/>
    <w:rsid w:val="007C75C8"/>
    <w:rsid w:val="007C77B8"/>
    <w:rsid w:val="007C77D4"/>
    <w:rsid w:val="007C78B1"/>
    <w:rsid w:val="007C796D"/>
    <w:rsid w:val="007C7A89"/>
    <w:rsid w:val="007C7B18"/>
    <w:rsid w:val="007C7BDF"/>
    <w:rsid w:val="007C7C45"/>
    <w:rsid w:val="007C7C7C"/>
    <w:rsid w:val="007C7C9A"/>
    <w:rsid w:val="007C7CEB"/>
    <w:rsid w:val="007C7CFA"/>
    <w:rsid w:val="007C7F45"/>
    <w:rsid w:val="007C7F74"/>
    <w:rsid w:val="007C7FBA"/>
    <w:rsid w:val="007C9B0A"/>
    <w:rsid w:val="007D0035"/>
    <w:rsid w:val="007D009C"/>
    <w:rsid w:val="007D03E9"/>
    <w:rsid w:val="007D0466"/>
    <w:rsid w:val="007D04CB"/>
    <w:rsid w:val="007D0618"/>
    <w:rsid w:val="007D0633"/>
    <w:rsid w:val="007D064C"/>
    <w:rsid w:val="007D06DC"/>
    <w:rsid w:val="007D076F"/>
    <w:rsid w:val="007D07C5"/>
    <w:rsid w:val="007D0803"/>
    <w:rsid w:val="007D0805"/>
    <w:rsid w:val="007D08A1"/>
    <w:rsid w:val="007D0907"/>
    <w:rsid w:val="007D0999"/>
    <w:rsid w:val="007D09C1"/>
    <w:rsid w:val="007D09E4"/>
    <w:rsid w:val="007D0AEE"/>
    <w:rsid w:val="007D0B5A"/>
    <w:rsid w:val="007D0B5E"/>
    <w:rsid w:val="007D0BE8"/>
    <w:rsid w:val="007D0D28"/>
    <w:rsid w:val="007D0D40"/>
    <w:rsid w:val="007D0F25"/>
    <w:rsid w:val="007D100A"/>
    <w:rsid w:val="007D108D"/>
    <w:rsid w:val="007D10D1"/>
    <w:rsid w:val="007D1318"/>
    <w:rsid w:val="007D13B7"/>
    <w:rsid w:val="007D1416"/>
    <w:rsid w:val="007D14A3"/>
    <w:rsid w:val="007D15AB"/>
    <w:rsid w:val="007D1645"/>
    <w:rsid w:val="007D1928"/>
    <w:rsid w:val="007D193D"/>
    <w:rsid w:val="007D1967"/>
    <w:rsid w:val="007D19F1"/>
    <w:rsid w:val="007D1B83"/>
    <w:rsid w:val="007D1BA7"/>
    <w:rsid w:val="007D1BAA"/>
    <w:rsid w:val="007D1BFB"/>
    <w:rsid w:val="007D1CBE"/>
    <w:rsid w:val="007D1DD7"/>
    <w:rsid w:val="007D1DEA"/>
    <w:rsid w:val="007D1EB3"/>
    <w:rsid w:val="007D1ED8"/>
    <w:rsid w:val="007D1EF1"/>
    <w:rsid w:val="007D1FC9"/>
    <w:rsid w:val="007D1FDC"/>
    <w:rsid w:val="007D2013"/>
    <w:rsid w:val="007D2050"/>
    <w:rsid w:val="007D20B8"/>
    <w:rsid w:val="007D210D"/>
    <w:rsid w:val="007D214B"/>
    <w:rsid w:val="007D246F"/>
    <w:rsid w:val="007D2491"/>
    <w:rsid w:val="007D24A2"/>
    <w:rsid w:val="007D24FC"/>
    <w:rsid w:val="007D250C"/>
    <w:rsid w:val="007D2588"/>
    <w:rsid w:val="007D2650"/>
    <w:rsid w:val="007D28D4"/>
    <w:rsid w:val="007D2984"/>
    <w:rsid w:val="007D2987"/>
    <w:rsid w:val="007D2BAD"/>
    <w:rsid w:val="007D2D78"/>
    <w:rsid w:val="007D2E4D"/>
    <w:rsid w:val="007D2E67"/>
    <w:rsid w:val="007D2F81"/>
    <w:rsid w:val="007D300E"/>
    <w:rsid w:val="007D30AD"/>
    <w:rsid w:val="007D3164"/>
    <w:rsid w:val="007D3166"/>
    <w:rsid w:val="007D324B"/>
    <w:rsid w:val="007D3251"/>
    <w:rsid w:val="007D32DB"/>
    <w:rsid w:val="007D34D4"/>
    <w:rsid w:val="007D35F9"/>
    <w:rsid w:val="007D3601"/>
    <w:rsid w:val="007D3614"/>
    <w:rsid w:val="007D368A"/>
    <w:rsid w:val="007D36C2"/>
    <w:rsid w:val="007D3727"/>
    <w:rsid w:val="007D3742"/>
    <w:rsid w:val="007D3802"/>
    <w:rsid w:val="007D3903"/>
    <w:rsid w:val="007D3909"/>
    <w:rsid w:val="007D3913"/>
    <w:rsid w:val="007D3941"/>
    <w:rsid w:val="007D3AA3"/>
    <w:rsid w:val="007D3ADB"/>
    <w:rsid w:val="007D3B8D"/>
    <w:rsid w:val="007D3D41"/>
    <w:rsid w:val="007D3D46"/>
    <w:rsid w:val="007D3E35"/>
    <w:rsid w:val="007D3E50"/>
    <w:rsid w:val="007D3E6A"/>
    <w:rsid w:val="007D4091"/>
    <w:rsid w:val="007D4126"/>
    <w:rsid w:val="007D42A9"/>
    <w:rsid w:val="007D43A1"/>
    <w:rsid w:val="007D442E"/>
    <w:rsid w:val="007D4487"/>
    <w:rsid w:val="007D4490"/>
    <w:rsid w:val="007D449D"/>
    <w:rsid w:val="007D44EA"/>
    <w:rsid w:val="007D4562"/>
    <w:rsid w:val="007D465D"/>
    <w:rsid w:val="007D465E"/>
    <w:rsid w:val="007D466F"/>
    <w:rsid w:val="007D46AA"/>
    <w:rsid w:val="007D4770"/>
    <w:rsid w:val="007D47B9"/>
    <w:rsid w:val="007D47DE"/>
    <w:rsid w:val="007D48DE"/>
    <w:rsid w:val="007D48E7"/>
    <w:rsid w:val="007D490F"/>
    <w:rsid w:val="007D49E3"/>
    <w:rsid w:val="007D49E6"/>
    <w:rsid w:val="007D4A13"/>
    <w:rsid w:val="007D4AC4"/>
    <w:rsid w:val="007D4BA1"/>
    <w:rsid w:val="007D4CB0"/>
    <w:rsid w:val="007D4DA1"/>
    <w:rsid w:val="007D5098"/>
    <w:rsid w:val="007D50E3"/>
    <w:rsid w:val="007D5175"/>
    <w:rsid w:val="007D5280"/>
    <w:rsid w:val="007D528D"/>
    <w:rsid w:val="007D531F"/>
    <w:rsid w:val="007D5647"/>
    <w:rsid w:val="007D5713"/>
    <w:rsid w:val="007D5719"/>
    <w:rsid w:val="007D5749"/>
    <w:rsid w:val="007D5782"/>
    <w:rsid w:val="007D5825"/>
    <w:rsid w:val="007D5887"/>
    <w:rsid w:val="007D5B06"/>
    <w:rsid w:val="007D5B54"/>
    <w:rsid w:val="007D5C6E"/>
    <w:rsid w:val="007D5E02"/>
    <w:rsid w:val="007D5E66"/>
    <w:rsid w:val="007D5E9A"/>
    <w:rsid w:val="007D5ED6"/>
    <w:rsid w:val="007D5F0D"/>
    <w:rsid w:val="007D5F88"/>
    <w:rsid w:val="007D608A"/>
    <w:rsid w:val="007D60AB"/>
    <w:rsid w:val="007D6100"/>
    <w:rsid w:val="007D6125"/>
    <w:rsid w:val="007D614D"/>
    <w:rsid w:val="007D6299"/>
    <w:rsid w:val="007D63F1"/>
    <w:rsid w:val="007D640B"/>
    <w:rsid w:val="007D64B3"/>
    <w:rsid w:val="007D65BF"/>
    <w:rsid w:val="007D679E"/>
    <w:rsid w:val="007D6901"/>
    <w:rsid w:val="007D6984"/>
    <w:rsid w:val="007D69D1"/>
    <w:rsid w:val="007D6AB7"/>
    <w:rsid w:val="007D6B29"/>
    <w:rsid w:val="007D6B48"/>
    <w:rsid w:val="007D6B6B"/>
    <w:rsid w:val="007D6CB1"/>
    <w:rsid w:val="007D6DB6"/>
    <w:rsid w:val="007D6E38"/>
    <w:rsid w:val="007D6E3A"/>
    <w:rsid w:val="007D6E62"/>
    <w:rsid w:val="007D6EAD"/>
    <w:rsid w:val="007D6EB0"/>
    <w:rsid w:val="007D6F03"/>
    <w:rsid w:val="007D7062"/>
    <w:rsid w:val="007D72AE"/>
    <w:rsid w:val="007D72B8"/>
    <w:rsid w:val="007D72BE"/>
    <w:rsid w:val="007D7433"/>
    <w:rsid w:val="007D753B"/>
    <w:rsid w:val="007D75BD"/>
    <w:rsid w:val="007D75C8"/>
    <w:rsid w:val="007D77D8"/>
    <w:rsid w:val="007D790C"/>
    <w:rsid w:val="007D79A6"/>
    <w:rsid w:val="007D79E0"/>
    <w:rsid w:val="007D7A57"/>
    <w:rsid w:val="007D7AFF"/>
    <w:rsid w:val="007D7B4C"/>
    <w:rsid w:val="007D7BBB"/>
    <w:rsid w:val="007D7C7C"/>
    <w:rsid w:val="007D7C9E"/>
    <w:rsid w:val="007D7DD9"/>
    <w:rsid w:val="007D7E49"/>
    <w:rsid w:val="007D7E84"/>
    <w:rsid w:val="007D7E88"/>
    <w:rsid w:val="007D7EEE"/>
    <w:rsid w:val="007D7F38"/>
    <w:rsid w:val="007D7F99"/>
    <w:rsid w:val="007D7F9A"/>
    <w:rsid w:val="007E0052"/>
    <w:rsid w:val="007E0099"/>
    <w:rsid w:val="007E00CB"/>
    <w:rsid w:val="007E0253"/>
    <w:rsid w:val="007E0263"/>
    <w:rsid w:val="007E03BE"/>
    <w:rsid w:val="007E03DE"/>
    <w:rsid w:val="007E0410"/>
    <w:rsid w:val="007E0429"/>
    <w:rsid w:val="007E047A"/>
    <w:rsid w:val="007E0515"/>
    <w:rsid w:val="007E058C"/>
    <w:rsid w:val="007E06CF"/>
    <w:rsid w:val="007E0726"/>
    <w:rsid w:val="007E0737"/>
    <w:rsid w:val="007E075D"/>
    <w:rsid w:val="007E07FD"/>
    <w:rsid w:val="007E0833"/>
    <w:rsid w:val="007E0847"/>
    <w:rsid w:val="007E087B"/>
    <w:rsid w:val="007E08EA"/>
    <w:rsid w:val="007E0909"/>
    <w:rsid w:val="007E0968"/>
    <w:rsid w:val="007E0A10"/>
    <w:rsid w:val="007E0C5C"/>
    <w:rsid w:val="007E0CB5"/>
    <w:rsid w:val="007E0D14"/>
    <w:rsid w:val="007E0DB0"/>
    <w:rsid w:val="007E0E5B"/>
    <w:rsid w:val="007E0F71"/>
    <w:rsid w:val="007E1042"/>
    <w:rsid w:val="007E1190"/>
    <w:rsid w:val="007E11FB"/>
    <w:rsid w:val="007E124D"/>
    <w:rsid w:val="007E12A5"/>
    <w:rsid w:val="007E1366"/>
    <w:rsid w:val="007E1394"/>
    <w:rsid w:val="007E1480"/>
    <w:rsid w:val="007E14BF"/>
    <w:rsid w:val="007E1693"/>
    <w:rsid w:val="007E169A"/>
    <w:rsid w:val="007E1705"/>
    <w:rsid w:val="007E17DF"/>
    <w:rsid w:val="007E188E"/>
    <w:rsid w:val="007E18AB"/>
    <w:rsid w:val="007E1908"/>
    <w:rsid w:val="007E1983"/>
    <w:rsid w:val="007E19BD"/>
    <w:rsid w:val="007E1A22"/>
    <w:rsid w:val="007E1AC1"/>
    <w:rsid w:val="007E1CAC"/>
    <w:rsid w:val="007E1D27"/>
    <w:rsid w:val="007E1D32"/>
    <w:rsid w:val="007E1DDD"/>
    <w:rsid w:val="007E1E13"/>
    <w:rsid w:val="007E1FA3"/>
    <w:rsid w:val="007E2074"/>
    <w:rsid w:val="007E2085"/>
    <w:rsid w:val="007E20CD"/>
    <w:rsid w:val="007E2152"/>
    <w:rsid w:val="007E2192"/>
    <w:rsid w:val="007E2287"/>
    <w:rsid w:val="007E22CF"/>
    <w:rsid w:val="007E231B"/>
    <w:rsid w:val="007E2468"/>
    <w:rsid w:val="007E25DA"/>
    <w:rsid w:val="007E268C"/>
    <w:rsid w:val="007E2715"/>
    <w:rsid w:val="007E2799"/>
    <w:rsid w:val="007E27E2"/>
    <w:rsid w:val="007E29D7"/>
    <w:rsid w:val="007E2B09"/>
    <w:rsid w:val="007E2B94"/>
    <w:rsid w:val="007E2EEF"/>
    <w:rsid w:val="007E2F7E"/>
    <w:rsid w:val="007E314B"/>
    <w:rsid w:val="007E31C9"/>
    <w:rsid w:val="007E31CC"/>
    <w:rsid w:val="007E3234"/>
    <w:rsid w:val="007E339D"/>
    <w:rsid w:val="007E33B2"/>
    <w:rsid w:val="007E33CD"/>
    <w:rsid w:val="007E33FD"/>
    <w:rsid w:val="007E340D"/>
    <w:rsid w:val="007E3510"/>
    <w:rsid w:val="007E352B"/>
    <w:rsid w:val="007E35BE"/>
    <w:rsid w:val="007E36C4"/>
    <w:rsid w:val="007E373F"/>
    <w:rsid w:val="007E3A6A"/>
    <w:rsid w:val="007E3C7F"/>
    <w:rsid w:val="007E3D04"/>
    <w:rsid w:val="007E3D47"/>
    <w:rsid w:val="007E3EBD"/>
    <w:rsid w:val="007E3F18"/>
    <w:rsid w:val="007E3F4D"/>
    <w:rsid w:val="007E3F92"/>
    <w:rsid w:val="007E4046"/>
    <w:rsid w:val="007E40AB"/>
    <w:rsid w:val="007E411F"/>
    <w:rsid w:val="007E42CF"/>
    <w:rsid w:val="007E42E3"/>
    <w:rsid w:val="007E43CF"/>
    <w:rsid w:val="007E441A"/>
    <w:rsid w:val="007E44B3"/>
    <w:rsid w:val="007E44E7"/>
    <w:rsid w:val="007E4576"/>
    <w:rsid w:val="007E4580"/>
    <w:rsid w:val="007E45B1"/>
    <w:rsid w:val="007E45E9"/>
    <w:rsid w:val="007E46ED"/>
    <w:rsid w:val="007E47BB"/>
    <w:rsid w:val="007E47DF"/>
    <w:rsid w:val="007E4853"/>
    <w:rsid w:val="007E48A6"/>
    <w:rsid w:val="007E4904"/>
    <w:rsid w:val="007E4946"/>
    <w:rsid w:val="007E49A4"/>
    <w:rsid w:val="007E4B38"/>
    <w:rsid w:val="007E4BF1"/>
    <w:rsid w:val="007E4D45"/>
    <w:rsid w:val="007E4D70"/>
    <w:rsid w:val="007E4E47"/>
    <w:rsid w:val="007E4E4E"/>
    <w:rsid w:val="007E4EAC"/>
    <w:rsid w:val="007E4F01"/>
    <w:rsid w:val="007E4F66"/>
    <w:rsid w:val="007E4F74"/>
    <w:rsid w:val="007E4FAE"/>
    <w:rsid w:val="007E5067"/>
    <w:rsid w:val="007E5193"/>
    <w:rsid w:val="007E520F"/>
    <w:rsid w:val="007E5211"/>
    <w:rsid w:val="007E523F"/>
    <w:rsid w:val="007E5243"/>
    <w:rsid w:val="007E5344"/>
    <w:rsid w:val="007E5411"/>
    <w:rsid w:val="007E543F"/>
    <w:rsid w:val="007E54D6"/>
    <w:rsid w:val="007E5673"/>
    <w:rsid w:val="007E5753"/>
    <w:rsid w:val="007E575D"/>
    <w:rsid w:val="007E5795"/>
    <w:rsid w:val="007E57C1"/>
    <w:rsid w:val="007E5840"/>
    <w:rsid w:val="007E58AA"/>
    <w:rsid w:val="007E5A1E"/>
    <w:rsid w:val="007E5AD6"/>
    <w:rsid w:val="007E5AE7"/>
    <w:rsid w:val="007E5B8F"/>
    <w:rsid w:val="007E5BCD"/>
    <w:rsid w:val="007E5C4F"/>
    <w:rsid w:val="007E5DCE"/>
    <w:rsid w:val="007E5ED1"/>
    <w:rsid w:val="007E5EF3"/>
    <w:rsid w:val="007E604B"/>
    <w:rsid w:val="007E6094"/>
    <w:rsid w:val="007E60A8"/>
    <w:rsid w:val="007E60C5"/>
    <w:rsid w:val="007E60FD"/>
    <w:rsid w:val="007E61A9"/>
    <w:rsid w:val="007E622F"/>
    <w:rsid w:val="007E6379"/>
    <w:rsid w:val="007E6382"/>
    <w:rsid w:val="007E6385"/>
    <w:rsid w:val="007E63A9"/>
    <w:rsid w:val="007E63DC"/>
    <w:rsid w:val="007E64DF"/>
    <w:rsid w:val="007E6583"/>
    <w:rsid w:val="007E6689"/>
    <w:rsid w:val="007E66CD"/>
    <w:rsid w:val="007E66F3"/>
    <w:rsid w:val="007E6899"/>
    <w:rsid w:val="007E68B0"/>
    <w:rsid w:val="007E68BB"/>
    <w:rsid w:val="007E69B0"/>
    <w:rsid w:val="007E69BC"/>
    <w:rsid w:val="007E69E4"/>
    <w:rsid w:val="007E6A47"/>
    <w:rsid w:val="007E6A8A"/>
    <w:rsid w:val="007E6AA3"/>
    <w:rsid w:val="007E6AB9"/>
    <w:rsid w:val="007E6C8D"/>
    <w:rsid w:val="007E6CCC"/>
    <w:rsid w:val="007E6D8E"/>
    <w:rsid w:val="007E6DFF"/>
    <w:rsid w:val="007E6E3E"/>
    <w:rsid w:val="007E6EDF"/>
    <w:rsid w:val="007E6FEE"/>
    <w:rsid w:val="007E70FD"/>
    <w:rsid w:val="007E722D"/>
    <w:rsid w:val="007E72BA"/>
    <w:rsid w:val="007E7329"/>
    <w:rsid w:val="007E7524"/>
    <w:rsid w:val="007E7530"/>
    <w:rsid w:val="007E7549"/>
    <w:rsid w:val="007E7555"/>
    <w:rsid w:val="007E75A0"/>
    <w:rsid w:val="007E77AE"/>
    <w:rsid w:val="007E782F"/>
    <w:rsid w:val="007E7865"/>
    <w:rsid w:val="007E7894"/>
    <w:rsid w:val="007E79A6"/>
    <w:rsid w:val="007E79F9"/>
    <w:rsid w:val="007E7CA3"/>
    <w:rsid w:val="007E7DAA"/>
    <w:rsid w:val="007E7FA1"/>
    <w:rsid w:val="007F005B"/>
    <w:rsid w:val="007F0113"/>
    <w:rsid w:val="007F015D"/>
    <w:rsid w:val="007F01D9"/>
    <w:rsid w:val="007F02C2"/>
    <w:rsid w:val="007F0367"/>
    <w:rsid w:val="007F042E"/>
    <w:rsid w:val="007F04C0"/>
    <w:rsid w:val="007F04D5"/>
    <w:rsid w:val="007F0508"/>
    <w:rsid w:val="007F062E"/>
    <w:rsid w:val="007F0638"/>
    <w:rsid w:val="007F067A"/>
    <w:rsid w:val="007F073D"/>
    <w:rsid w:val="007F077D"/>
    <w:rsid w:val="007F07AA"/>
    <w:rsid w:val="007F089F"/>
    <w:rsid w:val="007F098D"/>
    <w:rsid w:val="007F0A43"/>
    <w:rsid w:val="007F0AD0"/>
    <w:rsid w:val="007F0B24"/>
    <w:rsid w:val="007F0CD2"/>
    <w:rsid w:val="007F0CED"/>
    <w:rsid w:val="007F1120"/>
    <w:rsid w:val="007F115D"/>
    <w:rsid w:val="007F1254"/>
    <w:rsid w:val="007F1255"/>
    <w:rsid w:val="007F1352"/>
    <w:rsid w:val="007F1356"/>
    <w:rsid w:val="007F13E9"/>
    <w:rsid w:val="007F14B2"/>
    <w:rsid w:val="007F15A7"/>
    <w:rsid w:val="007F1648"/>
    <w:rsid w:val="007F16F9"/>
    <w:rsid w:val="007F1708"/>
    <w:rsid w:val="007F17D2"/>
    <w:rsid w:val="007F1838"/>
    <w:rsid w:val="007F18AB"/>
    <w:rsid w:val="007F18DF"/>
    <w:rsid w:val="007F191E"/>
    <w:rsid w:val="007F1960"/>
    <w:rsid w:val="007F19DC"/>
    <w:rsid w:val="007F19E4"/>
    <w:rsid w:val="007F1ABB"/>
    <w:rsid w:val="007F1AE0"/>
    <w:rsid w:val="007F1B16"/>
    <w:rsid w:val="007F1DD8"/>
    <w:rsid w:val="007F1E6A"/>
    <w:rsid w:val="007F1EA8"/>
    <w:rsid w:val="007F1F00"/>
    <w:rsid w:val="007F1FCB"/>
    <w:rsid w:val="007F1FE7"/>
    <w:rsid w:val="007F2069"/>
    <w:rsid w:val="007F21DC"/>
    <w:rsid w:val="007F21FF"/>
    <w:rsid w:val="007F22CF"/>
    <w:rsid w:val="007F2370"/>
    <w:rsid w:val="007F2372"/>
    <w:rsid w:val="007F247A"/>
    <w:rsid w:val="007F2497"/>
    <w:rsid w:val="007F24E7"/>
    <w:rsid w:val="007F26A6"/>
    <w:rsid w:val="007F26B5"/>
    <w:rsid w:val="007F26EF"/>
    <w:rsid w:val="007F2790"/>
    <w:rsid w:val="007F27E3"/>
    <w:rsid w:val="007F2809"/>
    <w:rsid w:val="007F2854"/>
    <w:rsid w:val="007F286A"/>
    <w:rsid w:val="007F2921"/>
    <w:rsid w:val="007F2923"/>
    <w:rsid w:val="007F296F"/>
    <w:rsid w:val="007F2A30"/>
    <w:rsid w:val="007F2A5C"/>
    <w:rsid w:val="007F2AD8"/>
    <w:rsid w:val="007F2AF1"/>
    <w:rsid w:val="007F2C06"/>
    <w:rsid w:val="007F2C55"/>
    <w:rsid w:val="007F2D30"/>
    <w:rsid w:val="007F2D88"/>
    <w:rsid w:val="007F2E21"/>
    <w:rsid w:val="007F2E40"/>
    <w:rsid w:val="007F2F92"/>
    <w:rsid w:val="007F3012"/>
    <w:rsid w:val="007F3027"/>
    <w:rsid w:val="007F3040"/>
    <w:rsid w:val="007F317D"/>
    <w:rsid w:val="007F3183"/>
    <w:rsid w:val="007F32BA"/>
    <w:rsid w:val="007F32F5"/>
    <w:rsid w:val="007F32F8"/>
    <w:rsid w:val="007F33C0"/>
    <w:rsid w:val="007F3488"/>
    <w:rsid w:val="007F34D0"/>
    <w:rsid w:val="007F3526"/>
    <w:rsid w:val="007F365A"/>
    <w:rsid w:val="007F3708"/>
    <w:rsid w:val="007F37BE"/>
    <w:rsid w:val="007F382C"/>
    <w:rsid w:val="007F387A"/>
    <w:rsid w:val="007F3890"/>
    <w:rsid w:val="007F38CE"/>
    <w:rsid w:val="007F3948"/>
    <w:rsid w:val="007F3966"/>
    <w:rsid w:val="007F3AA3"/>
    <w:rsid w:val="007F3C64"/>
    <w:rsid w:val="007F3D4F"/>
    <w:rsid w:val="007F3D5D"/>
    <w:rsid w:val="007F3EA2"/>
    <w:rsid w:val="007F3EBF"/>
    <w:rsid w:val="007F3EE0"/>
    <w:rsid w:val="007F3FBA"/>
    <w:rsid w:val="007F3FEB"/>
    <w:rsid w:val="007F40B2"/>
    <w:rsid w:val="007F40C8"/>
    <w:rsid w:val="007F40EF"/>
    <w:rsid w:val="007F4146"/>
    <w:rsid w:val="007F41AD"/>
    <w:rsid w:val="007F41E2"/>
    <w:rsid w:val="007F425A"/>
    <w:rsid w:val="007F434C"/>
    <w:rsid w:val="007F4452"/>
    <w:rsid w:val="007F4575"/>
    <w:rsid w:val="007F4694"/>
    <w:rsid w:val="007F4792"/>
    <w:rsid w:val="007F47CE"/>
    <w:rsid w:val="007F47DF"/>
    <w:rsid w:val="007F482D"/>
    <w:rsid w:val="007F492E"/>
    <w:rsid w:val="007F4A71"/>
    <w:rsid w:val="007F4A95"/>
    <w:rsid w:val="007F4C3C"/>
    <w:rsid w:val="007F4C88"/>
    <w:rsid w:val="007F4CDA"/>
    <w:rsid w:val="007F4D10"/>
    <w:rsid w:val="007F4D5A"/>
    <w:rsid w:val="007F4D66"/>
    <w:rsid w:val="007F4D6A"/>
    <w:rsid w:val="007F4D73"/>
    <w:rsid w:val="007F4E3D"/>
    <w:rsid w:val="007F4ED7"/>
    <w:rsid w:val="007F5017"/>
    <w:rsid w:val="007F5078"/>
    <w:rsid w:val="007F509E"/>
    <w:rsid w:val="007F51BB"/>
    <w:rsid w:val="007F52E6"/>
    <w:rsid w:val="007F5324"/>
    <w:rsid w:val="007F5380"/>
    <w:rsid w:val="007F53CE"/>
    <w:rsid w:val="007F54E8"/>
    <w:rsid w:val="007F551D"/>
    <w:rsid w:val="007F55DE"/>
    <w:rsid w:val="007F5611"/>
    <w:rsid w:val="007F571B"/>
    <w:rsid w:val="007F5805"/>
    <w:rsid w:val="007F58C7"/>
    <w:rsid w:val="007F58D2"/>
    <w:rsid w:val="007F58E4"/>
    <w:rsid w:val="007F593A"/>
    <w:rsid w:val="007F59EC"/>
    <w:rsid w:val="007F59F5"/>
    <w:rsid w:val="007F5A40"/>
    <w:rsid w:val="007F5A9B"/>
    <w:rsid w:val="007F5AFE"/>
    <w:rsid w:val="007F5B97"/>
    <w:rsid w:val="007F5C2D"/>
    <w:rsid w:val="007F5CB9"/>
    <w:rsid w:val="007F5DBB"/>
    <w:rsid w:val="007F5DCF"/>
    <w:rsid w:val="007F5E35"/>
    <w:rsid w:val="007F5E59"/>
    <w:rsid w:val="007F5E9F"/>
    <w:rsid w:val="007F5EF2"/>
    <w:rsid w:val="007F604F"/>
    <w:rsid w:val="007F6177"/>
    <w:rsid w:val="007F61D6"/>
    <w:rsid w:val="007F61E9"/>
    <w:rsid w:val="007F6246"/>
    <w:rsid w:val="007F6260"/>
    <w:rsid w:val="007F62D4"/>
    <w:rsid w:val="007F62E3"/>
    <w:rsid w:val="007F6354"/>
    <w:rsid w:val="007F651D"/>
    <w:rsid w:val="007F662F"/>
    <w:rsid w:val="007F6768"/>
    <w:rsid w:val="007F678A"/>
    <w:rsid w:val="007F688E"/>
    <w:rsid w:val="007F68B3"/>
    <w:rsid w:val="007F68BD"/>
    <w:rsid w:val="007F6916"/>
    <w:rsid w:val="007F691F"/>
    <w:rsid w:val="007F6933"/>
    <w:rsid w:val="007F6A38"/>
    <w:rsid w:val="007F6A7C"/>
    <w:rsid w:val="007F6AE7"/>
    <w:rsid w:val="007F6BEC"/>
    <w:rsid w:val="007F6C26"/>
    <w:rsid w:val="007F6CCB"/>
    <w:rsid w:val="007F6CEA"/>
    <w:rsid w:val="007F6D25"/>
    <w:rsid w:val="007F6DAE"/>
    <w:rsid w:val="007F6F0F"/>
    <w:rsid w:val="007F6FB8"/>
    <w:rsid w:val="007F70BA"/>
    <w:rsid w:val="007F7117"/>
    <w:rsid w:val="007F7125"/>
    <w:rsid w:val="007F72C4"/>
    <w:rsid w:val="007F72FF"/>
    <w:rsid w:val="007F7401"/>
    <w:rsid w:val="007F745D"/>
    <w:rsid w:val="007F7547"/>
    <w:rsid w:val="007F757F"/>
    <w:rsid w:val="007F759E"/>
    <w:rsid w:val="007F767D"/>
    <w:rsid w:val="007F771B"/>
    <w:rsid w:val="007F77A0"/>
    <w:rsid w:val="007F77ED"/>
    <w:rsid w:val="007F785C"/>
    <w:rsid w:val="007F7899"/>
    <w:rsid w:val="007F78AD"/>
    <w:rsid w:val="007F7906"/>
    <w:rsid w:val="007F7A54"/>
    <w:rsid w:val="007F7B1A"/>
    <w:rsid w:val="007F7B57"/>
    <w:rsid w:val="007F7CE4"/>
    <w:rsid w:val="007F7D2C"/>
    <w:rsid w:val="007F7F7F"/>
    <w:rsid w:val="00800243"/>
    <w:rsid w:val="0080027A"/>
    <w:rsid w:val="00800281"/>
    <w:rsid w:val="008002C6"/>
    <w:rsid w:val="008002CA"/>
    <w:rsid w:val="008005B2"/>
    <w:rsid w:val="008005D3"/>
    <w:rsid w:val="0080069B"/>
    <w:rsid w:val="00800715"/>
    <w:rsid w:val="0080074D"/>
    <w:rsid w:val="00800782"/>
    <w:rsid w:val="00800887"/>
    <w:rsid w:val="008009CA"/>
    <w:rsid w:val="008009ED"/>
    <w:rsid w:val="008009F9"/>
    <w:rsid w:val="00800A31"/>
    <w:rsid w:val="00800A68"/>
    <w:rsid w:val="00800B1C"/>
    <w:rsid w:val="00800B64"/>
    <w:rsid w:val="00800C23"/>
    <w:rsid w:val="00800C31"/>
    <w:rsid w:val="00800C43"/>
    <w:rsid w:val="00800EA9"/>
    <w:rsid w:val="00800EB5"/>
    <w:rsid w:val="00800F1A"/>
    <w:rsid w:val="00800FB7"/>
    <w:rsid w:val="008010B3"/>
    <w:rsid w:val="00801103"/>
    <w:rsid w:val="0080116F"/>
    <w:rsid w:val="00801238"/>
    <w:rsid w:val="00801256"/>
    <w:rsid w:val="0080125D"/>
    <w:rsid w:val="00801268"/>
    <w:rsid w:val="0080134B"/>
    <w:rsid w:val="00801358"/>
    <w:rsid w:val="00801399"/>
    <w:rsid w:val="008013C9"/>
    <w:rsid w:val="00801473"/>
    <w:rsid w:val="0080149F"/>
    <w:rsid w:val="008014CB"/>
    <w:rsid w:val="0080163D"/>
    <w:rsid w:val="008016C1"/>
    <w:rsid w:val="0080175A"/>
    <w:rsid w:val="008017EC"/>
    <w:rsid w:val="00801892"/>
    <w:rsid w:val="00801A80"/>
    <w:rsid w:val="00801A83"/>
    <w:rsid w:val="00801BDF"/>
    <w:rsid w:val="00801D0A"/>
    <w:rsid w:val="00801D16"/>
    <w:rsid w:val="00801D5B"/>
    <w:rsid w:val="00801DA4"/>
    <w:rsid w:val="00801E17"/>
    <w:rsid w:val="00801E85"/>
    <w:rsid w:val="00801F7D"/>
    <w:rsid w:val="00802011"/>
    <w:rsid w:val="0080201C"/>
    <w:rsid w:val="0080204B"/>
    <w:rsid w:val="008021C9"/>
    <w:rsid w:val="00802258"/>
    <w:rsid w:val="00802292"/>
    <w:rsid w:val="008022A3"/>
    <w:rsid w:val="008023B3"/>
    <w:rsid w:val="008023C0"/>
    <w:rsid w:val="0080241F"/>
    <w:rsid w:val="008024A2"/>
    <w:rsid w:val="008024CE"/>
    <w:rsid w:val="00802582"/>
    <w:rsid w:val="00802687"/>
    <w:rsid w:val="00802739"/>
    <w:rsid w:val="0080280F"/>
    <w:rsid w:val="0080283B"/>
    <w:rsid w:val="0080285E"/>
    <w:rsid w:val="00802BFB"/>
    <w:rsid w:val="00802D4A"/>
    <w:rsid w:val="00802DD2"/>
    <w:rsid w:val="00802DE7"/>
    <w:rsid w:val="00802E89"/>
    <w:rsid w:val="00802FA0"/>
    <w:rsid w:val="00803216"/>
    <w:rsid w:val="00803379"/>
    <w:rsid w:val="00803455"/>
    <w:rsid w:val="00803467"/>
    <w:rsid w:val="00803548"/>
    <w:rsid w:val="008036C7"/>
    <w:rsid w:val="00803811"/>
    <w:rsid w:val="008039C5"/>
    <w:rsid w:val="00803A15"/>
    <w:rsid w:val="00803B15"/>
    <w:rsid w:val="00803B36"/>
    <w:rsid w:val="00803B3A"/>
    <w:rsid w:val="00803BB7"/>
    <w:rsid w:val="00803BD0"/>
    <w:rsid w:val="00803C2B"/>
    <w:rsid w:val="00803CED"/>
    <w:rsid w:val="00803D41"/>
    <w:rsid w:val="00803DCC"/>
    <w:rsid w:val="00803E23"/>
    <w:rsid w:val="00803E3D"/>
    <w:rsid w:val="00803F39"/>
    <w:rsid w:val="00804053"/>
    <w:rsid w:val="00804290"/>
    <w:rsid w:val="00804314"/>
    <w:rsid w:val="00804436"/>
    <w:rsid w:val="0080455C"/>
    <w:rsid w:val="0080457D"/>
    <w:rsid w:val="008045C2"/>
    <w:rsid w:val="008047B6"/>
    <w:rsid w:val="0080488E"/>
    <w:rsid w:val="0080490F"/>
    <w:rsid w:val="00804967"/>
    <w:rsid w:val="008049E0"/>
    <w:rsid w:val="00804ACE"/>
    <w:rsid w:val="00804B43"/>
    <w:rsid w:val="00804B77"/>
    <w:rsid w:val="00804B83"/>
    <w:rsid w:val="00804BDE"/>
    <w:rsid w:val="00804D91"/>
    <w:rsid w:val="00804F59"/>
    <w:rsid w:val="00804FE9"/>
    <w:rsid w:val="00804FF6"/>
    <w:rsid w:val="0080501E"/>
    <w:rsid w:val="00805064"/>
    <w:rsid w:val="00805084"/>
    <w:rsid w:val="008050B4"/>
    <w:rsid w:val="008051D4"/>
    <w:rsid w:val="008051FF"/>
    <w:rsid w:val="0080521A"/>
    <w:rsid w:val="0080521F"/>
    <w:rsid w:val="00805220"/>
    <w:rsid w:val="0080525D"/>
    <w:rsid w:val="00805363"/>
    <w:rsid w:val="00805389"/>
    <w:rsid w:val="0080541F"/>
    <w:rsid w:val="008055A9"/>
    <w:rsid w:val="0080560D"/>
    <w:rsid w:val="008056DF"/>
    <w:rsid w:val="008058D1"/>
    <w:rsid w:val="00805A17"/>
    <w:rsid w:val="00805A48"/>
    <w:rsid w:val="00805ADB"/>
    <w:rsid w:val="00805B36"/>
    <w:rsid w:val="00805BE1"/>
    <w:rsid w:val="00805D53"/>
    <w:rsid w:val="00805D84"/>
    <w:rsid w:val="0080600C"/>
    <w:rsid w:val="00806019"/>
    <w:rsid w:val="00806024"/>
    <w:rsid w:val="00806042"/>
    <w:rsid w:val="00806125"/>
    <w:rsid w:val="0080618F"/>
    <w:rsid w:val="008061A8"/>
    <w:rsid w:val="00806304"/>
    <w:rsid w:val="00806424"/>
    <w:rsid w:val="0080653F"/>
    <w:rsid w:val="00806588"/>
    <w:rsid w:val="0080660B"/>
    <w:rsid w:val="008066D1"/>
    <w:rsid w:val="008067C1"/>
    <w:rsid w:val="0080684F"/>
    <w:rsid w:val="00806959"/>
    <w:rsid w:val="00806A92"/>
    <w:rsid w:val="00806ACC"/>
    <w:rsid w:val="00806C4C"/>
    <w:rsid w:val="00806CEA"/>
    <w:rsid w:val="00806D2A"/>
    <w:rsid w:val="00806DE1"/>
    <w:rsid w:val="00806EB0"/>
    <w:rsid w:val="00806F76"/>
    <w:rsid w:val="00807088"/>
    <w:rsid w:val="0080717D"/>
    <w:rsid w:val="008072B9"/>
    <w:rsid w:val="00807446"/>
    <w:rsid w:val="008074CE"/>
    <w:rsid w:val="00807579"/>
    <w:rsid w:val="0080758F"/>
    <w:rsid w:val="00807686"/>
    <w:rsid w:val="0080774D"/>
    <w:rsid w:val="0080793A"/>
    <w:rsid w:val="00807A8E"/>
    <w:rsid w:val="00807B4B"/>
    <w:rsid w:val="00807BFB"/>
    <w:rsid w:val="00807C56"/>
    <w:rsid w:val="00807D3C"/>
    <w:rsid w:val="00807E5D"/>
    <w:rsid w:val="00807E64"/>
    <w:rsid w:val="00807E8A"/>
    <w:rsid w:val="00807EAB"/>
    <w:rsid w:val="00807F4D"/>
    <w:rsid w:val="00810069"/>
    <w:rsid w:val="00810104"/>
    <w:rsid w:val="00810163"/>
    <w:rsid w:val="008101E9"/>
    <w:rsid w:val="0081021B"/>
    <w:rsid w:val="00810254"/>
    <w:rsid w:val="008103F0"/>
    <w:rsid w:val="008104B7"/>
    <w:rsid w:val="008106B8"/>
    <w:rsid w:val="008107DA"/>
    <w:rsid w:val="00810936"/>
    <w:rsid w:val="0081096F"/>
    <w:rsid w:val="00810AD2"/>
    <w:rsid w:val="00810AE8"/>
    <w:rsid w:val="00810C36"/>
    <w:rsid w:val="00810C3F"/>
    <w:rsid w:val="00810CF2"/>
    <w:rsid w:val="00810CFF"/>
    <w:rsid w:val="00810D12"/>
    <w:rsid w:val="00810D78"/>
    <w:rsid w:val="00810F31"/>
    <w:rsid w:val="00810F33"/>
    <w:rsid w:val="00810FA5"/>
    <w:rsid w:val="008110A4"/>
    <w:rsid w:val="008111A5"/>
    <w:rsid w:val="00811325"/>
    <w:rsid w:val="00811495"/>
    <w:rsid w:val="008116A9"/>
    <w:rsid w:val="00811730"/>
    <w:rsid w:val="00811807"/>
    <w:rsid w:val="00811886"/>
    <w:rsid w:val="00811932"/>
    <w:rsid w:val="00811941"/>
    <w:rsid w:val="008119D8"/>
    <w:rsid w:val="00811B24"/>
    <w:rsid w:val="00811BD0"/>
    <w:rsid w:val="00811CFE"/>
    <w:rsid w:val="00811DA1"/>
    <w:rsid w:val="00811EC7"/>
    <w:rsid w:val="00811F4A"/>
    <w:rsid w:val="00812001"/>
    <w:rsid w:val="008120CA"/>
    <w:rsid w:val="00812152"/>
    <w:rsid w:val="008121C1"/>
    <w:rsid w:val="00812348"/>
    <w:rsid w:val="008123CF"/>
    <w:rsid w:val="0081242A"/>
    <w:rsid w:val="00812437"/>
    <w:rsid w:val="00812446"/>
    <w:rsid w:val="00812448"/>
    <w:rsid w:val="00812542"/>
    <w:rsid w:val="0081260C"/>
    <w:rsid w:val="0081263C"/>
    <w:rsid w:val="008126B8"/>
    <w:rsid w:val="00812726"/>
    <w:rsid w:val="00812780"/>
    <w:rsid w:val="00812879"/>
    <w:rsid w:val="008128CA"/>
    <w:rsid w:val="00812921"/>
    <w:rsid w:val="0081293B"/>
    <w:rsid w:val="00812945"/>
    <w:rsid w:val="0081295F"/>
    <w:rsid w:val="00812982"/>
    <w:rsid w:val="00812984"/>
    <w:rsid w:val="00812A28"/>
    <w:rsid w:val="00812A8C"/>
    <w:rsid w:val="00812A98"/>
    <w:rsid w:val="00812A9C"/>
    <w:rsid w:val="00812AB1"/>
    <w:rsid w:val="00812B8B"/>
    <w:rsid w:val="00812BC5"/>
    <w:rsid w:val="00812C7B"/>
    <w:rsid w:val="00812D0D"/>
    <w:rsid w:val="00812D1B"/>
    <w:rsid w:val="00812E3D"/>
    <w:rsid w:val="00812E76"/>
    <w:rsid w:val="00813013"/>
    <w:rsid w:val="00813093"/>
    <w:rsid w:val="00813145"/>
    <w:rsid w:val="00813152"/>
    <w:rsid w:val="008133A3"/>
    <w:rsid w:val="008133FF"/>
    <w:rsid w:val="0081342C"/>
    <w:rsid w:val="008138D5"/>
    <w:rsid w:val="00813956"/>
    <w:rsid w:val="00813AAF"/>
    <w:rsid w:val="00813AB8"/>
    <w:rsid w:val="00813B24"/>
    <w:rsid w:val="00813BB9"/>
    <w:rsid w:val="00813C51"/>
    <w:rsid w:val="00813C92"/>
    <w:rsid w:val="00813D13"/>
    <w:rsid w:val="00813D87"/>
    <w:rsid w:val="00813EAD"/>
    <w:rsid w:val="00813F08"/>
    <w:rsid w:val="00813F0B"/>
    <w:rsid w:val="00813FA2"/>
    <w:rsid w:val="00814106"/>
    <w:rsid w:val="0081411F"/>
    <w:rsid w:val="008141DA"/>
    <w:rsid w:val="008141FC"/>
    <w:rsid w:val="008142C4"/>
    <w:rsid w:val="008143DB"/>
    <w:rsid w:val="00814462"/>
    <w:rsid w:val="00814483"/>
    <w:rsid w:val="008144C5"/>
    <w:rsid w:val="008144EC"/>
    <w:rsid w:val="0081462D"/>
    <w:rsid w:val="008146F7"/>
    <w:rsid w:val="0081488D"/>
    <w:rsid w:val="008148EF"/>
    <w:rsid w:val="00814A78"/>
    <w:rsid w:val="00814AD7"/>
    <w:rsid w:val="00814B48"/>
    <w:rsid w:val="00814B4E"/>
    <w:rsid w:val="00814B80"/>
    <w:rsid w:val="00814C25"/>
    <w:rsid w:val="00814CEA"/>
    <w:rsid w:val="00814D6F"/>
    <w:rsid w:val="00814DE6"/>
    <w:rsid w:val="00814F61"/>
    <w:rsid w:val="00814FB7"/>
    <w:rsid w:val="00814FF3"/>
    <w:rsid w:val="0081503D"/>
    <w:rsid w:val="0081509B"/>
    <w:rsid w:val="008150DA"/>
    <w:rsid w:val="008150E9"/>
    <w:rsid w:val="008151C2"/>
    <w:rsid w:val="008151F9"/>
    <w:rsid w:val="00815279"/>
    <w:rsid w:val="008152CC"/>
    <w:rsid w:val="00815379"/>
    <w:rsid w:val="008153D1"/>
    <w:rsid w:val="00815441"/>
    <w:rsid w:val="008154F3"/>
    <w:rsid w:val="00815500"/>
    <w:rsid w:val="00815566"/>
    <w:rsid w:val="008155A3"/>
    <w:rsid w:val="008155E4"/>
    <w:rsid w:val="0081564E"/>
    <w:rsid w:val="0081568C"/>
    <w:rsid w:val="008156FD"/>
    <w:rsid w:val="00815793"/>
    <w:rsid w:val="00815857"/>
    <w:rsid w:val="008158EF"/>
    <w:rsid w:val="00815901"/>
    <w:rsid w:val="00815A02"/>
    <w:rsid w:val="00815A2C"/>
    <w:rsid w:val="00815B1B"/>
    <w:rsid w:val="00815B54"/>
    <w:rsid w:val="00815B5E"/>
    <w:rsid w:val="00815C65"/>
    <w:rsid w:val="00815C7E"/>
    <w:rsid w:val="00815CF3"/>
    <w:rsid w:val="00815DF4"/>
    <w:rsid w:val="00815EDD"/>
    <w:rsid w:val="00815F93"/>
    <w:rsid w:val="00815FA8"/>
    <w:rsid w:val="00815FEE"/>
    <w:rsid w:val="0081603A"/>
    <w:rsid w:val="0081610B"/>
    <w:rsid w:val="0081622E"/>
    <w:rsid w:val="008162F7"/>
    <w:rsid w:val="00816380"/>
    <w:rsid w:val="00816409"/>
    <w:rsid w:val="008164C4"/>
    <w:rsid w:val="00816541"/>
    <w:rsid w:val="008165FF"/>
    <w:rsid w:val="00816637"/>
    <w:rsid w:val="008166A5"/>
    <w:rsid w:val="008166ED"/>
    <w:rsid w:val="00816875"/>
    <w:rsid w:val="00816AEB"/>
    <w:rsid w:val="00816B37"/>
    <w:rsid w:val="00816BAF"/>
    <w:rsid w:val="00816D3F"/>
    <w:rsid w:val="00816E65"/>
    <w:rsid w:val="00816FD6"/>
    <w:rsid w:val="00817042"/>
    <w:rsid w:val="008171A9"/>
    <w:rsid w:val="00817387"/>
    <w:rsid w:val="008174FF"/>
    <w:rsid w:val="008175F7"/>
    <w:rsid w:val="008177C8"/>
    <w:rsid w:val="00817865"/>
    <w:rsid w:val="008178ED"/>
    <w:rsid w:val="00817939"/>
    <w:rsid w:val="00817B32"/>
    <w:rsid w:val="00817B89"/>
    <w:rsid w:val="00817BB5"/>
    <w:rsid w:val="00817BD8"/>
    <w:rsid w:val="00817BDB"/>
    <w:rsid w:val="00817CC5"/>
    <w:rsid w:val="00817D57"/>
    <w:rsid w:val="00817DFE"/>
    <w:rsid w:val="00817E15"/>
    <w:rsid w:val="00817EAC"/>
    <w:rsid w:val="00820098"/>
    <w:rsid w:val="00820124"/>
    <w:rsid w:val="0082014D"/>
    <w:rsid w:val="0082015D"/>
    <w:rsid w:val="008201AA"/>
    <w:rsid w:val="00820279"/>
    <w:rsid w:val="00820349"/>
    <w:rsid w:val="008203DE"/>
    <w:rsid w:val="0082044C"/>
    <w:rsid w:val="00820611"/>
    <w:rsid w:val="0082063E"/>
    <w:rsid w:val="00820702"/>
    <w:rsid w:val="0082070D"/>
    <w:rsid w:val="0082072F"/>
    <w:rsid w:val="008207FA"/>
    <w:rsid w:val="00820907"/>
    <w:rsid w:val="00820AC1"/>
    <w:rsid w:val="00820AD6"/>
    <w:rsid w:val="00820C58"/>
    <w:rsid w:val="00820DDE"/>
    <w:rsid w:val="00820DF1"/>
    <w:rsid w:val="00820EA4"/>
    <w:rsid w:val="00820EDF"/>
    <w:rsid w:val="0082104E"/>
    <w:rsid w:val="0082120B"/>
    <w:rsid w:val="00821248"/>
    <w:rsid w:val="00821392"/>
    <w:rsid w:val="00821452"/>
    <w:rsid w:val="008214D6"/>
    <w:rsid w:val="008215F9"/>
    <w:rsid w:val="00821613"/>
    <w:rsid w:val="00821662"/>
    <w:rsid w:val="008216C2"/>
    <w:rsid w:val="00821770"/>
    <w:rsid w:val="008217D0"/>
    <w:rsid w:val="0082183F"/>
    <w:rsid w:val="0082186D"/>
    <w:rsid w:val="008218D3"/>
    <w:rsid w:val="00821919"/>
    <w:rsid w:val="0082194A"/>
    <w:rsid w:val="008219AD"/>
    <w:rsid w:val="00821A05"/>
    <w:rsid w:val="00821A51"/>
    <w:rsid w:val="00821A85"/>
    <w:rsid w:val="00821ADD"/>
    <w:rsid w:val="00821B28"/>
    <w:rsid w:val="00821BF7"/>
    <w:rsid w:val="00821CEC"/>
    <w:rsid w:val="00821CED"/>
    <w:rsid w:val="00821E0C"/>
    <w:rsid w:val="00821E81"/>
    <w:rsid w:val="00821E87"/>
    <w:rsid w:val="00822079"/>
    <w:rsid w:val="008220A8"/>
    <w:rsid w:val="008220CC"/>
    <w:rsid w:val="008220D3"/>
    <w:rsid w:val="00822225"/>
    <w:rsid w:val="00822229"/>
    <w:rsid w:val="00822315"/>
    <w:rsid w:val="00822321"/>
    <w:rsid w:val="0082238C"/>
    <w:rsid w:val="008223C9"/>
    <w:rsid w:val="008224AD"/>
    <w:rsid w:val="00822581"/>
    <w:rsid w:val="00822597"/>
    <w:rsid w:val="0082262C"/>
    <w:rsid w:val="0082267A"/>
    <w:rsid w:val="00822770"/>
    <w:rsid w:val="008227DD"/>
    <w:rsid w:val="008228EE"/>
    <w:rsid w:val="00822939"/>
    <w:rsid w:val="00822943"/>
    <w:rsid w:val="008229AE"/>
    <w:rsid w:val="00822A26"/>
    <w:rsid w:val="00822A28"/>
    <w:rsid w:val="00822B2D"/>
    <w:rsid w:val="00822B90"/>
    <w:rsid w:val="00822BB6"/>
    <w:rsid w:val="00822C16"/>
    <w:rsid w:val="00822D86"/>
    <w:rsid w:val="00822E29"/>
    <w:rsid w:val="00822E3F"/>
    <w:rsid w:val="00822FC8"/>
    <w:rsid w:val="00823015"/>
    <w:rsid w:val="008230E0"/>
    <w:rsid w:val="008232A5"/>
    <w:rsid w:val="008233DD"/>
    <w:rsid w:val="00823577"/>
    <w:rsid w:val="008237EF"/>
    <w:rsid w:val="00823850"/>
    <w:rsid w:val="0082393A"/>
    <w:rsid w:val="00823B73"/>
    <w:rsid w:val="00823C61"/>
    <w:rsid w:val="00823C8D"/>
    <w:rsid w:val="00823CCC"/>
    <w:rsid w:val="00823D20"/>
    <w:rsid w:val="00823D2B"/>
    <w:rsid w:val="00823D6A"/>
    <w:rsid w:val="00823DCF"/>
    <w:rsid w:val="00823EAF"/>
    <w:rsid w:val="00823F92"/>
    <w:rsid w:val="0082417B"/>
    <w:rsid w:val="0082424D"/>
    <w:rsid w:val="008242E3"/>
    <w:rsid w:val="008243DA"/>
    <w:rsid w:val="008243F8"/>
    <w:rsid w:val="00824442"/>
    <w:rsid w:val="00824508"/>
    <w:rsid w:val="008245D5"/>
    <w:rsid w:val="00824639"/>
    <w:rsid w:val="0082487D"/>
    <w:rsid w:val="00824986"/>
    <w:rsid w:val="00824A83"/>
    <w:rsid w:val="00824AA1"/>
    <w:rsid w:val="00824B17"/>
    <w:rsid w:val="00824B73"/>
    <w:rsid w:val="00824C2D"/>
    <w:rsid w:val="00824C51"/>
    <w:rsid w:val="00824ED6"/>
    <w:rsid w:val="00824F2B"/>
    <w:rsid w:val="0082509D"/>
    <w:rsid w:val="008250A4"/>
    <w:rsid w:val="0082523B"/>
    <w:rsid w:val="0082525A"/>
    <w:rsid w:val="008254A2"/>
    <w:rsid w:val="00825537"/>
    <w:rsid w:val="0082558F"/>
    <w:rsid w:val="008255BE"/>
    <w:rsid w:val="008255C6"/>
    <w:rsid w:val="008257AB"/>
    <w:rsid w:val="008258AF"/>
    <w:rsid w:val="00825909"/>
    <w:rsid w:val="00825967"/>
    <w:rsid w:val="0082596D"/>
    <w:rsid w:val="008259BD"/>
    <w:rsid w:val="008259FE"/>
    <w:rsid w:val="00825A44"/>
    <w:rsid w:val="00825A64"/>
    <w:rsid w:val="00825A67"/>
    <w:rsid w:val="00825ABF"/>
    <w:rsid w:val="00825B49"/>
    <w:rsid w:val="00825CF7"/>
    <w:rsid w:val="00825D2B"/>
    <w:rsid w:val="00825D90"/>
    <w:rsid w:val="00825E24"/>
    <w:rsid w:val="00825E2C"/>
    <w:rsid w:val="00825F30"/>
    <w:rsid w:val="00825F84"/>
    <w:rsid w:val="00825F93"/>
    <w:rsid w:val="00825FBA"/>
    <w:rsid w:val="00826005"/>
    <w:rsid w:val="00826008"/>
    <w:rsid w:val="008260DF"/>
    <w:rsid w:val="0082612E"/>
    <w:rsid w:val="00826130"/>
    <w:rsid w:val="008262B1"/>
    <w:rsid w:val="0082633F"/>
    <w:rsid w:val="00826363"/>
    <w:rsid w:val="00826476"/>
    <w:rsid w:val="008264AF"/>
    <w:rsid w:val="0082660A"/>
    <w:rsid w:val="00826638"/>
    <w:rsid w:val="00826639"/>
    <w:rsid w:val="00826656"/>
    <w:rsid w:val="008267DC"/>
    <w:rsid w:val="00826807"/>
    <w:rsid w:val="0082681B"/>
    <w:rsid w:val="0082681F"/>
    <w:rsid w:val="008268AF"/>
    <w:rsid w:val="008269FD"/>
    <w:rsid w:val="00826A5E"/>
    <w:rsid w:val="00826A72"/>
    <w:rsid w:val="00826BDA"/>
    <w:rsid w:val="00826CA2"/>
    <w:rsid w:val="00826D0F"/>
    <w:rsid w:val="00826E1E"/>
    <w:rsid w:val="00826E7D"/>
    <w:rsid w:val="00826EB4"/>
    <w:rsid w:val="00826EED"/>
    <w:rsid w:val="00826F98"/>
    <w:rsid w:val="00827063"/>
    <w:rsid w:val="008271B5"/>
    <w:rsid w:val="008271C3"/>
    <w:rsid w:val="0082725C"/>
    <w:rsid w:val="00827272"/>
    <w:rsid w:val="00827361"/>
    <w:rsid w:val="008273BE"/>
    <w:rsid w:val="00827455"/>
    <w:rsid w:val="008274FC"/>
    <w:rsid w:val="00827640"/>
    <w:rsid w:val="008276A0"/>
    <w:rsid w:val="008276DB"/>
    <w:rsid w:val="008276F8"/>
    <w:rsid w:val="00827789"/>
    <w:rsid w:val="008277E9"/>
    <w:rsid w:val="00827832"/>
    <w:rsid w:val="00827907"/>
    <w:rsid w:val="0082792B"/>
    <w:rsid w:val="00827943"/>
    <w:rsid w:val="00827961"/>
    <w:rsid w:val="008279F7"/>
    <w:rsid w:val="00827A15"/>
    <w:rsid w:val="00827BAE"/>
    <w:rsid w:val="00827C3D"/>
    <w:rsid w:val="00827C42"/>
    <w:rsid w:val="00827CBF"/>
    <w:rsid w:val="00830014"/>
    <w:rsid w:val="00830087"/>
    <w:rsid w:val="00830106"/>
    <w:rsid w:val="008301B5"/>
    <w:rsid w:val="00830258"/>
    <w:rsid w:val="0083030D"/>
    <w:rsid w:val="008303DC"/>
    <w:rsid w:val="008303ED"/>
    <w:rsid w:val="00830426"/>
    <w:rsid w:val="0083045F"/>
    <w:rsid w:val="008304C7"/>
    <w:rsid w:val="008305C2"/>
    <w:rsid w:val="0083074E"/>
    <w:rsid w:val="00830873"/>
    <w:rsid w:val="00830961"/>
    <w:rsid w:val="0083096B"/>
    <w:rsid w:val="00830973"/>
    <w:rsid w:val="00830A67"/>
    <w:rsid w:val="00830A80"/>
    <w:rsid w:val="00830A88"/>
    <w:rsid w:val="00830A94"/>
    <w:rsid w:val="00830AE8"/>
    <w:rsid w:val="00830CA3"/>
    <w:rsid w:val="00830CBA"/>
    <w:rsid w:val="00830E00"/>
    <w:rsid w:val="00830EE8"/>
    <w:rsid w:val="00830F95"/>
    <w:rsid w:val="00830FB0"/>
    <w:rsid w:val="00830FBE"/>
    <w:rsid w:val="00831082"/>
    <w:rsid w:val="00831230"/>
    <w:rsid w:val="0083127C"/>
    <w:rsid w:val="00831404"/>
    <w:rsid w:val="00831434"/>
    <w:rsid w:val="00831714"/>
    <w:rsid w:val="0083176D"/>
    <w:rsid w:val="00831893"/>
    <w:rsid w:val="008318FE"/>
    <w:rsid w:val="00831BF3"/>
    <w:rsid w:val="00831C56"/>
    <w:rsid w:val="00831D07"/>
    <w:rsid w:val="00831DDA"/>
    <w:rsid w:val="00832121"/>
    <w:rsid w:val="00832176"/>
    <w:rsid w:val="008321F1"/>
    <w:rsid w:val="008322A1"/>
    <w:rsid w:val="008322D9"/>
    <w:rsid w:val="00832340"/>
    <w:rsid w:val="0083238D"/>
    <w:rsid w:val="00832A4B"/>
    <w:rsid w:val="00832A7D"/>
    <w:rsid w:val="00832BAF"/>
    <w:rsid w:val="00832BDF"/>
    <w:rsid w:val="00832BE6"/>
    <w:rsid w:val="00832C3A"/>
    <w:rsid w:val="00832C85"/>
    <w:rsid w:val="00832EDD"/>
    <w:rsid w:val="00832F3F"/>
    <w:rsid w:val="00833006"/>
    <w:rsid w:val="00833076"/>
    <w:rsid w:val="0083308A"/>
    <w:rsid w:val="00833100"/>
    <w:rsid w:val="00833191"/>
    <w:rsid w:val="008331FC"/>
    <w:rsid w:val="0083325E"/>
    <w:rsid w:val="00833271"/>
    <w:rsid w:val="0083329D"/>
    <w:rsid w:val="008332A7"/>
    <w:rsid w:val="008332E9"/>
    <w:rsid w:val="00833323"/>
    <w:rsid w:val="008335D2"/>
    <w:rsid w:val="00833759"/>
    <w:rsid w:val="008337FB"/>
    <w:rsid w:val="008338BA"/>
    <w:rsid w:val="00833949"/>
    <w:rsid w:val="008339B5"/>
    <w:rsid w:val="00833A57"/>
    <w:rsid w:val="00833B4A"/>
    <w:rsid w:val="00833B55"/>
    <w:rsid w:val="00833C41"/>
    <w:rsid w:val="00833D55"/>
    <w:rsid w:val="00833E00"/>
    <w:rsid w:val="00833E09"/>
    <w:rsid w:val="00833E49"/>
    <w:rsid w:val="00833E4A"/>
    <w:rsid w:val="00833E74"/>
    <w:rsid w:val="00833EB6"/>
    <w:rsid w:val="00833F1F"/>
    <w:rsid w:val="00833F5C"/>
    <w:rsid w:val="008340BD"/>
    <w:rsid w:val="00834106"/>
    <w:rsid w:val="008342B3"/>
    <w:rsid w:val="008342C2"/>
    <w:rsid w:val="00834352"/>
    <w:rsid w:val="008343C9"/>
    <w:rsid w:val="00834558"/>
    <w:rsid w:val="008345A1"/>
    <w:rsid w:val="008345A6"/>
    <w:rsid w:val="00834656"/>
    <w:rsid w:val="00834883"/>
    <w:rsid w:val="008349E4"/>
    <w:rsid w:val="00834A2F"/>
    <w:rsid w:val="00834A59"/>
    <w:rsid w:val="00834AE1"/>
    <w:rsid w:val="00834BDB"/>
    <w:rsid w:val="00834C18"/>
    <w:rsid w:val="00834CE6"/>
    <w:rsid w:val="00834D2C"/>
    <w:rsid w:val="00834E26"/>
    <w:rsid w:val="00834F0B"/>
    <w:rsid w:val="00834F4D"/>
    <w:rsid w:val="00835226"/>
    <w:rsid w:val="00835283"/>
    <w:rsid w:val="0083533A"/>
    <w:rsid w:val="00835372"/>
    <w:rsid w:val="008354E7"/>
    <w:rsid w:val="008355D0"/>
    <w:rsid w:val="008356FC"/>
    <w:rsid w:val="0083580A"/>
    <w:rsid w:val="008358F6"/>
    <w:rsid w:val="00835901"/>
    <w:rsid w:val="008359EC"/>
    <w:rsid w:val="00835A19"/>
    <w:rsid w:val="00835A7B"/>
    <w:rsid w:val="00835A96"/>
    <w:rsid w:val="00835AC8"/>
    <w:rsid w:val="00835CA6"/>
    <w:rsid w:val="00835E60"/>
    <w:rsid w:val="00835E86"/>
    <w:rsid w:val="00835F5E"/>
    <w:rsid w:val="00835FCF"/>
    <w:rsid w:val="0083602C"/>
    <w:rsid w:val="0083604A"/>
    <w:rsid w:val="008360F0"/>
    <w:rsid w:val="00836185"/>
    <w:rsid w:val="008361DF"/>
    <w:rsid w:val="008362D2"/>
    <w:rsid w:val="008364E6"/>
    <w:rsid w:val="0083659C"/>
    <w:rsid w:val="00836672"/>
    <w:rsid w:val="00836755"/>
    <w:rsid w:val="00836942"/>
    <w:rsid w:val="008369BA"/>
    <w:rsid w:val="00836A07"/>
    <w:rsid w:val="00836A5B"/>
    <w:rsid w:val="00836A7A"/>
    <w:rsid w:val="00836BD0"/>
    <w:rsid w:val="00836C19"/>
    <w:rsid w:val="00836C71"/>
    <w:rsid w:val="00836C8E"/>
    <w:rsid w:val="00836D5A"/>
    <w:rsid w:val="00836E6E"/>
    <w:rsid w:val="00836E7B"/>
    <w:rsid w:val="00836FB6"/>
    <w:rsid w:val="0083705E"/>
    <w:rsid w:val="008371BD"/>
    <w:rsid w:val="008373CB"/>
    <w:rsid w:val="00837465"/>
    <w:rsid w:val="008374E2"/>
    <w:rsid w:val="008376EB"/>
    <w:rsid w:val="00837773"/>
    <w:rsid w:val="008377A7"/>
    <w:rsid w:val="008377DD"/>
    <w:rsid w:val="00837919"/>
    <w:rsid w:val="008379FD"/>
    <w:rsid w:val="00837A79"/>
    <w:rsid w:val="00837B29"/>
    <w:rsid w:val="00837C17"/>
    <w:rsid w:val="00837CB6"/>
    <w:rsid w:val="00837D60"/>
    <w:rsid w:val="00837EF1"/>
    <w:rsid w:val="00837F18"/>
    <w:rsid w:val="00837FC6"/>
    <w:rsid w:val="00840065"/>
    <w:rsid w:val="008400F9"/>
    <w:rsid w:val="00840109"/>
    <w:rsid w:val="0084010B"/>
    <w:rsid w:val="00840139"/>
    <w:rsid w:val="0084023E"/>
    <w:rsid w:val="00840336"/>
    <w:rsid w:val="008404F6"/>
    <w:rsid w:val="0084051B"/>
    <w:rsid w:val="00840742"/>
    <w:rsid w:val="0084075E"/>
    <w:rsid w:val="008409B0"/>
    <w:rsid w:val="00840B3C"/>
    <w:rsid w:val="00840B63"/>
    <w:rsid w:val="00840BA3"/>
    <w:rsid w:val="00840BDD"/>
    <w:rsid w:val="00840CF1"/>
    <w:rsid w:val="00840E71"/>
    <w:rsid w:val="00840F5E"/>
    <w:rsid w:val="0084105E"/>
    <w:rsid w:val="00841240"/>
    <w:rsid w:val="008412A1"/>
    <w:rsid w:val="00841311"/>
    <w:rsid w:val="008413B6"/>
    <w:rsid w:val="00841486"/>
    <w:rsid w:val="008414C2"/>
    <w:rsid w:val="008414E5"/>
    <w:rsid w:val="00841528"/>
    <w:rsid w:val="008415EE"/>
    <w:rsid w:val="008415F4"/>
    <w:rsid w:val="0084165F"/>
    <w:rsid w:val="0084175B"/>
    <w:rsid w:val="00841A0B"/>
    <w:rsid w:val="00841AC6"/>
    <w:rsid w:val="00841B30"/>
    <w:rsid w:val="00841B97"/>
    <w:rsid w:val="00841C05"/>
    <w:rsid w:val="00841C0B"/>
    <w:rsid w:val="00841D13"/>
    <w:rsid w:val="00841D84"/>
    <w:rsid w:val="00841D8D"/>
    <w:rsid w:val="00841DF2"/>
    <w:rsid w:val="00841EA8"/>
    <w:rsid w:val="00841F8E"/>
    <w:rsid w:val="00841F9B"/>
    <w:rsid w:val="00841FB3"/>
    <w:rsid w:val="008421A9"/>
    <w:rsid w:val="008421F5"/>
    <w:rsid w:val="008423C0"/>
    <w:rsid w:val="0084243A"/>
    <w:rsid w:val="008424AF"/>
    <w:rsid w:val="00842568"/>
    <w:rsid w:val="0084256E"/>
    <w:rsid w:val="008425D9"/>
    <w:rsid w:val="008425F1"/>
    <w:rsid w:val="00842810"/>
    <w:rsid w:val="00842872"/>
    <w:rsid w:val="008428C1"/>
    <w:rsid w:val="008428CA"/>
    <w:rsid w:val="008428D8"/>
    <w:rsid w:val="008428E3"/>
    <w:rsid w:val="00842971"/>
    <w:rsid w:val="008429DC"/>
    <w:rsid w:val="00842A51"/>
    <w:rsid w:val="00842A7C"/>
    <w:rsid w:val="00842B06"/>
    <w:rsid w:val="00842B27"/>
    <w:rsid w:val="00842B4F"/>
    <w:rsid w:val="00842CB5"/>
    <w:rsid w:val="00842CFE"/>
    <w:rsid w:val="00842E76"/>
    <w:rsid w:val="00842E8E"/>
    <w:rsid w:val="00842EA9"/>
    <w:rsid w:val="00842F3D"/>
    <w:rsid w:val="00842F54"/>
    <w:rsid w:val="0084310B"/>
    <w:rsid w:val="0084312D"/>
    <w:rsid w:val="0084319F"/>
    <w:rsid w:val="008432E9"/>
    <w:rsid w:val="008434E2"/>
    <w:rsid w:val="008435C2"/>
    <w:rsid w:val="00843638"/>
    <w:rsid w:val="0084364A"/>
    <w:rsid w:val="008436AA"/>
    <w:rsid w:val="008436AC"/>
    <w:rsid w:val="00843761"/>
    <w:rsid w:val="00843779"/>
    <w:rsid w:val="00843903"/>
    <w:rsid w:val="00843952"/>
    <w:rsid w:val="00843A1A"/>
    <w:rsid w:val="00843A51"/>
    <w:rsid w:val="00843A56"/>
    <w:rsid w:val="00843ABE"/>
    <w:rsid w:val="00843B1E"/>
    <w:rsid w:val="00843BB7"/>
    <w:rsid w:val="00843D25"/>
    <w:rsid w:val="00843D27"/>
    <w:rsid w:val="00843D4B"/>
    <w:rsid w:val="00843E5F"/>
    <w:rsid w:val="00843E92"/>
    <w:rsid w:val="00843EC5"/>
    <w:rsid w:val="00843FD6"/>
    <w:rsid w:val="008441A5"/>
    <w:rsid w:val="008442DC"/>
    <w:rsid w:val="00844369"/>
    <w:rsid w:val="00844386"/>
    <w:rsid w:val="00844387"/>
    <w:rsid w:val="008443FC"/>
    <w:rsid w:val="0084446B"/>
    <w:rsid w:val="00844480"/>
    <w:rsid w:val="008444D3"/>
    <w:rsid w:val="008444F9"/>
    <w:rsid w:val="00844604"/>
    <w:rsid w:val="00844612"/>
    <w:rsid w:val="00844A5D"/>
    <w:rsid w:val="00844ABA"/>
    <w:rsid w:val="00844C3F"/>
    <w:rsid w:val="00844D08"/>
    <w:rsid w:val="00844D2A"/>
    <w:rsid w:val="00844E2B"/>
    <w:rsid w:val="00844FA0"/>
    <w:rsid w:val="00844FBE"/>
    <w:rsid w:val="00844FE5"/>
    <w:rsid w:val="00844FF5"/>
    <w:rsid w:val="0084500D"/>
    <w:rsid w:val="0084501D"/>
    <w:rsid w:val="0084508F"/>
    <w:rsid w:val="008450BE"/>
    <w:rsid w:val="0084531D"/>
    <w:rsid w:val="008454E9"/>
    <w:rsid w:val="008454F5"/>
    <w:rsid w:val="0084552D"/>
    <w:rsid w:val="0084556C"/>
    <w:rsid w:val="00845667"/>
    <w:rsid w:val="0084566B"/>
    <w:rsid w:val="00845826"/>
    <w:rsid w:val="00845875"/>
    <w:rsid w:val="00845891"/>
    <w:rsid w:val="008458A2"/>
    <w:rsid w:val="008458F7"/>
    <w:rsid w:val="0084590C"/>
    <w:rsid w:val="008459F7"/>
    <w:rsid w:val="00845A1F"/>
    <w:rsid w:val="00845A26"/>
    <w:rsid w:val="00845A89"/>
    <w:rsid w:val="00845B5E"/>
    <w:rsid w:val="00845C2B"/>
    <w:rsid w:val="00845C9E"/>
    <w:rsid w:val="00845DF3"/>
    <w:rsid w:val="00845E22"/>
    <w:rsid w:val="00845E39"/>
    <w:rsid w:val="00845EE5"/>
    <w:rsid w:val="00845F5E"/>
    <w:rsid w:val="008460D5"/>
    <w:rsid w:val="00846332"/>
    <w:rsid w:val="00846346"/>
    <w:rsid w:val="008463DE"/>
    <w:rsid w:val="008463E2"/>
    <w:rsid w:val="0084645F"/>
    <w:rsid w:val="008464AA"/>
    <w:rsid w:val="008465E7"/>
    <w:rsid w:val="0084662A"/>
    <w:rsid w:val="00846650"/>
    <w:rsid w:val="00846654"/>
    <w:rsid w:val="00846679"/>
    <w:rsid w:val="008466D1"/>
    <w:rsid w:val="008466D3"/>
    <w:rsid w:val="008466D7"/>
    <w:rsid w:val="008467F3"/>
    <w:rsid w:val="00846C0E"/>
    <w:rsid w:val="00846CC0"/>
    <w:rsid w:val="00846E44"/>
    <w:rsid w:val="00846E49"/>
    <w:rsid w:val="00846F0C"/>
    <w:rsid w:val="00846F23"/>
    <w:rsid w:val="00846F3A"/>
    <w:rsid w:val="00846F96"/>
    <w:rsid w:val="008471B1"/>
    <w:rsid w:val="008471B6"/>
    <w:rsid w:val="00847227"/>
    <w:rsid w:val="008472F0"/>
    <w:rsid w:val="0084733E"/>
    <w:rsid w:val="00847411"/>
    <w:rsid w:val="00847558"/>
    <w:rsid w:val="00847572"/>
    <w:rsid w:val="00847672"/>
    <w:rsid w:val="00847693"/>
    <w:rsid w:val="0084769C"/>
    <w:rsid w:val="008476D1"/>
    <w:rsid w:val="0084776A"/>
    <w:rsid w:val="0084782E"/>
    <w:rsid w:val="00847A68"/>
    <w:rsid w:val="00847A74"/>
    <w:rsid w:val="00847A93"/>
    <w:rsid w:val="00847AF3"/>
    <w:rsid w:val="00847BC5"/>
    <w:rsid w:val="00847C56"/>
    <w:rsid w:val="00847F78"/>
    <w:rsid w:val="00847FB1"/>
    <w:rsid w:val="0085005C"/>
    <w:rsid w:val="008500BC"/>
    <w:rsid w:val="008500BE"/>
    <w:rsid w:val="008500EF"/>
    <w:rsid w:val="0085017B"/>
    <w:rsid w:val="008502CC"/>
    <w:rsid w:val="0085051F"/>
    <w:rsid w:val="00850527"/>
    <w:rsid w:val="008505B4"/>
    <w:rsid w:val="008505D6"/>
    <w:rsid w:val="00850659"/>
    <w:rsid w:val="00850735"/>
    <w:rsid w:val="0085078E"/>
    <w:rsid w:val="008509BC"/>
    <w:rsid w:val="00850A24"/>
    <w:rsid w:val="00850B5B"/>
    <w:rsid w:val="00850C07"/>
    <w:rsid w:val="00850C65"/>
    <w:rsid w:val="00850C7D"/>
    <w:rsid w:val="00850CE6"/>
    <w:rsid w:val="00850D78"/>
    <w:rsid w:val="00850DFF"/>
    <w:rsid w:val="00850E5D"/>
    <w:rsid w:val="00850E83"/>
    <w:rsid w:val="00850EDE"/>
    <w:rsid w:val="00851023"/>
    <w:rsid w:val="008511B8"/>
    <w:rsid w:val="00851245"/>
    <w:rsid w:val="00851295"/>
    <w:rsid w:val="0085135E"/>
    <w:rsid w:val="008517A9"/>
    <w:rsid w:val="008518BC"/>
    <w:rsid w:val="00851906"/>
    <w:rsid w:val="008519CF"/>
    <w:rsid w:val="00851A4F"/>
    <w:rsid w:val="00851B78"/>
    <w:rsid w:val="00851B7F"/>
    <w:rsid w:val="00851C73"/>
    <w:rsid w:val="00851CAE"/>
    <w:rsid w:val="00851CD5"/>
    <w:rsid w:val="00851DB2"/>
    <w:rsid w:val="00851DDD"/>
    <w:rsid w:val="00851E17"/>
    <w:rsid w:val="0085211F"/>
    <w:rsid w:val="0085214F"/>
    <w:rsid w:val="00852166"/>
    <w:rsid w:val="008523D8"/>
    <w:rsid w:val="00852568"/>
    <w:rsid w:val="008525D5"/>
    <w:rsid w:val="00852721"/>
    <w:rsid w:val="0085277B"/>
    <w:rsid w:val="008527A4"/>
    <w:rsid w:val="008527CD"/>
    <w:rsid w:val="00852836"/>
    <w:rsid w:val="00852889"/>
    <w:rsid w:val="008528A2"/>
    <w:rsid w:val="008528D9"/>
    <w:rsid w:val="0085297F"/>
    <w:rsid w:val="00852992"/>
    <w:rsid w:val="008529D8"/>
    <w:rsid w:val="00852A47"/>
    <w:rsid w:val="00852A65"/>
    <w:rsid w:val="00852B23"/>
    <w:rsid w:val="00852B2A"/>
    <w:rsid w:val="00852C5B"/>
    <w:rsid w:val="00852C74"/>
    <w:rsid w:val="00852DAC"/>
    <w:rsid w:val="00852E6D"/>
    <w:rsid w:val="00853007"/>
    <w:rsid w:val="008530A7"/>
    <w:rsid w:val="008530BA"/>
    <w:rsid w:val="0085312A"/>
    <w:rsid w:val="00853139"/>
    <w:rsid w:val="008531EB"/>
    <w:rsid w:val="00853288"/>
    <w:rsid w:val="00853539"/>
    <w:rsid w:val="008535D4"/>
    <w:rsid w:val="008535F0"/>
    <w:rsid w:val="008536DE"/>
    <w:rsid w:val="008536EB"/>
    <w:rsid w:val="00853951"/>
    <w:rsid w:val="00853A22"/>
    <w:rsid w:val="00853B14"/>
    <w:rsid w:val="00853B46"/>
    <w:rsid w:val="00853C10"/>
    <w:rsid w:val="00853C4A"/>
    <w:rsid w:val="00853CBF"/>
    <w:rsid w:val="00853EA0"/>
    <w:rsid w:val="00853F9F"/>
    <w:rsid w:val="00854170"/>
    <w:rsid w:val="00854197"/>
    <w:rsid w:val="008541C7"/>
    <w:rsid w:val="008542EC"/>
    <w:rsid w:val="0085433B"/>
    <w:rsid w:val="00854414"/>
    <w:rsid w:val="008544B8"/>
    <w:rsid w:val="0085450C"/>
    <w:rsid w:val="008545A2"/>
    <w:rsid w:val="008545AC"/>
    <w:rsid w:val="00854646"/>
    <w:rsid w:val="00854657"/>
    <w:rsid w:val="00854688"/>
    <w:rsid w:val="00854878"/>
    <w:rsid w:val="008548A2"/>
    <w:rsid w:val="008548F5"/>
    <w:rsid w:val="008549F0"/>
    <w:rsid w:val="00854AAA"/>
    <w:rsid w:val="00854BCE"/>
    <w:rsid w:val="00854C1C"/>
    <w:rsid w:val="00854C25"/>
    <w:rsid w:val="00854CAC"/>
    <w:rsid w:val="00854CDF"/>
    <w:rsid w:val="00854D0B"/>
    <w:rsid w:val="00854D9C"/>
    <w:rsid w:val="00854E8C"/>
    <w:rsid w:val="00854FC3"/>
    <w:rsid w:val="00855078"/>
    <w:rsid w:val="00855239"/>
    <w:rsid w:val="008552F6"/>
    <w:rsid w:val="008552FD"/>
    <w:rsid w:val="00855307"/>
    <w:rsid w:val="00855378"/>
    <w:rsid w:val="0085539E"/>
    <w:rsid w:val="008553FB"/>
    <w:rsid w:val="00855411"/>
    <w:rsid w:val="00855419"/>
    <w:rsid w:val="008554B2"/>
    <w:rsid w:val="008554E7"/>
    <w:rsid w:val="008555C1"/>
    <w:rsid w:val="00855686"/>
    <w:rsid w:val="008556E2"/>
    <w:rsid w:val="008557FD"/>
    <w:rsid w:val="0085589F"/>
    <w:rsid w:val="008559F9"/>
    <w:rsid w:val="00855C10"/>
    <w:rsid w:val="00855D07"/>
    <w:rsid w:val="00855F07"/>
    <w:rsid w:val="00855F42"/>
    <w:rsid w:val="00855FE8"/>
    <w:rsid w:val="00856055"/>
    <w:rsid w:val="008560AF"/>
    <w:rsid w:val="0085615C"/>
    <w:rsid w:val="00856220"/>
    <w:rsid w:val="0085625F"/>
    <w:rsid w:val="008562CC"/>
    <w:rsid w:val="008562DB"/>
    <w:rsid w:val="0085633A"/>
    <w:rsid w:val="0085635D"/>
    <w:rsid w:val="00856372"/>
    <w:rsid w:val="008563B3"/>
    <w:rsid w:val="008563D4"/>
    <w:rsid w:val="008564C6"/>
    <w:rsid w:val="008569B7"/>
    <w:rsid w:val="00856AD0"/>
    <w:rsid w:val="00856AD9"/>
    <w:rsid w:val="00856BF6"/>
    <w:rsid w:val="00856DEB"/>
    <w:rsid w:val="00856E75"/>
    <w:rsid w:val="00856F6E"/>
    <w:rsid w:val="00856FB3"/>
    <w:rsid w:val="00857050"/>
    <w:rsid w:val="00857089"/>
    <w:rsid w:val="008570E2"/>
    <w:rsid w:val="0085711D"/>
    <w:rsid w:val="00857183"/>
    <w:rsid w:val="008571A1"/>
    <w:rsid w:val="00857214"/>
    <w:rsid w:val="008574F6"/>
    <w:rsid w:val="008575C3"/>
    <w:rsid w:val="008575FA"/>
    <w:rsid w:val="0085761A"/>
    <w:rsid w:val="00857647"/>
    <w:rsid w:val="008576C6"/>
    <w:rsid w:val="008576EE"/>
    <w:rsid w:val="00857705"/>
    <w:rsid w:val="00857883"/>
    <w:rsid w:val="008578CF"/>
    <w:rsid w:val="0085790D"/>
    <w:rsid w:val="008579DC"/>
    <w:rsid w:val="00857AA2"/>
    <w:rsid w:val="00857B0D"/>
    <w:rsid w:val="00857C80"/>
    <w:rsid w:val="00857C92"/>
    <w:rsid w:val="00857CCA"/>
    <w:rsid w:val="00857E1C"/>
    <w:rsid w:val="00857E8F"/>
    <w:rsid w:val="0085B56E"/>
    <w:rsid w:val="00860077"/>
    <w:rsid w:val="00860088"/>
    <w:rsid w:val="008600BC"/>
    <w:rsid w:val="00860158"/>
    <w:rsid w:val="00860182"/>
    <w:rsid w:val="0086026E"/>
    <w:rsid w:val="008602A7"/>
    <w:rsid w:val="008602D3"/>
    <w:rsid w:val="00860474"/>
    <w:rsid w:val="0086048E"/>
    <w:rsid w:val="00860493"/>
    <w:rsid w:val="008604B9"/>
    <w:rsid w:val="00860642"/>
    <w:rsid w:val="008606AD"/>
    <w:rsid w:val="008607B3"/>
    <w:rsid w:val="008607EF"/>
    <w:rsid w:val="00860819"/>
    <w:rsid w:val="008608F1"/>
    <w:rsid w:val="00860A2F"/>
    <w:rsid w:val="00860A61"/>
    <w:rsid w:val="00860B04"/>
    <w:rsid w:val="00860B40"/>
    <w:rsid w:val="00860B73"/>
    <w:rsid w:val="00860B79"/>
    <w:rsid w:val="00860C22"/>
    <w:rsid w:val="00860C80"/>
    <w:rsid w:val="00860D36"/>
    <w:rsid w:val="00860DF3"/>
    <w:rsid w:val="00860E88"/>
    <w:rsid w:val="00860F64"/>
    <w:rsid w:val="00860F71"/>
    <w:rsid w:val="00860F96"/>
    <w:rsid w:val="0086101B"/>
    <w:rsid w:val="008610BC"/>
    <w:rsid w:val="008610C5"/>
    <w:rsid w:val="008611FC"/>
    <w:rsid w:val="0086121D"/>
    <w:rsid w:val="00861854"/>
    <w:rsid w:val="00861866"/>
    <w:rsid w:val="008618D1"/>
    <w:rsid w:val="00861B1F"/>
    <w:rsid w:val="00861B46"/>
    <w:rsid w:val="00861CB6"/>
    <w:rsid w:val="00861CE2"/>
    <w:rsid w:val="00861E60"/>
    <w:rsid w:val="00861E77"/>
    <w:rsid w:val="00861F5E"/>
    <w:rsid w:val="00861F69"/>
    <w:rsid w:val="00861FED"/>
    <w:rsid w:val="0086211E"/>
    <w:rsid w:val="00862262"/>
    <w:rsid w:val="00862285"/>
    <w:rsid w:val="008622A6"/>
    <w:rsid w:val="0086233D"/>
    <w:rsid w:val="008623F8"/>
    <w:rsid w:val="00862481"/>
    <w:rsid w:val="008624C9"/>
    <w:rsid w:val="0086268C"/>
    <w:rsid w:val="0086268D"/>
    <w:rsid w:val="00862694"/>
    <w:rsid w:val="008626CD"/>
    <w:rsid w:val="0086274A"/>
    <w:rsid w:val="008627AE"/>
    <w:rsid w:val="00862979"/>
    <w:rsid w:val="00862A64"/>
    <w:rsid w:val="00862B58"/>
    <w:rsid w:val="00862C42"/>
    <w:rsid w:val="00862C92"/>
    <w:rsid w:val="00862CC8"/>
    <w:rsid w:val="00862CD2"/>
    <w:rsid w:val="00862F10"/>
    <w:rsid w:val="00862F65"/>
    <w:rsid w:val="00862FA8"/>
    <w:rsid w:val="0086300D"/>
    <w:rsid w:val="008630A8"/>
    <w:rsid w:val="0086310F"/>
    <w:rsid w:val="00863190"/>
    <w:rsid w:val="00863201"/>
    <w:rsid w:val="00863561"/>
    <w:rsid w:val="00863596"/>
    <w:rsid w:val="00863654"/>
    <w:rsid w:val="0086368B"/>
    <w:rsid w:val="0086371B"/>
    <w:rsid w:val="0086371C"/>
    <w:rsid w:val="0086376A"/>
    <w:rsid w:val="008637C6"/>
    <w:rsid w:val="008637ED"/>
    <w:rsid w:val="008637FD"/>
    <w:rsid w:val="008639E1"/>
    <w:rsid w:val="00863B27"/>
    <w:rsid w:val="00863BE7"/>
    <w:rsid w:val="00863CFB"/>
    <w:rsid w:val="00863D11"/>
    <w:rsid w:val="00863F32"/>
    <w:rsid w:val="00864059"/>
    <w:rsid w:val="0086410F"/>
    <w:rsid w:val="00864140"/>
    <w:rsid w:val="008642F8"/>
    <w:rsid w:val="008643EB"/>
    <w:rsid w:val="00864413"/>
    <w:rsid w:val="00864464"/>
    <w:rsid w:val="00864512"/>
    <w:rsid w:val="00864773"/>
    <w:rsid w:val="00864815"/>
    <w:rsid w:val="00864919"/>
    <w:rsid w:val="0086493E"/>
    <w:rsid w:val="0086498E"/>
    <w:rsid w:val="00864ADD"/>
    <w:rsid w:val="00864B0C"/>
    <w:rsid w:val="00864C8F"/>
    <w:rsid w:val="00864E1E"/>
    <w:rsid w:val="00864E55"/>
    <w:rsid w:val="00864E70"/>
    <w:rsid w:val="00864E9F"/>
    <w:rsid w:val="00864EED"/>
    <w:rsid w:val="00864EF3"/>
    <w:rsid w:val="00864F97"/>
    <w:rsid w:val="00864FB9"/>
    <w:rsid w:val="0086502A"/>
    <w:rsid w:val="0086503C"/>
    <w:rsid w:val="00865078"/>
    <w:rsid w:val="008650A1"/>
    <w:rsid w:val="008651F4"/>
    <w:rsid w:val="00865245"/>
    <w:rsid w:val="008653D9"/>
    <w:rsid w:val="008653E2"/>
    <w:rsid w:val="00865417"/>
    <w:rsid w:val="00865489"/>
    <w:rsid w:val="0086556B"/>
    <w:rsid w:val="00865582"/>
    <w:rsid w:val="008655E8"/>
    <w:rsid w:val="008656C9"/>
    <w:rsid w:val="00865793"/>
    <w:rsid w:val="0086587D"/>
    <w:rsid w:val="00865883"/>
    <w:rsid w:val="00865903"/>
    <w:rsid w:val="008659A4"/>
    <w:rsid w:val="008659BA"/>
    <w:rsid w:val="00865AF8"/>
    <w:rsid w:val="00865AFD"/>
    <w:rsid w:val="00865B0B"/>
    <w:rsid w:val="00865BB3"/>
    <w:rsid w:val="00865D3A"/>
    <w:rsid w:val="00865E33"/>
    <w:rsid w:val="00865E42"/>
    <w:rsid w:val="00865EB8"/>
    <w:rsid w:val="00865F8D"/>
    <w:rsid w:val="00865FEB"/>
    <w:rsid w:val="00866039"/>
    <w:rsid w:val="0086609A"/>
    <w:rsid w:val="0086619B"/>
    <w:rsid w:val="00866360"/>
    <w:rsid w:val="00866366"/>
    <w:rsid w:val="00866398"/>
    <w:rsid w:val="008663A9"/>
    <w:rsid w:val="00866403"/>
    <w:rsid w:val="008664B4"/>
    <w:rsid w:val="00866513"/>
    <w:rsid w:val="0086661E"/>
    <w:rsid w:val="008668A3"/>
    <w:rsid w:val="008668FB"/>
    <w:rsid w:val="00866983"/>
    <w:rsid w:val="00866A9C"/>
    <w:rsid w:val="00866B4A"/>
    <w:rsid w:val="00866BB5"/>
    <w:rsid w:val="00866C2B"/>
    <w:rsid w:val="00866C72"/>
    <w:rsid w:val="00866C82"/>
    <w:rsid w:val="00866D62"/>
    <w:rsid w:val="00866FC9"/>
    <w:rsid w:val="00866FDC"/>
    <w:rsid w:val="00867005"/>
    <w:rsid w:val="008671C4"/>
    <w:rsid w:val="00867514"/>
    <w:rsid w:val="0086771B"/>
    <w:rsid w:val="00867846"/>
    <w:rsid w:val="00867962"/>
    <w:rsid w:val="008679E5"/>
    <w:rsid w:val="00867A55"/>
    <w:rsid w:val="00867AAD"/>
    <w:rsid w:val="00867ADB"/>
    <w:rsid w:val="00867B19"/>
    <w:rsid w:val="00867BA0"/>
    <w:rsid w:val="00867C6B"/>
    <w:rsid w:val="00867D61"/>
    <w:rsid w:val="00867DCC"/>
    <w:rsid w:val="00867DDC"/>
    <w:rsid w:val="00867DDD"/>
    <w:rsid w:val="00867E30"/>
    <w:rsid w:val="00867ED1"/>
    <w:rsid w:val="008701E0"/>
    <w:rsid w:val="00870226"/>
    <w:rsid w:val="0087058C"/>
    <w:rsid w:val="00870683"/>
    <w:rsid w:val="00870806"/>
    <w:rsid w:val="00870852"/>
    <w:rsid w:val="00870866"/>
    <w:rsid w:val="00870877"/>
    <w:rsid w:val="00870998"/>
    <w:rsid w:val="00870B97"/>
    <w:rsid w:val="00870C8F"/>
    <w:rsid w:val="00870DB4"/>
    <w:rsid w:val="00870DC1"/>
    <w:rsid w:val="00871022"/>
    <w:rsid w:val="00871026"/>
    <w:rsid w:val="008710B4"/>
    <w:rsid w:val="0087115A"/>
    <w:rsid w:val="0087128B"/>
    <w:rsid w:val="008712A4"/>
    <w:rsid w:val="008712F0"/>
    <w:rsid w:val="00871344"/>
    <w:rsid w:val="008714E7"/>
    <w:rsid w:val="008714F5"/>
    <w:rsid w:val="008715A4"/>
    <w:rsid w:val="0087176E"/>
    <w:rsid w:val="00871779"/>
    <w:rsid w:val="0087183E"/>
    <w:rsid w:val="008718E4"/>
    <w:rsid w:val="00871922"/>
    <w:rsid w:val="0087194A"/>
    <w:rsid w:val="00871A2C"/>
    <w:rsid w:val="00871BF8"/>
    <w:rsid w:val="00871D3E"/>
    <w:rsid w:val="00871DBB"/>
    <w:rsid w:val="00871DED"/>
    <w:rsid w:val="00871E35"/>
    <w:rsid w:val="00871FE1"/>
    <w:rsid w:val="00872007"/>
    <w:rsid w:val="00872088"/>
    <w:rsid w:val="00872184"/>
    <w:rsid w:val="008721B3"/>
    <w:rsid w:val="00872252"/>
    <w:rsid w:val="00872331"/>
    <w:rsid w:val="0087237C"/>
    <w:rsid w:val="00872573"/>
    <w:rsid w:val="00872986"/>
    <w:rsid w:val="0087299B"/>
    <w:rsid w:val="00872B36"/>
    <w:rsid w:val="00872B7C"/>
    <w:rsid w:val="00872BCC"/>
    <w:rsid w:val="00872C10"/>
    <w:rsid w:val="00872D68"/>
    <w:rsid w:val="00872DD8"/>
    <w:rsid w:val="00872DFB"/>
    <w:rsid w:val="00872DFD"/>
    <w:rsid w:val="00872E00"/>
    <w:rsid w:val="00872E14"/>
    <w:rsid w:val="00872E48"/>
    <w:rsid w:val="00872E9E"/>
    <w:rsid w:val="00872F00"/>
    <w:rsid w:val="00873007"/>
    <w:rsid w:val="0087301D"/>
    <w:rsid w:val="008731A1"/>
    <w:rsid w:val="008731EA"/>
    <w:rsid w:val="0087325B"/>
    <w:rsid w:val="008732C4"/>
    <w:rsid w:val="0087337E"/>
    <w:rsid w:val="008733DE"/>
    <w:rsid w:val="00873641"/>
    <w:rsid w:val="0087364C"/>
    <w:rsid w:val="00873683"/>
    <w:rsid w:val="0087373D"/>
    <w:rsid w:val="0087377E"/>
    <w:rsid w:val="0087387A"/>
    <w:rsid w:val="0087396D"/>
    <w:rsid w:val="00873A4C"/>
    <w:rsid w:val="00873AF8"/>
    <w:rsid w:val="00873C37"/>
    <w:rsid w:val="00873C67"/>
    <w:rsid w:val="00873C95"/>
    <w:rsid w:val="00873DA8"/>
    <w:rsid w:val="00873EA9"/>
    <w:rsid w:val="00873F31"/>
    <w:rsid w:val="00873F82"/>
    <w:rsid w:val="00873FE6"/>
    <w:rsid w:val="0087414C"/>
    <w:rsid w:val="008741E8"/>
    <w:rsid w:val="0087426C"/>
    <w:rsid w:val="008742E2"/>
    <w:rsid w:val="00874357"/>
    <w:rsid w:val="008743BD"/>
    <w:rsid w:val="008743DC"/>
    <w:rsid w:val="00874673"/>
    <w:rsid w:val="008747E1"/>
    <w:rsid w:val="008747FC"/>
    <w:rsid w:val="0087481D"/>
    <w:rsid w:val="008748A6"/>
    <w:rsid w:val="008748A9"/>
    <w:rsid w:val="00874BE7"/>
    <w:rsid w:val="00874C3D"/>
    <w:rsid w:val="00874C50"/>
    <w:rsid w:val="00874CB5"/>
    <w:rsid w:val="00874CE7"/>
    <w:rsid w:val="00874D20"/>
    <w:rsid w:val="00874DB8"/>
    <w:rsid w:val="00874E4A"/>
    <w:rsid w:val="00874E83"/>
    <w:rsid w:val="00874EEB"/>
    <w:rsid w:val="0087506F"/>
    <w:rsid w:val="008750DA"/>
    <w:rsid w:val="00875154"/>
    <w:rsid w:val="0087516C"/>
    <w:rsid w:val="008751B9"/>
    <w:rsid w:val="008751CB"/>
    <w:rsid w:val="00875249"/>
    <w:rsid w:val="008753F8"/>
    <w:rsid w:val="008754E6"/>
    <w:rsid w:val="00875503"/>
    <w:rsid w:val="008755D8"/>
    <w:rsid w:val="0087560C"/>
    <w:rsid w:val="00875646"/>
    <w:rsid w:val="0087569B"/>
    <w:rsid w:val="008756F2"/>
    <w:rsid w:val="00875769"/>
    <w:rsid w:val="0087577A"/>
    <w:rsid w:val="008758C1"/>
    <w:rsid w:val="00875916"/>
    <w:rsid w:val="008759C9"/>
    <w:rsid w:val="008759E7"/>
    <w:rsid w:val="008759E9"/>
    <w:rsid w:val="00875A0F"/>
    <w:rsid w:val="00875B39"/>
    <w:rsid w:val="00875BF7"/>
    <w:rsid w:val="00875C7B"/>
    <w:rsid w:val="00875CBA"/>
    <w:rsid w:val="00875D0E"/>
    <w:rsid w:val="00875D6E"/>
    <w:rsid w:val="00875DE8"/>
    <w:rsid w:val="00875E1D"/>
    <w:rsid w:val="00875EA2"/>
    <w:rsid w:val="00875F0D"/>
    <w:rsid w:val="00875F61"/>
    <w:rsid w:val="00876005"/>
    <w:rsid w:val="0087609B"/>
    <w:rsid w:val="0087609E"/>
    <w:rsid w:val="008763D2"/>
    <w:rsid w:val="008763D3"/>
    <w:rsid w:val="008763EC"/>
    <w:rsid w:val="008763F3"/>
    <w:rsid w:val="00876522"/>
    <w:rsid w:val="008765A4"/>
    <w:rsid w:val="008766D9"/>
    <w:rsid w:val="008766E8"/>
    <w:rsid w:val="00876754"/>
    <w:rsid w:val="0087677F"/>
    <w:rsid w:val="008767CA"/>
    <w:rsid w:val="0087683F"/>
    <w:rsid w:val="00876864"/>
    <w:rsid w:val="00876A62"/>
    <w:rsid w:val="00876B3C"/>
    <w:rsid w:val="00876B97"/>
    <w:rsid w:val="00876BB4"/>
    <w:rsid w:val="00876BFF"/>
    <w:rsid w:val="00876DA8"/>
    <w:rsid w:val="00876DD1"/>
    <w:rsid w:val="00876E42"/>
    <w:rsid w:val="00876F23"/>
    <w:rsid w:val="008770C6"/>
    <w:rsid w:val="008771A2"/>
    <w:rsid w:val="008771D4"/>
    <w:rsid w:val="0087720A"/>
    <w:rsid w:val="0087734E"/>
    <w:rsid w:val="00877375"/>
    <w:rsid w:val="00877461"/>
    <w:rsid w:val="008774D5"/>
    <w:rsid w:val="008775DF"/>
    <w:rsid w:val="0087764A"/>
    <w:rsid w:val="0087769C"/>
    <w:rsid w:val="008776FD"/>
    <w:rsid w:val="00877708"/>
    <w:rsid w:val="00877797"/>
    <w:rsid w:val="0087790E"/>
    <w:rsid w:val="008779AE"/>
    <w:rsid w:val="008779E1"/>
    <w:rsid w:val="00877A74"/>
    <w:rsid w:val="00877AC6"/>
    <w:rsid w:val="00877B1F"/>
    <w:rsid w:val="00877C31"/>
    <w:rsid w:val="00877D58"/>
    <w:rsid w:val="00877E21"/>
    <w:rsid w:val="00880008"/>
    <w:rsid w:val="0088011B"/>
    <w:rsid w:val="0088011D"/>
    <w:rsid w:val="00880143"/>
    <w:rsid w:val="00880178"/>
    <w:rsid w:val="00880196"/>
    <w:rsid w:val="00880223"/>
    <w:rsid w:val="00880318"/>
    <w:rsid w:val="00880322"/>
    <w:rsid w:val="0088047C"/>
    <w:rsid w:val="00880625"/>
    <w:rsid w:val="0088069D"/>
    <w:rsid w:val="008806BC"/>
    <w:rsid w:val="008806C5"/>
    <w:rsid w:val="008807E9"/>
    <w:rsid w:val="00880822"/>
    <w:rsid w:val="0088086C"/>
    <w:rsid w:val="008808FB"/>
    <w:rsid w:val="00880B9A"/>
    <w:rsid w:val="00880BDE"/>
    <w:rsid w:val="00880CBF"/>
    <w:rsid w:val="00880D9B"/>
    <w:rsid w:val="00880DD2"/>
    <w:rsid w:val="00880E27"/>
    <w:rsid w:val="00880EC7"/>
    <w:rsid w:val="00880F36"/>
    <w:rsid w:val="00881004"/>
    <w:rsid w:val="0088100B"/>
    <w:rsid w:val="00881011"/>
    <w:rsid w:val="0088105D"/>
    <w:rsid w:val="008811F3"/>
    <w:rsid w:val="008812A4"/>
    <w:rsid w:val="00881392"/>
    <w:rsid w:val="008813B7"/>
    <w:rsid w:val="00881404"/>
    <w:rsid w:val="008815F8"/>
    <w:rsid w:val="0088163C"/>
    <w:rsid w:val="00881701"/>
    <w:rsid w:val="008817EF"/>
    <w:rsid w:val="00881834"/>
    <w:rsid w:val="0088195D"/>
    <w:rsid w:val="0088197C"/>
    <w:rsid w:val="008819F6"/>
    <w:rsid w:val="00881A23"/>
    <w:rsid w:val="00881A35"/>
    <w:rsid w:val="00881ACF"/>
    <w:rsid w:val="00881C49"/>
    <w:rsid w:val="00881CEB"/>
    <w:rsid w:val="00881EA4"/>
    <w:rsid w:val="00881ED8"/>
    <w:rsid w:val="00881FF9"/>
    <w:rsid w:val="00882023"/>
    <w:rsid w:val="0088218D"/>
    <w:rsid w:val="008822D1"/>
    <w:rsid w:val="008822F6"/>
    <w:rsid w:val="0088243C"/>
    <w:rsid w:val="008824D0"/>
    <w:rsid w:val="00882597"/>
    <w:rsid w:val="008825F4"/>
    <w:rsid w:val="00882614"/>
    <w:rsid w:val="00882637"/>
    <w:rsid w:val="008826C4"/>
    <w:rsid w:val="008826E8"/>
    <w:rsid w:val="00882774"/>
    <w:rsid w:val="0088283A"/>
    <w:rsid w:val="0088286D"/>
    <w:rsid w:val="008828E8"/>
    <w:rsid w:val="0088291B"/>
    <w:rsid w:val="00882980"/>
    <w:rsid w:val="00882A1D"/>
    <w:rsid w:val="00882B5A"/>
    <w:rsid w:val="00882DE1"/>
    <w:rsid w:val="00882F5F"/>
    <w:rsid w:val="00882F80"/>
    <w:rsid w:val="008830FE"/>
    <w:rsid w:val="00883196"/>
    <w:rsid w:val="0088322B"/>
    <w:rsid w:val="008832AF"/>
    <w:rsid w:val="008832BF"/>
    <w:rsid w:val="008834EA"/>
    <w:rsid w:val="0088351C"/>
    <w:rsid w:val="00883723"/>
    <w:rsid w:val="0088380F"/>
    <w:rsid w:val="00883986"/>
    <w:rsid w:val="008839F8"/>
    <w:rsid w:val="00883A25"/>
    <w:rsid w:val="00883AC7"/>
    <w:rsid w:val="00883DD9"/>
    <w:rsid w:val="00883EC6"/>
    <w:rsid w:val="00883EDB"/>
    <w:rsid w:val="00883F10"/>
    <w:rsid w:val="00883FDE"/>
    <w:rsid w:val="00884056"/>
    <w:rsid w:val="00884065"/>
    <w:rsid w:val="0088414A"/>
    <w:rsid w:val="00884158"/>
    <w:rsid w:val="00884183"/>
    <w:rsid w:val="00884198"/>
    <w:rsid w:val="008841E1"/>
    <w:rsid w:val="00884253"/>
    <w:rsid w:val="008842A8"/>
    <w:rsid w:val="008842C8"/>
    <w:rsid w:val="00884320"/>
    <w:rsid w:val="0088455F"/>
    <w:rsid w:val="008845ED"/>
    <w:rsid w:val="008845F6"/>
    <w:rsid w:val="00884660"/>
    <w:rsid w:val="008846D3"/>
    <w:rsid w:val="008846DF"/>
    <w:rsid w:val="008846E1"/>
    <w:rsid w:val="00884738"/>
    <w:rsid w:val="008847D0"/>
    <w:rsid w:val="008847D7"/>
    <w:rsid w:val="008847EF"/>
    <w:rsid w:val="008848ED"/>
    <w:rsid w:val="00884A2C"/>
    <w:rsid w:val="00884ABC"/>
    <w:rsid w:val="00884B1A"/>
    <w:rsid w:val="00884B32"/>
    <w:rsid w:val="00884DBA"/>
    <w:rsid w:val="00884EAC"/>
    <w:rsid w:val="00884EE2"/>
    <w:rsid w:val="00884F30"/>
    <w:rsid w:val="008850A1"/>
    <w:rsid w:val="008850C4"/>
    <w:rsid w:val="008850F5"/>
    <w:rsid w:val="008851B5"/>
    <w:rsid w:val="00885207"/>
    <w:rsid w:val="008852B3"/>
    <w:rsid w:val="008852DE"/>
    <w:rsid w:val="0088539E"/>
    <w:rsid w:val="008853D3"/>
    <w:rsid w:val="0088547E"/>
    <w:rsid w:val="008854A1"/>
    <w:rsid w:val="0088559B"/>
    <w:rsid w:val="00885674"/>
    <w:rsid w:val="0088574D"/>
    <w:rsid w:val="00885795"/>
    <w:rsid w:val="008858D7"/>
    <w:rsid w:val="008858DD"/>
    <w:rsid w:val="00885997"/>
    <w:rsid w:val="008859F0"/>
    <w:rsid w:val="008859F3"/>
    <w:rsid w:val="00885A4B"/>
    <w:rsid w:val="00885BAC"/>
    <w:rsid w:val="00885BE7"/>
    <w:rsid w:val="00885C14"/>
    <w:rsid w:val="00885C6B"/>
    <w:rsid w:val="00885C82"/>
    <w:rsid w:val="00885D7E"/>
    <w:rsid w:val="00885D82"/>
    <w:rsid w:val="00885DFE"/>
    <w:rsid w:val="00885F34"/>
    <w:rsid w:val="00885F69"/>
    <w:rsid w:val="0088609B"/>
    <w:rsid w:val="00886145"/>
    <w:rsid w:val="008861FE"/>
    <w:rsid w:val="00886245"/>
    <w:rsid w:val="0088628B"/>
    <w:rsid w:val="008862B6"/>
    <w:rsid w:val="008862F0"/>
    <w:rsid w:val="0088633A"/>
    <w:rsid w:val="0088633B"/>
    <w:rsid w:val="0088648D"/>
    <w:rsid w:val="008864C4"/>
    <w:rsid w:val="008864F2"/>
    <w:rsid w:val="008865B0"/>
    <w:rsid w:val="0088675E"/>
    <w:rsid w:val="0088687E"/>
    <w:rsid w:val="008868D0"/>
    <w:rsid w:val="00886935"/>
    <w:rsid w:val="008869C6"/>
    <w:rsid w:val="00886A5A"/>
    <w:rsid w:val="00886C36"/>
    <w:rsid w:val="00886C88"/>
    <w:rsid w:val="00886CA3"/>
    <w:rsid w:val="00886CB7"/>
    <w:rsid w:val="00886D98"/>
    <w:rsid w:val="00886EC4"/>
    <w:rsid w:val="00886F6C"/>
    <w:rsid w:val="00886F83"/>
    <w:rsid w:val="00887187"/>
    <w:rsid w:val="008872A8"/>
    <w:rsid w:val="008872AA"/>
    <w:rsid w:val="008872E1"/>
    <w:rsid w:val="008872E9"/>
    <w:rsid w:val="008872EC"/>
    <w:rsid w:val="00887473"/>
    <w:rsid w:val="008874C2"/>
    <w:rsid w:val="008874D9"/>
    <w:rsid w:val="00887581"/>
    <w:rsid w:val="00887614"/>
    <w:rsid w:val="0088761A"/>
    <w:rsid w:val="008876B8"/>
    <w:rsid w:val="00887711"/>
    <w:rsid w:val="00887882"/>
    <w:rsid w:val="008878FB"/>
    <w:rsid w:val="00887981"/>
    <w:rsid w:val="008879C0"/>
    <w:rsid w:val="00887A45"/>
    <w:rsid w:val="00887B4F"/>
    <w:rsid w:val="00887E15"/>
    <w:rsid w:val="00887E16"/>
    <w:rsid w:val="00887EA6"/>
    <w:rsid w:val="00887F60"/>
    <w:rsid w:val="00890018"/>
    <w:rsid w:val="00890037"/>
    <w:rsid w:val="0089012A"/>
    <w:rsid w:val="00890182"/>
    <w:rsid w:val="008901BC"/>
    <w:rsid w:val="00890234"/>
    <w:rsid w:val="00890269"/>
    <w:rsid w:val="00890311"/>
    <w:rsid w:val="00890428"/>
    <w:rsid w:val="0089049E"/>
    <w:rsid w:val="00890549"/>
    <w:rsid w:val="0089054C"/>
    <w:rsid w:val="00890550"/>
    <w:rsid w:val="008905F1"/>
    <w:rsid w:val="008905FD"/>
    <w:rsid w:val="0089060D"/>
    <w:rsid w:val="008906E1"/>
    <w:rsid w:val="008906E8"/>
    <w:rsid w:val="00890726"/>
    <w:rsid w:val="00890889"/>
    <w:rsid w:val="00890896"/>
    <w:rsid w:val="008908EF"/>
    <w:rsid w:val="00890936"/>
    <w:rsid w:val="00890963"/>
    <w:rsid w:val="00890978"/>
    <w:rsid w:val="00890C78"/>
    <w:rsid w:val="00890C87"/>
    <w:rsid w:val="00890DD3"/>
    <w:rsid w:val="00890DEE"/>
    <w:rsid w:val="00890E4D"/>
    <w:rsid w:val="00891046"/>
    <w:rsid w:val="008913C5"/>
    <w:rsid w:val="00891485"/>
    <w:rsid w:val="008914C0"/>
    <w:rsid w:val="008914ED"/>
    <w:rsid w:val="00891581"/>
    <w:rsid w:val="008915E6"/>
    <w:rsid w:val="008917D2"/>
    <w:rsid w:val="0089191A"/>
    <w:rsid w:val="00891956"/>
    <w:rsid w:val="00891A1A"/>
    <w:rsid w:val="00891A60"/>
    <w:rsid w:val="00891A89"/>
    <w:rsid w:val="00891C44"/>
    <w:rsid w:val="00891DB9"/>
    <w:rsid w:val="00891DD3"/>
    <w:rsid w:val="00891E20"/>
    <w:rsid w:val="00891EEE"/>
    <w:rsid w:val="00891EF7"/>
    <w:rsid w:val="00891F12"/>
    <w:rsid w:val="00891FDA"/>
    <w:rsid w:val="00891FE7"/>
    <w:rsid w:val="00892133"/>
    <w:rsid w:val="008921B8"/>
    <w:rsid w:val="008921F2"/>
    <w:rsid w:val="008922B9"/>
    <w:rsid w:val="008923FC"/>
    <w:rsid w:val="008924AC"/>
    <w:rsid w:val="00892559"/>
    <w:rsid w:val="00892590"/>
    <w:rsid w:val="0089260A"/>
    <w:rsid w:val="008926B0"/>
    <w:rsid w:val="00892817"/>
    <w:rsid w:val="0089289A"/>
    <w:rsid w:val="00892AB5"/>
    <w:rsid w:val="00892B69"/>
    <w:rsid w:val="00892B84"/>
    <w:rsid w:val="00892C1C"/>
    <w:rsid w:val="00892DD3"/>
    <w:rsid w:val="00892DF8"/>
    <w:rsid w:val="00892E2D"/>
    <w:rsid w:val="00892F21"/>
    <w:rsid w:val="00892F4D"/>
    <w:rsid w:val="00893144"/>
    <w:rsid w:val="008931E0"/>
    <w:rsid w:val="008934C0"/>
    <w:rsid w:val="008934C2"/>
    <w:rsid w:val="008934C9"/>
    <w:rsid w:val="0089350E"/>
    <w:rsid w:val="00893587"/>
    <w:rsid w:val="00893618"/>
    <w:rsid w:val="0089370A"/>
    <w:rsid w:val="008938B5"/>
    <w:rsid w:val="008939F4"/>
    <w:rsid w:val="00893A4D"/>
    <w:rsid w:val="00893A72"/>
    <w:rsid w:val="00893A8F"/>
    <w:rsid w:val="00893ABD"/>
    <w:rsid w:val="00893CB8"/>
    <w:rsid w:val="00893CC0"/>
    <w:rsid w:val="00893CD8"/>
    <w:rsid w:val="00893D6F"/>
    <w:rsid w:val="00893EF5"/>
    <w:rsid w:val="0089401C"/>
    <w:rsid w:val="008941A2"/>
    <w:rsid w:val="008941EC"/>
    <w:rsid w:val="00894202"/>
    <w:rsid w:val="00894209"/>
    <w:rsid w:val="00894367"/>
    <w:rsid w:val="00894694"/>
    <w:rsid w:val="00894755"/>
    <w:rsid w:val="0089476C"/>
    <w:rsid w:val="00894850"/>
    <w:rsid w:val="0089486E"/>
    <w:rsid w:val="008948E1"/>
    <w:rsid w:val="00894995"/>
    <w:rsid w:val="008949B5"/>
    <w:rsid w:val="008949FB"/>
    <w:rsid w:val="00894B52"/>
    <w:rsid w:val="00894BC8"/>
    <w:rsid w:val="00894C75"/>
    <w:rsid w:val="00894CF1"/>
    <w:rsid w:val="00894CF7"/>
    <w:rsid w:val="00894D02"/>
    <w:rsid w:val="00894D15"/>
    <w:rsid w:val="00894DCA"/>
    <w:rsid w:val="00894FFB"/>
    <w:rsid w:val="00895012"/>
    <w:rsid w:val="00895019"/>
    <w:rsid w:val="00895136"/>
    <w:rsid w:val="0089515F"/>
    <w:rsid w:val="008951EF"/>
    <w:rsid w:val="008952A4"/>
    <w:rsid w:val="00895451"/>
    <w:rsid w:val="00895508"/>
    <w:rsid w:val="0089551D"/>
    <w:rsid w:val="00895599"/>
    <w:rsid w:val="0089564E"/>
    <w:rsid w:val="00895856"/>
    <w:rsid w:val="00895A95"/>
    <w:rsid w:val="00895AA8"/>
    <w:rsid w:val="00895C6B"/>
    <w:rsid w:val="00895D1E"/>
    <w:rsid w:val="00895D49"/>
    <w:rsid w:val="00895D82"/>
    <w:rsid w:val="00895E0F"/>
    <w:rsid w:val="00895F09"/>
    <w:rsid w:val="00895FF3"/>
    <w:rsid w:val="00896022"/>
    <w:rsid w:val="008960CE"/>
    <w:rsid w:val="008961AF"/>
    <w:rsid w:val="008962EF"/>
    <w:rsid w:val="0089658E"/>
    <w:rsid w:val="0089664D"/>
    <w:rsid w:val="00896657"/>
    <w:rsid w:val="00896672"/>
    <w:rsid w:val="0089669F"/>
    <w:rsid w:val="008966AC"/>
    <w:rsid w:val="008966B3"/>
    <w:rsid w:val="008966F7"/>
    <w:rsid w:val="00896704"/>
    <w:rsid w:val="00896782"/>
    <w:rsid w:val="00896801"/>
    <w:rsid w:val="0089684B"/>
    <w:rsid w:val="008968F0"/>
    <w:rsid w:val="00896D0D"/>
    <w:rsid w:val="00896F74"/>
    <w:rsid w:val="00896FC5"/>
    <w:rsid w:val="00896FC9"/>
    <w:rsid w:val="00897052"/>
    <w:rsid w:val="00897080"/>
    <w:rsid w:val="008970AF"/>
    <w:rsid w:val="008970D7"/>
    <w:rsid w:val="008970FC"/>
    <w:rsid w:val="0089719B"/>
    <w:rsid w:val="0089719F"/>
    <w:rsid w:val="00897333"/>
    <w:rsid w:val="0089738C"/>
    <w:rsid w:val="0089739E"/>
    <w:rsid w:val="008973C6"/>
    <w:rsid w:val="008973D1"/>
    <w:rsid w:val="00897426"/>
    <w:rsid w:val="008974A6"/>
    <w:rsid w:val="008974C7"/>
    <w:rsid w:val="0089762D"/>
    <w:rsid w:val="008976CC"/>
    <w:rsid w:val="00897899"/>
    <w:rsid w:val="00897968"/>
    <w:rsid w:val="00897A08"/>
    <w:rsid w:val="00897A91"/>
    <w:rsid w:val="00897BCE"/>
    <w:rsid w:val="00897BCF"/>
    <w:rsid w:val="00897D53"/>
    <w:rsid w:val="00897DB8"/>
    <w:rsid w:val="00897DD7"/>
    <w:rsid w:val="00897ECE"/>
    <w:rsid w:val="00897FD4"/>
    <w:rsid w:val="008A0029"/>
    <w:rsid w:val="008A025C"/>
    <w:rsid w:val="008A04BF"/>
    <w:rsid w:val="008A0521"/>
    <w:rsid w:val="008A0698"/>
    <w:rsid w:val="008A06D4"/>
    <w:rsid w:val="008A06F8"/>
    <w:rsid w:val="008A0726"/>
    <w:rsid w:val="008A072C"/>
    <w:rsid w:val="008A0751"/>
    <w:rsid w:val="008A0797"/>
    <w:rsid w:val="008A0807"/>
    <w:rsid w:val="008A085A"/>
    <w:rsid w:val="008A094C"/>
    <w:rsid w:val="008A099E"/>
    <w:rsid w:val="008A0AC7"/>
    <w:rsid w:val="008A0BCB"/>
    <w:rsid w:val="008A0C3C"/>
    <w:rsid w:val="008A0C62"/>
    <w:rsid w:val="008A0C9B"/>
    <w:rsid w:val="008A0E44"/>
    <w:rsid w:val="008A0E8A"/>
    <w:rsid w:val="008A0EC8"/>
    <w:rsid w:val="008A0F60"/>
    <w:rsid w:val="008A1090"/>
    <w:rsid w:val="008A114A"/>
    <w:rsid w:val="008A1347"/>
    <w:rsid w:val="008A1457"/>
    <w:rsid w:val="008A1506"/>
    <w:rsid w:val="008A1544"/>
    <w:rsid w:val="008A1558"/>
    <w:rsid w:val="008A156A"/>
    <w:rsid w:val="008A15BC"/>
    <w:rsid w:val="008A16A5"/>
    <w:rsid w:val="008A170D"/>
    <w:rsid w:val="008A1810"/>
    <w:rsid w:val="008A18C1"/>
    <w:rsid w:val="008A1918"/>
    <w:rsid w:val="008A1929"/>
    <w:rsid w:val="008A198D"/>
    <w:rsid w:val="008A19D9"/>
    <w:rsid w:val="008A1A3C"/>
    <w:rsid w:val="008A1B64"/>
    <w:rsid w:val="008A1B67"/>
    <w:rsid w:val="008A1BD5"/>
    <w:rsid w:val="008A1C71"/>
    <w:rsid w:val="008A1D51"/>
    <w:rsid w:val="008A1D8B"/>
    <w:rsid w:val="008A1DAA"/>
    <w:rsid w:val="008A1DEE"/>
    <w:rsid w:val="008A1F2F"/>
    <w:rsid w:val="008A2094"/>
    <w:rsid w:val="008A2141"/>
    <w:rsid w:val="008A225B"/>
    <w:rsid w:val="008A228B"/>
    <w:rsid w:val="008A235C"/>
    <w:rsid w:val="008A2571"/>
    <w:rsid w:val="008A273E"/>
    <w:rsid w:val="008A27E1"/>
    <w:rsid w:val="008A2AD7"/>
    <w:rsid w:val="008A2BEB"/>
    <w:rsid w:val="008A2C49"/>
    <w:rsid w:val="008A2C51"/>
    <w:rsid w:val="008A2D3F"/>
    <w:rsid w:val="008A2D75"/>
    <w:rsid w:val="008A2E16"/>
    <w:rsid w:val="008A2FA2"/>
    <w:rsid w:val="008A308E"/>
    <w:rsid w:val="008A3142"/>
    <w:rsid w:val="008A3438"/>
    <w:rsid w:val="008A3447"/>
    <w:rsid w:val="008A3534"/>
    <w:rsid w:val="008A3553"/>
    <w:rsid w:val="008A3665"/>
    <w:rsid w:val="008A374A"/>
    <w:rsid w:val="008A384F"/>
    <w:rsid w:val="008A3865"/>
    <w:rsid w:val="008A399F"/>
    <w:rsid w:val="008A39B1"/>
    <w:rsid w:val="008A39C0"/>
    <w:rsid w:val="008A3A22"/>
    <w:rsid w:val="008A3A3A"/>
    <w:rsid w:val="008A3B6E"/>
    <w:rsid w:val="008A3BA3"/>
    <w:rsid w:val="008A3BB0"/>
    <w:rsid w:val="008A3C97"/>
    <w:rsid w:val="008A3DE4"/>
    <w:rsid w:val="008A3EF5"/>
    <w:rsid w:val="008A3FDB"/>
    <w:rsid w:val="008A40D6"/>
    <w:rsid w:val="008A416D"/>
    <w:rsid w:val="008A4199"/>
    <w:rsid w:val="008A41E9"/>
    <w:rsid w:val="008A42F2"/>
    <w:rsid w:val="008A43D6"/>
    <w:rsid w:val="008A440C"/>
    <w:rsid w:val="008A447F"/>
    <w:rsid w:val="008A4597"/>
    <w:rsid w:val="008A46BF"/>
    <w:rsid w:val="008A47BB"/>
    <w:rsid w:val="008A486B"/>
    <w:rsid w:val="008A48B4"/>
    <w:rsid w:val="008A4A0C"/>
    <w:rsid w:val="008A4A2A"/>
    <w:rsid w:val="008A4BFD"/>
    <w:rsid w:val="008A4C0E"/>
    <w:rsid w:val="008A4E56"/>
    <w:rsid w:val="008A4E61"/>
    <w:rsid w:val="008A4E6B"/>
    <w:rsid w:val="008A4F56"/>
    <w:rsid w:val="008A4F64"/>
    <w:rsid w:val="008A4FD7"/>
    <w:rsid w:val="008A500A"/>
    <w:rsid w:val="008A500D"/>
    <w:rsid w:val="008A5085"/>
    <w:rsid w:val="008A50E4"/>
    <w:rsid w:val="008A51DA"/>
    <w:rsid w:val="008A54CE"/>
    <w:rsid w:val="008A54F0"/>
    <w:rsid w:val="008A54F8"/>
    <w:rsid w:val="008A5582"/>
    <w:rsid w:val="008A564A"/>
    <w:rsid w:val="008A568A"/>
    <w:rsid w:val="008A570B"/>
    <w:rsid w:val="008A5735"/>
    <w:rsid w:val="008A5839"/>
    <w:rsid w:val="008A5A17"/>
    <w:rsid w:val="008A5A8D"/>
    <w:rsid w:val="008A5A8E"/>
    <w:rsid w:val="008A5BA6"/>
    <w:rsid w:val="008A5C12"/>
    <w:rsid w:val="008A5D4A"/>
    <w:rsid w:val="008A5E04"/>
    <w:rsid w:val="008A5E55"/>
    <w:rsid w:val="008A5EAA"/>
    <w:rsid w:val="008A5EAE"/>
    <w:rsid w:val="008A5EB4"/>
    <w:rsid w:val="008A5EB8"/>
    <w:rsid w:val="008A5F00"/>
    <w:rsid w:val="008A5F55"/>
    <w:rsid w:val="008A5FA4"/>
    <w:rsid w:val="008A6012"/>
    <w:rsid w:val="008A60D4"/>
    <w:rsid w:val="008A624A"/>
    <w:rsid w:val="008A6273"/>
    <w:rsid w:val="008A62EE"/>
    <w:rsid w:val="008A6368"/>
    <w:rsid w:val="008A6398"/>
    <w:rsid w:val="008A6443"/>
    <w:rsid w:val="008A644D"/>
    <w:rsid w:val="008A647B"/>
    <w:rsid w:val="008A6533"/>
    <w:rsid w:val="008A6633"/>
    <w:rsid w:val="008A6635"/>
    <w:rsid w:val="008A6734"/>
    <w:rsid w:val="008A6754"/>
    <w:rsid w:val="008A67AB"/>
    <w:rsid w:val="008A682F"/>
    <w:rsid w:val="008A69CB"/>
    <w:rsid w:val="008A69E9"/>
    <w:rsid w:val="008A6A4B"/>
    <w:rsid w:val="008A6A54"/>
    <w:rsid w:val="008A6B09"/>
    <w:rsid w:val="008A6B19"/>
    <w:rsid w:val="008A6D0D"/>
    <w:rsid w:val="008A6DED"/>
    <w:rsid w:val="008A6E3D"/>
    <w:rsid w:val="008A6E9D"/>
    <w:rsid w:val="008A6F71"/>
    <w:rsid w:val="008A6F76"/>
    <w:rsid w:val="008A6FD8"/>
    <w:rsid w:val="008A7018"/>
    <w:rsid w:val="008A70A0"/>
    <w:rsid w:val="008A719D"/>
    <w:rsid w:val="008A720D"/>
    <w:rsid w:val="008A7277"/>
    <w:rsid w:val="008A727D"/>
    <w:rsid w:val="008A7319"/>
    <w:rsid w:val="008A7362"/>
    <w:rsid w:val="008A737A"/>
    <w:rsid w:val="008A73CC"/>
    <w:rsid w:val="008A7530"/>
    <w:rsid w:val="008A75B1"/>
    <w:rsid w:val="008A774C"/>
    <w:rsid w:val="008A7776"/>
    <w:rsid w:val="008A77D9"/>
    <w:rsid w:val="008A7839"/>
    <w:rsid w:val="008A784F"/>
    <w:rsid w:val="008A78E0"/>
    <w:rsid w:val="008A792E"/>
    <w:rsid w:val="008A7A00"/>
    <w:rsid w:val="008A7AB3"/>
    <w:rsid w:val="008A7BC6"/>
    <w:rsid w:val="008A7BF1"/>
    <w:rsid w:val="008A7C7A"/>
    <w:rsid w:val="008A7DAF"/>
    <w:rsid w:val="008A7DEB"/>
    <w:rsid w:val="008A7DEE"/>
    <w:rsid w:val="008A7EF0"/>
    <w:rsid w:val="008A7F30"/>
    <w:rsid w:val="008A7FB4"/>
    <w:rsid w:val="008A7FE9"/>
    <w:rsid w:val="008AE261"/>
    <w:rsid w:val="008B004D"/>
    <w:rsid w:val="008B01FD"/>
    <w:rsid w:val="008B0222"/>
    <w:rsid w:val="008B0294"/>
    <w:rsid w:val="008B02B7"/>
    <w:rsid w:val="008B02BF"/>
    <w:rsid w:val="008B02DB"/>
    <w:rsid w:val="008B0375"/>
    <w:rsid w:val="008B03B0"/>
    <w:rsid w:val="008B03DC"/>
    <w:rsid w:val="008B0431"/>
    <w:rsid w:val="008B050B"/>
    <w:rsid w:val="008B0619"/>
    <w:rsid w:val="008B067C"/>
    <w:rsid w:val="008B07A5"/>
    <w:rsid w:val="008B07CD"/>
    <w:rsid w:val="008B0857"/>
    <w:rsid w:val="008B0872"/>
    <w:rsid w:val="008B08ED"/>
    <w:rsid w:val="008B08F2"/>
    <w:rsid w:val="008B0A0E"/>
    <w:rsid w:val="008B0A1D"/>
    <w:rsid w:val="008B0AFD"/>
    <w:rsid w:val="008B0B6C"/>
    <w:rsid w:val="008B0B86"/>
    <w:rsid w:val="008B0BAD"/>
    <w:rsid w:val="008B0CAF"/>
    <w:rsid w:val="008B0D01"/>
    <w:rsid w:val="008B0D1C"/>
    <w:rsid w:val="008B0DF4"/>
    <w:rsid w:val="008B0E02"/>
    <w:rsid w:val="008B0EEA"/>
    <w:rsid w:val="008B1094"/>
    <w:rsid w:val="008B115F"/>
    <w:rsid w:val="008B131B"/>
    <w:rsid w:val="008B1331"/>
    <w:rsid w:val="008B139E"/>
    <w:rsid w:val="008B14A6"/>
    <w:rsid w:val="008B14CE"/>
    <w:rsid w:val="008B150D"/>
    <w:rsid w:val="008B15EF"/>
    <w:rsid w:val="008B171C"/>
    <w:rsid w:val="008B17D8"/>
    <w:rsid w:val="008B19A5"/>
    <w:rsid w:val="008B1BF4"/>
    <w:rsid w:val="008B1C2B"/>
    <w:rsid w:val="008B1C57"/>
    <w:rsid w:val="008B1C58"/>
    <w:rsid w:val="008B1D8C"/>
    <w:rsid w:val="008B1DE5"/>
    <w:rsid w:val="008B1E0F"/>
    <w:rsid w:val="008B20A6"/>
    <w:rsid w:val="008B20C4"/>
    <w:rsid w:val="008B212C"/>
    <w:rsid w:val="008B2235"/>
    <w:rsid w:val="008B22F2"/>
    <w:rsid w:val="008B23FA"/>
    <w:rsid w:val="008B24AA"/>
    <w:rsid w:val="008B25DC"/>
    <w:rsid w:val="008B266A"/>
    <w:rsid w:val="008B27A7"/>
    <w:rsid w:val="008B283B"/>
    <w:rsid w:val="008B28C8"/>
    <w:rsid w:val="008B2A34"/>
    <w:rsid w:val="008B2B12"/>
    <w:rsid w:val="008B2B4F"/>
    <w:rsid w:val="008B2BA8"/>
    <w:rsid w:val="008B2C30"/>
    <w:rsid w:val="008B2DED"/>
    <w:rsid w:val="008B2E16"/>
    <w:rsid w:val="008B2E43"/>
    <w:rsid w:val="008B2F81"/>
    <w:rsid w:val="008B2FBC"/>
    <w:rsid w:val="008B2FF7"/>
    <w:rsid w:val="008B3147"/>
    <w:rsid w:val="008B334E"/>
    <w:rsid w:val="008B33E1"/>
    <w:rsid w:val="008B3417"/>
    <w:rsid w:val="008B35A1"/>
    <w:rsid w:val="008B3635"/>
    <w:rsid w:val="008B3674"/>
    <w:rsid w:val="008B37EC"/>
    <w:rsid w:val="008B385F"/>
    <w:rsid w:val="008B388A"/>
    <w:rsid w:val="008B38ED"/>
    <w:rsid w:val="008B399D"/>
    <w:rsid w:val="008B3A61"/>
    <w:rsid w:val="008B3A6D"/>
    <w:rsid w:val="008B3B69"/>
    <w:rsid w:val="008B3BBD"/>
    <w:rsid w:val="008B3BD0"/>
    <w:rsid w:val="008B3CCB"/>
    <w:rsid w:val="008B3DA1"/>
    <w:rsid w:val="008B3E56"/>
    <w:rsid w:val="008B3E63"/>
    <w:rsid w:val="008B3E97"/>
    <w:rsid w:val="008B3E9C"/>
    <w:rsid w:val="008B3EA4"/>
    <w:rsid w:val="008B3F3D"/>
    <w:rsid w:val="008B3FAF"/>
    <w:rsid w:val="008B4017"/>
    <w:rsid w:val="008B4062"/>
    <w:rsid w:val="008B4169"/>
    <w:rsid w:val="008B41C1"/>
    <w:rsid w:val="008B4216"/>
    <w:rsid w:val="008B4244"/>
    <w:rsid w:val="008B42FA"/>
    <w:rsid w:val="008B4404"/>
    <w:rsid w:val="008B44F9"/>
    <w:rsid w:val="008B469F"/>
    <w:rsid w:val="008B46A2"/>
    <w:rsid w:val="008B4758"/>
    <w:rsid w:val="008B4D9F"/>
    <w:rsid w:val="008B4DCB"/>
    <w:rsid w:val="008B4DDD"/>
    <w:rsid w:val="008B4E0B"/>
    <w:rsid w:val="008B4F6E"/>
    <w:rsid w:val="008B4FE3"/>
    <w:rsid w:val="008B4FEB"/>
    <w:rsid w:val="008B5023"/>
    <w:rsid w:val="008B5052"/>
    <w:rsid w:val="008B50B0"/>
    <w:rsid w:val="008B50F1"/>
    <w:rsid w:val="008B5217"/>
    <w:rsid w:val="008B52B0"/>
    <w:rsid w:val="008B531A"/>
    <w:rsid w:val="008B53BD"/>
    <w:rsid w:val="008B540E"/>
    <w:rsid w:val="008B5516"/>
    <w:rsid w:val="008B551C"/>
    <w:rsid w:val="008B557D"/>
    <w:rsid w:val="008B56CB"/>
    <w:rsid w:val="008B5755"/>
    <w:rsid w:val="008B5858"/>
    <w:rsid w:val="008B594B"/>
    <w:rsid w:val="008B59B9"/>
    <w:rsid w:val="008B59E3"/>
    <w:rsid w:val="008B5A0F"/>
    <w:rsid w:val="008B5A87"/>
    <w:rsid w:val="008B5A91"/>
    <w:rsid w:val="008B5BC2"/>
    <w:rsid w:val="008B5BCD"/>
    <w:rsid w:val="008B5BEE"/>
    <w:rsid w:val="008B5C61"/>
    <w:rsid w:val="008B5CDE"/>
    <w:rsid w:val="008B5ED9"/>
    <w:rsid w:val="008B6060"/>
    <w:rsid w:val="008B606D"/>
    <w:rsid w:val="008B6073"/>
    <w:rsid w:val="008B607D"/>
    <w:rsid w:val="008B60BC"/>
    <w:rsid w:val="008B60DD"/>
    <w:rsid w:val="008B6149"/>
    <w:rsid w:val="008B61E6"/>
    <w:rsid w:val="008B633D"/>
    <w:rsid w:val="008B64DD"/>
    <w:rsid w:val="008B6537"/>
    <w:rsid w:val="008B6559"/>
    <w:rsid w:val="008B661B"/>
    <w:rsid w:val="008B6773"/>
    <w:rsid w:val="008B67FF"/>
    <w:rsid w:val="008B68F0"/>
    <w:rsid w:val="008B690C"/>
    <w:rsid w:val="008B6915"/>
    <w:rsid w:val="008B691A"/>
    <w:rsid w:val="008B69F2"/>
    <w:rsid w:val="008B6A27"/>
    <w:rsid w:val="008B6C53"/>
    <w:rsid w:val="008B6D23"/>
    <w:rsid w:val="008B6DA5"/>
    <w:rsid w:val="008B6E86"/>
    <w:rsid w:val="008B6E90"/>
    <w:rsid w:val="008B6F6B"/>
    <w:rsid w:val="008B6F80"/>
    <w:rsid w:val="008B6FC8"/>
    <w:rsid w:val="008B7008"/>
    <w:rsid w:val="008B712A"/>
    <w:rsid w:val="008B7184"/>
    <w:rsid w:val="008B71EC"/>
    <w:rsid w:val="008B72CF"/>
    <w:rsid w:val="008B72D2"/>
    <w:rsid w:val="008B7361"/>
    <w:rsid w:val="008B73DB"/>
    <w:rsid w:val="008B73F6"/>
    <w:rsid w:val="008B7465"/>
    <w:rsid w:val="008B74FD"/>
    <w:rsid w:val="008B753A"/>
    <w:rsid w:val="008B753C"/>
    <w:rsid w:val="008B7572"/>
    <w:rsid w:val="008B76D0"/>
    <w:rsid w:val="008B77E2"/>
    <w:rsid w:val="008B7852"/>
    <w:rsid w:val="008B785D"/>
    <w:rsid w:val="008B7AEA"/>
    <w:rsid w:val="008B7AF0"/>
    <w:rsid w:val="008B7C13"/>
    <w:rsid w:val="008B7C45"/>
    <w:rsid w:val="008B7E99"/>
    <w:rsid w:val="008B7EF5"/>
    <w:rsid w:val="008B7FDA"/>
    <w:rsid w:val="008C0068"/>
    <w:rsid w:val="008C00DD"/>
    <w:rsid w:val="008C00FE"/>
    <w:rsid w:val="008C01C5"/>
    <w:rsid w:val="008C0390"/>
    <w:rsid w:val="008C051F"/>
    <w:rsid w:val="008C05AD"/>
    <w:rsid w:val="008C0701"/>
    <w:rsid w:val="008C08D6"/>
    <w:rsid w:val="008C098F"/>
    <w:rsid w:val="008C0A06"/>
    <w:rsid w:val="008C0AB9"/>
    <w:rsid w:val="008C0B46"/>
    <w:rsid w:val="008C0BB8"/>
    <w:rsid w:val="008C0BCF"/>
    <w:rsid w:val="008C0C5F"/>
    <w:rsid w:val="008C0F50"/>
    <w:rsid w:val="008C1091"/>
    <w:rsid w:val="008C11D4"/>
    <w:rsid w:val="008C1608"/>
    <w:rsid w:val="008C16E1"/>
    <w:rsid w:val="008C17D8"/>
    <w:rsid w:val="008C1856"/>
    <w:rsid w:val="008C1895"/>
    <w:rsid w:val="008C1907"/>
    <w:rsid w:val="008C1937"/>
    <w:rsid w:val="008C1AB0"/>
    <w:rsid w:val="008C1B84"/>
    <w:rsid w:val="008C1B8F"/>
    <w:rsid w:val="008C1B97"/>
    <w:rsid w:val="008C1BAE"/>
    <w:rsid w:val="008C1BC8"/>
    <w:rsid w:val="008C1BD1"/>
    <w:rsid w:val="008C1C88"/>
    <w:rsid w:val="008C1CF4"/>
    <w:rsid w:val="008C1E6A"/>
    <w:rsid w:val="008C1EDF"/>
    <w:rsid w:val="008C1F26"/>
    <w:rsid w:val="008C2108"/>
    <w:rsid w:val="008C2125"/>
    <w:rsid w:val="008C2175"/>
    <w:rsid w:val="008C21F0"/>
    <w:rsid w:val="008C220C"/>
    <w:rsid w:val="008C223E"/>
    <w:rsid w:val="008C2260"/>
    <w:rsid w:val="008C22BD"/>
    <w:rsid w:val="008C259B"/>
    <w:rsid w:val="008C25C6"/>
    <w:rsid w:val="008C25E2"/>
    <w:rsid w:val="008C264D"/>
    <w:rsid w:val="008C26A2"/>
    <w:rsid w:val="008C26E3"/>
    <w:rsid w:val="008C27C8"/>
    <w:rsid w:val="008C297C"/>
    <w:rsid w:val="008C29D9"/>
    <w:rsid w:val="008C29E8"/>
    <w:rsid w:val="008C2A0B"/>
    <w:rsid w:val="008C2A5A"/>
    <w:rsid w:val="008C2A7F"/>
    <w:rsid w:val="008C2C98"/>
    <w:rsid w:val="008C2D3C"/>
    <w:rsid w:val="008C2DDA"/>
    <w:rsid w:val="008C2E40"/>
    <w:rsid w:val="008C2EA3"/>
    <w:rsid w:val="008C2EAA"/>
    <w:rsid w:val="008C2F34"/>
    <w:rsid w:val="008C2FB5"/>
    <w:rsid w:val="008C3104"/>
    <w:rsid w:val="008C31EE"/>
    <w:rsid w:val="008C31FE"/>
    <w:rsid w:val="008C32D0"/>
    <w:rsid w:val="008C3390"/>
    <w:rsid w:val="008C33C7"/>
    <w:rsid w:val="008C345A"/>
    <w:rsid w:val="008C359C"/>
    <w:rsid w:val="008C368B"/>
    <w:rsid w:val="008C3753"/>
    <w:rsid w:val="008C3781"/>
    <w:rsid w:val="008C39B9"/>
    <w:rsid w:val="008C39E0"/>
    <w:rsid w:val="008C3B0B"/>
    <w:rsid w:val="008C3B6D"/>
    <w:rsid w:val="008C3CA1"/>
    <w:rsid w:val="008C3DAE"/>
    <w:rsid w:val="008C3DB5"/>
    <w:rsid w:val="008C3E70"/>
    <w:rsid w:val="008C3FAA"/>
    <w:rsid w:val="008C4066"/>
    <w:rsid w:val="008C413D"/>
    <w:rsid w:val="008C42A5"/>
    <w:rsid w:val="008C42D4"/>
    <w:rsid w:val="008C4521"/>
    <w:rsid w:val="008C455B"/>
    <w:rsid w:val="008C4562"/>
    <w:rsid w:val="008C458E"/>
    <w:rsid w:val="008C4678"/>
    <w:rsid w:val="008C4787"/>
    <w:rsid w:val="008C47DA"/>
    <w:rsid w:val="008C48D7"/>
    <w:rsid w:val="008C4981"/>
    <w:rsid w:val="008C4999"/>
    <w:rsid w:val="008C4C01"/>
    <w:rsid w:val="008C4C73"/>
    <w:rsid w:val="008C4CB0"/>
    <w:rsid w:val="008C4F0F"/>
    <w:rsid w:val="008C4F26"/>
    <w:rsid w:val="008C4FD4"/>
    <w:rsid w:val="008C5082"/>
    <w:rsid w:val="008C50BC"/>
    <w:rsid w:val="008C5105"/>
    <w:rsid w:val="008C51EE"/>
    <w:rsid w:val="008C5275"/>
    <w:rsid w:val="008C52FC"/>
    <w:rsid w:val="008C54D3"/>
    <w:rsid w:val="008C54D6"/>
    <w:rsid w:val="008C5714"/>
    <w:rsid w:val="008C580E"/>
    <w:rsid w:val="008C581E"/>
    <w:rsid w:val="008C5872"/>
    <w:rsid w:val="008C596F"/>
    <w:rsid w:val="008C59E3"/>
    <w:rsid w:val="008C5A59"/>
    <w:rsid w:val="008C5A93"/>
    <w:rsid w:val="008C5ACE"/>
    <w:rsid w:val="008C5AE9"/>
    <w:rsid w:val="008C5B00"/>
    <w:rsid w:val="008C5B04"/>
    <w:rsid w:val="008C5B10"/>
    <w:rsid w:val="008C5B91"/>
    <w:rsid w:val="008C5C17"/>
    <w:rsid w:val="008C5C76"/>
    <w:rsid w:val="008C5D36"/>
    <w:rsid w:val="008C5DCF"/>
    <w:rsid w:val="008C5DDB"/>
    <w:rsid w:val="008C5E20"/>
    <w:rsid w:val="008C5E95"/>
    <w:rsid w:val="008C602C"/>
    <w:rsid w:val="008C604E"/>
    <w:rsid w:val="008C6113"/>
    <w:rsid w:val="008C6137"/>
    <w:rsid w:val="008C61DA"/>
    <w:rsid w:val="008C626B"/>
    <w:rsid w:val="008C63FE"/>
    <w:rsid w:val="008C64E9"/>
    <w:rsid w:val="008C651B"/>
    <w:rsid w:val="008C6564"/>
    <w:rsid w:val="008C668E"/>
    <w:rsid w:val="008C67B6"/>
    <w:rsid w:val="008C6898"/>
    <w:rsid w:val="008C6982"/>
    <w:rsid w:val="008C69DA"/>
    <w:rsid w:val="008C6A5C"/>
    <w:rsid w:val="008C6ABA"/>
    <w:rsid w:val="008C6B25"/>
    <w:rsid w:val="008C6B3D"/>
    <w:rsid w:val="008C6BCB"/>
    <w:rsid w:val="008C6BE2"/>
    <w:rsid w:val="008C6C4B"/>
    <w:rsid w:val="008C6D64"/>
    <w:rsid w:val="008C6DF3"/>
    <w:rsid w:val="008C6E32"/>
    <w:rsid w:val="008C7030"/>
    <w:rsid w:val="008C7102"/>
    <w:rsid w:val="008C710B"/>
    <w:rsid w:val="008C7171"/>
    <w:rsid w:val="008C71B9"/>
    <w:rsid w:val="008C7221"/>
    <w:rsid w:val="008C72C7"/>
    <w:rsid w:val="008C7372"/>
    <w:rsid w:val="008C7479"/>
    <w:rsid w:val="008C749D"/>
    <w:rsid w:val="008C74CE"/>
    <w:rsid w:val="008C7682"/>
    <w:rsid w:val="008C76AA"/>
    <w:rsid w:val="008C7703"/>
    <w:rsid w:val="008C7927"/>
    <w:rsid w:val="008C7A85"/>
    <w:rsid w:val="008C7C4F"/>
    <w:rsid w:val="008C7D1B"/>
    <w:rsid w:val="008C7D38"/>
    <w:rsid w:val="008C7DC0"/>
    <w:rsid w:val="008C7DEC"/>
    <w:rsid w:val="008C7EC3"/>
    <w:rsid w:val="008C7F4C"/>
    <w:rsid w:val="008C7FC7"/>
    <w:rsid w:val="008D00C4"/>
    <w:rsid w:val="008D0210"/>
    <w:rsid w:val="008D0305"/>
    <w:rsid w:val="008D0391"/>
    <w:rsid w:val="008D0396"/>
    <w:rsid w:val="008D0483"/>
    <w:rsid w:val="008D0496"/>
    <w:rsid w:val="008D04F4"/>
    <w:rsid w:val="008D057A"/>
    <w:rsid w:val="008D0598"/>
    <w:rsid w:val="008D05A0"/>
    <w:rsid w:val="008D087A"/>
    <w:rsid w:val="008D0891"/>
    <w:rsid w:val="008D08FD"/>
    <w:rsid w:val="008D0950"/>
    <w:rsid w:val="008D0A69"/>
    <w:rsid w:val="008D0B0E"/>
    <w:rsid w:val="008D0B1D"/>
    <w:rsid w:val="008D0BF3"/>
    <w:rsid w:val="008D0C10"/>
    <w:rsid w:val="008D0C9E"/>
    <w:rsid w:val="008D0D11"/>
    <w:rsid w:val="008D0D13"/>
    <w:rsid w:val="008D0D69"/>
    <w:rsid w:val="008D0DD2"/>
    <w:rsid w:val="008D0E41"/>
    <w:rsid w:val="008D0E9A"/>
    <w:rsid w:val="008D0FFF"/>
    <w:rsid w:val="008D1040"/>
    <w:rsid w:val="008D106C"/>
    <w:rsid w:val="008D10EC"/>
    <w:rsid w:val="008D1190"/>
    <w:rsid w:val="008D119E"/>
    <w:rsid w:val="008D12C2"/>
    <w:rsid w:val="008D13EF"/>
    <w:rsid w:val="008D1404"/>
    <w:rsid w:val="008D1465"/>
    <w:rsid w:val="008D1553"/>
    <w:rsid w:val="008D15B3"/>
    <w:rsid w:val="008D1638"/>
    <w:rsid w:val="008D16B9"/>
    <w:rsid w:val="008D1746"/>
    <w:rsid w:val="008D17F6"/>
    <w:rsid w:val="008D182F"/>
    <w:rsid w:val="008D18B5"/>
    <w:rsid w:val="008D18E4"/>
    <w:rsid w:val="008D1924"/>
    <w:rsid w:val="008D19ED"/>
    <w:rsid w:val="008D1A16"/>
    <w:rsid w:val="008D1A45"/>
    <w:rsid w:val="008D1C9D"/>
    <w:rsid w:val="008D1CA5"/>
    <w:rsid w:val="008D1CF2"/>
    <w:rsid w:val="008D1D85"/>
    <w:rsid w:val="008D1DC1"/>
    <w:rsid w:val="008D1EF2"/>
    <w:rsid w:val="008D1F90"/>
    <w:rsid w:val="008D2114"/>
    <w:rsid w:val="008D22BA"/>
    <w:rsid w:val="008D22D1"/>
    <w:rsid w:val="008D237F"/>
    <w:rsid w:val="008D242B"/>
    <w:rsid w:val="008D24F2"/>
    <w:rsid w:val="008D253A"/>
    <w:rsid w:val="008D253F"/>
    <w:rsid w:val="008D2554"/>
    <w:rsid w:val="008D2591"/>
    <w:rsid w:val="008D25D5"/>
    <w:rsid w:val="008D25E7"/>
    <w:rsid w:val="008D2635"/>
    <w:rsid w:val="008D2771"/>
    <w:rsid w:val="008D278A"/>
    <w:rsid w:val="008D27E2"/>
    <w:rsid w:val="008D2897"/>
    <w:rsid w:val="008D28A0"/>
    <w:rsid w:val="008D2916"/>
    <w:rsid w:val="008D2988"/>
    <w:rsid w:val="008D2A2B"/>
    <w:rsid w:val="008D2B37"/>
    <w:rsid w:val="008D2BC0"/>
    <w:rsid w:val="008D2C1A"/>
    <w:rsid w:val="008D2C29"/>
    <w:rsid w:val="008D2C2D"/>
    <w:rsid w:val="008D2CBE"/>
    <w:rsid w:val="008D2CC6"/>
    <w:rsid w:val="008D2CD5"/>
    <w:rsid w:val="008D2DB8"/>
    <w:rsid w:val="008D2E47"/>
    <w:rsid w:val="008D2E58"/>
    <w:rsid w:val="008D2EE6"/>
    <w:rsid w:val="008D3102"/>
    <w:rsid w:val="008D32B4"/>
    <w:rsid w:val="008D32B7"/>
    <w:rsid w:val="008D32C0"/>
    <w:rsid w:val="008D3313"/>
    <w:rsid w:val="008D3318"/>
    <w:rsid w:val="008D3451"/>
    <w:rsid w:val="008D3459"/>
    <w:rsid w:val="008D354A"/>
    <w:rsid w:val="008D3604"/>
    <w:rsid w:val="008D3631"/>
    <w:rsid w:val="008D3676"/>
    <w:rsid w:val="008D36B3"/>
    <w:rsid w:val="008D36E4"/>
    <w:rsid w:val="008D373E"/>
    <w:rsid w:val="008D390D"/>
    <w:rsid w:val="008D3926"/>
    <w:rsid w:val="008D3CDD"/>
    <w:rsid w:val="008D3DDC"/>
    <w:rsid w:val="008D3E1C"/>
    <w:rsid w:val="008D3EBF"/>
    <w:rsid w:val="008D3F23"/>
    <w:rsid w:val="008D3F53"/>
    <w:rsid w:val="008D3F80"/>
    <w:rsid w:val="008D3FAF"/>
    <w:rsid w:val="008D3FCD"/>
    <w:rsid w:val="008D3FE5"/>
    <w:rsid w:val="008D408A"/>
    <w:rsid w:val="008D416A"/>
    <w:rsid w:val="008D41CE"/>
    <w:rsid w:val="008D4372"/>
    <w:rsid w:val="008D4383"/>
    <w:rsid w:val="008D45B5"/>
    <w:rsid w:val="008D48B5"/>
    <w:rsid w:val="008D49FC"/>
    <w:rsid w:val="008D4A03"/>
    <w:rsid w:val="008D4B1E"/>
    <w:rsid w:val="008D4B5E"/>
    <w:rsid w:val="008D4C27"/>
    <w:rsid w:val="008D4E27"/>
    <w:rsid w:val="008D4E42"/>
    <w:rsid w:val="008D4EAB"/>
    <w:rsid w:val="008D500A"/>
    <w:rsid w:val="008D50AB"/>
    <w:rsid w:val="008D50B2"/>
    <w:rsid w:val="008D518D"/>
    <w:rsid w:val="008D51CA"/>
    <w:rsid w:val="008D51F3"/>
    <w:rsid w:val="008D5229"/>
    <w:rsid w:val="008D528B"/>
    <w:rsid w:val="008D52CD"/>
    <w:rsid w:val="008D5330"/>
    <w:rsid w:val="008D537C"/>
    <w:rsid w:val="008D53AB"/>
    <w:rsid w:val="008D54E6"/>
    <w:rsid w:val="008D551D"/>
    <w:rsid w:val="008D5584"/>
    <w:rsid w:val="008D56FB"/>
    <w:rsid w:val="008D57BF"/>
    <w:rsid w:val="008D5865"/>
    <w:rsid w:val="008D594E"/>
    <w:rsid w:val="008D5953"/>
    <w:rsid w:val="008D59C2"/>
    <w:rsid w:val="008D5B69"/>
    <w:rsid w:val="008D5BE6"/>
    <w:rsid w:val="008D5C29"/>
    <w:rsid w:val="008D5DD5"/>
    <w:rsid w:val="008D5FE3"/>
    <w:rsid w:val="008D5FEA"/>
    <w:rsid w:val="008D6035"/>
    <w:rsid w:val="008D6209"/>
    <w:rsid w:val="008D633E"/>
    <w:rsid w:val="008D6361"/>
    <w:rsid w:val="008D636F"/>
    <w:rsid w:val="008D6484"/>
    <w:rsid w:val="008D64EA"/>
    <w:rsid w:val="008D65FB"/>
    <w:rsid w:val="008D69DC"/>
    <w:rsid w:val="008D69E5"/>
    <w:rsid w:val="008D6A19"/>
    <w:rsid w:val="008D6B10"/>
    <w:rsid w:val="008D6CDC"/>
    <w:rsid w:val="008D6D56"/>
    <w:rsid w:val="008D6F9C"/>
    <w:rsid w:val="008D6FCA"/>
    <w:rsid w:val="008D7043"/>
    <w:rsid w:val="008D7188"/>
    <w:rsid w:val="008D7195"/>
    <w:rsid w:val="008D71D4"/>
    <w:rsid w:val="008D7211"/>
    <w:rsid w:val="008D7334"/>
    <w:rsid w:val="008D7499"/>
    <w:rsid w:val="008D7500"/>
    <w:rsid w:val="008D752F"/>
    <w:rsid w:val="008D7568"/>
    <w:rsid w:val="008D7584"/>
    <w:rsid w:val="008D75BE"/>
    <w:rsid w:val="008D76F2"/>
    <w:rsid w:val="008D7720"/>
    <w:rsid w:val="008D7766"/>
    <w:rsid w:val="008D78CD"/>
    <w:rsid w:val="008D7B00"/>
    <w:rsid w:val="008D7B11"/>
    <w:rsid w:val="008D7CC6"/>
    <w:rsid w:val="008D7CCA"/>
    <w:rsid w:val="008D7D6A"/>
    <w:rsid w:val="008D7D73"/>
    <w:rsid w:val="008D7DCC"/>
    <w:rsid w:val="008D7DCE"/>
    <w:rsid w:val="008D7FC8"/>
    <w:rsid w:val="008D7FEC"/>
    <w:rsid w:val="008E0078"/>
    <w:rsid w:val="008E008D"/>
    <w:rsid w:val="008E01AE"/>
    <w:rsid w:val="008E01D5"/>
    <w:rsid w:val="008E0225"/>
    <w:rsid w:val="008E0264"/>
    <w:rsid w:val="008E02E5"/>
    <w:rsid w:val="008E031D"/>
    <w:rsid w:val="008E0433"/>
    <w:rsid w:val="008E04D3"/>
    <w:rsid w:val="008E05B7"/>
    <w:rsid w:val="008E0617"/>
    <w:rsid w:val="008E068F"/>
    <w:rsid w:val="008E06F1"/>
    <w:rsid w:val="008E07C7"/>
    <w:rsid w:val="008E07F7"/>
    <w:rsid w:val="008E0A16"/>
    <w:rsid w:val="008E0AE1"/>
    <w:rsid w:val="008E0B7B"/>
    <w:rsid w:val="008E0BCF"/>
    <w:rsid w:val="008E0C1E"/>
    <w:rsid w:val="008E0C3F"/>
    <w:rsid w:val="008E0CE3"/>
    <w:rsid w:val="008E0D24"/>
    <w:rsid w:val="008E0D73"/>
    <w:rsid w:val="008E0DD9"/>
    <w:rsid w:val="008E0E60"/>
    <w:rsid w:val="008E0EAB"/>
    <w:rsid w:val="008E0FAC"/>
    <w:rsid w:val="008E0FFB"/>
    <w:rsid w:val="008E10B2"/>
    <w:rsid w:val="008E116A"/>
    <w:rsid w:val="008E11E3"/>
    <w:rsid w:val="008E1248"/>
    <w:rsid w:val="008E15A0"/>
    <w:rsid w:val="008E163C"/>
    <w:rsid w:val="008E168A"/>
    <w:rsid w:val="008E183F"/>
    <w:rsid w:val="008E1851"/>
    <w:rsid w:val="008E19F9"/>
    <w:rsid w:val="008E1AB6"/>
    <w:rsid w:val="008E1B7E"/>
    <w:rsid w:val="008E1BDA"/>
    <w:rsid w:val="008E1C7D"/>
    <w:rsid w:val="008E1D2F"/>
    <w:rsid w:val="008E1D4A"/>
    <w:rsid w:val="008E1E5A"/>
    <w:rsid w:val="008E1EA8"/>
    <w:rsid w:val="008E1ECC"/>
    <w:rsid w:val="008E1F20"/>
    <w:rsid w:val="008E1F2E"/>
    <w:rsid w:val="008E1FAF"/>
    <w:rsid w:val="008E2077"/>
    <w:rsid w:val="008E22B3"/>
    <w:rsid w:val="008E2322"/>
    <w:rsid w:val="008E2369"/>
    <w:rsid w:val="008E24AF"/>
    <w:rsid w:val="008E262B"/>
    <w:rsid w:val="008E2687"/>
    <w:rsid w:val="008E2741"/>
    <w:rsid w:val="008E274D"/>
    <w:rsid w:val="008E27DB"/>
    <w:rsid w:val="008E27EA"/>
    <w:rsid w:val="008E2996"/>
    <w:rsid w:val="008E29C9"/>
    <w:rsid w:val="008E2B43"/>
    <w:rsid w:val="008E2B8B"/>
    <w:rsid w:val="008E2BC6"/>
    <w:rsid w:val="008E2C0F"/>
    <w:rsid w:val="008E2D16"/>
    <w:rsid w:val="008E2DA4"/>
    <w:rsid w:val="008E2DA9"/>
    <w:rsid w:val="008E2DAD"/>
    <w:rsid w:val="008E2DF8"/>
    <w:rsid w:val="008E2E0B"/>
    <w:rsid w:val="008E2F21"/>
    <w:rsid w:val="008E2F66"/>
    <w:rsid w:val="008E300E"/>
    <w:rsid w:val="008E3092"/>
    <w:rsid w:val="008E3170"/>
    <w:rsid w:val="008E31FD"/>
    <w:rsid w:val="008E322A"/>
    <w:rsid w:val="008E3252"/>
    <w:rsid w:val="008E32DE"/>
    <w:rsid w:val="008E33BF"/>
    <w:rsid w:val="008E34AC"/>
    <w:rsid w:val="008E34D8"/>
    <w:rsid w:val="008E34E1"/>
    <w:rsid w:val="008E367B"/>
    <w:rsid w:val="008E36E2"/>
    <w:rsid w:val="008E36E4"/>
    <w:rsid w:val="008E377F"/>
    <w:rsid w:val="008E37D7"/>
    <w:rsid w:val="008E38DC"/>
    <w:rsid w:val="008E38E6"/>
    <w:rsid w:val="008E3977"/>
    <w:rsid w:val="008E3C45"/>
    <w:rsid w:val="008E3D14"/>
    <w:rsid w:val="008E3E5A"/>
    <w:rsid w:val="008E4039"/>
    <w:rsid w:val="008E4062"/>
    <w:rsid w:val="008E40A8"/>
    <w:rsid w:val="008E40F0"/>
    <w:rsid w:val="008E4234"/>
    <w:rsid w:val="008E425E"/>
    <w:rsid w:val="008E4405"/>
    <w:rsid w:val="008E44A0"/>
    <w:rsid w:val="008E4530"/>
    <w:rsid w:val="008E456C"/>
    <w:rsid w:val="008E4725"/>
    <w:rsid w:val="008E480A"/>
    <w:rsid w:val="008E4843"/>
    <w:rsid w:val="008E487E"/>
    <w:rsid w:val="008E48A5"/>
    <w:rsid w:val="008E4A2D"/>
    <w:rsid w:val="008E4A30"/>
    <w:rsid w:val="008E4A5C"/>
    <w:rsid w:val="008E4A9C"/>
    <w:rsid w:val="008E4AAE"/>
    <w:rsid w:val="008E4AB3"/>
    <w:rsid w:val="008E4AD0"/>
    <w:rsid w:val="008E4B27"/>
    <w:rsid w:val="008E4BB6"/>
    <w:rsid w:val="008E4BF4"/>
    <w:rsid w:val="008E4BFC"/>
    <w:rsid w:val="008E4D51"/>
    <w:rsid w:val="008E4D61"/>
    <w:rsid w:val="008E4D8F"/>
    <w:rsid w:val="008E4DEA"/>
    <w:rsid w:val="008E5006"/>
    <w:rsid w:val="008E500D"/>
    <w:rsid w:val="008E5011"/>
    <w:rsid w:val="008E502C"/>
    <w:rsid w:val="008E510C"/>
    <w:rsid w:val="008E5120"/>
    <w:rsid w:val="008E52BA"/>
    <w:rsid w:val="008E53DB"/>
    <w:rsid w:val="008E53FE"/>
    <w:rsid w:val="008E543A"/>
    <w:rsid w:val="008E545E"/>
    <w:rsid w:val="008E5513"/>
    <w:rsid w:val="008E5623"/>
    <w:rsid w:val="008E56AC"/>
    <w:rsid w:val="008E5757"/>
    <w:rsid w:val="008E57E3"/>
    <w:rsid w:val="008E5891"/>
    <w:rsid w:val="008E5904"/>
    <w:rsid w:val="008E59D9"/>
    <w:rsid w:val="008E5CF3"/>
    <w:rsid w:val="008E5D73"/>
    <w:rsid w:val="008E5DE9"/>
    <w:rsid w:val="008E5E3B"/>
    <w:rsid w:val="008E5E68"/>
    <w:rsid w:val="008E5F26"/>
    <w:rsid w:val="008E5F69"/>
    <w:rsid w:val="008E6121"/>
    <w:rsid w:val="008E616C"/>
    <w:rsid w:val="008E61ED"/>
    <w:rsid w:val="008E61F7"/>
    <w:rsid w:val="008E6254"/>
    <w:rsid w:val="008E630C"/>
    <w:rsid w:val="008E6355"/>
    <w:rsid w:val="008E6591"/>
    <w:rsid w:val="008E67D1"/>
    <w:rsid w:val="008E682E"/>
    <w:rsid w:val="008E68BA"/>
    <w:rsid w:val="008E68FE"/>
    <w:rsid w:val="008E6A1E"/>
    <w:rsid w:val="008E6A52"/>
    <w:rsid w:val="008E6AD3"/>
    <w:rsid w:val="008E6E02"/>
    <w:rsid w:val="008E6E37"/>
    <w:rsid w:val="008E6E8D"/>
    <w:rsid w:val="008E6EA5"/>
    <w:rsid w:val="008E6ED7"/>
    <w:rsid w:val="008E6F20"/>
    <w:rsid w:val="008E6FAD"/>
    <w:rsid w:val="008E7020"/>
    <w:rsid w:val="008E7028"/>
    <w:rsid w:val="008E702E"/>
    <w:rsid w:val="008E70D2"/>
    <w:rsid w:val="008E7310"/>
    <w:rsid w:val="008E7392"/>
    <w:rsid w:val="008E73DB"/>
    <w:rsid w:val="008E75B4"/>
    <w:rsid w:val="008E7662"/>
    <w:rsid w:val="008E76E5"/>
    <w:rsid w:val="008E774E"/>
    <w:rsid w:val="008E7823"/>
    <w:rsid w:val="008E786D"/>
    <w:rsid w:val="008E78BC"/>
    <w:rsid w:val="008E78F2"/>
    <w:rsid w:val="008E791D"/>
    <w:rsid w:val="008E7B2F"/>
    <w:rsid w:val="008E7B65"/>
    <w:rsid w:val="008E7C6B"/>
    <w:rsid w:val="008E7C96"/>
    <w:rsid w:val="008E7CDD"/>
    <w:rsid w:val="008E7E0C"/>
    <w:rsid w:val="008E7E5E"/>
    <w:rsid w:val="008E7EAA"/>
    <w:rsid w:val="008E9F1D"/>
    <w:rsid w:val="008F002E"/>
    <w:rsid w:val="008F0142"/>
    <w:rsid w:val="008F021F"/>
    <w:rsid w:val="008F0223"/>
    <w:rsid w:val="008F0262"/>
    <w:rsid w:val="008F02B3"/>
    <w:rsid w:val="008F02EF"/>
    <w:rsid w:val="008F0447"/>
    <w:rsid w:val="008F0463"/>
    <w:rsid w:val="008F0693"/>
    <w:rsid w:val="008F070B"/>
    <w:rsid w:val="008F0752"/>
    <w:rsid w:val="008F07C5"/>
    <w:rsid w:val="008F084E"/>
    <w:rsid w:val="008F0979"/>
    <w:rsid w:val="008F0997"/>
    <w:rsid w:val="008F0A8D"/>
    <w:rsid w:val="008F0BAF"/>
    <w:rsid w:val="008F0C16"/>
    <w:rsid w:val="008F0CE8"/>
    <w:rsid w:val="008F0DA7"/>
    <w:rsid w:val="008F0DD1"/>
    <w:rsid w:val="008F0E74"/>
    <w:rsid w:val="008F0F17"/>
    <w:rsid w:val="008F1015"/>
    <w:rsid w:val="008F10AC"/>
    <w:rsid w:val="008F1103"/>
    <w:rsid w:val="008F1195"/>
    <w:rsid w:val="008F128F"/>
    <w:rsid w:val="008F12C6"/>
    <w:rsid w:val="008F12E7"/>
    <w:rsid w:val="008F1322"/>
    <w:rsid w:val="008F153F"/>
    <w:rsid w:val="008F15BF"/>
    <w:rsid w:val="008F1623"/>
    <w:rsid w:val="008F162A"/>
    <w:rsid w:val="008F1740"/>
    <w:rsid w:val="008F1837"/>
    <w:rsid w:val="008F183E"/>
    <w:rsid w:val="008F1859"/>
    <w:rsid w:val="008F187C"/>
    <w:rsid w:val="008F1949"/>
    <w:rsid w:val="008F1A09"/>
    <w:rsid w:val="008F1A61"/>
    <w:rsid w:val="008F1AE9"/>
    <w:rsid w:val="008F1C3F"/>
    <w:rsid w:val="008F1C4A"/>
    <w:rsid w:val="008F1D11"/>
    <w:rsid w:val="008F1D1C"/>
    <w:rsid w:val="008F1D72"/>
    <w:rsid w:val="008F1FAD"/>
    <w:rsid w:val="008F1FCC"/>
    <w:rsid w:val="008F2068"/>
    <w:rsid w:val="008F2176"/>
    <w:rsid w:val="008F2334"/>
    <w:rsid w:val="008F23F7"/>
    <w:rsid w:val="008F25B0"/>
    <w:rsid w:val="008F264E"/>
    <w:rsid w:val="008F26C5"/>
    <w:rsid w:val="008F2771"/>
    <w:rsid w:val="008F2819"/>
    <w:rsid w:val="008F285D"/>
    <w:rsid w:val="008F2862"/>
    <w:rsid w:val="008F2964"/>
    <w:rsid w:val="008F2A52"/>
    <w:rsid w:val="008F2AC8"/>
    <w:rsid w:val="008F2B3E"/>
    <w:rsid w:val="008F2E58"/>
    <w:rsid w:val="008F2EBC"/>
    <w:rsid w:val="008F2F19"/>
    <w:rsid w:val="008F2F7E"/>
    <w:rsid w:val="008F2FED"/>
    <w:rsid w:val="008F308F"/>
    <w:rsid w:val="008F3141"/>
    <w:rsid w:val="008F31FE"/>
    <w:rsid w:val="008F32F5"/>
    <w:rsid w:val="008F3336"/>
    <w:rsid w:val="008F34A4"/>
    <w:rsid w:val="008F34C2"/>
    <w:rsid w:val="008F362E"/>
    <w:rsid w:val="008F3743"/>
    <w:rsid w:val="008F37A0"/>
    <w:rsid w:val="008F37DE"/>
    <w:rsid w:val="008F3836"/>
    <w:rsid w:val="008F38B7"/>
    <w:rsid w:val="008F3942"/>
    <w:rsid w:val="008F398B"/>
    <w:rsid w:val="008F39FA"/>
    <w:rsid w:val="008F39FB"/>
    <w:rsid w:val="008F3A9B"/>
    <w:rsid w:val="008F3AEA"/>
    <w:rsid w:val="008F3B0B"/>
    <w:rsid w:val="008F3B1C"/>
    <w:rsid w:val="008F3C67"/>
    <w:rsid w:val="008F3D1E"/>
    <w:rsid w:val="008F3D76"/>
    <w:rsid w:val="008F3D85"/>
    <w:rsid w:val="008F3DAF"/>
    <w:rsid w:val="008F3DCD"/>
    <w:rsid w:val="008F3F81"/>
    <w:rsid w:val="008F3FF1"/>
    <w:rsid w:val="008F4094"/>
    <w:rsid w:val="008F409E"/>
    <w:rsid w:val="008F41E1"/>
    <w:rsid w:val="008F42E3"/>
    <w:rsid w:val="008F4321"/>
    <w:rsid w:val="008F433E"/>
    <w:rsid w:val="008F43EC"/>
    <w:rsid w:val="008F450E"/>
    <w:rsid w:val="008F474A"/>
    <w:rsid w:val="008F4784"/>
    <w:rsid w:val="008F47C3"/>
    <w:rsid w:val="008F48E4"/>
    <w:rsid w:val="008F4914"/>
    <w:rsid w:val="008F494B"/>
    <w:rsid w:val="008F49D9"/>
    <w:rsid w:val="008F4AC2"/>
    <w:rsid w:val="008F4B42"/>
    <w:rsid w:val="008F4BE5"/>
    <w:rsid w:val="008F4C0F"/>
    <w:rsid w:val="008F4C6A"/>
    <w:rsid w:val="008F4CC6"/>
    <w:rsid w:val="008F4D28"/>
    <w:rsid w:val="008F4D6F"/>
    <w:rsid w:val="008F4D89"/>
    <w:rsid w:val="008F4DAD"/>
    <w:rsid w:val="008F4E15"/>
    <w:rsid w:val="008F4FE4"/>
    <w:rsid w:val="008F50A0"/>
    <w:rsid w:val="008F5183"/>
    <w:rsid w:val="008F5221"/>
    <w:rsid w:val="008F53AF"/>
    <w:rsid w:val="008F5561"/>
    <w:rsid w:val="008F55AD"/>
    <w:rsid w:val="008F5691"/>
    <w:rsid w:val="008F58C2"/>
    <w:rsid w:val="008F59AE"/>
    <w:rsid w:val="008F5ADD"/>
    <w:rsid w:val="008F5AEF"/>
    <w:rsid w:val="008F5B84"/>
    <w:rsid w:val="008F5BC1"/>
    <w:rsid w:val="008F5C3E"/>
    <w:rsid w:val="008F5D67"/>
    <w:rsid w:val="008F5D6A"/>
    <w:rsid w:val="008F5D87"/>
    <w:rsid w:val="008F5EE5"/>
    <w:rsid w:val="008F5F9F"/>
    <w:rsid w:val="008F5FD7"/>
    <w:rsid w:val="008F6043"/>
    <w:rsid w:val="008F604A"/>
    <w:rsid w:val="008F6050"/>
    <w:rsid w:val="008F608D"/>
    <w:rsid w:val="008F6216"/>
    <w:rsid w:val="008F62D6"/>
    <w:rsid w:val="008F6386"/>
    <w:rsid w:val="008F63A0"/>
    <w:rsid w:val="008F64C2"/>
    <w:rsid w:val="008F64E0"/>
    <w:rsid w:val="008F64E9"/>
    <w:rsid w:val="008F660C"/>
    <w:rsid w:val="008F6663"/>
    <w:rsid w:val="008F6831"/>
    <w:rsid w:val="008F6A15"/>
    <w:rsid w:val="008F6A5A"/>
    <w:rsid w:val="008F6AC8"/>
    <w:rsid w:val="008F6BEB"/>
    <w:rsid w:val="008F6D1D"/>
    <w:rsid w:val="008F6D3B"/>
    <w:rsid w:val="008F6D75"/>
    <w:rsid w:val="008F6E50"/>
    <w:rsid w:val="008F6F69"/>
    <w:rsid w:val="008F6FBB"/>
    <w:rsid w:val="008F7040"/>
    <w:rsid w:val="008F71F5"/>
    <w:rsid w:val="008F7205"/>
    <w:rsid w:val="008F7298"/>
    <w:rsid w:val="008F72CD"/>
    <w:rsid w:val="008F7359"/>
    <w:rsid w:val="008F735E"/>
    <w:rsid w:val="008F73AE"/>
    <w:rsid w:val="008F74A8"/>
    <w:rsid w:val="008F753E"/>
    <w:rsid w:val="008F758B"/>
    <w:rsid w:val="008F77EB"/>
    <w:rsid w:val="008F7944"/>
    <w:rsid w:val="008F7949"/>
    <w:rsid w:val="008F794C"/>
    <w:rsid w:val="008F7A1A"/>
    <w:rsid w:val="008F7AEB"/>
    <w:rsid w:val="008F7BD1"/>
    <w:rsid w:val="008F7C35"/>
    <w:rsid w:val="008F7D55"/>
    <w:rsid w:val="008F7E60"/>
    <w:rsid w:val="008F7E61"/>
    <w:rsid w:val="008F7EDC"/>
    <w:rsid w:val="008F7EF3"/>
    <w:rsid w:val="008F7F43"/>
    <w:rsid w:val="008F7FC8"/>
    <w:rsid w:val="00900150"/>
    <w:rsid w:val="0090033D"/>
    <w:rsid w:val="0090045C"/>
    <w:rsid w:val="009004CA"/>
    <w:rsid w:val="00900559"/>
    <w:rsid w:val="009005ED"/>
    <w:rsid w:val="009005F6"/>
    <w:rsid w:val="0090063B"/>
    <w:rsid w:val="00900815"/>
    <w:rsid w:val="00900816"/>
    <w:rsid w:val="009008F3"/>
    <w:rsid w:val="00900A16"/>
    <w:rsid w:val="00900A1E"/>
    <w:rsid w:val="00900A76"/>
    <w:rsid w:val="00900A92"/>
    <w:rsid w:val="00900BE0"/>
    <w:rsid w:val="00900CAC"/>
    <w:rsid w:val="00900CD5"/>
    <w:rsid w:val="00900D72"/>
    <w:rsid w:val="00900D73"/>
    <w:rsid w:val="00900E14"/>
    <w:rsid w:val="00900E57"/>
    <w:rsid w:val="0090101F"/>
    <w:rsid w:val="0090135C"/>
    <w:rsid w:val="009013A6"/>
    <w:rsid w:val="00901489"/>
    <w:rsid w:val="00901499"/>
    <w:rsid w:val="009014D2"/>
    <w:rsid w:val="00901517"/>
    <w:rsid w:val="0090153D"/>
    <w:rsid w:val="00901563"/>
    <w:rsid w:val="00901746"/>
    <w:rsid w:val="00901772"/>
    <w:rsid w:val="009017A6"/>
    <w:rsid w:val="009017F7"/>
    <w:rsid w:val="00901880"/>
    <w:rsid w:val="009018E8"/>
    <w:rsid w:val="00901959"/>
    <w:rsid w:val="00901A92"/>
    <w:rsid w:val="00901B36"/>
    <w:rsid w:val="00901B43"/>
    <w:rsid w:val="00901C0D"/>
    <w:rsid w:val="00901CB5"/>
    <w:rsid w:val="00901E2F"/>
    <w:rsid w:val="00902024"/>
    <w:rsid w:val="00902049"/>
    <w:rsid w:val="00902062"/>
    <w:rsid w:val="009020F8"/>
    <w:rsid w:val="0090210C"/>
    <w:rsid w:val="0090212B"/>
    <w:rsid w:val="0090213F"/>
    <w:rsid w:val="00902154"/>
    <w:rsid w:val="009021A4"/>
    <w:rsid w:val="009021DD"/>
    <w:rsid w:val="00902273"/>
    <w:rsid w:val="0090227C"/>
    <w:rsid w:val="00902323"/>
    <w:rsid w:val="0090242A"/>
    <w:rsid w:val="00902484"/>
    <w:rsid w:val="009025A2"/>
    <w:rsid w:val="0090261B"/>
    <w:rsid w:val="009027CE"/>
    <w:rsid w:val="0090285D"/>
    <w:rsid w:val="009029A6"/>
    <w:rsid w:val="00902A4B"/>
    <w:rsid w:val="00902BD8"/>
    <w:rsid w:val="00902CB8"/>
    <w:rsid w:val="00902D6D"/>
    <w:rsid w:val="00902D8E"/>
    <w:rsid w:val="00902E0B"/>
    <w:rsid w:val="00902E9D"/>
    <w:rsid w:val="00902EC3"/>
    <w:rsid w:val="00902F98"/>
    <w:rsid w:val="00902FB5"/>
    <w:rsid w:val="009030A7"/>
    <w:rsid w:val="009030EA"/>
    <w:rsid w:val="00903239"/>
    <w:rsid w:val="0090326C"/>
    <w:rsid w:val="009032A3"/>
    <w:rsid w:val="009032E6"/>
    <w:rsid w:val="0090335A"/>
    <w:rsid w:val="0090340B"/>
    <w:rsid w:val="009034B6"/>
    <w:rsid w:val="009034ED"/>
    <w:rsid w:val="009035C7"/>
    <w:rsid w:val="00903620"/>
    <w:rsid w:val="0090363C"/>
    <w:rsid w:val="009036F9"/>
    <w:rsid w:val="00903713"/>
    <w:rsid w:val="009037D8"/>
    <w:rsid w:val="00903803"/>
    <w:rsid w:val="00903883"/>
    <w:rsid w:val="0090389F"/>
    <w:rsid w:val="009038EE"/>
    <w:rsid w:val="009039AE"/>
    <w:rsid w:val="00903B05"/>
    <w:rsid w:val="00903B75"/>
    <w:rsid w:val="00903BC4"/>
    <w:rsid w:val="00903C19"/>
    <w:rsid w:val="00903CA6"/>
    <w:rsid w:val="00903D1B"/>
    <w:rsid w:val="00903DC6"/>
    <w:rsid w:val="00903DD1"/>
    <w:rsid w:val="00903E6B"/>
    <w:rsid w:val="00903EAF"/>
    <w:rsid w:val="00903FA1"/>
    <w:rsid w:val="00903FEA"/>
    <w:rsid w:val="009040CE"/>
    <w:rsid w:val="009041D9"/>
    <w:rsid w:val="0090432F"/>
    <w:rsid w:val="00904371"/>
    <w:rsid w:val="00904703"/>
    <w:rsid w:val="009047E7"/>
    <w:rsid w:val="009048A1"/>
    <w:rsid w:val="009048B6"/>
    <w:rsid w:val="009048B9"/>
    <w:rsid w:val="00904910"/>
    <w:rsid w:val="00904960"/>
    <w:rsid w:val="00904AEF"/>
    <w:rsid w:val="00904AFD"/>
    <w:rsid w:val="00904B8F"/>
    <w:rsid w:val="00904BCE"/>
    <w:rsid w:val="00904C03"/>
    <w:rsid w:val="00904C42"/>
    <w:rsid w:val="00904CF1"/>
    <w:rsid w:val="00904D2A"/>
    <w:rsid w:val="00904DC3"/>
    <w:rsid w:val="00904E8A"/>
    <w:rsid w:val="00904FFA"/>
    <w:rsid w:val="0090502C"/>
    <w:rsid w:val="0090508D"/>
    <w:rsid w:val="009050AA"/>
    <w:rsid w:val="0090519C"/>
    <w:rsid w:val="009052A5"/>
    <w:rsid w:val="009053CA"/>
    <w:rsid w:val="00905442"/>
    <w:rsid w:val="00905443"/>
    <w:rsid w:val="0090562D"/>
    <w:rsid w:val="009057E8"/>
    <w:rsid w:val="00905840"/>
    <w:rsid w:val="0090584A"/>
    <w:rsid w:val="0090587A"/>
    <w:rsid w:val="009058C3"/>
    <w:rsid w:val="00905947"/>
    <w:rsid w:val="00905A4C"/>
    <w:rsid w:val="00905B1B"/>
    <w:rsid w:val="00905B43"/>
    <w:rsid w:val="00905CFF"/>
    <w:rsid w:val="00905DBC"/>
    <w:rsid w:val="00905DE9"/>
    <w:rsid w:val="00905E0A"/>
    <w:rsid w:val="009060CA"/>
    <w:rsid w:val="0090627F"/>
    <w:rsid w:val="00906446"/>
    <w:rsid w:val="009064AF"/>
    <w:rsid w:val="00906516"/>
    <w:rsid w:val="0090660F"/>
    <w:rsid w:val="00906612"/>
    <w:rsid w:val="0090666F"/>
    <w:rsid w:val="009066E2"/>
    <w:rsid w:val="009066F9"/>
    <w:rsid w:val="00906793"/>
    <w:rsid w:val="009068B1"/>
    <w:rsid w:val="00906972"/>
    <w:rsid w:val="00906A04"/>
    <w:rsid w:val="00906A90"/>
    <w:rsid w:val="00906C06"/>
    <w:rsid w:val="00906C59"/>
    <w:rsid w:val="00906E2C"/>
    <w:rsid w:val="00906E4A"/>
    <w:rsid w:val="00906EA6"/>
    <w:rsid w:val="00906EC2"/>
    <w:rsid w:val="00906F87"/>
    <w:rsid w:val="00907079"/>
    <w:rsid w:val="009070E3"/>
    <w:rsid w:val="009072B4"/>
    <w:rsid w:val="00907389"/>
    <w:rsid w:val="0090754A"/>
    <w:rsid w:val="009075A1"/>
    <w:rsid w:val="009075AD"/>
    <w:rsid w:val="00907601"/>
    <w:rsid w:val="00907765"/>
    <w:rsid w:val="00907777"/>
    <w:rsid w:val="009078C0"/>
    <w:rsid w:val="00907A87"/>
    <w:rsid w:val="00907A92"/>
    <w:rsid w:val="00907AEF"/>
    <w:rsid w:val="00907BB1"/>
    <w:rsid w:val="00907BD6"/>
    <w:rsid w:val="00907C96"/>
    <w:rsid w:val="00907CB9"/>
    <w:rsid w:val="00907CFB"/>
    <w:rsid w:val="00907D63"/>
    <w:rsid w:val="00907DF3"/>
    <w:rsid w:val="00907E53"/>
    <w:rsid w:val="00907F19"/>
    <w:rsid w:val="00908015"/>
    <w:rsid w:val="0090CF49"/>
    <w:rsid w:val="0091005E"/>
    <w:rsid w:val="009100AE"/>
    <w:rsid w:val="00910128"/>
    <w:rsid w:val="009101DA"/>
    <w:rsid w:val="009102EE"/>
    <w:rsid w:val="009102FA"/>
    <w:rsid w:val="00910304"/>
    <w:rsid w:val="0091031F"/>
    <w:rsid w:val="0091036F"/>
    <w:rsid w:val="009103DE"/>
    <w:rsid w:val="009103ED"/>
    <w:rsid w:val="00910499"/>
    <w:rsid w:val="00910502"/>
    <w:rsid w:val="00910618"/>
    <w:rsid w:val="0091063F"/>
    <w:rsid w:val="009106B7"/>
    <w:rsid w:val="00910742"/>
    <w:rsid w:val="009108A6"/>
    <w:rsid w:val="0091093C"/>
    <w:rsid w:val="00910B2A"/>
    <w:rsid w:val="00910B4C"/>
    <w:rsid w:val="00910B58"/>
    <w:rsid w:val="00910BBE"/>
    <w:rsid w:val="00910BF6"/>
    <w:rsid w:val="00910D3F"/>
    <w:rsid w:val="00910E67"/>
    <w:rsid w:val="00910E83"/>
    <w:rsid w:val="00910F68"/>
    <w:rsid w:val="00910FC8"/>
    <w:rsid w:val="00911036"/>
    <w:rsid w:val="00911089"/>
    <w:rsid w:val="00911111"/>
    <w:rsid w:val="009113A0"/>
    <w:rsid w:val="00911467"/>
    <w:rsid w:val="0091148C"/>
    <w:rsid w:val="00911541"/>
    <w:rsid w:val="00911547"/>
    <w:rsid w:val="009116C3"/>
    <w:rsid w:val="0091171F"/>
    <w:rsid w:val="0091174B"/>
    <w:rsid w:val="00911822"/>
    <w:rsid w:val="00911842"/>
    <w:rsid w:val="00911913"/>
    <w:rsid w:val="00911AF1"/>
    <w:rsid w:val="00911B75"/>
    <w:rsid w:val="00911BC7"/>
    <w:rsid w:val="00911BE5"/>
    <w:rsid w:val="00911DA1"/>
    <w:rsid w:val="00911E6F"/>
    <w:rsid w:val="00911EE7"/>
    <w:rsid w:val="00911F5E"/>
    <w:rsid w:val="0091206B"/>
    <w:rsid w:val="0091206E"/>
    <w:rsid w:val="0091212B"/>
    <w:rsid w:val="0091221E"/>
    <w:rsid w:val="0091228B"/>
    <w:rsid w:val="00912327"/>
    <w:rsid w:val="009124E5"/>
    <w:rsid w:val="0091262B"/>
    <w:rsid w:val="0091262C"/>
    <w:rsid w:val="0091266F"/>
    <w:rsid w:val="00912689"/>
    <w:rsid w:val="00912816"/>
    <w:rsid w:val="009128F6"/>
    <w:rsid w:val="009129BE"/>
    <w:rsid w:val="00912C45"/>
    <w:rsid w:val="00912DC9"/>
    <w:rsid w:val="00912E4E"/>
    <w:rsid w:val="00912F69"/>
    <w:rsid w:val="00912F92"/>
    <w:rsid w:val="00912FA1"/>
    <w:rsid w:val="00913038"/>
    <w:rsid w:val="00913170"/>
    <w:rsid w:val="009131B4"/>
    <w:rsid w:val="009133E5"/>
    <w:rsid w:val="0091342C"/>
    <w:rsid w:val="009134CB"/>
    <w:rsid w:val="00913537"/>
    <w:rsid w:val="009135CF"/>
    <w:rsid w:val="00913616"/>
    <w:rsid w:val="0091365C"/>
    <w:rsid w:val="009136E0"/>
    <w:rsid w:val="00913713"/>
    <w:rsid w:val="00913A10"/>
    <w:rsid w:val="00913A74"/>
    <w:rsid w:val="00913ACF"/>
    <w:rsid w:val="00913B0B"/>
    <w:rsid w:val="00913B0C"/>
    <w:rsid w:val="00913C36"/>
    <w:rsid w:val="00913CA0"/>
    <w:rsid w:val="00913CBF"/>
    <w:rsid w:val="00913DCE"/>
    <w:rsid w:val="00913E2A"/>
    <w:rsid w:val="00913E46"/>
    <w:rsid w:val="00914005"/>
    <w:rsid w:val="0091406C"/>
    <w:rsid w:val="00914161"/>
    <w:rsid w:val="009141C0"/>
    <w:rsid w:val="009141E3"/>
    <w:rsid w:val="00914492"/>
    <w:rsid w:val="00914553"/>
    <w:rsid w:val="0091460D"/>
    <w:rsid w:val="00914629"/>
    <w:rsid w:val="00914674"/>
    <w:rsid w:val="0091467C"/>
    <w:rsid w:val="009146C0"/>
    <w:rsid w:val="00914739"/>
    <w:rsid w:val="00914830"/>
    <w:rsid w:val="009148D8"/>
    <w:rsid w:val="009149A5"/>
    <w:rsid w:val="00914A32"/>
    <w:rsid w:val="00914B0C"/>
    <w:rsid w:val="00914C0C"/>
    <w:rsid w:val="00914C12"/>
    <w:rsid w:val="00914E60"/>
    <w:rsid w:val="00914FB8"/>
    <w:rsid w:val="0091515D"/>
    <w:rsid w:val="0091526F"/>
    <w:rsid w:val="009153D8"/>
    <w:rsid w:val="00915542"/>
    <w:rsid w:val="009155E9"/>
    <w:rsid w:val="00915630"/>
    <w:rsid w:val="009156D6"/>
    <w:rsid w:val="00915700"/>
    <w:rsid w:val="009157F6"/>
    <w:rsid w:val="009157FE"/>
    <w:rsid w:val="0091592D"/>
    <w:rsid w:val="00915968"/>
    <w:rsid w:val="00915A6C"/>
    <w:rsid w:val="00915A8E"/>
    <w:rsid w:val="00915ADF"/>
    <w:rsid w:val="00915B37"/>
    <w:rsid w:val="00915B4C"/>
    <w:rsid w:val="00915BB4"/>
    <w:rsid w:val="00915D2E"/>
    <w:rsid w:val="00915D74"/>
    <w:rsid w:val="00915DCE"/>
    <w:rsid w:val="00915DD0"/>
    <w:rsid w:val="00915F9D"/>
    <w:rsid w:val="00915FDA"/>
    <w:rsid w:val="00915FF9"/>
    <w:rsid w:val="00916073"/>
    <w:rsid w:val="00916090"/>
    <w:rsid w:val="009161B1"/>
    <w:rsid w:val="00916226"/>
    <w:rsid w:val="0091635B"/>
    <w:rsid w:val="00916368"/>
    <w:rsid w:val="00916375"/>
    <w:rsid w:val="0091646F"/>
    <w:rsid w:val="009164A1"/>
    <w:rsid w:val="00916508"/>
    <w:rsid w:val="00916546"/>
    <w:rsid w:val="0091654E"/>
    <w:rsid w:val="00916575"/>
    <w:rsid w:val="0091657A"/>
    <w:rsid w:val="00916658"/>
    <w:rsid w:val="009166A6"/>
    <w:rsid w:val="009167F5"/>
    <w:rsid w:val="009168DF"/>
    <w:rsid w:val="00916ACA"/>
    <w:rsid w:val="00916BF1"/>
    <w:rsid w:val="00916C1C"/>
    <w:rsid w:val="00916C8F"/>
    <w:rsid w:val="00916CF9"/>
    <w:rsid w:val="00916D97"/>
    <w:rsid w:val="00917020"/>
    <w:rsid w:val="00917066"/>
    <w:rsid w:val="0091707A"/>
    <w:rsid w:val="00917299"/>
    <w:rsid w:val="009172A4"/>
    <w:rsid w:val="009173B1"/>
    <w:rsid w:val="009173DC"/>
    <w:rsid w:val="009173EE"/>
    <w:rsid w:val="0091740E"/>
    <w:rsid w:val="009174DC"/>
    <w:rsid w:val="009175C1"/>
    <w:rsid w:val="009175E3"/>
    <w:rsid w:val="00917627"/>
    <w:rsid w:val="00917660"/>
    <w:rsid w:val="0091769E"/>
    <w:rsid w:val="00917709"/>
    <w:rsid w:val="00917902"/>
    <w:rsid w:val="009179AB"/>
    <w:rsid w:val="009179C3"/>
    <w:rsid w:val="00917A68"/>
    <w:rsid w:val="00917A77"/>
    <w:rsid w:val="00917ABE"/>
    <w:rsid w:val="00917B33"/>
    <w:rsid w:val="00917D0F"/>
    <w:rsid w:val="00917D32"/>
    <w:rsid w:val="00917DAA"/>
    <w:rsid w:val="00917F76"/>
    <w:rsid w:val="00917F7D"/>
    <w:rsid w:val="00920025"/>
    <w:rsid w:val="0092004A"/>
    <w:rsid w:val="009200A5"/>
    <w:rsid w:val="009200B7"/>
    <w:rsid w:val="00920178"/>
    <w:rsid w:val="0092027C"/>
    <w:rsid w:val="00920325"/>
    <w:rsid w:val="0092033F"/>
    <w:rsid w:val="0092039A"/>
    <w:rsid w:val="009203B6"/>
    <w:rsid w:val="0092050C"/>
    <w:rsid w:val="00920521"/>
    <w:rsid w:val="0092052D"/>
    <w:rsid w:val="009205D8"/>
    <w:rsid w:val="00920645"/>
    <w:rsid w:val="00920755"/>
    <w:rsid w:val="009207B6"/>
    <w:rsid w:val="00920804"/>
    <w:rsid w:val="00920848"/>
    <w:rsid w:val="00920858"/>
    <w:rsid w:val="00920B94"/>
    <w:rsid w:val="00920C25"/>
    <w:rsid w:val="00920C9B"/>
    <w:rsid w:val="00920D5C"/>
    <w:rsid w:val="00920DFE"/>
    <w:rsid w:val="00920EAE"/>
    <w:rsid w:val="00920F27"/>
    <w:rsid w:val="009211FF"/>
    <w:rsid w:val="00921287"/>
    <w:rsid w:val="009212C7"/>
    <w:rsid w:val="009212CC"/>
    <w:rsid w:val="00921413"/>
    <w:rsid w:val="00921495"/>
    <w:rsid w:val="0092149C"/>
    <w:rsid w:val="009214DD"/>
    <w:rsid w:val="009215BC"/>
    <w:rsid w:val="00921604"/>
    <w:rsid w:val="00921637"/>
    <w:rsid w:val="009216BE"/>
    <w:rsid w:val="009216C6"/>
    <w:rsid w:val="009216DB"/>
    <w:rsid w:val="009216E3"/>
    <w:rsid w:val="0092174A"/>
    <w:rsid w:val="00921782"/>
    <w:rsid w:val="0092179C"/>
    <w:rsid w:val="009217A1"/>
    <w:rsid w:val="009217B5"/>
    <w:rsid w:val="009217D8"/>
    <w:rsid w:val="009217E4"/>
    <w:rsid w:val="00921859"/>
    <w:rsid w:val="00921900"/>
    <w:rsid w:val="00921917"/>
    <w:rsid w:val="00921938"/>
    <w:rsid w:val="009219A5"/>
    <w:rsid w:val="00921A75"/>
    <w:rsid w:val="00921CD3"/>
    <w:rsid w:val="00921D21"/>
    <w:rsid w:val="00921DFC"/>
    <w:rsid w:val="00921E46"/>
    <w:rsid w:val="00921E7E"/>
    <w:rsid w:val="00921F06"/>
    <w:rsid w:val="00921F59"/>
    <w:rsid w:val="00922004"/>
    <w:rsid w:val="00922070"/>
    <w:rsid w:val="009220B7"/>
    <w:rsid w:val="009220EA"/>
    <w:rsid w:val="009221A0"/>
    <w:rsid w:val="009222C9"/>
    <w:rsid w:val="0092230E"/>
    <w:rsid w:val="0092236F"/>
    <w:rsid w:val="009223A5"/>
    <w:rsid w:val="0092242A"/>
    <w:rsid w:val="00922455"/>
    <w:rsid w:val="009226B2"/>
    <w:rsid w:val="00922717"/>
    <w:rsid w:val="00922808"/>
    <w:rsid w:val="00922BC6"/>
    <w:rsid w:val="00922C30"/>
    <w:rsid w:val="00922C66"/>
    <w:rsid w:val="00922C77"/>
    <w:rsid w:val="00922CBF"/>
    <w:rsid w:val="00922D06"/>
    <w:rsid w:val="00922EAE"/>
    <w:rsid w:val="00922F3C"/>
    <w:rsid w:val="00922F80"/>
    <w:rsid w:val="00922FB6"/>
    <w:rsid w:val="00922FB9"/>
    <w:rsid w:val="0092317E"/>
    <w:rsid w:val="00923220"/>
    <w:rsid w:val="00923353"/>
    <w:rsid w:val="00923379"/>
    <w:rsid w:val="009233A4"/>
    <w:rsid w:val="009233B0"/>
    <w:rsid w:val="00923481"/>
    <w:rsid w:val="00923523"/>
    <w:rsid w:val="009235E1"/>
    <w:rsid w:val="00923628"/>
    <w:rsid w:val="0092370C"/>
    <w:rsid w:val="009237ED"/>
    <w:rsid w:val="00923898"/>
    <w:rsid w:val="00923949"/>
    <w:rsid w:val="00923AFA"/>
    <w:rsid w:val="00923C88"/>
    <w:rsid w:val="00923CF3"/>
    <w:rsid w:val="00923D1F"/>
    <w:rsid w:val="00923D76"/>
    <w:rsid w:val="00923E42"/>
    <w:rsid w:val="00923E4F"/>
    <w:rsid w:val="00923EB3"/>
    <w:rsid w:val="00923ED8"/>
    <w:rsid w:val="00923F19"/>
    <w:rsid w:val="00923FD1"/>
    <w:rsid w:val="00924045"/>
    <w:rsid w:val="00924094"/>
    <w:rsid w:val="009240FD"/>
    <w:rsid w:val="0092421B"/>
    <w:rsid w:val="009242A3"/>
    <w:rsid w:val="0092433A"/>
    <w:rsid w:val="0092435A"/>
    <w:rsid w:val="00924387"/>
    <w:rsid w:val="009244EB"/>
    <w:rsid w:val="0092451E"/>
    <w:rsid w:val="009245E9"/>
    <w:rsid w:val="00924653"/>
    <w:rsid w:val="009247A6"/>
    <w:rsid w:val="009247DA"/>
    <w:rsid w:val="00924964"/>
    <w:rsid w:val="009249A9"/>
    <w:rsid w:val="009249DD"/>
    <w:rsid w:val="009249FC"/>
    <w:rsid w:val="00924A0C"/>
    <w:rsid w:val="00924A83"/>
    <w:rsid w:val="00924A9F"/>
    <w:rsid w:val="00924BC2"/>
    <w:rsid w:val="00924C55"/>
    <w:rsid w:val="00924CC5"/>
    <w:rsid w:val="00924D6E"/>
    <w:rsid w:val="00924D8D"/>
    <w:rsid w:val="00924D9B"/>
    <w:rsid w:val="00924DBD"/>
    <w:rsid w:val="00924E8A"/>
    <w:rsid w:val="00924EC4"/>
    <w:rsid w:val="00925036"/>
    <w:rsid w:val="00925070"/>
    <w:rsid w:val="009251B1"/>
    <w:rsid w:val="009251BE"/>
    <w:rsid w:val="0092525E"/>
    <w:rsid w:val="009252D2"/>
    <w:rsid w:val="0092532B"/>
    <w:rsid w:val="009253E0"/>
    <w:rsid w:val="009253F2"/>
    <w:rsid w:val="0092542F"/>
    <w:rsid w:val="0092545D"/>
    <w:rsid w:val="009255A9"/>
    <w:rsid w:val="009255E5"/>
    <w:rsid w:val="00925624"/>
    <w:rsid w:val="0092572A"/>
    <w:rsid w:val="009257A2"/>
    <w:rsid w:val="009258B6"/>
    <w:rsid w:val="0092593B"/>
    <w:rsid w:val="00925A61"/>
    <w:rsid w:val="00925B74"/>
    <w:rsid w:val="00925BD1"/>
    <w:rsid w:val="00925BFC"/>
    <w:rsid w:val="00925C3D"/>
    <w:rsid w:val="00925D80"/>
    <w:rsid w:val="00925E41"/>
    <w:rsid w:val="00925E78"/>
    <w:rsid w:val="00926036"/>
    <w:rsid w:val="009260AD"/>
    <w:rsid w:val="00926174"/>
    <w:rsid w:val="009261D9"/>
    <w:rsid w:val="009261EC"/>
    <w:rsid w:val="00926401"/>
    <w:rsid w:val="00926445"/>
    <w:rsid w:val="00926491"/>
    <w:rsid w:val="009265B8"/>
    <w:rsid w:val="009266DF"/>
    <w:rsid w:val="0092676C"/>
    <w:rsid w:val="009267A9"/>
    <w:rsid w:val="00926892"/>
    <w:rsid w:val="0092695C"/>
    <w:rsid w:val="00926A9E"/>
    <w:rsid w:val="00926B24"/>
    <w:rsid w:val="00926BEE"/>
    <w:rsid w:val="00926DE8"/>
    <w:rsid w:val="00926FE0"/>
    <w:rsid w:val="00927037"/>
    <w:rsid w:val="0092704A"/>
    <w:rsid w:val="00927152"/>
    <w:rsid w:val="00927183"/>
    <w:rsid w:val="0092719D"/>
    <w:rsid w:val="009271F0"/>
    <w:rsid w:val="0092722E"/>
    <w:rsid w:val="009272E7"/>
    <w:rsid w:val="009274DB"/>
    <w:rsid w:val="009276F7"/>
    <w:rsid w:val="009277CB"/>
    <w:rsid w:val="00927A68"/>
    <w:rsid w:val="00927A8B"/>
    <w:rsid w:val="00927ABC"/>
    <w:rsid w:val="00927B2E"/>
    <w:rsid w:val="00927C1A"/>
    <w:rsid w:val="00927C22"/>
    <w:rsid w:val="00927CFA"/>
    <w:rsid w:val="00927D97"/>
    <w:rsid w:val="00930080"/>
    <w:rsid w:val="009300DB"/>
    <w:rsid w:val="009300E4"/>
    <w:rsid w:val="009301A6"/>
    <w:rsid w:val="0093024E"/>
    <w:rsid w:val="009302D9"/>
    <w:rsid w:val="00930429"/>
    <w:rsid w:val="0093052B"/>
    <w:rsid w:val="00930591"/>
    <w:rsid w:val="009305F0"/>
    <w:rsid w:val="00930658"/>
    <w:rsid w:val="0093067B"/>
    <w:rsid w:val="00930686"/>
    <w:rsid w:val="009307B9"/>
    <w:rsid w:val="0093083C"/>
    <w:rsid w:val="0093085E"/>
    <w:rsid w:val="00930951"/>
    <w:rsid w:val="009309C5"/>
    <w:rsid w:val="009309D7"/>
    <w:rsid w:val="00930A6E"/>
    <w:rsid w:val="00930B3D"/>
    <w:rsid w:val="00930B66"/>
    <w:rsid w:val="00930DCD"/>
    <w:rsid w:val="00930E24"/>
    <w:rsid w:val="00930E66"/>
    <w:rsid w:val="0093117A"/>
    <w:rsid w:val="009311B5"/>
    <w:rsid w:val="0093144A"/>
    <w:rsid w:val="009315B0"/>
    <w:rsid w:val="009315F3"/>
    <w:rsid w:val="00931666"/>
    <w:rsid w:val="009317A1"/>
    <w:rsid w:val="00931812"/>
    <w:rsid w:val="0093187A"/>
    <w:rsid w:val="009319B6"/>
    <w:rsid w:val="00931B00"/>
    <w:rsid w:val="00931B95"/>
    <w:rsid w:val="00931CB3"/>
    <w:rsid w:val="00931CE7"/>
    <w:rsid w:val="00931D80"/>
    <w:rsid w:val="00931D81"/>
    <w:rsid w:val="00931D9C"/>
    <w:rsid w:val="00931E2F"/>
    <w:rsid w:val="00931F5B"/>
    <w:rsid w:val="00931FF0"/>
    <w:rsid w:val="0093229E"/>
    <w:rsid w:val="009322A1"/>
    <w:rsid w:val="0093232A"/>
    <w:rsid w:val="009324F0"/>
    <w:rsid w:val="009324FE"/>
    <w:rsid w:val="00932549"/>
    <w:rsid w:val="0093265F"/>
    <w:rsid w:val="00932685"/>
    <w:rsid w:val="009326D6"/>
    <w:rsid w:val="00932770"/>
    <w:rsid w:val="00932879"/>
    <w:rsid w:val="00932891"/>
    <w:rsid w:val="009328B8"/>
    <w:rsid w:val="00932926"/>
    <w:rsid w:val="009329BF"/>
    <w:rsid w:val="00932AC3"/>
    <w:rsid w:val="00932AD5"/>
    <w:rsid w:val="00932AF6"/>
    <w:rsid w:val="00932B48"/>
    <w:rsid w:val="00932C7C"/>
    <w:rsid w:val="00932CA7"/>
    <w:rsid w:val="00932CAE"/>
    <w:rsid w:val="00932CF2"/>
    <w:rsid w:val="00932D61"/>
    <w:rsid w:val="00932D7F"/>
    <w:rsid w:val="00932E0F"/>
    <w:rsid w:val="00932EEA"/>
    <w:rsid w:val="00932F03"/>
    <w:rsid w:val="00932FCF"/>
    <w:rsid w:val="00933007"/>
    <w:rsid w:val="0093305A"/>
    <w:rsid w:val="009330F0"/>
    <w:rsid w:val="0093318B"/>
    <w:rsid w:val="00933299"/>
    <w:rsid w:val="00933354"/>
    <w:rsid w:val="009333FC"/>
    <w:rsid w:val="0093343B"/>
    <w:rsid w:val="00933447"/>
    <w:rsid w:val="009334E7"/>
    <w:rsid w:val="0093364F"/>
    <w:rsid w:val="00933653"/>
    <w:rsid w:val="00933884"/>
    <w:rsid w:val="009338A2"/>
    <w:rsid w:val="0093392E"/>
    <w:rsid w:val="00933A0D"/>
    <w:rsid w:val="00933B66"/>
    <w:rsid w:val="00933BD3"/>
    <w:rsid w:val="00933CBE"/>
    <w:rsid w:val="00933CDA"/>
    <w:rsid w:val="00933D1F"/>
    <w:rsid w:val="00933DE6"/>
    <w:rsid w:val="00933E4D"/>
    <w:rsid w:val="00933FEE"/>
    <w:rsid w:val="0093401A"/>
    <w:rsid w:val="0093403E"/>
    <w:rsid w:val="00934056"/>
    <w:rsid w:val="00934079"/>
    <w:rsid w:val="0093408D"/>
    <w:rsid w:val="0093415D"/>
    <w:rsid w:val="009341A7"/>
    <w:rsid w:val="009341D0"/>
    <w:rsid w:val="0093425D"/>
    <w:rsid w:val="0093431D"/>
    <w:rsid w:val="00934373"/>
    <w:rsid w:val="00934383"/>
    <w:rsid w:val="00934428"/>
    <w:rsid w:val="0093451E"/>
    <w:rsid w:val="0093479A"/>
    <w:rsid w:val="00934833"/>
    <w:rsid w:val="00934908"/>
    <w:rsid w:val="00934959"/>
    <w:rsid w:val="00934980"/>
    <w:rsid w:val="00934B1D"/>
    <w:rsid w:val="00934B40"/>
    <w:rsid w:val="00934B43"/>
    <w:rsid w:val="00934C60"/>
    <w:rsid w:val="00934CF0"/>
    <w:rsid w:val="00935035"/>
    <w:rsid w:val="009350AA"/>
    <w:rsid w:val="009350CC"/>
    <w:rsid w:val="00935125"/>
    <w:rsid w:val="0093515F"/>
    <w:rsid w:val="00935161"/>
    <w:rsid w:val="00935166"/>
    <w:rsid w:val="0093543C"/>
    <w:rsid w:val="009355E4"/>
    <w:rsid w:val="0093576B"/>
    <w:rsid w:val="009357FD"/>
    <w:rsid w:val="0093589F"/>
    <w:rsid w:val="009358CE"/>
    <w:rsid w:val="00935928"/>
    <w:rsid w:val="0093596B"/>
    <w:rsid w:val="009359AA"/>
    <w:rsid w:val="00935B1B"/>
    <w:rsid w:val="00935B27"/>
    <w:rsid w:val="00935B37"/>
    <w:rsid w:val="00935B4D"/>
    <w:rsid w:val="00935B9A"/>
    <w:rsid w:val="00935C4C"/>
    <w:rsid w:val="00935C67"/>
    <w:rsid w:val="00935C77"/>
    <w:rsid w:val="00935D6C"/>
    <w:rsid w:val="00935E9D"/>
    <w:rsid w:val="00935F84"/>
    <w:rsid w:val="0093604E"/>
    <w:rsid w:val="0093615E"/>
    <w:rsid w:val="00936233"/>
    <w:rsid w:val="0093629A"/>
    <w:rsid w:val="00936348"/>
    <w:rsid w:val="00936464"/>
    <w:rsid w:val="00936478"/>
    <w:rsid w:val="0093649F"/>
    <w:rsid w:val="009364C5"/>
    <w:rsid w:val="00936501"/>
    <w:rsid w:val="00936551"/>
    <w:rsid w:val="0093659F"/>
    <w:rsid w:val="009365B8"/>
    <w:rsid w:val="009365DA"/>
    <w:rsid w:val="0093662A"/>
    <w:rsid w:val="009366EC"/>
    <w:rsid w:val="00936716"/>
    <w:rsid w:val="0093671E"/>
    <w:rsid w:val="0093673D"/>
    <w:rsid w:val="0093679A"/>
    <w:rsid w:val="0093684E"/>
    <w:rsid w:val="00936A40"/>
    <w:rsid w:val="00936B46"/>
    <w:rsid w:val="00936BB3"/>
    <w:rsid w:val="00936BBE"/>
    <w:rsid w:val="00936BD6"/>
    <w:rsid w:val="00936DD7"/>
    <w:rsid w:val="00936F32"/>
    <w:rsid w:val="00936F54"/>
    <w:rsid w:val="00936FAD"/>
    <w:rsid w:val="0093707C"/>
    <w:rsid w:val="00937090"/>
    <w:rsid w:val="00937121"/>
    <w:rsid w:val="009371A2"/>
    <w:rsid w:val="00937326"/>
    <w:rsid w:val="00937357"/>
    <w:rsid w:val="00937418"/>
    <w:rsid w:val="009374F8"/>
    <w:rsid w:val="009375F6"/>
    <w:rsid w:val="00937686"/>
    <w:rsid w:val="009376A1"/>
    <w:rsid w:val="009377F0"/>
    <w:rsid w:val="009378ED"/>
    <w:rsid w:val="00937969"/>
    <w:rsid w:val="0093796C"/>
    <w:rsid w:val="00937A81"/>
    <w:rsid w:val="00937B64"/>
    <w:rsid w:val="00937B6F"/>
    <w:rsid w:val="00937C01"/>
    <w:rsid w:val="00937C18"/>
    <w:rsid w:val="00937C50"/>
    <w:rsid w:val="00937CC7"/>
    <w:rsid w:val="00937D49"/>
    <w:rsid w:val="00937E99"/>
    <w:rsid w:val="00937EA2"/>
    <w:rsid w:val="00940143"/>
    <w:rsid w:val="009405AD"/>
    <w:rsid w:val="009406CA"/>
    <w:rsid w:val="009407D8"/>
    <w:rsid w:val="00940894"/>
    <w:rsid w:val="009408F2"/>
    <w:rsid w:val="00940922"/>
    <w:rsid w:val="00940942"/>
    <w:rsid w:val="009409F1"/>
    <w:rsid w:val="00940A5B"/>
    <w:rsid w:val="00940B66"/>
    <w:rsid w:val="00940B77"/>
    <w:rsid w:val="00940BCE"/>
    <w:rsid w:val="00940CB9"/>
    <w:rsid w:val="00940D50"/>
    <w:rsid w:val="00940D66"/>
    <w:rsid w:val="00940D80"/>
    <w:rsid w:val="00940D89"/>
    <w:rsid w:val="00940EC2"/>
    <w:rsid w:val="00940F90"/>
    <w:rsid w:val="00941042"/>
    <w:rsid w:val="00941126"/>
    <w:rsid w:val="009411A8"/>
    <w:rsid w:val="0094121D"/>
    <w:rsid w:val="00941317"/>
    <w:rsid w:val="0094136C"/>
    <w:rsid w:val="009413E6"/>
    <w:rsid w:val="009414B5"/>
    <w:rsid w:val="00941564"/>
    <w:rsid w:val="0094157F"/>
    <w:rsid w:val="0094159E"/>
    <w:rsid w:val="00941772"/>
    <w:rsid w:val="0094178B"/>
    <w:rsid w:val="009418BA"/>
    <w:rsid w:val="0094197C"/>
    <w:rsid w:val="009419FD"/>
    <w:rsid w:val="00941A21"/>
    <w:rsid w:val="00941ABB"/>
    <w:rsid w:val="00941ACE"/>
    <w:rsid w:val="00941ADB"/>
    <w:rsid w:val="00941AFC"/>
    <w:rsid w:val="00941CEF"/>
    <w:rsid w:val="00941D57"/>
    <w:rsid w:val="00941D91"/>
    <w:rsid w:val="00941E69"/>
    <w:rsid w:val="00941EAE"/>
    <w:rsid w:val="00941EB2"/>
    <w:rsid w:val="00941ECF"/>
    <w:rsid w:val="00941EDC"/>
    <w:rsid w:val="00941F5C"/>
    <w:rsid w:val="00941FC7"/>
    <w:rsid w:val="00942076"/>
    <w:rsid w:val="00942096"/>
    <w:rsid w:val="0094218F"/>
    <w:rsid w:val="00942253"/>
    <w:rsid w:val="009422F0"/>
    <w:rsid w:val="00942395"/>
    <w:rsid w:val="009423C3"/>
    <w:rsid w:val="0094242F"/>
    <w:rsid w:val="009425CE"/>
    <w:rsid w:val="0094266F"/>
    <w:rsid w:val="00942754"/>
    <w:rsid w:val="009427A3"/>
    <w:rsid w:val="00942836"/>
    <w:rsid w:val="0094285F"/>
    <w:rsid w:val="009429F2"/>
    <w:rsid w:val="00942A30"/>
    <w:rsid w:val="00942A6F"/>
    <w:rsid w:val="00942AD7"/>
    <w:rsid w:val="00942B85"/>
    <w:rsid w:val="00942BDB"/>
    <w:rsid w:val="00942C27"/>
    <w:rsid w:val="00942CB8"/>
    <w:rsid w:val="00942D05"/>
    <w:rsid w:val="00942D7B"/>
    <w:rsid w:val="00942E01"/>
    <w:rsid w:val="00942E66"/>
    <w:rsid w:val="00942E85"/>
    <w:rsid w:val="00942EFD"/>
    <w:rsid w:val="00942F03"/>
    <w:rsid w:val="00942FBB"/>
    <w:rsid w:val="009430EF"/>
    <w:rsid w:val="009431BD"/>
    <w:rsid w:val="0094332B"/>
    <w:rsid w:val="0094333E"/>
    <w:rsid w:val="0094333F"/>
    <w:rsid w:val="00943367"/>
    <w:rsid w:val="0094345C"/>
    <w:rsid w:val="009434D4"/>
    <w:rsid w:val="00943501"/>
    <w:rsid w:val="00943520"/>
    <w:rsid w:val="009435E7"/>
    <w:rsid w:val="0094361B"/>
    <w:rsid w:val="00943667"/>
    <w:rsid w:val="009436B4"/>
    <w:rsid w:val="0094379B"/>
    <w:rsid w:val="009437A5"/>
    <w:rsid w:val="009439C9"/>
    <w:rsid w:val="009439D1"/>
    <w:rsid w:val="00943A09"/>
    <w:rsid w:val="00943A84"/>
    <w:rsid w:val="00943B38"/>
    <w:rsid w:val="00943B51"/>
    <w:rsid w:val="00943C75"/>
    <w:rsid w:val="00943C7A"/>
    <w:rsid w:val="00943D46"/>
    <w:rsid w:val="00943D66"/>
    <w:rsid w:val="00943DCC"/>
    <w:rsid w:val="00943DEF"/>
    <w:rsid w:val="00943EC7"/>
    <w:rsid w:val="00943F66"/>
    <w:rsid w:val="00943FA6"/>
    <w:rsid w:val="00943FCB"/>
    <w:rsid w:val="009441D1"/>
    <w:rsid w:val="0094427E"/>
    <w:rsid w:val="00944357"/>
    <w:rsid w:val="00944420"/>
    <w:rsid w:val="00944422"/>
    <w:rsid w:val="00944509"/>
    <w:rsid w:val="009445F3"/>
    <w:rsid w:val="00944719"/>
    <w:rsid w:val="00944A21"/>
    <w:rsid w:val="00944C8C"/>
    <w:rsid w:val="00944D0B"/>
    <w:rsid w:val="00944E56"/>
    <w:rsid w:val="00944EAB"/>
    <w:rsid w:val="00944F5B"/>
    <w:rsid w:val="00944F72"/>
    <w:rsid w:val="0094501A"/>
    <w:rsid w:val="009450BF"/>
    <w:rsid w:val="00945253"/>
    <w:rsid w:val="0094525A"/>
    <w:rsid w:val="0094528C"/>
    <w:rsid w:val="00945294"/>
    <w:rsid w:val="009452DD"/>
    <w:rsid w:val="0094535C"/>
    <w:rsid w:val="009454AA"/>
    <w:rsid w:val="009455BA"/>
    <w:rsid w:val="00945678"/>
    <w:rsid w:val="009456FB"/>
    <w:rsid w:val="0094585D"/>
    <w:rsid w:val="00945865"/>
    <w:rsid w:val="00945906"/>
    <w:rsid w:val="0094590E"/>
    <w:rsid w:val="0094595E"/>
    <w:rsid w:val="009459C9"/>
    <w:rsid w:val="009459E4"/>
    <w:rsid w:val="00945A5F"/>
    <w:rsid w:val="00945B0A"/>
    <w:rsid w:val="00945C12"/>
    <w:rsid w:val="00945C3A"/>
    <w:rsid w:val="00945D60"/>
    <w:rsid w:val="00945D7F"/>
    <w:rsid w:val="00945E90"/>
    <w:rsid w:val="00945EE7"/>
    <w:rsid w:val="00945FBC"/>
    <w:rsid w:val="00945FE9"/>
    <w:rsid w:val="00946026"/>
    <w:rsid w:val="00946083"/>
    <w:rsid w:val="009460DF"/>
    <w:rsid w:val="00946335"/>
    <w:rsid w:val="00946380"/>
    <w:rsid w:val="0094640B"/>
    <w:rsid w:val="0094640F"/>
    <w:rsid w:val="009464B3"/>
    <w:rsid w:val="00946503"/>
    <w:rsid w:val="0094669D"/>
    <w:rsid w:val="009466A6"/>
    <w:rsid w:val="0094682B"/>
    <w:rsid w:val="00946855"/>
    <w:rsid w:val="00946884"/>
    <w:rsid w:val="00946898"/>
    <w:rsid w:val="00946930"/>
    <w:rsid w:val="00946996"/>
    <w:rsid w:val="00946A01"/>
    <w:rsid w:val="00946A0D"/>
    <w:rsid w:val="00946A4E"/>
    <w:rsid w:val="00946B52"/>
    <w:rsid w:val="00946BDB"/>
    <w:rsid w:val="00946D6C"/>
    <w:rsid w:val="00946E2B"/>
    <w:rsid w:val="00946ED3"/>
    <w:rsid w:val="00946F33"/>
    <w:rsid w:val="00946F56"/>
    <w:rsid w:val="00946F63"/>
    <w:rsid w:val="00947013"/>
    <w:rsid w:val="00947079"/>
    <w:rsid w:val="00947087"/>
    <w:rsid w:val="0094719C"/>
    <w:rsid w:val="00947306"/>
    <w:rsid w:val="00947316"/>
    <w:rsid w:val="0094736B"/>
    <w:rsid w:val="009473B6"/>
    <w:rsid w:val="009473BC"/>
    <w:rsid w:val="00947473"/>
    <w:rsid w:val="009474FA"/>
    <w:rsid w:val="0094752C"/>
    <w:rsid w:val="00947539"/>
    <w:rsid w:val="00947589"/>
    <w:rsid w:val="0094758A"/>
    <w:rsid w:val="009475A3"/>
    <w:rsid w:val="00947660"/>
    <w:rsid w:val="00947696"/>
    <w:rsid w:val="00947769"/>
    <w:rsid w:val="00947806"/>
    <w:rsid w:val="00947819"/>
    <w:rsid w:val="00947859"/>
    <w:rsid w:val="009478AF"/>
    <w:rsid w:val="00947932"/>
    <w:rsid w:val="00947A52"/>
    <w:rsid w:val="00947A65"/>
    <w:rsid w:val="00947B1D"/>
    <w:rsid w:val="00947C1A"/>
    <w:rsid w:val="00947D42"/>
    <w:rsid w:val="00947DB3"/>
    <w:rsid w:val="00947E47"/>
    <w:rsid w:val="00950085"/>
    <w:rsid w:val="009503D1"/>
    <w:rsid w:val="009503EB"/>
    <w:rsid w:val="009503FA"/>
    <w:rsid w:val="00950465"/>
    <w:rsid w:val="0095070A"/>
    <w:rsid w:val="0095086B"/>
    <w:rsid w:val="00950894"/>
    <w:rsid w:val="009508C4"/>
    <w:rsid w:val="00950987"/>
    <w:rsid w:val="00950A04"/>
    <w:rsid w:val="00950A05"/>
    <w:rsid w:val="00950A07"/>
    <w:rsid w:val="00950A1A"/>
    <w:rsid w:val="00950B35"/>
    <w:rsid w:val="00950C29"/>
    <w:rsid w:val="00950CE9"/>
    <w:rsid w:val="00950D55"/>
    <w:rsid w:val="00950DEB"/>
    <w:rsid w:val="00950F2D"/>
    <w:rsid w:val="00950F76"/>
    <w:rsid w:val="00950FD3"/>
    <w:rsid w:val="00951144"/>
    <w:rsid w:val="009511C7"/>
    <w:rsid w:val="0095122F"/>
    <w:rsid w:val="0095124D"/>
    <w:rsid w:val="0095140E"/>
    <w:rsid w:val="00951480"/>
    <w:rsid w:val="009514EC"/>
    <w:rsid w:val="009516B9"/>
    <w:rsid w:val="00951757"/>
    <w:rsid w:val="009517C7"/>
    <w:rsid w:val="009518C4"/>
    <w:rsid w:val="009518CB"/>
    <w:rsid w:val="00951969"/>
    <w:rsid w:val="009519C5"/>
    <w:rsid w:val="009519D5"/>
    <w:rsid w:val="00951C0C"/>
    <w:rsid w:val="00951C7E"/>
    <w:rsid w:val="00951C82"/>
    <w:rsid w:val="00951D05"/>
    <w:rsid w:val="00951D24"/>
    <w:rsid w:val="00951D34"/>
    <w:rsid w:val="00951D44"/>
    <w:rsid w:val="00951D89"/>
    <w:rsid w:val="00951EED"/>
    <w:rsid w:val="00951F4B"/>
    <w:rsid w:val="00951F4F"/>
    <w:rsid w:val="00951FF5"/>
    <w:rsid w:val="00952001"/>
    <w:rsid w:val="009520FD"/>
    <w:rsid w:val="00952157"/>
    <w:rsid w:val="0095223F"/>
    <w:rsid w:val="00952250"/>
    <w:rsid w:val="00952339"/>
    <w:rsid w:val="009523CF"/>
    <w:rsid w:val="00952432"/>
    <w:rsid w:val="009524E3"/>
    <w:rsid w:val="009524FD"/>
    <w:rsid w:val="0095250B"/>
    <w:rsid w:val="00952517"/>
    <w:rsid w:val="00952600"/>
    <w:rsid w:val="00952650"/>
    <w:rsid w:val="009526E1"/>
    <w:rsid w:val="009526E3"/>
    <w:rsid w:val="009526EE"/>
    <w:rsid w:val="00952799"/>
    <w:rsid w:val="0095282A"/>
    <w:rsid w:val="0095286D"/>
    <w:rsid w:val="009528DB"/>
    <w:rsid w:val="009529DA"/>
    <w:rsid w:val="00952A30"/>
    <w:rsid w:val="00952A39"/>
    <w:rsid w:val="00952AE3"/>
    <w:rsid w:val="00952B9E"/>
    <w:rsid w:val="00952C13"/>
    <w:rsid w:val="00952C7A"/>
    <w:rsid w:val="00952CDA"/>
    <w:rsid w:val="00952E2C"/>
    <w:rsid w:val="00952E90"/>
    <w:rsid w:val="00952EA0"/>
    <w:rsid w:val="00952FF6"/>
    <w:rsid w:val="00953689"/>
    <w:rsid w:val="00953761"/>
    <w:rsid w:val="009537C0"/>
    <w:rsid w:val="0095383E"/>
    <w:rsid w:val="00953874"/>
    <w:rsid w:val="00953A28"/>
    <w:rsid w:val="00953A7E"/>
    <w:rsid w:val="00953AFF"/>
    <w:rsid w:val="00953BDE"/>
    <w:rsid w:val="00953D74"/>
    <w:rsid w:val="00953E3E"/>
    <w:rsid w:val="00953E76"/>
    <w:rsid w:val="00954050"/>
    <w:rsid w:val="00954188"/>
    <w:rsid w:val="00954213"/>
    <w:rsid w:val="00954232"/>
    <w:rsid w:val="0095425E"/>
    <w:rsid w:val="00954290"/>
    <w:rsid w:val="009543D6"/>
    <w:rsid w:val="0095443D"/>
    <w:rsid w:val="009544DB"/>
    <w:rsid w:val="00954577"/>
    <w:rsid w:val="00954631"/>
    <w:rsid w:val="009546D7"/>
    <w:rsid w:val="00954754"/>
    <w:rsid w:val="0095483D"/>
    <w:rsid w:val="009548D9"/>
    <w:rsid w:val="0095495A"/>
    <w:rsid w:val="00954A92"/>
    <w:rsid w:val="00954B67"/>
    <w:rsid w:val="00954B68"/>
    <w:rsid w:val="00954C87"/>
    <w:rsid w:val="00954C90"/>
    <w:rsid w:val="00954D6D"/>
    <w:rsid w:val="00954DAA"/>
    <w:rsid w:val="00954DAF"/>
    <w:rsid w:val="00954E06"/>
    <w:rsid w:val="00954E43"/>
    <w:rsid w:val="00954EFB"/>
    <w:rsid w:val="00954F64"/>
    <w:rsid w:val="00954FA6"/>
    <w:rsid w:val="00954FFB"/>
    <w:rsid w:val="00955004"/>
    <w:rsid w:val="0095513A"/>
    <w:rsid w:val="00955155"/>
    <w:rsid w:val="00955239"/>
    <w:rsid w:val="009553DE"/>
    <w:rsid w:val="009554AE"/>
    <w:rsid w:val="009555F0"/>
    <w:rsid w:val="009556AA"/>
    <w:rsid w:val="009556BD"/>
    <w:rsid w:val="00955734"/>
    <w:rsid w:val="00955863"/>
    <w:rsid w:val="009558CA"/>
    <w:rsid w:val="009559D5"/>
    <w:rsid w:val="00955AFC"/>
    <w:rsid w:val="00955C4E"/>
    <w:rsid w:val="00955C85"/>
    <w:rsid w:val="00955CAB"/>
    <w:rsid w:val="00955DB9"/>
    <w:rsid w:val="00955E16"/>
    <w:rsid w:val="00956039"/>
    <w:rsid w:val="0095613E"/>
    <w:rsid w:val="0095614B"/>
    <w:rsid w:val="00956239"/>
    <w:rsid w:val="00956306"/>
    <w:rsid w:val="0095636C"/>
    <w:rsid w:val="0095639B"/>
    <w:rsid w:val="0095666F"/>
    <w:rsid w:val="0095671A"/>
    <w:rsid w:val="00956806"/>
    <w:rsid w:val="00956831"/>
    <w:rsid w:val="0095688D"/>
    <w:rsid w:val="009568DD"/>
    <w:rsid w:val="00956961"/>
    <w:rsid w:val="00956976"/>
    <w:rsid w:val="00956AA9"/>
    <w:rsid w:val="00956BB9"/>
    <w:rsid w:val="00956C1E"/>
    <w:rsid w:val="00956C25"/>
    <w:rsid w:val="00956C4E"/>
    <w:rsid w:val="00956EF1"/>
    <w:rsid w:val="00956EFF"/>
    <w:rsid w:val="00956F53"/>
    <w:rsid w:val="00957055"/>
    <w:rsid w:val="0095708B"/>
    <w:rsid w:val="00957115"/>
    <w:rsid w:val="00957167"/>
    <w:rsid w:val="009571A8"/>
    <w:rsid w:val="0095731E"/>
    <w:rsid w:val="009573A5"/>
    <w:rsid w:val="009573DE"/>
    <w:rsid w:val="0095743F"/>
    <w:rsid w:val="00957517"/>
    <w:rsid w:val="009575A5"/>
    <w:rsid w:val="009575CE"/>
    <w:rsid w:val="00957668"/>
    <w:rsid w:val="009577F4"/>
    <w:rsid w:val="009577F5"/>
    <w:rsid w:val="00957832"/>
    <w:rsid w:val="00957882"/>
    <w:rsid w:val="0095788B"/>
    <w:rsid w:val="009579F4"/>
    <w:rsid w:val="00957A47"/>
    <w:rsid w:val="00957A7D"/>
    <w:rsid w:val="00957B3A"/>
    <w:rsid w:val="00957BD5"/>
    <w:rsid w:val="00957C6A"/>
    <w:rsid w:val="00957E88"/>
    <w:rsid w:val="00957EF6"/>
    <w:rsid w:val="00960007"/>
    <w:rsid w:val="00960086"/>
    <w:rsid w:val="0096016D"/>
    <w:rsid w:val="009602AC"/>
    <w:rsid w:val="009602B1"/>
    <w:rsid w:val="00960345"/>
    <w:rsid w:val="009603DF"/>
    <w:rsid w:val="00960471"/>
    <w:rsid w:val="009605B2"/>
    <w:rsid w:val="009605E2"/>
    <w:rsid w:val="009605F6"/>
    <w:rsid w:val="009606DD"/>
    <w:rsid w:val="00960718"/>
    <w:rsid w:val="0096074E"/>
    <w:rsid w:val="009607B1"/>
    <w:rsid w:val="0096096D"/>
    <w:rsid w:val="00960988"/>
    <w:rsid w:val="00960B03"/>
    <w:rsid w:val="00960B3E"/>
    <w:rsid w:val="00960C5A"/>
    <w:rsid w:val="00960CF9"/>
    <w:rsid w:val="00960DD2"/>
    <w:rsid w:val="00960F2A"/>
    <w:rsid w:val="00960F53"/>
    <w:rsid w:val="00960FB0"/>
    <w:rsid w:val="00960FF8"/>
    <w:rsid w:val="009610EE"/>
    <w:rsid w:val="00961111"/>
    <w:rsid w:val="0096111A"/>
    <w:rsid w:val="00961129"/>
    <w:rsid w:val="0096116F"/>
    <w:rsid w:val="00961231"/>
    <w:rsid w:val="00961332"/>
    <w:rsid w:val="009613B7"/>
    <w:rsid w:val="00961549"/>
    <w:rsid w:val="0096156B"/>
    <w:rsid w:val="00961697"/>
    <w:rsid w:val="009616F2"/>
    <w:rsid w:val="009617E5"/>
    <w:rsid w:val="00961859"/>
    <w:rsid w:val="00961889"/>
    <w:rsid w:val="00961899"/>
    <w:rsid w:val="00961955"/>
    <w:rsid w:val="009619D0"/>
    <w:rsid w:val="00961A05"/>
    <w:rsid w:val="00961A45"/>
    <w:rsid w:val="00961CD7"/>
    <w:rsid w:val="00961D01"/>
    <w:rsid w:val="00961DAD"/>
    <w:rsid w:val="00961DB5"/>
    <w:rsid w:val="00961E19"/>
    <w:rsid w:val="00961E8D"/>
    <w:rsid w:val="00961F15"/>
    <w:rsid w:val="009622BF"/>
    <w:rsid w:val="009622ED"/>
    <w:rsid w:val="00962319"/>
    <w:rsid w:val="00962356"/>
    <w:rsid w:val="0096235A"/>
    <w:rsid w:val="009624A2"/>
    <w:rsid w:val="0096254F"/>
    <w:rsid w:val="009625B7"/>
    <w:rsid w:val="009625EB"/>
    <w:rsid w:val="009625FD"/>
    <w:rsid w:val="00962629"/>
    <w:rsid w:val="009627BE"/>
    <w:rsid w:val="0096286E"/>
    <w:rsid w:val="0096289D"/>
    <w:rsid w:val="009628D4"/>
    <w:rsid w:val="00962921"/>
    <w:rsid w:val="00962A22"/>
    <w:rsid w:val="00962AC8"/>
    <w:rsid w:val="00962C0B"/>
    <w:rsid w:val="00962C64"/>
    <w:rsid w:val="00962CE4"/>
    <w:rsid w:val="00962D1E"/>
    <w:rsid w:val="00962F7A"/>
    <w:rsid w:val="00962F82"/>
    <w:rsid w:val="00962FCE"/>
    <w:rsid w:val="00963017"/>
    <w:rsid w:val="00963054"/>
    <w:rsid w:val="00963177"/>
    <w:rsid w:val="00963181"/>
    <w:rsid w:val="009632BC"/>
    <w:rsid w:val="009632FF"/>
    <w:rsid w:val="00963349"/>
    <w:rsid w:val="00963470"/>
    <w:rsid w:val="009634A1"/>
    <w:rsid w:val="009634DC"/>
    <w:rsid w:val="0096354F"/>
    <w:rsid w:val="00963556"/>
    <w:rsid w:val="009636EF"/>
    <w:rsid w:val="009637BE"/>
    <w:rsid w:val="009637EB"/>
    <w:rsid w:val="00963807"/>
    <w:rsid w:val="009639A9"/>
    <w:rsid w:val="009639F4"/>
    <w:rsid w:val="00963ABD"/>
    <w:rsid w:val="00963C07"/>
    <w:rsid w:val="00963C18"/>
    <w:rsid w:val="00963C2B"/>
    <w:rsid w:val="00963C61"/>
    <w:rsid w:val="00963C67"/>
    <w:rsid w:val="00963DA0"/>
    <w:rsid w:val="00963DF3"/>
    <w:rsid w:val="00963E39"/>
    <w:rsid w:val="00964022"/>
    <w:rsid w:val="00964031"/>
    <w:rsid w:val="0096405F"/>
    <w:rsid w:val="00964129"/>
    <w:rsid w:val="00964245"/>
    <w:rsid w:val="009642AD"/>
    <w:rsid w:val="009642F1"/>
    <w:rsid w:val="00964356"/>
    <w:rsid w:val="0096453F"/>
    <w:rsid w:val="00964618"/>
    <w:rsid w:val="00964637"/>
    <w:rsid w:val="009646CE"/>
    <w:rsid w:val="009646DB"/>
    <w:rsid w:val="00964794"/>
    <w:rsid w:val="009647B7"/>
    <w:rsid w:val="009647C8"/>
    <w:rsid w:val="009648C4"/>
    <w:rsid w:val="0096490F"/>
    <w:rsid w:val="009649A3"/>
    <w:rsid w:val="00964A82"/>
    <w:rsid w:val="00964AB5"/>
    <w:rsid w:val="00964BDF"/>
    <w:rsid w:val="00964DC1"/>
    <w:rsid w:val="00964E62"/>
    <w:rsid w:val="00964F11"/>
    <w:rsid w:val="0096521E"/>
    <w:rsid w:val="00965309"/>
    <w:rsid w:val="00965435"/>
    <w:rsid w:val="009654BC"/>
    <w:rsid w:val="0096559C"/>
    <w:rsid w:val="009655F2"/>
    <w:rsid w:val="00965705"/>
    <w:rsid w:val="00965745"/>
    <w:rsid w:val="0096576D"/>
    <w:rsid w:val="00965818"/>
    <w:rsid w:val="00965863"/>
    <w:rsid w:val="009658AE"/>
    <w:rsid w:val="009658EE"/>
    <w:rsid w:val="00965A60"/>
    <w:rsid w:val="00965BE4"/>
    <w:rsid w:val="00965BE9"/>
    <w:rsid w:val="00965C40"/>
    <w:rsid w:val="00965CB0"/>
    <w:rsid w:val="00965D1C"/>
    <w:rsid w:val="00965D6A"/>
    <w:rsid w:val="00965DCE"/>
    <w:rsid w:val="00965E3B"/>
    <w:rsid w:val="00965F13"/>
    <w:rsid w:val="00965FD3"/>
    <w:rsid w:val="009660A4"/>
    <w:rsid w:val="009660DE"/>
    <w:rsid w:val="00966199"/>
    <w:rsid w:val="009661C3"/>
    <w:rsid w:val="00966203"/>
    <w:rsid w:val="00966221"/>
    <w:rsid w:val="009662B5"/>
    <w:rsid w:val="00966301"/>
    <w:rsid w:val="00966309"/>
    <w:rsid w:val="0096638F"/>
    <w:rsid w:val="009663BE"/>
    <w:rsid w:val="00966590"/>
    <w:rsid w:val="00966713"/>
    <w:rsid w:val="00966762"/>
    <w:rsid w:val="009667BC"/>
    <w:rsid w:val="00966806"/>
    <w:rsid w:val="00966915"/>
    <w:rsid w:val="0096692E"/>
    <w:rsid w:val="009669CA"/>
    <w:rsid w:val="00966A2E"/>
    <w:rsid w:val="00966A34"/>
    <w:rsid w:val="00966AF4"/>
    <w:rsid w:val="00966CFC"/>
    <w:rsid w:val="00966D34"/>
    <w:rsid w:val="00966D94"/>
    <w:rsid w:val="00966DB0"/>
    <w:rsid w:val="00966E16"/>
    <w:rsid w:val="00966E64"/>
    <w:rsid w:val="0096734B"/>
    <w:rsid w:val="00967471"/>
    <w:rsid w:val="009675D4"/>
    <w:rsid w:val="0096763A"/>
    <w:rsid w:val="009676FB"/>
    <w:rsid w:val="00967713"/>
    <w:rsid w:val="0096780A"/>
    <w:rsid w:val="00967839"/>
    <w:rsid w:val="0096784D"/>
    <w:rsid w:val="00967864"/>
    <w:rsid w:val="00967B2B"/>
    <w:rsid w:val="00967B56"/>
    <w:rsid w:val="00967BD3"/>
    <w:rsid w:val="00967C36"/>
    <w:rsid w:val="00967CE9"/>
    <w:rsid w:val="00967D23"/>
    <w:rsid w:val="00967D38"/>
    <w:rsid w:val="00967DAD"/>
    <w:rsid w:val="00967E3D"/>
    <w:rsid w:val="00967E48"/>
    <w:rsid w:val="00967F33"/>
    <w:rsid w:val="00967F37"/>
    <w:rsid w:val="009700FD"/>
    <w:rsid w:val="00970163"/>
    <w:rsid w:val="009701F1"/>
    <w:rsid w:val="00970214"/>
    <w:rsid w:val="00970228"/>
    <w:rsid w:val="00970293"/>
    <w:rsid w:val="0097054C"/>
    <w:rsid w:val="0097056F"/>
    <w:rsid w:val="0097065A"/>
    <w:rsid w:val="0097079A"/>
    <w:rsid w:val="009707EA"/>
    <w:rsid w:val="009708F7"/>
    <w:rsid w:val="00970A68"/>
    <w:rsid w:val="00970AF6"/>
    <w:rsid w:val="00970BB2"/>
    <w:rsid w:val="00970C5F"/>
    <w:rsid w:val="00970C7D"/>
    <w:rsid w:val="00970CC2"/>
    <w:rsid w:val="00970CD6"/>
    <w:rsid w:val="00970CFD"/>
    <w:rsid w:val="00970DBB"/>
    <w:rsid w:val="00970DE2"/>
    <w:rsid w:val="00970ECD"/>
    <w:rsid w:val="00971103"/>
    <w:rsid w:val="0097131C"/>
    <w:rsid w:val="00971346"/>
    <w:rsid w:val="0097149E"/>
    <w:rsid w:val="00971501"/>
    <w:rsid w:val="009715FB"/>
    <w:rsid w:val="00971708"/>
    <w:rsid w:val="0097172C"/>
    <w:rsid w:val="00971797"/>
    <w:rsid w:val="00971904"/>
    <w:rsid w:val="00971A0D"/>
    <w:rsid w:val="00971A74"/>
    <w:rsid w:val="00971AA1"/>
    <w:rsid w:val="00971B91"/>
    <w:rsid w:val="00971C87"/>
    <w:rsid w:val="00971C90"/>
    <w:rsid w:val="00971E95"/>
    <w:rsid w:val="009720AB"/>
    <w:rsid w:val="00972256"/>
    <w:rsid w:val="009723A1"/>
    <w:rsid w:val="00972714"/>
    <w:rsid w:val="0097282B"/>
    <w:rsid w:val="00972897"/>
    <w:rsid w:val="00972962"/>
    <w:rsid w:val="00972988"/>
    <w:rsid w:val="00972A25"/>
    <w:rsid w:val="00972A5F"/>
    <w:rsid w:val="00972C2E"/>
    <w:rsid w:val="00972C71"/>
    <w:rsid w:val="00972D27"/>
    <w:rsid w:val="00972D58"/>
    <w:rsid w:val="00972ECE"/>
    <w:rsid w:val="00972F4B"/>
    <w:rsid w:val="00973031"/>
    <w:rsid w:val="00973078"/>
    <w:rsid w:val="0097312B"/>
    <w:rsid w:val="00973191"/>
    <w:rsid w:val="009731E5"/>
    <w:rsid w:val="009731E9"/>
    <w:rsid w:val="00973298"/>
    <w:rsid w:val="009732DE"/>
    <w:rsid w:val="009734AB"/>
    <w:rsid w:val="00973515"/>
    <w:rsid w:val="0097376E"/>
    <w:rsid w:val="0097382D"/>
    <w:rsid w:val="00973836"/>
    <w:rsid w:val="0097386B"/>
    <w:rsid w:val="009738B5"/>
    <w:rsid w:val="00973CE9"/>
    <w:rsid w:val="00973CEC"/>
    <w:rsid w:val="00973D11"/>
    <w:rsid w:val="00973D3F"/>
    <w:rsid w:val="00973DA6"/>
    <w:rsid w:val="00973DF4"/>
    <w:rsid w:val="00973E13"/>
    <w:rsid w:val="00973E34"/>
    <w:rsid w:val="00973E5E"/>
    <w:rsid w:val="00973E7F"/>
    <w:rsid w:val="00973EFE"/>
    <w:rsid w:val="00973F45"/>
    <w:rsid w:val="00973F56"/>
    <w:rsid w:val="00973FF6"/>
    <w:rsid w:val="00974078"/>
    <w:rsid w:val="00974086"/>
    <w:rsid w:val="00974176"/>
    <w:rsid w:val="009742D7"/>
    <w:rsid w:val="0097451D"/>
    <w:rsid w:val="0097455F"/>
    <w:rsid w:val="00974579"/>
    <w:rsid w:val="00974664"/>
    <w:rsid w:val="009746E8"/>
    <w:rsid w:val="009746F0"/>
    <w:rsid w:val="009746F1"/>
    <w:rsid w:val="00974732"/>
    <w:rsid w:val="00974745"/>
    <w:rsid w:val="0097478D"/>
    <w:rsid w:val="0097479A"/>
    <w:rsid w:val="00974803"/>
    <w:rsid w:val="0097482C"/>
    <w:rsid w:val="00974953"/>
    <w:rsid w:val="009749CA"/>
    <w:rsid w:val="00974A40"/>
    <w:rsid w:val="00974BA7"/>
    <w:rsid w:val="00974C5E"/>
    <w:rsid w:val="00974C65"/>
    <w:rsid w:val="00974D5C"/>
    <w:rsid w:val="00974E24"/>
    <w:rsid w:val="00974E6F"/>
    <w:rsid w:val="00974EFC"/>
    <w:rsid w:val="00974FE0"/>
    <w:rsid w:val="009750D3"/>
    <w:rsid w:val="0097510E"/>
    <w:rsid w:val="0097513C"/>
    <w:rsid w:val="00975170"/>
    <w:rsid w:val="0097533E"/>
    <w:rsid w:val="00975364"/>
    <w:rsid w:val="009753DD"/>
    <w:rsid w:val="009753E1"/>
    <w:rsid w:val="00975414"/>
    <w:rsid w:val="009754BE"/>
    <w:rsid w:val="00975526"/>
    <w:rsid w:val="00975558"/>
    <w:rsid w:val="00975796"/>
    <w:rsid w:val="00975859"/>
    <w:rsid w:val="0097586B"/>
    <w:rsid w:val="0097587A"/>
    <w:rsid w:val="00975939"/>
    <w:rsid w:val="00975986"/>
    <w:rsid w:val="009759B8"/>
    <w:rsid w:val="009759C3"/>
    <w:rsid w:val="00975AA8"/>
    <w:rsid w:val="00975B7C"/>
    <w:rsid w:val="00975BB8"/>
    <w:rsid w:val="00975BD1"/>
    <w:rsid w:val="00975C83"/>
    <w:rsid w:val="00975CC7"/>
    <w:rsid w:val="00975D90"/>
    <w:rsid w:val="00975E97"/>
    <w:rsid w:val="00975EC4"/>
    <w:rsid w:val="00975EFF"/>
    <w:rsid w:val="00975F4F"/>
    <w:rsid w:val="00975FBE"/>
    <w:rsid w:val="00975FFA"/>
    <w:rsid w:val="009760D5"/>
    <w:rsid w:val="0097615B"/>
    <w:rsid w:val="00976372"/>
    <w:rsid w:val="00976446"/>
    <w:rsid w:val="0097647B"/>
    <w:rsid w:val="009764BF"/>
    <w:rsid w:val="009764D6"/>
    <w:rsid w:val="00976545"/>
    <w:rsid w:val="009765D6"/>
    <w:rsid w:val="00976724"/>
    <w:rsid w:val="009767B7"/>
    <w:rsid w:val="009768A9"/>
    <w:rsid w:val="009769D1"/>
    <w:rsid w:val="009769E3"/>
    <w:rsid w:val="00976BD1"/>
    <w:rsid w:val="00976DC1"/>
    <w:rsid w:val="00976E0C"/>
    <w:rsid w:val="00976E14"/>
    <w:rsid w:val="00976E44"/>
    <w:rsid w:val="00976EB0"/>
    <w:rsid w:val="00976FB4"/>
    <w:rsid w:val="00977089"/>
    <w:rsid w:val="00977310"/>
    <w:rsid w:val="00977352"/>
    <w:rsid w:val="00977375"/>
    <w:rsid w:val="009773D0"/>
    <w:rsid w:val="00977499"/>
    <w:rsid w:val="00977504"/>
    <w:rsid w:val="009775B8"/>
    <w:rsid w:val="00977865"/>
    <w:rsid w:val="009778EC"/>
    <w:rsid w:val="00977939"/>
    <w:rsid w:val="00977A37"/>
    <w:rsid w:val="00977A6F"/>
    <w:rsid w:val="00977A9A"/>
    <w:rsid w:val="00977B94"/>
    <w:rsid w:val="00977BCE"/>
    <w:rsid w:val="00977C52"/>
    <w:rsid w:val="00977C66"/>
    <w:rsid w:val="00977CE4"/>
    <w:rsid w:val="00977CEF"/>
    <w:rsid w:val="00977D18"/>
    <w:rsid w:val="00977E6F"/>
    <w:rsid w:val="00977EAB"/>
    <w:rsid w:val="009800D0"/>
    <w:rsid w:val="00980287"/>
    <w:rsid w:val="00980455"/>
    <w:rsid w:val="009804AE"/>
    <w:rsid w:val="00980687"/>
    <w:rsid w:val="009806FD"/>
    <w:rsid w:val="00980727"/>
    <w:rsid w:val="00980786"/>
    <w:rsid w:val="009807EC"/>
    <w:rsid w:val="009808B2"/>
    <w:rsid w:val="00980ACC"/>
    <w:rsid w:val="00980B7F"/>
    <w:rsid w:val="00980C0C"/>
    <w:rsid w:val="00980C77"/>
    <w:rsid w:val="00980DB1"/>
    <w:rsid w:val="00980E2C"/>
    <w:rsid w:val="00980EE7"/>
    <w:rsid w:val="00980FA9"/>
    <w:rsid w:val="00981025"/>
    <w:rsid w:val="0098109F"/>
    <w:rsid w:val="00981203"/>
    <w:rsid w:val="009812BB"/>
    <w:rsid w:val="00981357"/>
    <w:rsid w:val="009813D0"/>
    <w:rsid w:val="009816AF"/>
    <w:rsid w:val="009816EA"/>
    <w:rsid w:val="0098187B"/>
    <w:rsid w:val="00981A4F"/>
    <w:rsid w:val="00981B2B"/>
    <w:rsid w:val="00981E42"/>
    <w:rsid w:val="00981FC3"/>
    <w:rsid w:val="00981FDB"/>
    <w:rsid w:val="00982004"/>
    <w:rsid w:val="00982046"/>
    <w:rsid w:val="0098223D"/>
    <w:rsid w:val="00982253"/>
    <w:rsid w:val="009822E4"/>
    <w:rsid w:val="009823CF"/>
    <w:rsid w:val="009823DA"/>
    <w:rsid w:val="009823FB"/>
    <w:rsid w:val="0098243A"/>
    <w:rsid w:val="00982542"/>
    <w:rsid w:val="009825C2"/>
    <w:rsid w:val="009825C9"/>
    <w:rsid w:val="00982624"/>
    <w:rsid w:val="0098264A"/>
    <w:rsid w:val="0098266E"/>
    <w:rsid w:val="009829F6"/>
    <w:rsid w:val="00982A07"/>
    <w:rsid w:val="00982A84"/>
    <w:rsid w:val="00982B79"/>
    <w:rsid w:val="00982D42"/>
    <w:rsid w:val="00982D78"/>
    <w:rsid w:val="00982E0D"/>
    <w:rsid w:val="00983097"/>
    <w:rsid w:val="009831F2"/>
    <w:rsid w:val="0098320C"/>
    <w:rsid w:val="00983262"/>
    <w:rsid w:val="009832B4"/>
    <w:rsid w:val="009832C3"/>
    <w:rsid w:val="0098351C"/>
    <w:rsid w:val="00983584"/>
    <w:rsid w:val="0098375A"/>
    <w:rsid w:val="00983777"/>
    <w:rsid w:val="009837D0"/>
    <w:rsid w:val="00983962"/>
    <w:rsid w:val="00983A35"/>
    <w:rsid w:val="00983A57"/>
    <w:rsid w:val="00983AB0"/>
    <w:rsid w:val="00983AE3"/>
    <w:rsid w:val="00983C8B"/>
    <w:rsid w:val="00983CA7"/>
    <w:rsid w:val="00983D5D"/>
    <w:rsid w:val="00983E32"/>
    <w:rsid w:val="009841C0"/>
    <w:rsid w:val="0098432C"/>
    <w:rsid w:val="009843EC"/>
    <w:rsid w:val="009844DE"/>
    <w:rsid w:val="009845A1"/>
    <w:rsid w:val="0098464B"/>
    <w:rsid w:val="009846EE"/>
    <w:rsid w:val="009848C2"/>
    <w:rsid w:val="00984A7E"/>
    <w:rsid w:val="00984AB4"/>
    <w:rsid w:val="00984B3B"/>
    <w:rsid w:val="00984B4B"/>
    <w:rsid w:val="00984BF7"/>
    <w:rsid w:val="00984FCD"/>
    <w:rsid w:val="00985023"/>
    <w:rsid w:val="0098509A"/>
    <w:rsid w:val="009851B4"/>
    <w:rsid w:val="009851C7"/>
    <w:rsid w:val="00985402"/>
    <w:rsid w:val="00985469"/>
    <w:rsid w:val="00985657"/>
    <w:rsid w:val="00985731"/>
    <w:rsid w:val="009857E8"/>
    <w:rsid w:val="0098598B"/>
    <w:rsid w:val="00985998"/>
    <w:rsid w:val="00985B03"/>
    <w:rsid w:val="00985B40"/>
    <w:rsid w:val="00985C0C"/>
    <w:rsid w:val="00985EDF"/>
    <w:rsid w:val="00985F55"/>
    <w:rsid w:val="00985F6C"/>
    <w:rsid w:val="0098608A"/>
    <w:rsid w:val="00986116"/>
    <w:rsid w:val="0098626A"/>
    <w:rsid w:val="0098633B"/>
    <w:rsid w:val="009863F8"/>
    <w:rsid w:val="00986407"/>
    <w:rsid w:val="00986442"/>
    <w:rsid w:val="00986466"/>
    <w:rsid w:val="00986474"/>
    <w:rsid w:val="00986501"/>
    <w:rsid w:val="00986632"/>
    <w:rsid w:val="00986673"/>
    <w:rsid w:val="009866EF"/>
    <w:rsid w:val="009867C9"/>
    <w:rsid w:val="009867F8"/>
    <w:rsid w:val="0098680E"/>
    <w:rsid w:val="0098695B"/>
    <w:rsid w:val="009869BA"/>
    <w:rsid w:val="009869E7"/>
    <w:rsid w:val="00986A3E"/>
    <w:rsid w:val="00986A9E"/>
    <w:rsid w:val="00986B7F"/>
    <w:rsid w:val="00986C2D"/>
    <w:rsid w:val="00986D73"/>
    <w:rsid w:val="00986EED"/>
    <w:rsid w:val="00986F27"/>
    <w:rsid w:val="00986F2A"/>
    <w:rsid w:val="00986FC7"/>
    <w:rsid w:val="009872B7"/>
    <w:rsid w:val="00987429"/>
    <w:rsid w:val="009874AE"/>
    <w:rsid w:val="00987501"/>
    <w:rsid w:val="00987597"/>
    <w:rsid w:val="009875B9"/>
    <w:rsid w:val="009875E3"/>
    <w:rsid w:val="0098762A"/>
    <w:rsid w:val="0098762E"/>
    <w:rsid w:val="00987661"/>
    <w:rsid w:val="009877BE"/>
    <w:rsid w:val="009877EA"/>
    <w:rsid w:val="00987974"/>
    <w:rsid w:val="00987A4A"/>
    <w:rsid w:val="00987AB3"/>
    <w:rsid w:val="00987AD2"/>
    <w:rsid w:val="00987C93"/>
    <w:rsid w:val="00987D18"/>
    <w:rsid w:val="00987DC5"/>
    <w:rsid w:val="00987DF3"/>
    <w:rsid w:val="00987EAC"/>
    <w:rsid w:val="00987F09"/>
    <w:rsid w:val="00987F71"/>
    <w:rsid w:val="00987FCA"/>
    <w:rsid w:val="00990050"/>
    <w:rsid w:val="0099007A"/>
    <w:rsid w:val="009901DB"/>
    <w:rsid w:val="00990257"/>
    <w:rsid w:val="009902D5"/>
    <w:rsid w:val="009902F1"/>
    <w:rsid w:val="009905A5"/>
    <w:rsid w:val="009905F4"/>
    <w:rsid w:val="00990688"/>
    <w:rsid w:val="009906BF"/>
    <w:rsid w:val="009906E5"/>
    <w:rsid w:val="00990835"/>
    <w:rsid w:val="00990874"/>
    <w:rsid w:val="009908DB"/>
    <w:rsid w:val="00990918"/>
    <w:rsid w:val="0099094B"/>
    <w:rsid w:val="00990981"/>
    <w:rsid w:val="00990A4E"/>
    <w:rsid w:val="00990A72"/>
    <w:rsid w:val="00990AEB"/>
    <w:rsid w:val="00990BD5"/>
    <w:rsid w:val="00990C84"/>
    <w:rsid w:val="00990CF8"/>
    <w:rsid w:val="00990D0A"/>
    <w:rsid w:val="00990E17"/>
    <w:rsid w:val="00990E3B"/>
    <w:rsid w:val="0099110B"/>
    <w:rsid w:val="0099120F"/>
    <w:rsid w:val="009912FB"/>
    <w:rsid w:val="0099134F"/>
    <w:rsid w:val="009913A2"/>
    <w:rsid w:val="009913D6"/>
    <w:rsid w:val="009913FF"/>
    <w:rsid w:val="0099144D"/>
    <w:rsid w:val="00991458"/>
    <w:rsid w:val="0099153C"/>
    <w:rsid w:val="009915DA"/>
    <w:rsid w:val="009915F7"/>
    <w:rsid w:val="0099161F"/>
    <w:rsid w:val="00991734"/>
    <w:rsid w:val="0099174A"/>
    <w:rsid w:val="0099182F"/>
    <w:rsid w:val="0099185B"/>
    <w:rsid w:val="009918E2"/>
    <w:rsid w:val="0099196F"/>
    <w:rsid w:val="00991973"/>
    <w:rsid w:val="009919D2"/>
    <w:rsid w:val="009919E2"/>
    <w:rsid w:val="00991A25"/>
    <w:rsid w:val="00991A8A"/>
    <w:rsid w:val="00991AC3"/>
    <w:rsid w:val="00991B04"/>
    <w:rsid w:val="00991CD8"/>
    <w:rsid w:val="00991DA0"/>
    <w:rsid w:val="00991E5C"/>
    <w:rsid w:val="00991E83"/>
    <w:rsid w:val="00991F29"/>
    <w:rsid w:val="00991F6B"/>
    <w:rsid w:val="00991FA2"/>
    <w:rsid w:val="00992022"/>
    <w:rsid w:val="00992146"/>
    <w:rsid w:val="00992187"/>
    <w:rsid w:val="009921CD"/>
    <w:rsid w:val="00992221"/>
    <w:rsid w:val="00992260"/>
    <w:rsid w:val="009922A6"/>
    <w:rsid w:val="0099231A"/>
    <w:rsid w:val="009923B8"/>
    <w:rsid w:val="00992434"/>
    <w:rsid w:val="00992447"/>
    <w:rsid w:val="00992547"/>
    <w:rsid w:val="00992616"/>
    <w:rsid w:val="0099264E"/>
    <w:rsid w:val="0099271B"/>
    <w:rsid w:val="009928AA"/>
    <w:rsid w:val="009928F8"/>
    <w:rsid w:val="0099291D"/>
    <w:rsid w:val="00992BF8"/>
    <w:rsid w:val="00992D4E"/>
    <w:rsid w:val="00992E21"/>
    <w:rsid w:val="00992EAF"/>
    <w:rsid w:val="00992EDF"/>
    <w:rsid w:val="00992F15"/>
    <w:rsid w:val="00992F39"/>
    <w:rsid w:val="0099303E"/>
    <w:rsid w:val="00993057"/>
    <w:rsid w:val="009930C2"/>
    <w:rsid w:val="00993210"/>
    <w:rsid w:val="0099327B"/>
    <w:rsid w:val="00993282"/>
    <w:rsid w:val="00993358"/>
    <w:rsid w:val="0099338F"/>
    <w:rsid w:val="0099341C"/>
    <w:rsid w:val="00993501"/>
    <w:rsid w:val="00993530"/>
    <w:rsid w:val="00993588"/>
    <w:rsid w:val="0099359A"/>
    <w:rsid w:val="009935A8"/>
    <w:rsid w:val="009936D8"/>
    <w:rsid w:val="009936DB"/>
    <w:rsid w:val="009937D8"/>
    <w:rsid w:val="0099394A"/>
    <w:rsid w:val="0099397B"/>
    <w:rsid w:val="00993986"/>
    <w:rsid w:val="009939C4"/>
    <w:rsid w:val="00993AD3"/>
    <w:rsid w:val="00993B4B"/>
    <w:rsid w:val="00993B4C"/>
    <w:rsid w:val="00993B66"/>
    <w:rsid w:val="00993B8C"/>
    <w:rsid w:val="00993BB1"/>
    <w:rsid w:val="00993C1D"/>
    <w:rsid w:val="00993C97"/>
    <w:rsid w:val="00993C9D"/>
    <w:rsid w:val="00993CD6"/>
    <w:rsid w:val="00993E87"/>
    <w:rsid w:val="00993FA4"/>
    <w:rsid w:val="009940B3"/>
    <w:rsid w:val="0099414B"/>
    <w:rsid w:val="00994167"/>
    <w:rsid w:val="00994247"/>
    <w:rsid w:val="009942C6"/>
    <w:rsid w:val="00994323"/>
    <w:rsid w:val="00994423"/>
    <w:rsid w:val="00994451"/>
    <w:rsid w:val="00994511"/>
    <w:rsid w:val="0099454E"/>
    <w:rsid w:val="009946EC"/>
    <w:rsid w:val="009947A9"/>
    <w:rsid w:val="009947F1"/>
    <w:rsid w:val="00994888"/>
    <w:rsid w:val="0099488B"/>
    <w:rsid w:val="0099499E"/>
    <w:rsid w:val="009949AF"/>
    <w:rsid w:val="00994A3D"/>
    <w:rsid w:val="00994B5B"/>
    <w:rsid w:val="00994B9B"/>
    <w:rsid w:val="00994BCB"/>
    <w:rsid w:val="00994C9A"/>
    <w:rsid w:val="00994E49"/>
    <w:rsid w:val="009951B6"/>
    <w:rsid w:val="0099531E"/>
    <w:rsid w:val="00995408"/>
    <w:rsid w:val="0099550B"/>
    <w:rsid w:val="00995699"/>
    <w:rsid w:val="009957D4"/>
    <w:rsid w:val="009957EA"/>
    <w:rsid w:val="009958B2"/>
    <w:rsid w:val="009958FA"/>
    <w:rsid w:val="00995965"/>
    <w:rsid w:val="00995AAC"/>
    <w:rsid w:val="00995B52"/>
    <w:rsid w:val="00995BAD"/>
    <w:rsid w:val="00995D4B"/>
    <w:rsid w:val="00995DA5"/>
    <w:rsid w:val="00995DB0"/>
    <w:rsid w:val="00995EF0"/>
    <w:rsid w:val="00995F32"/>
    <w:rsid w:val="00995F3F"/>
    <w:rsid w:val="00996191"/>
    <w:rsid w:val="009961DA"/>
    <w:rsid w:val="009962C3"/>
    <w:rsid w:val="00996590"/>
    <w:rsid w:val="009965B3"/>
    <w:rsid w:val="009966A8"/>
    <w:rsid w:val="00996710"/>
    <w:rsid w:val="0099672E"/>
    <w:rsid w:val="00996742"/>
    <w:rsid w:val="0099676F"/>
    <w:rsid w:val="009967BB"/>
    <w:rsid w:val="00996806"/>
    <w:rsid w:val="0099680C"/>
    <w:rsid w:val="00996854"/>
    <w:rsid w:val="009968C9"/>
    <w:rsid w:val="009968D8"/>
    <w:rsid w:val="0099690E"/>
    <w:rsid w:val="00996923"/>
    <w:rsid w:val="0099692E"/>
    <w:rsid w:val="00996948"/>
    <w:rsid w:val="00996A22"/>
    <w:rsid w:val="00996A4A"/>
    <w:rsid w:val="00996A4D"/>
    <w:rsid w:val="00996A66"/>
    <w:rsid w:val="00996B6C"/>
    <w:rsid w:val="00996BD6"/>
    <w:rsid w:val="00996CB6"/>
    <w:rsid w:val="00996D00"/>
    <w:rsid w:val="00996D0A"/>
    <w:rsid w:val="00996E7A"/>
    <w:rsid w:val="00996E83"/>
    <w:rsid w:val="00996E85"/>
    <w:rsid w:val="00996FEE"/>
    <w:rsid w:val="00997025"/>
    <w:rsid w:val="0099703B"/>
    <w:rsid w:val="00997113"/>
    <w:rsid w:val="009973E3"/>
    <w:rsid w:val="009974F5"/>
    <w:rsid w:val="009975BF"/>
    <w:rsid w:val="00997611"/>
    <w:rsid w:val="0099772A"/>
    <w:rsid w:val="00997763"/>
    <w:rsid w:val="00997832"/>
    <w:rsid w:val="0099789A"/>
    <w:rsid w:val="009978E5"/>
    <w:rsid w:val="009979AE"/>
    <w:rsid w:val="009979DD"/>
    <w:rsid w:val="009979E0"/>
    <w:rsid w:val="00997BD5"/>
    <w:rsid w:val="00997CA3"/>
    <w:rsid w:val="00997D9A"/>
    <w:rsid w:val="00997DFB"/>
    <w:rsid w:val="00997E51"/>
    <w:rsid w:val="00997F07"/>
    <w:rsid w:val="00997F31"/>
    <w:rsid w:val="0099EBD0"/>
    <w:rsid w:val="009A005E"/>
    <w:rsid w:val="009A013D"/>
    <w:rsid w:val="009A0344"/>
    <w:rsid w:val="009A0429"/>
    <w:rsid w:val="009A05BE"/>
    <w:rsid w:val="009A05D1"/>
    <w:rsid w:val="009A081B"/>
    <w:rsid w:val="009A083D"/>
    <w:rsid w:val="009A08FE"/>
    <w:rsid w:val="009A09DA"/>
    <w:rsid w:val="009A0B71"/>
    <w:rsid w:val="009A0BF8"/>
    <w:rsid w:val="009A0C5A"/>
    <w:rsid w:val="009A0CA7"/>
    <w:rsid w:val="009A0D44"/>
    <w:rsid w:val="009A0DBA"/>
    <w:rsid w:val="009A10D8"/>
    <w:rsid w:val="009A11A0"/>
    <w:rsid w:val="009A122F"/>
    <w:rsid w:val="009A128E"/>
    <w:rsid w:val="009A12B2"/>
    <w:rsid w:val="009A12F2"/>
    <w:rsid w:val="009A12F5"/>
    <w:rsid w:val="009A13BB"/>
    <w:rsid w:val="009A1415"/>
    <w:rsid w:val="009A149C"/>
    <w:rsid w:val="009A158F"/>
    <w:rsid w:val="009A16EB"/>
    <w:rsid w:val="009A172E"/>
    <w:rsid w:val="009A1744"/>
    <w:rsid w:val="009A17C7"/>
    <w:rsid w:val="009A17F1"/>
    <w:rsid w:val="009A183C"/>
    <w:rsid w:val="009A19A3"/>
    <w:rsid w:val="009A1C68"/>
    <w:rsid w:val="009A1D91"/>
    <w:rsid w:val="009A1EA7"/>
    <w:rsid w:val="009A1EBA"/>
    <w:rsid w:val="009A1FE2"/>
    <w:rsid w:val="009A2117"/>
    <w:rsid w:val="009A237F"/>
    <w:rsid w:val="009A23CB"/>
    <w:rsid w:val="009A23D9"/>
    <w:rsid w:val="009A23FD"/>
    <w:rsid w:val="009A2452"/>
    <w:rsid w:val="009A2630"/>
    <w:rsid w:val="009A2691"/>
    <w:rsid w:val="009A271A"/>
    <w:rsid w:val="009A27EE"/>
    <w:rsid w:val="009A27FF"/>
    <w:rsid w:val="009A2846"/>
    <w:rsid w:val="009A296A"/>
    <w:rsid w:val="009A2B80"/>
    <w:rsid w:val="009A2BC4"/>
    <w:rsid w:val="009A2C23"/>
    <w:rsid w:val="009A2C41"/>
    <w:rsid w:val="009A2C82"/>
    <w:rsid w:val="009A2CED"/>
    <w:rsid w:val="009A2CF0"/>
    <w:rsid w:val="009A2CF3"/>
    <w:rsid w:val="009A2DEF"/>
    <w:rsid w:val="009A2FEC"/>
    <w:rsid w:val="009A302D"/>
    <w:rsid w:val="009A30B8"/>
    <w:rsid w:val="009A3128"/>
    <w:rsid w:val="009A3242"/>
    <w:rsid w:val="009A32C7"/>
    <w:rsid w:val="009A33DE"/>
    <w:rsid w:val="009A3500"/>
    <w:rsid w:val="009A38D9"/>
    <w:rsid w:val="009A38DC"/>
    <w:rsid w:val="009A38EE"/>
    <w:rsid w:val="009A3908"/>
    <w:rsid w:val="009A39A1"/>
    <w:rsid w:val="009A3A0F"/>
    <w:rsid w:val="009A3BB0"/>
    <w:rsid w:val="009A3BD9"/>
    <w:rsid w:val="009A3C9F"/>
    <w:rsid w:val="009A3E73"/>
    <w:rsid w:val="009A3F8B"/>
    <w:rsid w:val="009A400E"/>
    <w:rsid w:val="009A41A7"/>
    <w:rsid w:val="009A41CD"/>
    <w:rsid w:val="009A423E"/>
    <w:rsid w:val="009A42CB"/>
    <w:rsid w:val="009A434D"/>
    <w:rsid w:val="009A4381"/>
    <w:rsid w:val="009A446B"/>
    <w:rsid w:val="009A44D9"/>
    <w:rsid w:val="009A450C"/>
    <w:rsid w:val="009A4565"/>
    <w:rsid w:val="009A45F2"/>
    <w:rsid w:val="009A4674"/>
    <w:rsid w:val="009A46A6"/>
    <w:rsid w:val="009A46A9"/>
    <w:rsid w:val="009A4731"/>
    <w:rsid w:val="009A4821"/>
    <w:rsid w:val="009A48F8"/>
    <w:rsid w:val="009A4923"/>
    <w:rsid w:val="009A49BC"/>
    <w:rsid w:val="009A4A50"/>
    <w:rsid w:val="009A4A63"/>
    <w:rsid w:val="009A4A9F"/>
    <w:rsid w:val="009A4AD3"/>
    <w:rsid w:val="009A4AE0"/>
    <w:rsid w:val="009A4C67"/>
    <w:rsid w:val="009A4F33"/>
    <w:rsid w:val="009A4F65"/>
    <w:rsid w:val="009A4FAA"/>
    <w:rsid w:val="009A508D"/>
    <w:rsid w:val="009A5194"/>
    <w:rsid w:val="009A51BF"/>
    <w:rsid w:val="009A51D6"/>
    <w:rsid w:val="009A520C"/>
    <w:rsid w:val="009A531B"/>
    <w:rsid w:val="009A5387"/>
    <w:rsid w:val="009A53DE"/>
    <w:rsid w:val="009A552D"/>
    <w:rsid w:val="009A55A5"/>
    <w:rsid w:val="009A56FF"/>
    <w:rsid w:val="009A5724"/>
    <w:rsid w:val="009A572D"/>
    <w:rsid w:val="009A5761"/>
    <w:rsid w:val="009A582E"/>
    <w:rsid w:val="009A5928"/>
    <w:rsid w:val="009A5C15"/>
    <w:rsid w:val="009A5CC1"/>
    <w:rsid w:val="009A5CD8"/>
    <w:rsid w:val="009A5D70"/>
    <w:rsid w:val="009A5DC7"/>
    <w:rsid w:val="009A5E1F"/>
    <w:rsid w:val="009A5F9B"/>
    <w:rsid w:val="009A609F"/>
    <w:rsid w:val="009A60CB"/>
    <w:rsid w:val="009A612F"/>
    <w:rsid w:val="009A62A9"/>
    <w:rsid w:val="009A63A3"/>
    <w:rsid w:val="009A64D7"/>
    <w:rsid w:val="009A64ED"/>
    <w:rsid w:val="009A6502"/>
    <w:rsid w:val="009A65B2"/>
    <w:rsid w:val="009A6670"/>
    <w:rsid w:val="009A67F2"/>
    <w:rsid w:val="009A6824"/>
    <w:rsid w:val="009A689D"/>
    <w:rsid w:val="009A68C9"/>
    <w:rsid w:val="009A6998"/>
    <w:rsid w:val="009A6AFD"/>
    <w:rsid w:val="009A6B13"/>
    <w:rsid w:val="009A6B9B"/>
    <w:rsid w:val="009A6BAC"/>
    <w:rsid w:val="009A6C2B"/>
    <w:rsid w:val="009A6CD4"/>
    <w:rsid w:val="009A6E1A"/>
    <w:rsid w:val="009A6E67"/>
    <w:rsid w:val="009A6E94"/>
    <w:rsid w:val="009A6EB1"/>
    <w:rsid w:val="009A6F02"/>
    <w:rsid w:val="009A6F68"/>
    <w:rsid w:val="009A705C"/>
    <w:rsid w:val="009A7367"/>
    <w:rsid w:val="009A738D"/>
    <w:rsid w:val="009A73BA"/>
    <w:rsid w:val="009A7634"/>
    <w:rsid w:val="009A777B"/>
    <w:rsid w:val="009A77B4"/>
    <w:rsid w:val="009A7800"/>
    <w:rsid w:val="009A78B8"/>
    <w:rsid w:val="009A7C72"/>
    <w:rsid w:val="009A7CF4"/>
    <w:rsid w:val="009A7FFC"/>
    <w:rsid w:val="009B0046"/>
    <w:rsid w:val="009B00D1"/>
    <w:rsid w:val="009B0246"/>
    <w:rsid w:val="009B02EA"/>
    <w:rsid w:val="009B02F2"/>
    <w:rsid w:val="009B0329"/>
    <w:rsid w:val="009B040D"/>
    <w:rsid w:val="009B051D"/>
    <w:rsid w:val="009B0600"/>
    <w:rsid w:val="009B0780"/>
    <w:rsid w:val="009B0989"/>
    <w:rsid w:val="009B0ADD"/>
    <w:rsid w:val="009B0BF9"/>
    <w:rsid w:val="009B0CA0"/>
    <w:rsid w:val="009B0D75"/>
    <w:rsid w:val="009B0E47"/>
    <w:rsid w:val="009B0E5D"/>
    <w:rsid w:val="009B0EE7"/>
    <w:rsid w:val="009B0F22"/>
    <w:rsid w:val="009B100A"/>
    <w:rsid w:val="009B10CB"/>
    <w:rsid w:val="009B10F6"/>
    <w:rsid w:val="009B1108"/>
    <w:rsid w:val="009B116C"/>
    <w:rsid w:val="009B117C"/>
    <w:rsid w:val="009B118F"/>
    <w:rsid w:val="009B131F"/>
    <w:rsid w:val="009B14F6"/>
    <w:rsid w:val="009B1608"/>
    <w:rsid w:val="009B17F8"/>
    <w:rsid w:val="009B183A"/>
    <w:rsid w:val="009B1876"/>
    <w:rsid w:val="009B18BA"/>
    <w:rsid w:val="009B194E"/>
    <w:rsid w:val="009B1A25"/>
    <w:rsid w:val="009B1A62"/>
    <w:rsid w:val="009B1AEC"/>
    <w:rsid w:val="009B1B53"/>
    <w:rsid w:val="009B1BE5"/>
    <w:rsid w:val="009B1CA4"/>
    <w:rsid w:val="009B1CAA"/>
    <w:rsid w:val="009B1D2E"/>
    <w:rsid w:val="009B1D95"/>
    <w:rsid w:val="009B1E52"/>
    <w:rsid w:val="009B1E7A"/>
    <w:rsid w:val="009B1F22"/>
    <w:rsid w:val="009B1F3B"/>
    <w:rsid w:val="009B1F80"/>
    <w:rsid w:val="009B2011"/>
    <w:rsid w:val="009B2040"/>
    <w:rsid w:val="009B2276"/>
    <w:rsid w:val="009B2385"/>
    <w:rsid w:val="009B23EA"/>
    <w:rsid w:val="009B2430"/>
    <w:rsid w:val="009B247F"/>
    <w:rsid w:val="009B25B9"/>
    <w:rsid w:val="009B26A0"/>
    <w:rsid w:val="009B270A"/>
    <w:rsid w:val="009B2818"/>
    <w:rsid w:val="009B2879"/>
    <w:rsid w:val="009B2896"/>
    <w:rsid w:val="009B2A35"/>
    <w:rsid w:val="009B2A70"/>
    <w:rsid w:val="009B2AD6"/>
    <w:rsid w:val="009B2B5E"/>
    <w:rsid w:val="009B2BC8"/>
    <w:rsid w:val="009B2CA3"/>
    <w:rsid w:val="009B2CF4"/>
    <w:rsid w:val="009B2D57"/>
    <w:rsid w:val="009B2DBD"/>
    <w:rsid w:val="009B2E1E"/>
    <w:rsid w:val="009B2E67"/>
    <w:rsid w:val="009B2F43"/>
    <w:rsid w:val="009B306C"/>
    <w:rsid w:val="009B306D"/>
    <w:rsid w:val="009B30B8"/>
    <w:rsid w:val="009B3133"/>
    <w:rsid w:val="009B3155"/>
    <w:rsid w:val="009B31C0"/>
    <w:rsid w:val="009B31C8"/>
    <w:rsid w:val="009B3327"/>
    <w:rsid w:val="009B333E"/>
    <w:rsid w:val="009B3471"/>
    <w:rsid w:val="009B3498"/>
    <w:rsid w:val="009B3557"/>
    <w:rsid w:val="009B35F5"/>
    <w:rsid w:val="009B373E"/>
    <w:rsid w:val="009B37AC"/>
    <w:rsid w:val="009B37D7"/>
    <w:rsid w:val="009B37FD"/>
    <w:rsid w:val="009B3802"/>
    <w:rsid w:val="009B3953"/>
    <w:rsid w:val="009B3972"/>
    <w:rsid w:val="009B3BB5"/>
    <w:rsid w:val="009B3CA5"/>
    <w:rsid w:val="009B3CB9"/>
    <w:rsid w:val="009B3D02"/>
    <w:rsid w:val="009B3DCD"/>
    <w:rsid w:val="009B3E0E"/>
    <w:rsid w:val="009B3E58"/>
    <w:rsid w:val="009B3EA4"/>
    <w:rsid w:val="009B3F81"/>
    <w:rsid w:val="009B3F99"/>
    <w:rsid w:val="009B4147"/>
    <w:rsid w:val="009B4168"/>
    <w:rsid w:val="009B41EB"/>
    <w:rsid w:val="009B4326"/>
    <w:rsid w:val="009B4327"/>
    <w:rsid w:val="009B434A"/>
    <w:rsid w:val="009B43A2"/>
    <w:rsid w:val="009B442C"/>
    <w:rsid w:val="009B452F"/>
    <w:rsid w:val="009B454A"/>
    <w:rsid w:val="009B4852"/>
    <w:rsid w:val="009B4860"/>
    <w:rsid w:val="009B497A"/>
    <w:rsid w:val="009B4A0A"/>
    <w:rsid w:val="009B4A33"/>
    <w:rsid w:val="009B4A51"/>
    <w:rsid w:val="009B4BE8"/>
    <w:rsid w:val="009B4C18"/>
    <w:rsid w:val="009B4C68"/>
    <w:rsid w:val="009B4CA4"/>
    <w:rsid w:val="009B4CDB"/>
    <w:rsid w:val="009B4D19"/>
    <w:rsid w:val="009B51BD"/>
    <w:rsid w:val="009B5243"/>
    <w:rsid w:val="009B5282"/>
    <w:rsid w:val="009B536E"/>
    <w:rsid w:val="009B54FD"/>
    <w:rsid w:val="009B5580"/>
    <w:rsid w:val="009B5663"/>
    <w:rsid w:val="009B5858"/>
    <w:rsid w:val="009B5ACC"/>
    <w:rsid w:val="009B5B14"/>
    <w:rsid w:val="009B5B4D"/>
    <w:rsid w:val="009B5DE7"/>
    <w:rsid w:val="009B5F68"/>
    <w:rsid w:val="009B60AE"/>
    <w:rsid w:val="009B60EF"/>
    <w:rsid w:val="009B615B"/>
    <w:rsid w:val="009B61E9"/>
    <w:rsid w:val="009B6273"/>
    <w:rsid w:val="009B629D"/>
    <w:rsid w:val="009B62BE"/>
    <w:rsid w:val="009B631D"/>
    <w:rsid w:val="009B65C8"/>
    <w:rsid w:val="009B661C"/>
    <w:rsid w:val="009B6694"/>
    <w:rsid w:val="009B66CE"/>
    <w:rsid w:val="009B66D3"/>
    <w:rsid w:val="009B6782"/>
    <w:rsid w:val="009B67EE"/>
    <w:rsid w:val="009B6909"/>
    <w:rsid w:val="009B698E"/>
    <w:rsid w:val="009B69F1"/>
    <w:rsid w:val="009B6B39"/>
    <w:rsid w:val="009B6B6B"/>
    <w:rsid w:val="009B6DDC"/>
    <w:rsid w:val="009B6E0A"/>
    <w:rsid w:val="009B6E8E"/>
    <w:rsid w:val="009B6F4A"/>
    <w:rsid w:val="009B6FE0"/>
    <w:rsid w:val="009B702A"/>
    <w:rsid w:val="009B707E"/>
    <w:rsid w:val="009B70AE"/>
    <w:rsid w:val="009B70E6"/>
    <w:rsid w:val="009B7151"/>
    <w:rsid w:val="009B720A"/>
    <w:rsid w:val="009B7232"/>
    <w:rsid w:val="009B7258"/>
    <w:rsid w:val="009B7293"/>
    <w:rsid w:val="009B739A"/>
    <w:rsid w:val="009B750F"/>
    <w:rsid w:val="009B7510"/>
    <w:rsid w:val="009B7530"/>
    <w:rsid w:val="009B7578"/>
    <w:rsid w:val="009B75AF"/>
    <w:rsid w:val="009B781E"/>
    <w:rsid w:val="009B796C"/>
    <w:rsid w:val="009B79A7"/>
    <w:rsid w:val="009B7AB7"/>
    <w:rsid w:val="009B7B23"/>
    <w:rsid w:val="009B7B55"/>
    <w:rsid w:val="009B7B5B"/>
    <w:rsid w:val="009B7BE9"/>
    <w:rsid w:val="009B7BFD"/>
    <w:rsid w:val="009B7CC0"/>
    <w:rsid w:val="009B7D4E"/>
    <w:rsid w:val="009B7D91"/>
    <w:rsid w:val="009B7E95"/>
    <w:rsid w:val="009B7F7D"/>
    <w:rsid w:val="009C01AF"/>
    <w:rsid w:val="009C01B5"/>
    <w:rsid w:val="009C0366"/>
    <w:rsid w:val="009C037A"/>
    <w:rsid w:val="009C03BD"/>
    <w:rsid w:val="009C03CE"/>
    <w:rsid w:val="009C0495"/>
    <w:rsid w:val="009C0503"/>
    <w:rsid w:val="009C0543"/>
    <w:rsid w:val="009C05BD"/>
    <w:rsid w:val="009C0604"/>
    <w:rsid w:val="009C0696"/>
    <w:rsid w:val="009C06D0"/>
    <w:rsid w:val="009C08FE"/>
    <w:rsid w:val="009C0924"/>
    <w:rsid w:val="009C0985"/>
    <w:rsid w:val="009C09F2"/>
    <w:rsid w:val="009C0A09"/>
    <w:rsid w:val="009C0C38"/>
    <w:rsid w:val="009C0F70"/>
    <w:rsid w:val="009C1022"/>
    <w:rsid w:val="009C1088"/>
    <w:rsid w:val="009C109F"/>
    <w:rsid w:val="009C110F"/>
    <w:rsid w:val="009C114E"/>
    <w:rsid w:val="009C132E"/>
    <w:rsid w:val="009C13AE"/>
    <w:rsid w:val="009C141F"/>
    <w:rsid w:val="009C143F"/>
    <w:rsid w:val="009C148C"/>
    <w:rsid w:val="009C14A8"/>
    <w:rsid w:val="009C14E3"/>
    <w:rsid w:val="009C16A5"/>
    <w:rsid w:val="009C16BA"/>
    <w:rsid w:val="009C1761"/>
    <w:rsid w:val="009C1773"/>
    <w:rsid w:val="009C17C0"/>
    <w:rsid w:val="009C180D"/>
    <w:rsid w:val="009C1864"/>
    <w:rsid w:val="009C18D2"/>
    <w:rsid w:val="009C1908"/>
    <w:rsid w:val="009C1A06"/>
    <w:rsid w:val="009C1A1F"/>
    <w:rsid w:val="009C1B91"/>
    <w:rsid w:val="009C1BCD"/>
    <w:rsid w:val="009C1C1C"/>
    <w:rsid w:val="009C1C43"/>
    <w:rsid w:val="009C1CD9"/>
    <w:rsid w:val="009C1DE2"/>
    <w:rsid w:val="009C1DE6"/>
    <w:rsid w:val="009C1E5D"/>
    <w:rsid w:val="009C1E88"/>
    <w:rsid w:val="009C1E8D"/>
    <w:rsid w:val="009C1F57"/>
    <w:rsid w:val="009C1FAE"/>
    <w:rsid w:val="009C205E"/>
    <w:rsid w:val="009C2122"/>
    <w:rsid w:val="009C23E0"/>
    <w:rsid w:val="009C25A2"/>
    <w:rsid w:val="009C25AA"/>
    <w:rsid w:val="009C260F"/>
    <w:rsid w:val="009C26AE"/>
    <w:rsid w:val="009C28F1"/>
    <w:rsid w:val="009C2970"/>
    <w:rsid w:val="009C2988"/>
    <w:rsid w:val="009C29A0"/>
    <w:rsid w:val="009C2AE2"/>
    <w:rsid w:val="009C2AED"/>
    <w:rsid w:val="009C2C05"/>
    <w:rsid w:val="009C2C6A"/>
    <w:rsid w:val="009C2C80"/>
    <w:rsid w:val="009C2CA1"/>
    <w:rsid w:val="009C2CBD"/>
    <w:rsid w:val="009C2D27"/>
    <w:rsid w:val="009C2DE9"/>
    <w:rsid w:val="009C2EA6"/>
    <w:rsid w:val="009C2F2C"/>
    <w:rsid w:val="009C2F47"/>
    <w:rsid w:val="009C2FC0"/>
    <w:rsid w:val="009C3015"/>
    <w:rsid w:val="009C301E"/>
    <w:rsid w:val="009C3054"/>
    <w:rsid w:val="009C3201"/>
    <w:rsid w:val="009C3203"/>
    <w:rsid w:val="009C3341"/>
    <w:rsid w:val="009C343C"/>
    <w:rsid w:val="009C36D5"/>
    <w:rsid w:val="009C375B"/>
    <w:rsid w:val="009C3786"/>
    <w:rsid w:val="009C3B15"/>
    <w:rsid w:val="009C3B8E"/>
    <w:rsid w:val="009C3BBE"/>
    <w:rsid w:val="009C3C2C"/>
    <w:rsid w:val="009C3D49"/>
    <w:rsid w:val="009C3E11"/>
    <w:rsid w:val="009C3E53"/>
    <w:rsid w:val="009C3E91"/>
    <w:rsid w:val="009C4127"/>
    <w:rsid w:val="009C425D"/>
    <w:rsid w:val="009C4277"/>
    <w:rsid w:val="009C42A7"/>
    <w:rsid w:val="009C43A6"/>
    <w:rsid w:val="009C4446"/>
    <w:rsid w:val="009C4546"/>
    <w:rsid w:val="009C4681"/>
    <w:rsid w:val="009C46C7"/>
    <w:rsid w:val="009C4767"/>
    <w:rsid w:val="009C47AC"/>
    <w:rsid w:val="009C47B1"/>
    <w:rsid w:val="009C4856"/>
    <w:rsid w:val="009C48D4"/>
    <w:rsid w:val="009C48D9"/>
    <w:rsid w:val="009C4910"/>
    <w:rsid w:val="009C493C"/>
    <w:rsid w:val="009C494E"/>
    <w:rsid w:val="009C4A8E"/>
    <w:rsid w:val="009C4AE0"/>
    <w:rsid w:val="009C4AED"/>
    <w:rsid w:val="009C4B6F"/>
    <w:rsid w:val="009C4C0A"/>
    <w:rsid w:val="009C4C5C"/>
    <w:rsid w:val="009C4DE5"/>
    <w:rsid w:val="009C4F20"/>
    <w:rsid w:val="009C500A"/>
    <w:rsid w:val="009C5046"/>
    <w:rsid w:val="009C50A8"/>
    <w:rsid w:val="009C511C"/>
    <w:rsid w:val="009C5262"/>
    <w:rsid w:val="009C53AC"/>
    <w:rsid w:val="009C53F8"/>
    <w:rsid w:val="009C5451"/>
    <w:rsid w:val="009C5550"/>
    <w:rsid w:val="009C5814"/>
    <w:rsid w:val="009C5883"/>
    <w:rsid w:val="009C589C"/>
    <w:rsid w:val="009C593D"/>
    <w:rsid w:val="009C5A19"/>
    <w:rsid w:val="009C5B68"/>
    <w:rsid w:val="009C5BE4"/>
    <w:rsid w:val="009C5C88"/>
    <w:rsid w:val="009C5CA0"/>
    <w:rsid w:val="009C5DD7"/>
    <w:rsid w:val="009C5E7C"/>
    <w:rsid w:val="009C5E81"/>
    <w:rsid w:val="009C5F30"/>
    <w:rsid w:val="009C6188"/>
    <w:rsid w:val="009C627F"/>
    <w:rsid w:val="009C62A2"/>
    <w:rsid w:val="009C63E4"/>
    <w:rsid w:val="009C640E"/>
    <w:rsid w:val="009C6410"/>
    <w:rsid w:val="009C645B"/>
    <w:rsid w:val="009C64F7"/>
    <w:rsid w:val="009C652D"/>
    <w:rsid w:val="009C6530"/>
    <w:rsid w:val="009C65A3"/>
    <w:rsid w:val="009C65CC"/>
    <w:rsid w:val="009C6609"/>
    <w:rsid w:val="009C6618"/>
    <w:rsid w:val="009C67A4"/>
    <w:rsid w:val="009C67AC"/>
    <w:rsid w:val="009C69C9"/>
    <w:rsid w:val="009C69EB"/>
    <w:rsid w:val="009C6A20"/>
    <w:rsid w:val="009C6B69"/>
    <w:rsid w:val="009C6BB9"/>
    <w:rsid w:val="009C6CC9"/>
    <w:rsid w:val="009C6DE8"/>
    <w:rsid w:val="009C6DF5"/>
    <w:rsid w:val="009C6E05"/>
    <w:rsid w:val="009C6F13"/>
    <w:rsid w:val="009C6F30"/>
    <w:rsid w:val="009C6F9F"/>
    <w:rsid w:val="009C6FB1"/>
    <w:rsid w:val="009C71C5"/>
    <w:rsid w:val="009C72E3"/>
    <w:rsid w:val="009C72F3"/>
    <w:rsid w:val="009C736E"/>
    <w:rsid w:val="009C7406"/>
    <w:rsid w:val="009C746A"/>
    <w:rsid w:val="009C748A"/>
    <w:rsid w:val="009C7523"/>
    <w:rsid w:val="009C756A"/>
    <w:rsid w:val="009C75FB"/>
    <w:rsid w:val="009C7613"/>
    <w:rsid w:val="009C769F"/>
    <w:rsid w:val="009C76B9"/>
    <w:rsid w:val="009C7741"/>
    <w:rsid w:val="009C78D3"/>
    <w:rsid w:val="009C7919"/>
    <w:rsid w:val="009C7924"/>
    <w:rsid w:val="009C793C"/>
    <w:rsid w:val="009C7994"/>
    <w:rsid w:val="009C7A27"/>
    <w:rsid w:val="009C7B90"/>
    <w:rsid w:val="009C7B9B"/>
    <w:rsid w:val="009C7C31"/>
    <w:rsid w:val="009C7D9A"/>
    <w:rsid w:val="009C7D9D"/>
    <w:rsid w:val="009C7DFC"/>
    <w:rsid w:val="009C7E5D"/>
    <w:rsid w:val="009C7E6C"/>
    <w:rsid w:val="009C7ED8"/>
    <w:rsid w:val="009CBE72"/>
    <w:rsid w:val="009D0089"/>
    <w:rsid w:val="009D00AA"/>
    <w:rsid w:val="009D00B8"/>
    <w:rsid w:val="009D01FC"/>
    <w:rsid w:val="009D0208"/>
    <w:rsid w:val="009D0227"/>
    <w:rsid w:val="009D023E"/>
    <w:rsid w:val="009D028A"/>
    <w:rsid w:val="009D038C"/>
    <w:rsid w:val="009D0481"/>
    <w:rsid w:val="009D0489"/>
    <w:rsid w:val="009D0497"/>
    <w:rsid w:val="009D04CB"/>
    <w:rsid w:val="009D050F"/>
    <w:rsid w:val="009D0569"/>
    <w:rsid w:val="009D0586"/>
    <w:rsid w:val="009D05C2"/>
    <w:rsid w:val="009D0649"/>
    <w:rsid w:val="009D0669"/>
    <w:rsid w:val="009D077B"/>
    <w:rsid w:val="009D0806"/>
    <w:rsid w:val="009D0933"/>
    <w:rsid w:val="009D0960"/>
    <w:rsid w:val="009D0964"/>
    <w:rsid w:val="009D099F"/>
    <w:rsid w:val="009D0AEA"/>
    <w:rsid w:val="009D0B45"/>
    <w:rsid w:val="009D0B6B"/>
    <w:rsid w:val="009D0BBE"/>
    <w:rsid w:val="009D0D72"/>
    <w:rsid w:val="009D0DFA"/>
    <w:rsid w:val="009D0E47"/>
    <w:rsid w:val="009D0EA6"/>
    <w:rsid w:val="009D0F36"/>
    <w:rsid w:val="009D0F58"/>
    <w:rsid w:val="009D0F83"/>
    <w:rsid w:val="009D104C"/>
    <w:rsid w:val="009D1085"/>
    <w:rsid w:val="009D108D"/>
    <w:rsid w:val="009D11B4"/>
    <w:rsid w:val="009D131D"/>
    <w:rsid w:val="009D13CB"/>
    <w:rsid w:val="009D155B"/>
    <w:rsid w:val="009D16BD"/>
    <w:rsid w:val="009D16DD"/>
    <w:rsid w:val="009D1854"/>
    <w:rsid w:val="009D1890"/>
    <w:rsid w:val="009D1B71"/>
    <w:rsid w:val="009D1B8E"/>
    <w:rsid w:val="009D1BE8"/>
    <w:rsid w:val="009D1BFB"/>
    <w:rsid w:val="009D1D0C"/>
    <w:rsid w:val="009D1FDE"/>
    <w:rsid w:val="009D207D"/>
    <w:rsid w:val="009D21B9"/>
    <w:rsid w:val="009D221B"/>
    <w:rsid w:val="009D2318"/>
    <w:rsid w:val="009D238D"/>
    <w:rsid w:val="009D24F3"/>
    <w:rsid w:val="009D255D"/>
    <w:rsid w:val="009D25CD"/>
    <w:rsid w:val="009D26F7"/>
    <w:rsid w:val="009D279D"/>
    <w:rsid w:val="009D2838"/>
    <w:rsid w:val="009D292B"/>
    <w:rsid w:val="009D2999"/>
    <w:rsid w:val="009D2A33"/>
    <w:rsid w:val="009D2B15"/>
    <w:rsid w:val="009D2B3E"/>
    <w:rsid w:val="009D2B69"/>
    <w:rsid w:val="009D2D1F"/>
    <w:rsid w:val="009D2EB0"/>
    <w:rsid w:val="009D2EFB"/>
    <w:rsid w:val="009D2F41"/>
    <w:rsid w:val="009D314A"/>
    <w:rsid w:val="009D32C7"/>
    <w:rsid w:val="009D32FA"/>
    <w:rsid w:val="009D338B"/>
    <w:rsid w:val="009D33E0"/>
    <w:rsid w:val="009D340B"/>
    <w:rsid w:val="009D34AA"/>
    <w:rsid w:val="009D34CE"/>
    <w:rsid w:val="009D35C3"/>
    <w:rsid w:val="009D35D4"/>
    <w:rsid w:val="009D36CB"/>
    <w:rsid w:val="009D3786"/>
    <w:rsid w:val="009D3913"/>
    <w:rsid w:val="009D396B"/>
    <w:rsid w:val="009D3A5F"/>
    <w:rsid w:val="009D3A70"/>
    <w:rsid w:val="009D3AC6"/>
    <w:rsid w:val="009D3BD0"/>
    <w:rsid w:val="009D3BDB"/>
    <w:rsid w:val="009D3D07"/>
    <w:rsid w:val="009D3DB3"/>
    <w:rsid w:val="009D3ED2"/>
    <w:rsid w:val="009D3F18"/>
    <w:rsid w:val="009D4061"/>
    <w:rsid w:val="009D40C8"/>
    <w:rsid w:val="009D40E8"/>
    <w:rsid w:val="009D414A"/>
    <w:rsid w:val="009D41CB"/>
    <w:rsid w:val="009D4324"/>
    <w:rsid w:val="009D4463"/>
    <w:rsid w:val="009D4467"/>
    <w:rsid w:val="009D461C"/>
    <w:rsid w:val="009D47F3"/>
    <w:rsid w:val="009D4836"/>
    <w:rsid w:val="009D48E1"/>
    <w:rsid w:val="009D491B"/>
    <w:rsid w:val="009D493F"/>
    <w:rsid w:val="009D4A73"/>
    <w:rsid w:val="009D4A88"/>
    <w:rsid w:val="009D4B6F"/>
    <w:rsid w:val="009D4C15"/>
    <w:rsid w:val="009D4CC0"/>
    <w:rsid w:val="009D4D3F"/>
    <w:rsid w:val="009D4DC6"/>
    <w:rsid w:val="009D4DF5"/>
    <w:rsid w:val="009D4E27"/>
    <w:rsid w:val="009D4EF1"/>
    <w:rsid w:val="009D5006"/>
    <w:rsid w:val="009D507C"/>
    <w:rsid w:val="009D50F7"/>
    <w:rsid w:val="009D52EB"/>
    <w:rsid w:val="009D535E"/>
    <w:rsid w:val="009D54CF"/>
    <w:rsid w:val="009D5830"/>
    <w:rsid w:val="009D59AE"/>
    <w:rsid w:val="009D5AD2"/>
    <w:rsid w:val="009D5B73"/>
    <w:rsid w:val="009D5C7C"/>
    <w:rsid w:val="009D5C9A"/>
    <w:rsid w:val="009D5CA2"/>
    <w:rsid w:val="009D5CA4"/>
    <w:rsid w:val="009D5D04"/>
    <w:rsid w:val="009D5D1D"/>
    <w:rsid w:val="009D5E4A"/>
    <w:rsid w:val="009D5EF6"/>
    <w:rsid w:val="009D5FC0"/>
    <w:rsid w:val="009D601C"/>
    <w:rsid w:val="009D6206"/>
    <w:rsid w:val="009D62E2"/>
    <w:rsid w:val="009D6395"/>
    <w:rsid w:val="009D641A"/>
    <w:rsid w:val="009D64A6"/>
    <w:rsid w:val="009D6510"/>
    <w:rsid w:val="009D66E8"/>
    <w:rsid w:val="009D6725"/>
    <w:rsid w:val="009D677B"/>
    <w:rsid w:val="009D67C1"/>
    <w:rsid w:val="009D683C"/>
    <w:rsid w:val="009D6849"/>
    <w:rsid w:val="009D693F"/>
    <w:rsid w:val="009D69D4"/>
    <w:rsid w:val="009D6A7A"/>
    <w:rsid w:val="009D6C0D"/>
    <w:rsid w:val="009D6C1C"/>
    <w:rsid w:val="009D6C4C"/>
    <w:rsid w:val="009D6E54"/>
    <w:rsid w:val="009D6E68"/>
    <w:rsid w:val="009D6E8C"/>
    <w:rsid w:val="009D6EE8"/>
    <w:rsid w:val="009D6F07"/>
    <w:rsid w:val="009D7091"/>
    <w:rsid w:val="009D70A3"/>
    <w:rsid w:val="009D71B0"/>
    <w:rsid w:val="009D7298"/>
    <w:rsid w:val="009D7308"/>
    <w:rsid w:val="009D735A"/>
    <w:rsid w:val="009D7379"/>
    <w:rsid w:val="009D73B5"/>
    <w:rsid w:val="009D73C2"/>
    <w:rsid w:val="009D7482"/>
    <w:rsid w:val="009D7523"/>
    <w:rsid w:val="009D7563"/>
    <w:rsid w:val="009D7596"/>
    <w:rsid w:val="009D768E"/>
    <w:rsid w:val="009D76A0"/>
    <w:rsid w:val="009D76C6"/>
    <w:rsid w:val="009D76FF"/>
    <w:rsid w:val="009D7856"/>
    <w:rsid w:val="009D78D5"/>
    <w:rsid w:val="009D7902"/>
    <w:rsid w:val="009D7960"/>
    <w:rsid w:val="009D798F"/>
    <w:rsid w:val="009D7BA2"/>
    <w:rsid w:val="009D7C29"/>
    <w:rsid w:val="009D7C7A"/>
    <w:rsid w:val="009D7CBA"/>
    <w:rsid w:val="009D7E70"/>
    <w:rsid w:val="009D7E88"/>
    <w:rsid w:val="009D7F36"/>
    <w:rsid w:val="009D7FF9"/>
    <w:rsid w:val="009E0042"/>
    <w:rsid w:val="009E00BA"/>
    <w:rsid w:val="009E011E"/>
    <w:rsid w:val="009E01A5"/>
    <w:rsid w:val="009E01A8"/>
    <w:rsid w:val="009E0211"/>
    <w:rsid w:val="009E0272"/>
    <w:rsid w:val="009E031B"/>
    <w:rsid w:val="009E04EA"/>
    <w:rsid w:val="009E0517"/>
    <w:rsid w:val="009E0569"/>
    <w:rsid w:val="009E05A9"/>
    <w:rsid w:val="009E05F2"/>
    <w:rsid w:val="009E0731"/>
    <w:rsid w:val="009E0835"/>
    <w:rsid w:val="009E086A"/>
    <w:rsid w:val="009E08C9"/>
    <w:rsid w:val="009E08CE"/>
    <w:rsid w:val="009E0A39"/>
    <w:rsid w:val="009E0AEC"/>
    <w:rsid w:val="009E0E1D"/>
    <w:rsid w:val="009E0E65"/>
    <w:rsid w:val="009E0EBA"/>
    <w:rsid w:val="009E0EE5"/>
    <w:rsid w:val="009E0F61"/>
    <w:rsid w:val="009E0FAA"/>
    <w:rsid w:val="009E0FD1"/>
    <w:rsid w:val="009E0FE4"/>
    <w:rsid w:val="009E1033"/>
    <w:rsid w:val="009E111A"/>
    <w:rsid w:val="009E11A4"/>
    <w:rsid w:val="009E11EE"/>
    <w:rsid w:val="009E1262"/>
    <w:rsid w:val="009E12A3"/>
    <w:rsid w:val="009E131F"/>
    <w:rsid w:val="009E1332"/>
    <w:rsid w:val="009E1421"/>
    <w:rsid w:val="009E15E2"/>
    <w:rsid w:val="009E1749"/>
    <w:rsid w:val="009E176F"/>
    <w:rsid w:val="009E1818"/>
    <w:rsid w:val="009E18EC"/>
    <w:rsid w:val="009E19DE"/>
    <w:rsid w:val="009E1CCF"/>
    <w:rsid w:val="009E1DFB"/>
    <w:rsid w:val="009E1FC8"/>
    <w:rsid w:val="009E2064"/>
    <w:rsid w:val="009E21EE"/>
    <w:rsid w:val="009E2242"/>
    <w:rsid w:val="009E22DC"/>
    <w:rsid w:val="009E2342"/>
    <w:rsid w:val="009E23A5"/>
    <w:rsid w:val="009E25BF"/>
    <w:rsid w:val="009E25E0"/>
    <w:rsid w:val="009E265A"/>
    <w:rsid w:val="009E279C"/>
    <w:rsid w:val="009E27AA"/>
    <w:rsid w:val="009E27E1"/>
    <w:rsid w:val="009E2811"/>
    <w:rsid w:val="009E28F7"/>
    <w:rsid w:val="009E2903"/>
    <w:rsid w:val="009E29DB"/>
    <w:rsid w:val="009E2ADD"/>
    <w:rsid w:val="009E2AF3"/>
    <w:rsid w:val="009E2BE6"/>
    <w:rsid w:val="009E2C2F"/>
    <w:rsid w:val="009E2C7D"/>
    <w:rsid w:val="009E2DBB"/>
    <w:rsid w:val="009E2E42"/>
    <w:rsid w:val="009E2E83"/>
    <w:rsid w:val="009E2EBB"/>
    <w:rsid w:val="009E2F57"/>
    <w:rsid w:val="009E2FC3"/>
    <w:rsid w:val="009E3015"/>
    <w:rsid w:val="009E3017"/>
    <w:rsid w:val="009E309D"/>
    <w:rsid w:val="009E30C4"/>
    <w:rsid w:val="009E3302"/>
    <w:rsid w:val="009E333F"/>
    <w:rsid w:val="009E3363"/>
    <w:rsid w:val="009E3429"/>
    <w:rsid w:val="009E34C5"/>
    <w:rsid w:val="009E34D2"/>
    <w:rsid w:val="009E35CC"/>
    <w:rsid w:val="009E3624"/>
    <w:rsid w:val="009E36DA"/>
    <w:rsid w:val="009E38E3"/>
    <w:rsid w:val="009E393F"/>
    <w:rsid w:val="009E395C"/>
    <w:rsid w:val="009E39C3"/>
    <w:rsid w:val="009E3A3E"/>
    <w:rsid w:val="009E3ACF"/>
    <w:rsid w:val="009E3B8F"/>
    <w:rsid w:val="009E3BA3"/>
    <w:rsid w:val="009E3C06"/>
    <w:rsid w:val="009E3CA1"/>
    <w:rsid w:val="009E3CC7"/>
    <w:rsid w:val="009E4064"/>
    <w:rsid w:val="009E410B"/>
    <w:rsid w:val="009E413A"/>
    <w:rsid w:val="009E41B8"/>
    <w:rsid w:val="009E42FC"/>
    <w:rsid w:val="009E442A"/>
    <w:rsid w:val="009E4451"/>
    <w:rsid w:val="009E4506"/>
    <w:rsid w:val="009E45A3"/>
    <w:rsid w:val="009E45D8"/>
    <w:rsid w:val="009E471E"/>
    <w:rsid w:val="009E4757"/>
    <w:rsid w:val="009E48EE"/>
    <w:rsid w:val="009E492C"/>
    <w:rsid w:val="009E4BDC"/>
    <w:rsid w:val="009E4D71"/>
    <w:rsid w:val="009E4DBB"/>
    <w:rsid w:val="009E4DCE"/>
    <w:rsid w:val="009E4F90"/>
    <w:rsid w:val="009E5025"/>
    <w:rsid w:val="009E50F8"/>
    <w:rsid w:val="009E5120"/>
    <w:rsid w:val="009E5133"/>
    <w:rsid w:val="009E5159"/>
    <w:rsid w:val="009E5179"/>
    <w:rsid w:val="009E51F0"/>
    <w:rsid w:val="009E5279"/>
    <w:rsid w:val="009E52C8"/>
    <w:rsid w:val="009E52EE"/>
    <w:rsid w:val="009E53A3"/>
    <w:rsid w:val="009E5460"/>
    <w:rsid w:val="009E54ED"/>
    <w:rsid w:val="009E554F"/>
    <w:rsid w:val="009E557E"/>
    <w:rsid w:val="009E5713"/>
    <w:rsid w:val="009E5726"/>
    <w:rsid w:val="009E573A"/>
    <w:rsid w:val="009E583D"/>
    <w:rsid w:val="009E58B0"/>
    <w:rsid w:val="009E591D"/>
    <w:rsid w:val="009E5A16"/>
    <w:rsid w:val="009E5A2B"/>
    <w:rsid w:val="009E5A77"/>
    <w:rsid w:val="009E5B97"/>
    <w:rsid w:val="009E5BEC"/>
    <w:rsid w:val="009E5D58"/>
    <w:rsid w:val="009E5DCA"/>
    <w:rsid w:val="009E5E54"/>
    <w:rsid w:val="009E5F74"/>
    <w:rsid w:val="009E608C"/>
    <w:rsid w:val="009E60A9"/>
    <w:rsid w:val="009E6123"/>
    <w:rsid w:val="009E617E"/>
    <w:rsid w:val="009E61D1"/>
    <w:rsid w:val="009E6339"/>
    <w:rsid w:val="009E63F4"/>
    <w:rsid w:val="009E6402"/>
    <w:rsid w:val="009E6490"/>
    <w:rsid w:val="009E658B"/>
    <w:rsid w:val="009E65F5"/>
    <w:rsid w:val="009E66FE"/>
    <w:rsid w:val="009E67DE"/>
    <w:rsid w:val="009E683D"/>
    <w:rsid w:val="009E6852"/>
    <w:rsid w:val="009E687D"/>
    <w:rsid w:val="009E68F1"/>
    <w:rsid w:val="009E6A55"/>
    <w:rsid w:val="009E6A9D"/>
    <w:rsid w:val="009E6AB4"/>
    <w:rsid w:val="009E6B90"/>
    <w:rsid w:val="009E6CAD"/>
    <w:rsid w:val="009E6CC7"/>
    <w:rsid w:val="009E6CE5"/>
    <w:rsid w:val="009E6CF7"/>
    <w:rsid w:val="009E6CFB"/>
    <w:rsid w:val="009E6D78"/>
    <w:rsid w:val="009E6E3D"/>
    <w:rsid w:val="009E6E3F"/>
    <w:rsid w:val="009E6EA1"/>
    <w:rsid w:val="009E6F3F"/>
    <w:rsid w:val="009E6F42"/>
    <w:rsid w:val="009E7085"/>
    <w:rsid w:val="009E70B0"/>
    <w:rsid w:val="009E7121"/>
    <w:rsid w:val="009E71F2"/>
    <w:rsid w:val="009E73C6"/>
    <w:rsid w:val="009E747B"/>
    <w:rsid w:val="009E74EF"/>
    <w:rsid w:val="009E7556"/>
    <w:rsid w:val="009E7562"/>
    <w:rsid w:val="009E76B1"/>
    <w:rsid w:val="009E76B5"/>
    <w:rsid w:val="009E76DF"/>
    <w:rsid w:val="009E774A"/>
    <w:rsid w:val="009E780B"/>
    <w:rsid w:val="009E7881"/>
    <w:rsid w:val="009E793B"/>
    <w:rsid w:val="009E7959"/>
    <w:rsid w:val="009E79B0"/>
    <w:rsid w:val="009E79D2"/>
    <w:rsid w:val="009E7A6B"/>
    <w:rsid w:val="009E7AA9"/>
    <w:rsid w:val="009E7B1E"/>
    <w:rsid w:val="009E7B22"/>
    <w:rsid w:val="009E7C3A"/>
    <w:rsid w:val="009E7CF6"/>
    <w:rsid w:val="009E7EFB"/>
    <w:rsid w:val="009E7EFF"/>
    <w:rsid w:val="009F012C"/>
    <w:rsid w:val="009F022D"/>
    <w:rsid w:val="009F02E4"/>
    <w:rsid w:val="009F04D8"/>
    <w:rsid w:val="009F04F8"/>
    <w:rsid w:val="009F05A4"/>
    <w:rsid w:val="009F05B0"/>
    <w:rsid w:val="009F0632"/>
    <w:rsid w:val="009F0699"/>
    <w:rsid w:val="009F06C4"/>
    <w:rsid w:val="009F0774"/>
    <w:rsid w:val="009F0847"/>
    <w:rsid w:val="009F0972"/>
    <w:rsid w:val="009F09A6"/>
    <w:rsid w:val="009F09A9"/>
    <w:rsid w:val="009F0A96"/>
    <w:rsid w:val="009F0AB9"/>
    <w:rsid w:val="009F0B81"/>
    <w:rsid w:val="009F0B96"/>
    <w:rsid w:val="009F0BD7"/>
    <w:rsid w:val="009F0C74"/>
    <w:rsid w:val="009F0D73"/>
    <w:rsid w:val="009F0DED"/>
    <w:rsid w:val="009F0F6C"/>
    <w:rsid w:val="009F0F93"/>
    <w:rsid w:val="009F0FA3"/>
    <w:rsid w:val="009F101D"/>
    <w:rsid w:val="009F1034"/>
    <w:rsid w:val="009F1049"/>
    <w:rsid w:val="009F10BD"/>
    <w:rsid w:val="009F11BA"/>
    <w:rsid w:val="009F1257"/>
    <w:rsid w:val="009F12EA"/>
    <w:rsid w:val="009F12EF"/>
    <w:rsid w:val="009F1362"/>
    <w:rsid w:val="009F148D"/>
    <w:rsid w:val="009F160F"/>
    <w:rsid w:val="009F16BA"/>
    <w:rsid w:val="009F1743"/>
    <w:rsid w:val="009F186C"/>
    <w:rsid w:val="009F193D"/>
    <w:rsid w:val="009F1A91"/>
    <w:rsid w:val="009F1AB8"/>
    <w:rsid w:val="009F1AD4"/>
    <w:rsid w:val="009F1B0D"/>
    <w:rsid w:val="009F1B7A"/>
    <w:rsid w:val="009F1BC3"/>
    <w:rsid w:val="009F1C3F"/>
    <w:rsid w:val="009F1C9A"/>
    <w:rsid w:val="009F1D6B"/>
    <w:rsid w:val="009F1DDB"/>
    <w:rsid w:val="009F1E38"/>
    <w:rsid w:val="009F1EC5"/>
    <w:rsid w:val="009F1ECF"/>
    <w:rsid w:val="009F1F7D"/>
    <w:rsid w:val="009F21C0"/>
    <w:rsid w:val="009F21D0"/>
    <w:rsid w:val="009F2303"/>
    <w:rsid w:val="009F23B9"/>
    <w:rsid w:val="009F248B"/>
    <w:rsid w:val="009F259B"/>
    <w:rsid w:val="009F25AB"/>
    <w:rsid w:val="009F25FB"/>
    <w:rsid w:val="009F2791"/>
    <w:rsid w:val="009F285F"/>
    <w:rsid w:val="009F28AC"/>
    <w:rsid w:val="009F298B"/>
    <w:rsid w:val="009F2AA1"/>
    <w:rsid w:val="009F2B80"/>
    <w:rsid w:val="009F2BEA"/>
    <w:rsid w:val="009F2BFF"/>
    <w:rsid w:val="009F2C7C"/>
    <w:rsid w:val="009F2D36"/>
    <w:rsid w:val="009F2D72"/>
    <w:rsid w:val="009F2D9A"/>
    <w:rsid w:val="009F2EAE"/>
    <w:rsid w:val="009F2F56"/>
    <w:rsid w:val="009F2F8F"/>
    <w:rsid w:val="009F2FA6"/>
    <w:rsid w:val="009F2FAB"/>
    <w:rsid w:val="009F2FB2"/>
    <w:rsid w:val="009F2FDB"/>
    <w:rsid w:val="009F31D7"/>
    <w:rsid w:val="009F31EA"/>
    <w:rsid w:val="009F3283"/>
    <w:rsid w:val="009F329D"/>
    <w:rsid w:val="009F32A5"/>
    <w:rsid w:val="009F32EF"/>
    <w:rsid w:val="009F3353"/>
    <w:rsid w:val="009F339D"/>
    <w:rsid w:val="009F341C"/>
    <w:rsid w:val="009F3456"/>
    <w:rsid w:val="009F34F2"/>
    <w:rsid w:val="009F35D4"/>
    <w:rsid w:val="009F3655"/>
    <w:rsid w:val="009F3764"/>
    <w:rsid w:val="009F38AE"/>
    <w:rsid w:val="009F395E"/>
    <w:rsid w:val="009F3AF5"/>
    <w:rsid w:val="009F3B3E"/>
    <w:rsid w:val="009F3B59"/>
    <w:rsid w:val="009F3B75"/>
    <w:rsid w:val="009F3C13"/>
    <w:rsid w:val="009F3CB1"/>
    <w:rsid w:val="009F3D0F"/>
    <w:rsid w:val="009F3EFC"/>
    <w:rsid w:val="009F3F25"/>
    <w:rsid w:val="009F3FA8"/>
    <w:rsid w:val="009F4025"/>
    <w:rsid w:val="009F405C"/>
    <w:rsid w:val="009F4073"/>
    <w:rsid w:val="009F41F5"/>
    <w:rsid w:val="009F42A6"/>
    <w:rsid w:val="009F43C6"/>
    <w:rsid w:val="009F4423"/>
    <w:rsid w:val="009F44D0"/>
    <w:rsid w:val="009F45B2"/>
    <w:rsid w:val="009F46F2"/>
    <w:rsid w:val="009F4703"/>
    <w:rsid w:val="009F4739"/>
    <w:rsid w:val="009F4881"/>
    <w:rsid w:val="009F4882"/>
    <w:rsid w:val="009F4A23"/>
    <w:rsid w:val="009F4AA9"/>
    <w:rsid w:val="009F4BB9"/>
    <w:rsid w:val="009F4C0F"/>
    <w:rsid w:val="009F4D00"/>
    <w:rsid w:val="009F4D09"/>
    <w:rsid w:val="009F4DF8"/>
    <w:rsid w:val="009F4E09"/>
    <w:rsid w:val="009F4EF9"/>
    <w:rsid w:val="009F4F20"/>
    <w:rsid w:val="009F50C2"/>
    <w:rsid w:val="009F510F"/>
    <w:rsid w:val="009F5266"/>
    <w:rsid w:val="009F52E6"/>
    <w:rsid w:val="009F5366"/>
    <w:rsid w:val="009F5400"/>
    <w:rsid w:val="009F5451"/>
    <w:rsid w:val="009F54A0"/>
    <w:rsid w:val="009F5646"/>
    <w:rsid w:val="009F58B0"/>
    <w:rsid w:val="009F5ABD"/>
    <w:rsid w:val="009F5B4B"/>
    <w:rsid w:val="009F5B90"/>
    <w:rsid w:val="009F5D43"/>
    <w:rsid w:val="009F5DE0"/>
    <w:rsid w:val="009F5E13"/>
    <w:rsid w:val="009F603C"/>
    <w:rsid w:val="009F60AA"/>
    <w:rsid w:val="009F60FF"/>
    <w:rsid w:val="009F6146"/>
    <w:rsid w:val="009F63EB"/>
    <w:rsid w:val="009F64B2"/>
    <w:rsid w:val="009F64F2"/>
    <w:rsid w:val="009F650D"/>
    <w:rsid w:val="009F6542"/>
    <w:rsid w:val="009F65E9"/>
    <w:rsid w:val="009F6640"/>
    <w:rsid w:val="009F664C"/>
    <w:rsid w:val="009F686B"/>
    <w:rsid w:val="009F68CA"/>
    <w:rsid w:val="009F68E3"/>
    <w:rsid w:val="009F68FC"/>
    <w:rsid w:val="009F68FE"/>
    <w:rsid w:val="009F6986"/>
    <w:rsid w:val="009F6A0B"/>
    <w:rsid w:val="009F6CDA"/>
    <w:rsid w:val="009F6D2E"/>
    <w:rsid w:val="009F6DFD"/>
    <w:rsid w:val="009F6F8B"/>
    <w:rsid w:val="009F7058"/>
    <w:rsid w:val="009F7155"/>
    <w:rsid w:val="009F71FB"/>
    <w:rsid w:val="009F721C"/>
    <w:rsid w:val="009F73EE"/>
    <w:rsid w:val="009F743A"/>
    <w:rsid w:val="009F755E"/>
    <w:rsid w:val="009F75EA"/>
    <w:rsid w:val="009F766A"/>
    <w:rsid w:val="009F7674"/>
    <w:rsid w:val="009F7700"/>
    <w:rsid w:val="009F772E"/>
    <w:rsid w:val="009F7775"/>
    <w:rsid w:val="009F781C"/>
    <w:rsid w:val="009F7860"/>
    <w:rsid w:val="009F7962"/>
    <w:rsid w:val="009F79F0"/>
    <w:rsid w:val="009F7A3E"/>
    <w:rsid w:val="009F7ACC"/>
    <w:rsid w:val="009F7B13"/>
    <w:rsid w:val="009F7B46"/>
    <w:rsid w:val="009F7D1E"/>
    <w:rsid w:val="009F7DE9"/>
    <w:rsid w:val="009F7E73"/>
    <w:rsid w:val="009F7F54"/>
    <w:rsid w:val="009F7FB1"/>
    <w:rsid w:val="00A00036"/>
    <w:rsid w:val="00A0005D"/>
    <w:rsid w:val="00A001C6"/>
    <w:rsid w:val="00A0029A"/>
    <w:rsid w:val="00A002A3"/>
    <w:rsid w:val="00A00396"/>
    <w:rsid w:val="00A00398"/>
    <w:rsid w:val="00A003D3"/>
    <w:rsid w:val="00A0054A"/>
    <w:rsid w:val="00A00590"/>
    <w:rsid w:val="00A00608"/>
    <w:rsid w:val="00A007E7"/>
    <w:rsid w:val="00A008A7"/>
    <w:rsid w:val="00A008AE"/>
    <w:rsid w:val="00A0092E"/>
    <w:rsid w:val="00A00ACD"/>
    <w:rsid w:val="00A00B6C"/>
    <w:rsid w:val="00A00BE2"/>
    <w:rsid w:val="00A00BEA"/>
    <w:rsid w:val="00A00BF6"/>
    <w:rsid w:val="00A00C06"/>
    <w:rsid w:val="00A00C0E"/>
    <w:rsid w:val="00A00C6E"/>
    <w:rsid w:val="00A00C90"/>
    <w:rsid w:val="00A00C92"/>
    <w:rsid w:val="00A00CA2"/>
    <w:rsid w:val="00A00E5B"/>
    <w:rsid w:val="00A00FDC"/>
    <w:rsid w:val="00A010A2"/>
    <w:rsid w:val="00A01116"/>
    <w:rsid w:val="00A01124"/>
    <w:rsid w:val="00A01181"/>
    <w:rsid w:val="00A01320"/>
    <w:rsid w:val="00A01321"/>
    <w:rsid w:val="00A01422"/>
    <w:rsid w:val="00A0144A"/>
    <w:rsid w:val="00A0145B"/>
    <w:rsid w:val="00A0149B"/>
    <w:rsid w:val="00A0149D"/>
    <w:rsid w:val="00A01509"/>
    <w:rsid w:val="00A01520"/>
    <w:rsid w:val="00A0156B"/>
    <w:rsid w:val="00A015A1"/>
    <w:rsid w:val="00A01652"/>
    <w:rsid w:val="00A017A4"/>
    <w:rsid w:val="00A017DC"/>
    <w:rsid w:val="00A01815"/>
    <w:rsid w:val="00A0188B"/>
    <w:rsid w:val="00A01900"/>
    <w:rsid w:val="00A0193D"/>
    <w:rsid w:val="00A01B97"/>
    <w:rsid w:val="00A01BA5"/>
    <w:rsid w:val="00A01D12"/>
    <w:rsid w:val="00A01D4F"/>
    <w:rsid w:val="00A01DDC"/>
    <w:rsid w:val="00A01DEF"/>
    <w:rsid w:val="00A01EC4"/>
    <w:rsid w:val="00A01FA2"/>
    <w:rsid w:val="00A01FC9"/>
    <w:rsid w:val="00A01FD0"/>
    <w:rsid w:val="00A01FFB"/>
    <w:rsid w:val="00A0203F"/>
    <w:rsid w:val="00A02065"/>
    <w:rsid w:val="00A021AB"/>
    <w:rsid w:val="00A021FE"/>
    <w:rsid w:val="00A022E8"/>
    <w:rsid w:val="00A022F8"/>
    <w:rsid w:val="00A0234D"/>
    <w:rsid w:val="00A024D2"/>
    <w:rsid w:val="00A02505"/>
    <w:rsid w:val="00A02523"/>
    <w:rsid w:val="00A025DB"/>
    <w:rsid w:val="00A026FF"/>
    <w:rsid w:val="00A027F2"/>
    <w:rsid w:val="00A02810"/>
    <w:rsid w:val="00A0285E"/>
    <w:rsid w:val="00A02875"/>
    <w:rsid w:val="00A028D5"/>
    <w:rsid w:val="00A029C4"/>
    <w:rsid w:val="00A02A7F"/>
    <w:rsid w:val="00A02A89"/>
    <w:rsid w:val="00A02AEE"/>
    <w:rsid w:val="00A02B0E"/>
    <w:rsid w:val="00A02B62"/>
    <w:rsid w:val="00A02BDB"/>
    <w:rsid w:val="00A02C97"/>
    <w:rsid w:val="00A02CED"/>
    <w:rsid w:val="00A02CEF"/>
    <w:rsid w:val="00A02CF6"/>
    <w:rsid w:val="00A02D6C"/>
    <w:rsid w:val="00A02D92"/>
    <w:rsid w:val="00A02E4C"/>
    <w:rsid w:val="00A02F5B"/>
    <w:rsid w:val="00A02F80"/>
    <w:rsid w:val="00A02FFD"/>
    <w:rsid w:val="00A03078"/>
    <w:rsid w:val="00A030CD"/>
    <w:rsid w:val="00A032F3"/>
    <w:rsid w:val="00A03378"/>
    <w:rsid w:val="00A033E2"/>
    <w:rsid w:val="00A03422"/>
    <w:rsid w:val="00A03500"/>
    <w:rsid w:val="00A0351B"/>
    <w:rsid w:val="00A035B2"/>
    <w:rsid w:val="00A03613"/>
    <w:rsid w:val="00A0362F"/>
    <w:rsid w:val="00A036AB"/>
    <w:rsid w:val="00A036F0"/>
    <w:rsid w:val="00A0371B"/>
    <w:rsid w:val="00A03784"/>
    <w:rsid w:val="00A037F8"/>
    <w:rsid w:val="00A03821"/>
    <w:rsid w:val="00A03895"/>
    <w:rsid w:val="00A03920"/>
    <w:rsid w:val="00A03A2B"/>
    <w:rsid w:val="00A03DE8"/>
    <w:rsid w:val="00A03E45"/>
    <w:rsid w:val="00A03E8D"/>
    <w:rsid w:val="00A03EC5"/>
    <w:rsid w:val="00A04055"/>
    <w:rsid w:val="00A04077"/>
    <w:rsid w:val="00A041F2"/>
    <w:rsid w:val="00A0437F"/>
    <w:rsid w:val="00A0438F"/>
    <w:rsid w:val="00A04509"/>
    <w:rsid w:val="00A0455E"/>
    <w:rsid w:val="00A045B7"/>
    <w:rsid w:val="00A04652"/>
    <w:rsid w:val="00A046DE"/>
    <w:rsid w:val="00A0471C"/>
    <w:rsid w:val="00A04749"/>
    <w:rsid w:val="00A047C7"/>
    <w:rsid w:val="00A0483B"/>
    <w:rsid w:val="00A0483C"/>
    <w:rsid w:val="00A048B9"/>
    <w:rsid w:val="00A0499E"/>
    <w:rsid w:val="00A049D7"/>
    <w:rsid w:val="00A04C61"/>
    <w:rsid w:val="00A04C94"/>
    <w:rsid w:val="00A04E9A"/>
    <w:rsid w:val="00A05113"/>
    <w:rsid w:val="00A05362"/>
    <w:rsid w:val="00A053B4"/>
    <w:rsid w:val="00A053DC"/>
    <w:rsid w:val="00A054B9"/>
    <w:rsid w:val="00A0577E"/>
    <w:rsid w:val="00A05796"/>
    <w:rsid w:val="00A057CC"/>
    <w:rsid w:val="00A057F4"/>
    <w:rsid w:val="00A0581C"/>
    <w:rsid w:val="00A05830"/>
    <w:rsid w:val="00A05878"/>
    <w:rsid w:val="00A058A6"/>
    <w:rsid w:val="00A058CD"/>
    <w:rsid w:val="00A059C7"/>
    <w:rsid w:val="00A059F7"/>
    <w:rsid w:val="00A05A30"/>
    <w:rsid w:val="00A05A6E"/>
    <w:rsid w:val="00A05BAC"/>
    <w:rsid w:val="00A05CC4"/>
    <w:rsid w:val="00A05D5C"/>
    <w:rsid w:val="00A05E21"/>
    <w:rsid w:val="00A05EAA"/>
    <w:rsid w:val="00A05EF4"/>
    <w:rsid w:val="00A05F4F"/>
    <w:rsid w:val="00A06010"/>
    <w:rsid w:val="00A061D7"/>
    <w:rsid w:val="00A062A2"/>
    <w:rsid w:val="00A06336"/>
    <w:rsid w:val="00A064B5"/>
    <w:rsid w:val="00A0657B"/>
    <w:rsid w:val="00A067FD"/>
    <w:rsid w:val="00A0689C"/>
    <w:rsid w:val="00A068FB"/>
    <w:rsid w:val="00A0693E"/>
    <w:rsid w:val="00A0699B"/>
    <w:rsid w:val="00A06A95"/>
    <w:rsid w:val="00A06AFD"/>
    <w:rsid w:val="00A06C34"/>
    <w:rsid w:val="00A06C63"/>
    <w:rsid w:val="00A06C6E"/>
    <w:rsid w:val="00A06C99"/>
    <w:rsid w:val="00A06D20"/>
    <w:rsid w:val="00A06D49"/>
    <w:rsid w:val="00A06D80"/>
    <w:rsid w:val="00A06E59"/>
    <w:rsid w:val="00A06F74"/>
    <w:rsid w:val="00A06F9C"/>
    <w:rsid w:val="00A06FF0"/>
    <w:rsid w:val="00A0708B"/>
    <w:rsid w:val="00A07182"/>
    <w:rsid w:val="00A071AF"/>
    <w:rsid w:val="00A07256"/>
    <w:rsid w:val="00A07309"/>
    <w:rsid w:val="00A0732B"/>
    <w:rsid w:val="00A0739E"/>
    <w:rsid w:val="00A073A2"/>
    <w:rsid w:val="00A075B6"/>
    <w:rsid w:val="00A07653"/>
    <w:rsid w:val="00A076C7"/>
    <w:rsid w:val="00A077AD"/>
    <w:rsid w:val="00A077B2"/>
    <w:rsid w:val="00A07949"/>
    <w:rsid w:val="00A0797D"/>
    <w:rsid w:val="00A079ED"/>
    <w:rsid w:val="00A07A86"/>
    <w:rsid w:val="00A07B25"/>
    <w:rsid w:val="00A07C67"/>
    <w:rsid w:val="00A07CC4"/>
    <w:rsid w:val="00A07F6D"/>
    <w:rsid w:val="00A07FA2"/>
    <w:rsid w:val="00A07FE1"/>
    <w:rsid w:val="00A10013"/>
    <w:rsid w:val="00A1004E"/>
    <w:rsid w:val="00A1010F"/>
    <w:rsid w:val="00A10207"/>
    <w:rsid w:val="00A10362"/>
    <w:rsid w:val="00A103E2"/>
    <w:rsid w:val="00A104DF"/>
    <w:rsid w:val="00A10607"/>
    <w:rsid w:val="00A10731"/>
    <w:rsid w:val="00A10794"/>
    <w:rsid w:val="00A107AD"/>
    <w:rsid w:val="00A108F6"/>
    <w:rsid w:val="00A1090F"/>
    <w:rsid w:val="00A10929"/>
    <w:rsid w:val="00A109A7"/>
    <w:rsid w:val="00A10A1F"/>
    <w:rsid w:val="00A10AEE"/>
    <w:rsid w:val="00A10B0E"/>
    <w:rsid w:val="00A10B85"/>
    <w:rsid w:val="00A10DE8"/>
    <w:rsid w:val="00A10E0B"/>
    <w:rsid w:val="00A10F9F"/>
    <w:rsid w:val="00A11059"/>
    <w:rsid w:val="00A11163"/>
    <w:rsid w:val="00A111A7"/>
    <w:rsid w:val="00A112FD"/>
    <w:rsid w:val="00A114C3"/>
    <w:rsid w:val="00A115CF"/>
    <w:rsid w:val="00A1172C"/>
    <w:rsid w:val="00A1173D"/>
    <w:rsid w:val="00A11836"/>
    <w:rsid w:val="00A11872"/>
    <w:rsid w:val="00A11994"/>
    <w:rsid w:val="00A11A0D"/>
    <w:rsid w:val="00A11A63"/>
    <w:rsid w:val="00A11B91"/>
    <w:rsid w:val="00A11CE8"/>
    <w:rsid w:val="00A11D4C"/>
    <w:rsid w:val="00A11E51"/>
    <w:rsid w:val="00A11ED1"/>
    <w:rsid w:val="00A11F02"/>
    <w:rsid w:val="00A11F96"/>
    <w:rsid w:val="00A11FBE"/>
    <w:rsid w:val="00A1200F"/>
    <w:rsid w:val="00A12080"/>
    <w:rsid w:val="00A120D2"/>
    <w:rsid w:val="00A12136"/>
    <w:rsid w:val="00A12245"/>
    <w:rsid w:val="00A122FD"/>
    <w:rsid w:val="00A12340"/>
    <w:rsid w:val="00A1246D"/>
    <w:rsid w:val="00A124F7"/>
    <w:rsid w:val="00A12520"/>
    <w:rsid w:val="00A12530"/>
    <w:rsid w:val="00A12532"/>
    <w:rsid w:val="00A125C6"/>
    <w:rsid w:val="00A12661"/>
    <w:rsid w:val="00A126E6"/>
    <w:rsid w:val="00A12725"/>
    <w:rsid w:val="00A1279C"/>
    <w:rsid w:val="00A1284C"/>
    <w:rsid w:val="00A12961"/>
    <w:rsid w:val="00A12982"/>
    <w:rsid w:val="00A12999"/>
    <w:rsid w:val="00A12ACC"/>
    <w:rsid w:val="00A12C10"/>
    <w:rsid w:val="00A12C55"/>
    <w:rsid w:val="00A12CB5"/>
    <w:rsid w:val="00A12D43"/>
    <w:rsid w:val="00A12F42"/>
    <w:rsid w:val="00A12FC8"/>
    <w:rsid w:val="00A13026"/>
    <w:rsid w:val="00A130C0"/>
    <w:rsid w:val="00A130E1"/>
    <w:rsid w:val="00A131A8"/>
    <w:rsid w:val="00A131D4"/>
    <w:rsid w:val="00A1329C"/>
    <w:rsid w:val="00A13327"/>
    <w:rsid w:val="00A134E1"/>
    <w:rsid w:val="00A1356C"/>
    <w:rsid w:val="00A135D2"/>
    <w:rsid w:val="00A135E0"/>
    <w:rsid w:val="00A13630"/>
    <w:rsid w:val="00A1369A"/>
    <w:rsid w:val="00A136CD"/>
    <w:rsid w:val="00A1371A"/>
    <w:rsid w:val="00A13801"/>
    <w:rsid w:val="00A13901"/>
    <w:rsid w:val="00A1398F"/>
    <w:rsid w:val="00A13B22"/>
    <w:rsid w:val="00A13B34"/>
    <w:rsid w:val="00A13B54"/>
    <w:rsid w:val="00A13B8A"/>
    <w:rsid w:val="00A13BB9"/>
    <w:rsid w:val="00A13CD0"/>
    <w:rsid w:val="00A13EC6"/>
    <w:rsid w:val="00A13F08"/>
    <w:rsid w:val="00A1405B"/>
    <w:rsid w:val="00A1405E"/>
    <w:rsid w:val="00A14109"/>
    <w:rsid w:val="00A14171"/>
    <w:rsid w:val="00A142F9"/>
    <w:rsid w:val="00A14321"/>
    <w:rsid w:val="00A1448A"/>
    <w:rsid w:val="00A1452E"/>
    <w:rsid w:val="00A14550"/>
    <w:rsid w:val="00A14748"/>
    <w:rsid w:val="00A148DD"/>
    <w:rsid w:val="00A148FF"/>
    <w:rsid w:val="00A1496F"/>
    <w:rsid w:val="00A14981"/>
    <w:rsid w:val="00A149CF"/>
    <w:rsid w:val="00A14A7E"/>
    <w:rsid w:val="00A14D23"/>
    <w:rsid w:val="00A14DDA"/>
    <w:rsid w:val="00A14E8F"/>
    <w:rsid w:val="00A14F45"/>
    <w:rsid w:val="00A14F60"/>
    <w:rsid w:val="00A14F6A"/>
    <w:rsid w:val="00A151B6"/>
    <w:rsid w:val="00A1521B"/>
    <w:rsid w:val="00A15275"/>
    <w:rsid w:val="00A152ED"/>
    <w:rsid w:val="00A152FB"/>
    <w:rsid w:val="00A1530F"/>
    <w:rsid w:val="00A153D8"/>
    <w:rsid w:val="00A1549F"/>
    <w:rsid w:val="00A154D4"/>
    <w:rsid w:val="00A1553D"/>
    <w:rsid w:val="00A15580"/>
    <w:rsid w:val="00A155E6"/>
    <w:rsid w:val="00A15604"/>
    <w:rsid w:val="00A15652"/>
    <w:rsid w:val="00A15848"/>
    <w:rsid w:val="00A159AE"/>
    <w:rsid w:val="00A159F9"/>
    <w:rsid w:val="00A15AB4"/>
    <w:rsid w:val="00A15B6E"/>
    <w:rsid w:val="00A15BBD"/>
    <w:rsid w:val="00A15C89"/>
    <w:rsid w:val="00A15D60"/>
    <w:rsid w:val="00A15E8E"/>
    <w:rsid w:val="00A15F0E"/>
    <w:rsid w:val="00A15F4C"/>
    <w:rsid w:val="00A15FBC"/>
    <w:rsid w:val="00A161A3"/>
    <w:rsid w:val="00A161AE"/>
    <w:rsid w:val="00A16255"/>
    <w:rsid w:val="00A162A9"/>
    <w:rsid w:val="00A1634B"/>
    <w:rsid w:val="00A163B1"/>
    <w:rsid w:val="00A163F4"/>
    <w:rsid w:val="00A1643D"/>
    <w:rsid w:val="00A165C4"/>
    <w:rsid w:val="00A1671F"/>
    <w:rsid w:val="00A167BE"/>
    <w:rsid w:val="00A167E4"/>
    <w:rsid w:val="00A1688B"/>
    <w:rsid w:val="00A168D2"/>
    <w:rsid w:val="00A16907"/>
    <w:rsid w:val="00A16B0E"/>
    <w:rsid w:val="00A16D5C"/>
    <w:rsid w:val="00A16D96"/>
    <w:rsid w:val="00A16DDA"/>
    <w:rsid w:val="00A16F25"/>
    <w:rsid w:val="00A16F30"/>
    <w:rsid w:val="00A17020"/>
    <w:rsid w:val="00A1709A"/>
    <w:rsid w:val="00A17115"/>
    <w:rsid w:val="00A171EB"/>
    <w:rsid w:val="00A172A4"/>
    <w:rsid w:val="00A1736B"/>
    <w:rsid w:val="00A1744F"/>
    <w:rsid w:val="00A17465"/>
    <w:rsid w:val="00A1747B"/>
    <w:rsid w:val="00A174C1"/>
    <w:rsid w:val="00A1760A"/>
    <w:rsid w:val="00A1777C"/>
    <w:rsid w:val="00A17802"/>
    <w:rsid w:val="00A178FC"/>
    <w:rsid w:val="00A17946"/>
    <w:rsid w:val="00A179F0"/>
    <w:rsid w:val="00A17B1B"/>
    <w:rsid w:val="00A17B2D"/>
    <w:rsid w:val="00A17B86"/>
    <w:rsid w:val="00A17BC7"/>
    <w:rsid w:val="00A17C51"/>
    <w:rsid w:val="00A17CA3"/>
    <w:rsid w:val="00A17D99"/>
    <w:rsid w:val="00A17EAA"/>
    <w:rsid w:val="00A17EB5"/>
    <w:rsid w:val="00A20031"/>
    <w:rsid w:val="00A20077"/>
    <w:rsid w:val="00A201CD"/>
    <w:rsid w:val="00A2020E"/>
    <w:rsid w:val="00A20210"/>
    <w:rsid w:val="00A2029E"/>
    <w:rsid w:val="00A203D1"/>
    <w:rsid w:val="00A204B9"/>
    <w:rsid w:val="00A20663"/>
    <w:rsid w:val="00A20824"/>
    <w:rsid w:val="00A2099A"/>
    <w:rsid w:val="00A209A8"/>
    <w:rsid w:val="00A20AB4"/>
    <w:rsid w:val="00A20AD4"/>
    <w:rsid w:val="00A20DC4"/>
    <w:rsid w:val="00A20F99"/>
    <w:rsid w:val="00A21004"/>
    <w:rsid w:val="00A2118D"/>
    <w:rsid w:val="00A211CE"/>
    <w:rsid w:val="00A21389"/>
    <w:rsid w:val="00A2146E"/>
    <w:rsid w:val="00A21488"/>
    <w:rsid w:val="00A21522"/>
    <w:rsid w:val="00A21530"/>
    <w:rsid w:val="00A21632"/>
    <w:rsid w:val="00A21737"/>
    <w:rsid w:val="00A217E4"/>
    <w:rsid w:val="00A2180E"/>
    <w:rsid w:val="00A21819"/>
    <w:rsid w:val="00A2182C"/>
    <w:rsid w:val="00A21836"/>
    <w:rsid w:val="00A21862"/>
    <w:rsid w:val="00A218D1"/>
    <w:rsid w:val="00A219C7"/>
    <w:rsid w:val="00A219F7"/>
    <w:rsid w:val="00A21A2B"/>
    <w:rsid w:val="00A21A69"/>
    <w:rsid w:val="00A21C65"/>
    <w:rsid w:val="00A21DA8"/>
    <w:rsid w:val="00A21DB8"/>
    <w:rsid w:val="00A21FF9"/>
    <w:rsid w:val="00A220FB"/>
    <w:rsid w:val="00A22188"/>
    <w:rsid w:val="00A22262"/>
    <w:rsid w:val="00A222C1"/>
    <w:rsid w:val="00A2231D"/>
    <w:rsid w:val="00A2252A"/>
    <w:rsid w:val="00A22563"/>
    <w:rsid w:val="00A22747"/>
    <w:rsid w:val="00A2278C"/>
    <w:rsid w:val="00A227E0"/>
    <w:rsid w:val="00A229F2"/>
    <w:rsid w:val="00A22A95"/>
    <w:rsid w:val="00A22B4E"/>
    <w:rsid w:val="00A22BA2"/>
    <w:rsid w:val="00A22BCB"/>
    <w:rsid w:val="00A22C04"/>
    <w:rsid w:val="00A22C37"/>
    <w:rsid w:val="00A22C8F"/>
    <w:rsid w:val="00A22D15"/>
    <w:rsid w:val="00A22EB0"/>
    <w:rsid w:val="00A22EC0"/>
    <w:rsid w:val="00A22FAF"/>
    <w:rsid w:val="00A2300E"/>
    <w:rsid w:val="00A23025"/>
    <w:rsid w:val="00A2305D"/>
    <w:rsid w:val="00A23129"/>
    <w:rsid w:val="00A2314B"/>
    <w:rsid w:val="00A23217"/>
    <w:rsid w:val="00A2326F"/>
    <w:rsid w:val="00A232C5"/>
    <w:rsid w:val="00A232DD"/>
    <w:rsid w:val="00A2335C"/>
    <w:rsid w:val="00A2340F"/>
    <w:rsid w:val="00A234A4"/>
    <w:rsid w:val="00A234CF"/>
    <w:rsid w:val="00A23572"/>
    <w:rsid w:val="00A235BE"/>
    <w:rsid w:val="00A236A2"/>
    <w:rsid w:val="00A2376A"/>
    <w:rsid w:val="00A23939"/>
    <w:rsid w:val="00A239A7"/>
    <w:rsid w:val="00A23A0E"/>
    <w:rsid w:val="00A23A2B"/>
    <w:rsid w:val="00A23AD6"/>
    <w:rsid w:val="00A23B7D"/>
    <w:rsid w:val="00A23C20"/>
    <w:rsid w:val="00A23CB3"/>
    <w:rsid w:val="00A23E2F"/>
    <w:rsid w:val="00A23FDF"/>
    <w:rsid w:val="00A2408A"/>
    <w:rsid w:val="00A240FC"/>
    <w:rsid w:val="00A24158"/>
    <w:rsid w:val="00A241A2"/>
    <w:rsid w:val="00A241B5"/>
    <w:rsid w:val="00A241BF"/>
    <w:rsid w:val="00A241C5"/>
    <w:rsid w:val="00A24210"/>
    <w:rsid w:val="00A24211"/>
    <w:rsid w:val="00A24254"/>
    <w:rsid w:val="00A24257"/>
    <w:rsid w:val="00A2437A"/>
    <w:rsid w:val="00A243BD"/>
    <w:rsid w:val="00A2444F"/>
    <w:rsid w:val="00A24497"/>
    <w:rsid w:val="00A2449A"/>
    <w:rsid w:val="00A2450B"/>
    <w:rsid w:val="00A24554"/>
    <w:rsid w:val="00A24648"/>
    <w:rsid w:val="00A2472E"/>
    <w:rsid w:val="00A24792"/>
    <w:rsid w:val="00A24797"/>
    <w:rsid w:val="00A248C3"/>
    <w:rsid w:val="00A248F9"/>
    <w:rsid w:val="00A24943"/>
    <w:rsid w:val="00A24A2C"/>
    <w:rsid w:val="00A24ADB"/>
    <w:rsid w:val="00A24AF6"/>
    <w:rsid w:val="00A24C7C"/>
    <w:rsid w:val="00A24C8B"/>
    <w:rsid w:val="00A24CCE"/>
    <w:rsid w:val="00A24E06"/>
    <w:rsid w:val="00A24EDD"/>
    <w:rsid w:val="00A2504E"/>
    <w:rsid w:val="00A25314"/>
    <w:rsid w:val="00A2548D"/>
    <w:rsid w:val="00A25561"/>
    <w:rsid w:val="00A25586"/>
    <w:rsid w:val="00A255EB"/>
    <w:rsid w:val="00A2563C"/>
    <w:rsid w:val="00A257F0"/>
    <w:rsid w:val="00A25865"/>
    <w:rsid w:val="00A25875"/>
    <w:rsid w:val="00A2592B"/>
    <w:rsid w:val="00A25A2F"/>
    <w:rsid w:val="00A25A69"/>
    <w:rsid w:val="00A25A6F"/>
    <w:rsid w:val="00A25ABE"/>
    <w:rsid w:val="00A25B6B"/>
    <w:rsid w:val="00A25C33"/>
    <w:rsid w:val="00A25C5B"/>
    <w:rsid w:val="00A25C78"/>
    <w:rsid w:val="00A25C8B"/>
    <w:rsid w:val="00A25CD1"/>
    <w:rsid w:val="00A25CF6"/>
    <w:rsid w:val="00A25E21"/>
    <w:rsid w:val="00A25E7C"/>
    <w:rsid w:val="00A25FDF"/>
    <w:rsid w:val="00A2602E"/>
    <w:rsid w:val="00A26080"/>
    <w:rsid w:val="00A26223"/>
    <w:rsid w:val="00A26229"/>
    <w:rsid w:val="00A26274"/>
    <w:rsid w:val="00A2631D"/>
    <w:rsid w:val="00A263A1"/>
    <w:rsid w:val="00A263A4"/>
    <w:rsid w:val="00A2641D"/>
    <w:rsid w:val="00A2649D"/>
    <w:rsid w:val="00A265F1"/>
    <w:rsid w:val="00A26610"/>
    <w:rsid w:val="00A2676A"/>
    <w:rsid w:val="00A2682F"/>
    <w:rsid w:val="00A26832"/>
    <w:rsid w:val="00A26868"/>
    <w:rsid w:val="00A26888"/>
    <w:rsid w:val="00A26919"/>
    <w:rsid w:val="00A2697B"/>
    <w:rsid w:val="00A26A04"/>
    <w:rsid w:val="00A26A78"/>
    <w:rsid w:val="00A26AC7"/>
    <w:rsid w:val="00A26AE9"/>
    <w:rsid w:val="00A26C2B"/>
    <w:rsid w:val="00A26C50"/>
    <w:rsid w:val="00A26D9D"/>
    <w:rsid w:val="00A26F52"/>
    <w:rsid w:val="00A27071"/>
    <w:rsid w:val="00A2707F"/>
    <w:rsid w:val="00A270CF"/>
    <w:rsid w:val="00A27135"/>
    <w:rsid w:val="00A271B4"/>
    <w:rsid w:val="00A27257"/>
    <w:rsid w:val="00A2741D"/>
    <w:rsid w:val="00A274A1"/>
    <w:rsid w:val="00A27673"/>
    <w:rsid w:val="00A2775F"/>
    <w:rsid w:val="00A277B5"/>
    <w:rsid w:val="00A277FB"/>
    <w:rsid w:val="00A278A7"/>
    <w:rsid w:val="00A279BB"/>
    <w:rsid w:val="00A27A0E"/>
    <w:rsid w:val="00A27A4A"/>
    <w:rsid w:val="00A27A6F"/>
    <w:rsid w:val="00A27B2A"/>
    <w:rsid w:val="00A27C48"/>
    <w:rsid w:val="00A27CA4"/>
    <w:rsid w:val="00A27CC1"/>
    <w:rsid w:val="00A27D00"/>
    <w:rsid w:val="00A27D87"/>
    <w:rsid w:val="00A27E53"/>
    <w:rsid w:val="00A27F23"/>
    <w:rsid w:val="00A27F7D"/>
    <w:rsid w:val="00A30017"/>
    <w:rsid w:val="00A3001E"/>
    <w:rsid w:val="00A30106"/>
    <w:rsid w:val="00A30136"/>
    <w:rsid w:val="00A302D0"/>
    <w:rsid w:val="00A30464"/>
    <w:rsid w:val="00A3059B"/>
    <w:rsid w:val="00A30706"/>
    <w:rsid w:val="00A30725"/>
    <w:rsid w:val="00A30826"/>
    <w:rsid w:val="00A30827"/>
    <w:rsid w:val="00A308C6"/>
    <w:rsid w:val="00A308E5"/>
    <w:rsid w:val="00A309D2"/>
    <w:rsid w:val="00A30A45"/>
    <w:rsid w:val="00A30BCD"/>
    <w:rsid w:val="00A30D0B"/>
    <w:rsid w:val="00A30E2B"/>
    <w:rsid w:val="00A30E61"/>
    <w:rsid w:val="00A30EA0"/>
    <w:rsid w:val="00A30F8D"/>
    <w:rsid w:val="00A310A4"/>
    <w:rsid w:val="00A3127E"/>
    <w:rsid w:val="00A3141F"/>
    <w:rsid w:val="00A314A4"/>
    <w:rsid w:val="00A31569"/>
    <w:rsid w:val="00A3167B"/>
    <w:rsid w:val="00A31696"/>
    <w:rsid w:val="00A317A2"/>
    <w:rsid w:val="00A317E6"/>
    <w:rsid w:val="00A31877"/>
    <w:rsid w:val="00A318F4"/>
    <w:rsid w:val="00A3195D"/>
    <w:rsid w:val="00A31962"/>
    <w:rsid w:val="00A319FC"/>
    <w:rsid w:val="00A31BD9"/>
    <w:rsid w:val="00A31BE7"/>
    <w:rsid w:val="00A31C37"/>
    <w:rsid w:val="00A31C69"/>
    <w:rsid w:val="00A31DCB"/>
    <w:rsid w:val="00A31E40"/>
    <w:rsid w:val="00A31F62"/>
    <w:rsid w:val="00A31FA2"/>
    <w:rsid w:val="00A3202C"/>
    <w:rsid w:val="00A32061"/>
    <w:rsid w:val="00A32084"/>
    <w:rsid w:val="00A32174"/>
    <w:rsid w:val="00A321E6"/>
    <w:rsid w:val="00A3232C"/>
    <w:rsid w:val="00A323B7"/>
    <w:rsid w:val="00A32410"/>
    <w:rsid w:val="00A3248B"/>
    <w:rsid w:val="00A3253E"/>
    <w:rsid w:val="00A32664"/>
    <w:rsid w:val="00A326AB"/>
    <w:rsid w:val="00A3279C"/>
    <w:rsid w:val="00A32874"/>
    <w:rsid w:val="00A32883"/>
    <w:rsid w:val="00A328F1"/>
    <w:rsid w:val="00A3294B"/>
    <w:rsid w:val="00A32B03"/>
    <w:rsid w:val="00A32B6E"/>
    <w:rsid w:val="00A32BBC"/>
    <w:rsid w:val="00A32E7D"/>
    <w:rsid w:val="00A33020"/>
    <w:rsid w:val="00A330C7"/>
    <w:rsid w:val="00A33250"/>
    <w:rsid w:val="00A3326F"/>
    <w:rsid w:val="00A332F9"/>
    <w:rsid w:val="00A33323"/>
    <w:rsid w:val="00A33345"/>
    <w:rsid w:val="00A3354E"/>
    <w:rsid w:val="00A33610"/>
    <w:rsid w:val="00A336B2"/>
    <w:rsid w:val="00A33736"/>
    <w:rsid w:val="00A33763"/>
    <w:rsid w:val="00A338C0"/>
    <w:rsid w:val="00A338E0"/>
    <w:rsid w:val="00A338E8"/>
    <w:rsid w:val="00A338EB"/>
    <w:rsid w:val="00A3394B"/>
    <w:rsid w:val="00A33957"/>
    <w:rsid w:val="00A3396A"/>
    <w:rsid w:val="00A33986"/>
    <w:rsid w:val="00A339AE"/>
    <w:rsid w:val="00A33CA3"/>
    <w:rsid w:val="00A33CDE"/>
    <w:rsid w:val="00A33E5E"/>
    <w:rsid w:val="00A33ED2"/>
    <w:rsid w:val="00A33FAE"/>
    <w:rsid w:val="00A34085"/>
    <w:rsid w:val="00A3419C"/>
    <w:rsid w:val="00A3451E"/>
    <w:rsid w:val="00A345BA"/>
    <w:rsid w:val="00A3475C"/>
    <w:rsid w:val="00A3477A"/>
    <w:rsid w:val="00A347F3"/>
    <w:rsid w:val="00A3488D"/>
    <w:rsid w:val="00A34935"/>
    <w:rsid w:val="00A349D5"/>
    <w:rsid w:val="00A34A4D"/>
    <w:rsid w:val="00A34B89"/>
    <w:rsid w:val="00A34C14"/>
    <w:rsid w:val="00A34C8C"/>
    <w:rsid w:val="00A34C9E"/>
    <w:rsid w:val="00A34E58"/>
    <w:rsid w:val="00A34E83"/>
    <w:rsid w:val="00A35234"/>
    <w:rsid w:val="00A352FF"/>
    <w:rsid w:val="00A35366"/>
    <w:rsid w:val="00A35411"/>
    <w:rsid w:val="00A3548F"/>
    <w:rsid w:val="00A35494"/>
    <w:rsid w:val="00A35501"/>
    <w:rsid w:val="00A35566"/>
    <w:rsid w:val="00A355C3"/>
    <w:rsid w:val="00A355CF"/>
    <w:rsid w:val="00A3562E"/>
    <w:rsid w:val="00A35714"/>
    <w:rsid w:val="00A35761"/>
    <w:rsid w:val="00A35834"/>
    <w:rsid w:val="00A3583A"/>
    <w:rsid w:val="00A3591E"/>
    <w:rsid w:val="00A35AA0"/>
    <w:rsid w:val="00A35C86"/>
    <w:rsid w:val="00A35D15"/>
    <w:rsid w:val="00A35EF3"/>
    <w:rsid w:val="00A35F95"/>
    <w:rsid w:val="00A361FE"/>
    <w:rsid w:val="00A36227"/>
    <w:rsid w:val="00A362CB"/>
    <w:rsid w:val="00A3652D"/>
    <w:rsid w:val="00A365DF"/>
    <w:rsid w:val="00A3673D"/>
    <w:rsid w:val="00A367AE"/>
    <w:rsid w:val="00A367AF"/>
    <w:rsid w:val="00A368F4"/>
    <w:rsid w:val="00A3697A"/>
    <w:rsid w:val="00A36AAA"/>
    <w:rsid w:val="00A36BD4"/>
    <w:rsid w:val="00A36C07"/>
    <w:rsid w:val="00A36CD1"/>
    <w:rsid w:val="00A36E0F"/>
    <w:rsid w:val="00A36ED5"/>
    <w:rsid w:val="00A36FA3"/>
    <w:rsid w:val="00A36FA7"/>
    <w:rsid w:val="00A370D8"/>
    <w:rsid w:val="00A3712E"/>
    <w:rsid w:val="00A3716B"/>
    <w:rsid w:val="00A371E0"/>
    <w:rsid w:val="00A372F3"/>
    <w:rsid w:val="00A37300"/>
    <w:rsid w:val="00A37351"/>
    <w:rsid w:val="00A37488"/>
    <w:rsid w:val="00A3748F"/>
    <w:rsid w:val="00A3752A"/>
    <w:rsid w:val="00A3755B"/>
    <w:rsid w:val="00A37623"/>
    <w:rsid w:val="00A376C0"/>
    <w:rsid w:val="00A376CF"/>
    <w:rsid w:val="00A37714"/>
    <w:rsid w:val="00A3789A"/>
    <w:rsid w:val="00A37988"/>
    <w:rsid w:val="00A37A72"/>
    <w:rsid w:val="00A37CCB"/>
    <w:rsid w:val="00A37E3A"/>
    <w:rsid w:val="00A37E55"/>
    <w:rsid w:val="00A37EB4"/>
    <w:rsid w:val="00A37F05"/>
    <w:rsid w:val="00A37FE8"/>
    <w:rsid w:val="00A40077"/>
    <w:rsid w:val="00A400BB"/>
    <w:rsid w:val="00A400E6"/>
    <w:rsid w:val="00A40317"/>
    <w:rsid w:val="00A40319"/>
    <w:rsid w:val="00A4033D"/>
    <w:rsid w:val="00A4046F"/>
    <w:rsid w:val="00A404C6"/>
    <w:rsid w:val="00A404DF"/>
    <w:rsid w:val="00A40534"/>
    <w:rsid w:val="00A405B7"/>
    <w:rsid w:val="00A405D2"/>
    <w:rsid w:val="00A4060D"/>
    <w:rsid w:val="00A40707"/>
    <w:rsid w:val="00A40870"/>
    <w:rsid w:val="00A408AB"/>
    <w:rsid w:val="00A409D1"/>
    <w:rsid w:val="00A40AB6"/>
    <w:rsid w:val="00A40AFD"/>
    <w:rsid w:val="00A40D57"/>
    <w:rsid w:val="00A40EC2"/>
    <w:rsid w:val="00A40EE6"/>
    <w:rsid w:val="00A40F38"/>
    <w:rsid w:val="00A40FD8"/>
    <w:rsid w:val="00A41098"/>
    <w:rsid w:val="00A41164"/>
    <w:rsid w:val="00A41286"/>
    <w:rsid w:val="00A41390"/>
    <w:rsid w:val="00A413BB"/>
    <w:rsid w:val="00A41433"/>
    <w:rsid w:val="00A4148A"/>
    <w:rsid w:val="00A414C4"/>
    <w:rsid w:val="00A415CF"/>
    <w:rsid w:val="00A41671"/>
    <w:rsid w:val="00A41692"/>
    <w:rsid w:val="00A416D8"/>
    <w:rsid w:val="00A41783"/>
    <w:rsid w:val="00A417CE"/>
    <w:rsid w:val="00A41870"/>
    <w:rsid w:val="00A418C6"/>
    <w:rsid w:val="00A418CA"/>
    <w:rsid w:val="00A41A85"/>
    <w:rsid w:val="00A41ADD"/>
    <w:rsid w:val="00A41AF4"/>
    <w:rsid w:val="00A41B3B"/>
    <w:rsid w:val="00A41BDB"/>
    <w:rsid w:val="00A41C09"/>
    <w:rsid w:val="00A41CC9"/>
    <w:rsid w:val="00A41D75"/>
    <w:rsid w:val="00A41E21"/>
    <w:rsid w:val="00A41E2F"/>
    <w:rsid w:val="00A41F92"/>
    <w:rsid w:val="00A4209F"/>
    <w:rsid w:val="00A420E5"/>
    <w:rsid w:val="00A4211A"/>
    <w:rsid w:val="00A42246"/>
    <w:rsid w:val="00A4231E"/>
    <w:rsid w:val="00A4243F"/>
    <w:rsid w:val="00A42487"/>
    <w:rsid w:val="00A424D3"/>
    <w:rsid w:val="00A4250B"/>
    <w:rsid w:val="00A42579"/>
    <w:rsid w:val="00A425AA"/>
    <w:rsid w:val="00A425C9"/>
    <w:rsid w:val="00A42669"/>
    <w:rsid w:val="00A42798"/>
    <w:rsid w:val="00A427D6"/>
    <w:rsid w:val="00A4289E"/>
    <w:rsid w:val="00A428CA"/>
    <w:rsid w:val="00A42A06"/>
    <w:rsid w:val="00A42A3B"/>
    <w:rsid w:val="00A42A77"/>
    <w:rsid w:val="00A42B98"/>
    <w:rsid w:val="00A42C21"/>
    <w:rsid w:val="00A42C92"/>
    <w:rsid w:val="00A42EAD"/>
    <w:rsid w:val="00A42F0D"/>
    <w:rsid w:val="00A42F60"/>
    <w:rsid w:val="00A42F8B"/>
    <w:rsid w:val="00A42F94"/>
    <w:rsid w:val="00A4309F"/>
    <w:rsid w:val="00A4316D"/>
    <w:rsid w:val="00A431F6"/>
    <w:rsid w:val="00A4326C"/>
    <w:rsid w:val="00A43279"/>
    <w:rsid w:val="00A4328F"/>
    <w:rsid w:val="00A432CC"/>
    <w:rsid w:val="00A432F8"/>
    <w:rsid w:val="00A4332C"/>
    <w:rsid w:val="00A433E6"/>
    <w:rsid w:val="00A4340D"/>
    <w:rsid w:val="00A43497"/>
    <w:rsid w:val="00A436AF"/>
    <w:rsid w:val="00A4371C"/>
    <w:rsid w:val="00A438E2"/>
    <w:rsid w:val="00A43964"/>
    <w:rsid w:val="00A43A18"/>
    <w:rsid w:val="00A43BE0"/>
    <w:rsid w:val="00A43C16"/>
    <w:rsid w:val="00A43C2B"/>
    <w:rsid w:val="00A43EC0"/>
    <w:rsid w:val="00A44108"/>
    <w:rsid w:val="00A4417B"/>
    <w:rsid w:val="00A4418E"/>
    <w:rsid w:val="00A44316"/>
    <w:rsid w:val="00A44365"/>
    <w:rsid w:val="00A443A2"/>
    <w:rsid w:val="00A443B8"/>
    <w:rsid w:val="00A443E0"/>
    <w:rsid w:val="00A4446B"/>
    <w:rsid w:val="00A44480"/>
    <w:rsid w:val="00A446E6"/>
    <w:rsid w:val="00A44750"/>
    <w:rsid w:val="00A447B5"/>
    <w:rsid w:val="00A447E6"/>
    <w:rsid w:val="00A447EB"/>
    <w:rsid w:val="00A448E5"/>
    <w:rsid w:val="00A44969"/>
    <w:rsid w:val="00A44A1C"/>
    <w:rsid w:val="00A44A48"/>
    <w:rsid w:val="00A44B62"/>
    <w:rsid w:val="00A44B7D"/>
    <w:rsid w:val="00A44B9B"/>
    <w:rsid w:val="00A44BF3"/>
    <w:rsid w:val="00A44C3E"/>
    <w:rsid w:val="00A44C4A"/>
    <w:rsid w:val="00A44DBF"/>
    <w:rsid w:val="00A44F97"/>
    <w:rsid w:val="00A44FF4"/>
    <w:rsid w:val="00A450BD"/>
    <w:rsid w:val="00A450DD"/>
    <w:rsid w:val="00A451BC"/>
    <w:rsid w:val="00A45349"/>
    <w:rsid w:val="00A4534C"/>
    <w:rsid w:val="00A45372"/>
    <w:rsid w:val="00A453B3"/>
    <w:rsid w:val="00A45524"/>
    <w:rsid w:val="00A4562F"/>
    <w:rsid w:val="00A45649"/>
    <w:rsid w:val="00A45793"/>
    <w:rsid w:val="00A4597D"/>
    <w:rsid w:val="00A4599F"/>
    <w:rsid w:val="00A459DE"/>
    <w:rsid w:val="00A45BC5"/>
    <w:rsid w:val="00A45DC2"/>
    <w:rsid w:val="00A45DEB"/>
    <w:rsid w:val="00A45DF8"/>
    <w:rsid w:val="00A45F45"/>
    <w:rsid w:val="00A45F70"/>
    <w:rsid w:val="00A46047"/>
    <w:rsid w:val="00A4640E"/>
    <w:rsid w:val="00A464F4"/>
    <w:rsid w:val="00A46776"/>
    <w:rsid w:val="00A467A3"/>
    <w:rsid w:val="00A46816"/>
    <w:rsid w:val="00A46923"/>
    <w:rsid w:val="00A46A27"/>
    <w:rsid w:val="00A46A33"/>
    <w:rsid w:val="00A46BCF"/>
    <w:rsid w:val="00A46BE8"/>
    <w:rsid w:val="00A46DBF"/>
    <w:rsid w:val="00A46F9D"/>
    <w:rsid w:val="00A46FF3"/>
    <w:rsid w:val="00A4700D"/>
    <w:rsid w:val="00A47114"/>
    <w:rsid w:val="00A471AB"/>
    <w:rsid w:val="00A4724E"/>
    <w:rsid w:val="00A473C6"/>
    <w:rsid w:val="00A475BC"/>
    <w:rsid w:val="00A47602"/>
    <w:rsid w:val="00A476B5"/>
    <w:rsid w:val="00A477B0"/>
    <w:rsid w:val="00A4783F"/>
    <w:rsid w:val="00A478B9"/>
    <w:rsid w:val="00A4791D"/>
    <w:rsid w:val="00A479A8"/>
    <w:rsid w:val="00A479C8"/>
    <w:rsid w:val="00A47A06"/>
    <w:rsid w:val="00A47B6E"/>
    <w:rsid w:val="00A47BB2"/>
    <w:rsid w:val="00A47C70"/>
    <w:rsid w:val="00A47C87"/>
    <w:rsid w:val="00A47D93"/>
    <w:rsid w:val="00A47E4E"/>
    <w:rsid w:val="00A47EBA"/>
    <w:rsid w:val="00A47F21"/>
    <w:rsid w:val="00A50309"/>
    <w:rsid w:val="00A503EF"/>
    <w:rsid w:val="00A504A0"/>
    <w:rsid w:val="00A504DF"/>
    <w:rsid w:val="00A50891"/>
    <w:rsid w:val="00A5089B"/>
    <w:rsid w:val="00A508CD"/>
    <w:rsid w:val="00A5091E"/>
    <w:rsid w:val="00A50A0D"/>
    <w:rsid w:val="00A50A36"/>
    <w:rsid w:val="00A50A4A"/>
    <w:rsid w:val="00A50A9B"/>
    <w:rsid w:val="00A50B41"/>
    <w:rsid w:val="00A50C51"/>
    <w:rsid w:val="00A50CAC"/>
    <w:rsid w:val="00A50CBA"/>
    <w:rsid w:val="00A50CCB"/>
    <w:rsid w:val="00A50E2D"/>
    <w:rsid w:val="00A50EC3"/>
    <w:rsid w:val="00A50F0F"/>
    <w:rsid w:val="00A50F3A"/>
    <w:rsid w:val="00A50FE3"/>
    <w:rsid w:val="00A5100B"/>
    <w:rsid w:val="00A51192"/>
    <w:rsid w:val="00A51262"/>
    <w:rsid w:val="00A5129E"/>
    <w:rsid w:val="00A512CB"/>
    <w:rsid w:val="00A513CA"/>
    <w:rsid w:val="00A513EC"/>
    <w:rsid w:val="00A51513"/>
    <w:rsid w:val="00A516F5"/>
    <w:rsid w:val="00A5181B"/>
    <w:rsid w:val="00A51A04"/>
    <w:rsid w:val="00A51AC5"/>
    <w:rsid w:val="00A51B09"/>
    <w:rsid w:val="00A51BA4"/>
    <w:rsid w:val="00A51BD4"/>
    <w:rsid w:val="00A51C5D"/>
    <w:rsid w:val="00A51C97"/>
    <w:rsid w:val="00A51E18"/>
    <w:rsid w:val="00A51E7C"/>
    <w:rsid w:val="00A51ECE"/>
    <w:rsid w:val="00A51F9D"/>
    <w:rsid w:val="00A52090"/>
    <w:rsid w:val="00A5218D"/>
    <w:rsid w:val="00A521E0"/>
    <w:rsid w:val="00A52219"/>
    <w:rsid w:val="00A5221C"/>
    <w:rsid w:val="00A522E6"/>
    <w:rsid w:val="00A52387"/>
    <w:rsid w:val="00A5238F"/>
    <w:rsid w:val="00A52485"/>
    <w:rsid w:val="00A52540"/>
    <w:rsid w:val="00A52567"/>
    <w:rsid w:val="00A525E5"/>
    <w:rsid w:val="00A52714"/>
    <w:rsid w:val="00A52862"/>
    <w:rsid w:val="00A52B32"/>
    <w:rsid w:val="00A52B80"/>
    <w:rsid w:val="00A52B81"/>
    <w:rsid w:val="00A52B9F"/>
    <w:rsid w:val="00A52BCD"/>
    <w:rsid w:val="00A52C5C"/>
    <w:rsid w:val="00A52CC3"/>
    <w:rsid w:val="00A52F2A"/>
    <w:rsid w:val="00A53022"/>
    <w:rsid w:val="00A530A9"/>
    <w:rsid w:val="00A5311F"/>
    <w:rsid w:val="00A53243"/>
    <w:rsid w:val="00A53497"/>
    <w:rsid w:val="00A535EF"/>
    <w:rsid w:val="00A53607"/>
    <w:rsid w:val="00A536CE"/>
    <w:rsid w:val="00A536E8"/>
    <w:rsid w:val="00A5376D"/>
    <w:rsid w:val="00A53820"/>
    <w:rsid w:val="00A538C6"/>
    <w:rsid w:val="00A538CE"/>
    <w:rsid w:val="00A53A8E"/>
    <w:rsid w:val="00A53B60"/>
    <w:rsid w:val="00A53B8C"/>
    <w:rsid w:val="00A53BED"/>
    <w:rsid w:val="00A53DD0"/>
    <w:rsid w:val="00A53DD9"/>
    <w:rsid w:val="00A53F2B"/>
    <w:rsid w:val="00A53F91"/>
    <w:rsid w:val="00A53FB5"/>
    <w:rsid w:val="00A54131"/>
    <w:rsid w:val="00A541B4"/>
    <w:rsid w:val="00A5435B"/>
    <w:rsid w:val="00A54495"/>
    <w:rsid w:val="00A54506"/>
    <w:rsid w:val="00A54514"/>
    <w:rsid w:val="00A54533"/>
    <w:rsid w:val="00A54539"/>
    <w:rsid w:val="00A54650"/>
    <w:rsid w:val="00A54738"/>
    <w:rsid w:val="00A5477B"/>
    <w:rsid w:val="00A54787"/>
    <w:rsid w:val="00A54804"/>
    <w:rsid w:val="00A5483B"/>
    <w:rsid w:val="00A54848"/>
    <w:rsid w:val="00A5484A"/>
    <w:rsid w:val="00A54863"/>
    <w:rsid w:val="00A54874"/>
    <w:rsid w:val="00A54891"/>
    <w:rsid w:val="00A54946"/>
    <w:rsid w:val="00A5497A"/>
    <w:rsid w:val="00A549AC"/>
    <w:rsid w:val="00A54B7D"/>
    <w:rsid w:val="00A54D5D"/>
    <w:rsid w:val="00A54F00"/>
    <w:rsid w:val="00A54F01"/>
    <w:rsid w:val="00A54F1D"/>
    <w:rsid w:val="00A54FBD"/>
    <w:rsid w:val="00A54FD3"/>
    <w:rsid w:val="00A54FD9"/>
    <w:rsid w:val="00A55051"/>
    <w:rsid w:val="00A5505E"/>
    <w:rsid w:val="00A550C1"/>
    <w:rsid w:val="00A55112"/>
    <w:rsid w:val="00A552AD"/>
    <w:rsid w:val="00A552C8"/>
    <w:rsid w:val="00A553BF"/>
    <w:rsid w:val="00A55417"/>
    <w:rsid w:val="00A55423"/>
    <w:rsid w:val="00A5543B"/>
    <w:rsid w:val="00A55485"/>
    <w:rsid w:val="00A554D7"/>
    <w:rsid w:val="00A555E1"/>
    <w:rsid w:val="00A555EA"/>
    <w:rsid w:val="00A55703"/>
    <w:rsid w:val="00A5572A"/>
    <w:rsid w:val="00A557A8"/>
    <w:rsid w:val="00A557D3"/>
    <w:rsid w:val="00A557D5"/>
    <w:rsid w:val="00A5580E"/>
    <w:rsid w:val="00A5583F"/>
    <w:rsid w:val="00A55B5F"/>
    <w:rsid w:val="00A55BCE"/>
    <w:rsid w:val="00A55CDC"/>
    <w:rsid w:val="00A55CF3"/>
    <w:rsid w:val="00A55E34"/>
    <w:rsid w:val="00A55E54"/>
    <w:rsid w:val="00A55E91"/>
    <w:rsid w:val="00A55EB5"/>
    <w:rsid w:val="00A55F2A"/>
    <w:rsid w:val="00A55F94"/>
    <w:rsid w:val="00A56013"/>
    <w:rsid w:val="00A562EC"/>
    <w:rsid w:val="00A56354"/>
    <w:rsid w:val="00A563B1"/>
    <w:rsid w:val="00A56636"/>
    <w:rsid w:val="00A568D4"/>
    <w:rsid w:val="00A5693E"/>
    <w:rsid w:val="00A56C7F"/>
    <w:rsid w:val="00A56CA9"/>
    <w:rsid w:val="00A56CCB"/>
    <w:rsid w:val="00A56CD8"/>
    <w:rsid w:val="00A56CFE"/>
    <w:rsid w:val="00A56D06"/>
    <w:rsid w:val="00A56D76"/>
    <w:rsid w:val="00A56D88"/>
    <w:rsid w:val="00A56E88"/>
    <w:rsid w:val="00A56E91"/>
    <w:rsid w:val="00A56EDC"/>
    <w:rsid w:val="00A56F5D"/>
    <w:rsid w:val="00A57018"/>
    <w:rsid w:val="00A5706D"/>
    <w:rsid w:val="00A57086"/>
    <w:rsid w:val="00A57125"/>
    <w:rsid w:val="00A5714B"/>
    <w:rsid w:val="00A57252"/>
    <w:rsid w:val="00A57305"/>
    <w:rsid w:val="00A57464"/>
    <w:rsid w:val="00A57562"/>
    <w:rsid w:val="00A57613"/>
    <w:rsid w:val="00A57617"/>
    <w:rsid w:val="00A57673"/>
    <w:rsid w:val="00A57689"/>
    <w:rsid w:val="00A5777B"/>
    <w:rsid w:val="00A577E8"/>
    <w:rsid w:val="00A57802"/>
    <w:rsid w:val="00A57847"/>
    <w:rsid w:val="00A579B9"/>
    <w:rsid w:val="00A579E7"/>
    <w:rsid w:val="00A579F7"/>
    <w:rsid w:val="00A57A90"/>
    <w:rsid w:val="00A57C05"/>
    <w:rsid w:val="00A57D49"/>
    <w:rsid w:val="00A57E73"/>
    <w:rsid w:val="00A57E82"/>
    <w:rsid w:val="00A60110"/>
    <w:rsid w:val="00A60362"/>
    <w:rsid w:val="00A603D4"/>
    <w:rsid w:val="00A60610"/>
    <w:rsid w:val="00A606F2"/>
    <w:rsid w:val="00A6077E"/>
    <w:rsid w:val="00A607B6"/>
    <w:rsid w:val="00A607C9"/>
    <w:rsid w:val="00A60868"/>
    <w:rsid w:val="00A60937"/>
    <w:rsid w:val="00A60941"/>
    <w:rsid w:val="00A60AAC"/>
    <w:rsid w:val="00A60BDF"/>
    <w:rsid w:val="00A60C52"/>
    <w:rsid w:val="00A60D3D"/>
    <w:rsid w:val="00A60D62"/>
    <w:rsid w:val="00A60DC1"/>
    <w:rsid w:val="00A60E11"/>
    <w:rsid w:val="00A60ED7"/>
    <w:rsid w:val="00A60F26"/>
    <w:rsid w:val="00A60FA8"/>
    <w:rsid w:val="00A60FD7"/>
    <w:rsid w:val="00A60FF9"/>
    <w:rsid w:val="00A610EC"/>
    <w:rsid w:val="00A6110B"/>
    <w:rsid w:val="00A611E7"/>
    <w:rsid w:val="00A6122C"/>
    <w:rsid w:val="00A612A3"/>
    <w:rsid w:val="00A61319"/>
    <w:rsid w:val="00A6131F"/>
    <w:rsid w:val="00A61369"/>
    <w:rsid w:val="00A6141B"/>
    <w:rsid w:val="00A6144F"/>
    <w:rsid w:val="00A61489"/>
    <w:rsid w:val="00A61493"/>
    <w:rsid w:val="00A614E6"/>
    <w:rsid w:val="00A614EC"/>
    <w:rsid w:val="00A6150F"/>
    <w:rsid w:val="00A61554"/>
    <w:rsid w:val="00A616D0"/>
    <w:rsid w:val="00A6175C"/>
    <w:rsid w:val="00A61780"/>
    <w:rsid w:val="00A61892"/>
    <w:rsid w:val="00A61951"/>
    <w:rsid w:val="00A619A1"/>
    <w:rsid w:val="00A61AA6"/>
    <w:rsid w:val="00A61ACE"/>
    <w:rsid w:val="00A61C1C"/>
    <w:rsid w:val="00A61D23"/>
    <w:rsid w:val="00A61DFE"/>
    <w:rsid w:val="00A61E07"/>
    <w:rsid w:val="00A61EA9"/>
    <w:rsid w:val="00A61F7A"/>
    <w:rsid w:val="00A61F93"/>
    <w:rsid w:val="00A62063"/>
    <w:rsid w:val="00A6206C"/>
    <w:rsid w:val="00A62073"/>
    <w:rsid w:val="00A620A6"/>
    <w:rsid w:val="00A62133"/>
    <w:rsid w:val="00A62240"/>
    <w:rsid w:val="00A623C7"/>
    <w:rsid w:val="00A6248D"/>
    <w:rsid w:val="00A6249C"/>
    <w:rsid w:val="00A625C1"/>
    <w:rsid w:val="00A625D6"/>
    <w:rsid w:val="00A62742"/>
    <w:rsid w:val="00A62890"/>
    <w:rsid w:val="00A628F2"/>
    <w:rsid w:val="00A62C2E"/>
    <w:rsid w:val="00A62C81"/>
    <w:rsid w:val="00A62CE6"/>
    <w:rsid w:val="00A62D76"/>
    <w:rsid w:val="00A62DB4"/>
    <w:rsid w:val="00A62DBE"/>
    <w:rsid w:val="00A62E88"/>
    <w:rsid w:val="00A62E8F"/>
    <w:rsid w:val="00A62F5B"/>
    <w:rsid w:val="00A63008"/>
    <w:rsid w:val="00A63092"/>
    <w:rsid w:val="00A63135"/>
    <w:rsid w:val="00A6318F"/>
    <w:rsid w:val="00A63340"/>
    <w:rsid w:val="00A6358E"/>
    <w:rsid w:val="00A6360C"/>
    <w:rsid w:val="00A63624"/>
    <w:rsid w:val="00A6364D"/>
    <w:rsid w:val="00A637EA"/>
    <w:rsid w:val="00A63866"/>
    <w:rsid w:val="00A638BB"/>
    <w:rsid w:val="00A63949"/>
    <w:rsid w:val="00A6394E"/>
    <w:rsid w:val="00A63A4F"/>
    <w:rsid w:val="00A63A79"/>
    <w:rsid w:val="00A63B9F"/>
    <w:rsid w:val="00A63BB2"/>
    <w:rsid w:val="00A63D67"/>
    <w:rsid w:val="00A63D7A"/>
    <w:rsid w:val="00A63E40"/>
    <w:rsid w:val="00A63E61"/>
    <w:rsid w:val="00A63E93"/>
    <w:rsid w:val="00A63FD8"/>
    <w:rsid w:val="00A64188"/>
    <w:rsid w:val="00A64207"/>
    <w:rsid w:val="00A64241"/>
    <w:rsid w:val="00A64357"/>
    <w:rsid w:val="00A64434"/>
    <w:rsid w:val="00A64520"/>
    <w:rsid w:val="00A64714"/>
    <w:rsid w:val="00A64798"/>
    <w:rsid w:val="00A647D3"/>
    <w:rsid w:val="00A64864"/>
    <w:rsid w:val="00A648C3"/>
    <w:rsid w:val="00A648E7"/>
    <w:rsid w:val="00A64993"/>
    <w:rsid w:val="00A649D4"/>
    <w:rsid w:val="00A649DF"/>
    <w:rsid w:val="00A649E3"/>
    <w:rsid w:val="00A64A92"/>
    <w:rsid w:val="00A64B7D"/>
    <w:rsid w:val="00A64BC2"/>
    <w:rsid w:val="00A64C34"/>
    <w:rsid w:val="00A64C57"/>
    <w:rsid w:val="00A64CAD"/>
    <w:rsid w:val="00A64CDA"/>
    <w:rsid w:val="00A64D5C"/>
    <w:rsid w:val="00A64E8C"/>
    <w:rsid w:val="00A64F36"/>
    <w:rsid w:val="00A64F6D"/>
    <w:rsid w:val="00A6509D"/>
    <w:rsid w:val="00A651A2"/>
    <w:rsid w:val="00A652F0"/>
    <w:rsid w:val="00A6531D"/>
    <w:rsid w:val="00A6534C"/>
    <w:rsid w:val="00A65471"/>
    <w:rsid w:val="00A65479"/>
    <w:rsid w:val="00A65575"/>
    <w:rsid w:val="00A65620"/>
    <w:rsid w:val="00A65835"/>
    <w:rsid w:val="00A6587E"/>
    <w:rsid w:val="00A658F1"/>
    <w:rsid w:val="00A65A34"/>
    <w:rsid w:val="00A65A4A"/>
    <w:rsid w:val="00A65B36"/>
    <w:rsid w:val="00A65C65"/>
    <w:rsid w:val="00A65E0F"/>
    <w:rsid w:val="00A65E47"/>
    <w:rsid w:val="00A6607C"/>
    <w:rsid w:val="00A66110"/>
    <w:rsid w:val="00A66159"/>
    <w:rsid w:val="00A662BB"/>
    <w:rsid w:val="00A662E4"/>
    <w:rsid w:val="00A66326"/>
    <w:rsid w:val="00A66332"/>
    <w:rsid w:val="00A6652E"/>
    <w:rsid w:val="00A66553"/>
    <w:rsid w:val="00A666E5"/>
    <w:rsid w:val="00A667B5"/>
    <w:rsid w:val="00A667D2"/>
    <w:rsid w:val="00A6680F"/>
    <w:rsid w:val="00A668D6"/>
    <w:rsid w:val="00A6696B"/>
    <w:rsid w:val="00A669AA"/>
    <w:rsid w:val="00A66A92"/>
    <w:rsid w:val="00A66AC3"/>
    <w:rsid w:val="00A66B05"/>
    <w:rsid w:val="00A66BF4"/>
    <w:rsid w:val="00A66E52"/>
    <w:rsid w:val="00A66EAB"/>
    <w:rsid w:val="00A66EDB"/>
    <w:rsid w:val="00A66F46"/>
    <w:rsid w:val="00A67107"/>
    <w:rsid w:val="00A67144"/>
    <w:rsid w:val="00A67237"/>
    <w:rsid w:val="00A67246"/>
    <w:rsid w:val="00A67266"/>
    <w:rsid w:val="00A67291"/>
    <w:rsid w:val="00A6735E"/>
    <w:rsid w:val="00A6737A"/>
    <w:rsid w:val="00A673D7"/>
    <w:rsid w:val="00A67464"/>
    <w:rsid w:val="00A674A8"/>
    <w:rsid w:val="00A674FC"/>
    <w:rsid w:val="00A6751D"/>
    <w:rsid w:val="00A67534"/>
    <w:rsid w:val="00A67635"/>
    <w:rsid w:val="00A6767E"/>
    <w:rsid w:val="00A6774F"/>
    <w:rsid w:val="00A67792"/>
    <w:rsid w:val="00A677FE"/>
    <w:rsid w:val="00A67817"/>
    <w:rsid w:val="00A6781D"/>
    <w:rsid w:val="00A679BC"/>
    <w:rsid w:val="00A67A1D"/>
    <w:rsid w:val="00A67A78"/>
    <w:rsid w:val="00A67A88"/>
    <w:rsid w:val="00A67B1B"/>
    <w:rsid w:val="00A67B4B"/>
    <w:rsid w:val="00A67C02"/>
    <w:rsid w:val="00A67D5E"/>
    <w:rsid w:val="00A67EC6"/>
    <w:rsid w:val="00A70079"/>
    <w:rsid w:val="00A700A5"/>
    <w:rsid w:val="00A700C7"/>
    <w:rsid w:val="00A70109"/>
    <w:rsid w:val="00A70212"/>
    <w:rsid w:val="00A70253"/>
    <w:rsid w:val="00A7026B"/>
    <w:rsid w:val="00A7048A"/>
    <w:rsid w:val="00A704D0"/>
    <w:rsid w:val="00A706BC"/>
    <w:rsid w:val="00A707BD"/>
    <w:rsid w:val="00A707D4"/>
    <w:rsid w:val="00A708A2"/>
    <w:rsid w:val="00A7095C"/>
    <w:rsid w:val="00A70965"/>
    <w:rsid w:val="00A7099B"/>
    <w:rsid w:val="00A70A38"/>
    <w:rsid w:val="00A70BDD"/>
    <w:rsid w:val="00A70C1D"/>
    <w:rsid w:val="00A70CD9"/>
    <w:rsid w:val="00A70D1B"/>
    <w:rsid w:val="00A70D89"/>
    <w:rsid w:val="00A70EE1"/>
    <w:rsid w:val="00A70F34"/>
    <w:rsid w:val="00A70F5C"/>
    <w:rsid w:val="00A71005"/>
    <w:rsid w:val="00A7107D"/>
    <w:rsid w:val="00A710BA"/>
    <w:rsid w:val="00A71150"/>
    <w:rsid w:val="00A71153"/>
    <w:rsid w:val="00A712D9"/>
    <w:rsid w:val="00A71389"/>
    <w:rsid w:val="00A7139C"/>
    <w:rsid w:val="00A714D0"/>
    <w:rsid w:val="00A7150A"/>
    <w:rsid w:val="00A71580"/>
    <w:rsid w:val="00A715C5"/>
    <w:rsid w:val="00A71675"/>
    <w:rsid w:val="00A71717"/>
    <w:rsid w:val="00A7177A"/>
    <w:rsid w:val="00A71792"/>
    <w:rsid w:val="00A71925"/>
    <w:rsid w:val="00A71A35"/>
    <w:rsid w:val="00A71A4D"/>
    <w:rsid w:val="00A71A8D"/>
    <w:rsid w:val="00A71AAA"/>
    <w:rsid w:val="00A71C49"/>
    <w:rsid w:val="00A71CCF"/>
    <w:rsid w:val="00A71CF8"/>
    <w:rsid w:val="00A71D73"/>
    <w:rsid w:val="00A71DB5"/>
    <w:rsid w:val="00A71DBF"/>
    <w:rsid w:val="00A71E47"/>
    <w:rsid w:val="00A71EA2"/>
    <w:rsid w:val="00A71F0E"/>
    <w:rsid w:val="00A71F30"/>
    <w:rsid w:val="00A7203E"/>
    <w:rsid w:val="00A72095"/>
    <w:rsid w:val="00A720AE"/>
    <w:rsid w:val="00A7211F"/>
    <w:rsid w:val="00A7214C"/>
    <w:rsid w:val="00A72164"/>
    <w:rsid w:val="00A7216B"/>
    <w:rsid w:val="00A72254"/>
    <w:rsid w:val="00A7228E"/>
    <w:rsid w:val="00A72294"/>
    <w:rsid w:val="00A723BF"/>
    <w:rsid w:val="00A723C9"/>
    <w:rsid w:val="00A725B1"/>
    <w:rsid w:val="00A725F9"/>
    <w:rsid w:val="00A726F4"/>
    <w:rsid w:val="00A727CA"/>
    <w:rsid w:val="00A727EA"/>
    <w:rsid w:val="00A728E1"/>
    <w:rsid w:val="00A72B39"/>
    <w:rsid w:val="00A72B64"/>
    <w:rsid w:val="00A72C90"/>
    <w:rsid w:val="00A72CF5"/>
    <w:rsid w:val="00A72D1F"/>
    <w:rsid w:val="00A72D42"/>
    <w:rsid w:val="00A72DFB"/>
    <w:rsid w:val="00A72E62"/>
    <w:rsid w:val="00A72ED9"/>
    <w:rsid w:val="00A72F9E"/>
    <w:rsid w:val="00A72FAB"/>
    <w:rsid w:val="00A73073"/>
    <w:rsid w:val="00A730A4"/>
    <w:rsid w:val="00A73172"/>
    <w:rsid w:val="00A731AB"/>
    <w:rsid w:val="00A731F5"/>
    <w:rsid w:val="00A7337B"/>
    <w:rsid w:val="00A733AA"/>
    <w:rsid w:val="00A733AB"/>
    <w:rsid w:val="00A73421"/>
    <w:rsid w:val="00A73464"/>
    <w:rsid w:val="00A734AB"/>
    <w:rsid w:val="00A734B4"/>
    <w:rsid w:val="00A73511"/>
    <w:rsid w:val="00A7351A"/>
    <w:rsid w:val="00A73534"/>
    <w:rsid w:val="00A735D0"/>
    <w:rsid w:val="00A73614"/>
    <w:rsid w:val="00A73653"/>
    <w:rsid w:val="00A7377C"/>
    <w:rsid w:val="00A737A2"/>
    <w:rsid w:val="00A73837"/>
    <w:rsid w:val="00A7386B"/>
    <w:rsid w:val="00A738B1"/>
    <w:rsid w:val="00A738EE"/>
    <w:rsid w:val="00A739F1"/>
    <w:rsid w:val="00A73AA7"/>
    <w:rsid w:val="00A73B5B"/>
    <w:rsid w:val="00A73B62"/>
    <w:rsid w:val="00A73B96"/>
    <w:rsid w:val="00A73C55"/>
    <w:rsid w:val="00A73C73"/>
    <w:rsid w:val="00A73E3F"/>
    <w:rsid w:val="00A74006"/>
    <w:rsid w:val="00A74116"/>
    <w:rsid w:val="00A74242"/>
    <w:rsid w:val="00A74284"/>
    <w:rsid w:val="00A742E1"/>
    <w:rsid w:val="00A74302"/>
    <w:rsid w:val="00A74308"/>
    <w:rsid w:val="00A74359"/>
    <w:rsid w:val="00A743B0"/>
    <w:rsid w:val="00A74476"/>
    <w:rsid w:val="00A746B3"/>
    <w:rsid w:val="00A74763"/>
    <w:rsid w:val="00A7482B"/>
    <w:rsid w:val="00A74882"/>
    <w:rsid w:val="00A74927"/>
    <w:rsid w:val="00A7497B"/>
    <w:rsid w:val="00A74A50"/>
    <w:rsid w:val="00A74AB0"/>
    <w:rsid w:val="00A74C2E"/>
    <w:rsid w:val="00A74CC0"/>
    <w:rsid w:val="00A74D38"/>
    <w:rsid w:val="00A74E7C"/>
    <w:rsid w:val="00A74F88"/>
    <w:rsid w:val="00A750D6"/>
    <w:rsid w:val="00A750E0"/>
    <w:rsid w:val="00A751CB"/>
    <w:rsid w:val="00A752CD"/>
    <w:rsid w:val="00A75354"/>
    <w:rsid w:val="00A75372"/>
    <w:rsid w:val="00A753B2"/>
    <w:rsid w:val="00A75436"/>
    <w:rsid w:val="00A75499"/>
    <w:rsid w:val="00A756F0"/>
    <w:rsid w:val="00A7577B"/>
    <w:rsid w:val="00A757E1"/>
    <w:rsid w:val="00A75965"/>
    <w:rsid w:val="00A75A09"/>
    <w:rsid w:val="00A75B19"/>
    <w:rsid w:val="00A75B8B"/>
    <w:rsid w:val="00A75C52"/>
    <w:rsid w:val="00A75CA7"/>
    <w:rsid w:val="00A75DF6"/>
    <w:rsid w:val="00A75E28"/>
    <w:rsid w:val="00A75FD0"/>
    <w:rsid w:val="00A76059"/>
    <w:rsid w:val="00A76079"/>
    <w:rsid w:val="00A760C0"/>
    <w:rsid w:val="00A76160"/>
    <w:rsid w:val="00A7629C"/>
    <w:rsid w:val="00A762A8"/>
    <w:rsid w:val="00A76333"/>
    <w:rsid w:val="00A7637A"/>
    <w:rsid w:val="00A763CA"/>
    <w:rsid w:val="00A7647A"/>
    <w:rsid w:val="00A764F3"/>
    <w:rsid w:val="00A76522"/>
    <w:rsid w:val="00A7659D"/>
    <w:rsid w:val="00A7660A"/>
    <w:rsid w:val="00A7670D"/>
    <w:rsid w:val="00A76773"/>
    <w:rsid w:val="00A768A5"/>
    <w:rsid w:val="00A768D2"/>
    <w:rsid w:val="00A76984"/>
    <w:rsid w:val="00A769A8"/>
    <w:rsid w:val="00A76C49"/>
    <w:rsid w:val="00A76CAD"/>
    <w:rsid w:val="00A76D62"/>
    <w:rsid w:val="00A76E44"/>
    <w:rsid w:val="00A76E79"/>
    <w:rsid w:val="00A76E7F"/>
    <w:rsid w:val="00A76ED4"/>
    <w:rsid w:val="00A7712F"/>
    <w:rsid w:val="00A7719D"/>
    <w:rsid w:val="00A7729C"/>
    <w:rsid w:val="00A772D6"/>
    <w:rsid w:val="00A7738B"/>
    <w:rsid w:val="00A77399"/>
    <w:rsid w:val="00A7739F"/>
    <w:rsid w:val="00A7742A"/>
    <w:rsid w:val="00A774A8"/>
    <w:rsid w:val="00A775E1"/>
    <w:rsid w:val="00A775ED"/>
    <w:rsid w:val="00A776C7"/>
    <w:rsid w:val="00A77741"/>
    <w:rsid w:val="00A777EB"/>
    <w:rsid w:val="00A77808"/>
    <w:rsid w:val="00A7787B"/>
    <w:rsid w:val="00A77954"/>
    <w:rsid w:val="00A7796A"/>
    <w:rsid w:val="00A77A86"/>
    <w:rsid w:val="00A77AE8"/>
    <w:rsid w:val="00A77C52"/>
    <w:rsid w:val="00A77C99"/>
    <w:rsid w:val="00A77D9C"/>
    <w:rsid w:val="00A77F54"/>
    <w:rsid w:val="00A8029E"/>
    <w:rsid w:val="00A8033A"/>
    <w:rsid w:val="00A80368"/>
    <w:rsid w:val="00A80397"/>
    <w:rsid w:val="00A80445"/>
    <w:rsid w:val="00A8052E"/>
    <w:rsid w:val="00A805E2"/>
    <w:rsid w:val="00A805F4"/>
    <w:rsid w:val="00A80609"/>
    <w:rsid w:val="00A80832"/>
    <w:rsid w:val="00A80976"/>
    <w:rsid w:val="00A809E8"/>
    <w:rsid w:val="00A80F02"/>
    <w:rsid w:val="00A80F4C"/>
    <w:rsid w:val="00A80F9E"/>
    <w:rsid w:val="00A81008"/>
    <w:rsid w:val="00A8126E"/>
    <w:rsid w:val="00A81304"/>
    <w:rsid w:val="00A8133C"/>
    <w:rsid w:val="00A813AB"/>
    <w:rsid w:val="00A813B2"/>
    <w:rsid w:val="00A81494"/>
    <w:rsid w:val="00A8154E"/>
    <w:rsid w:val="00A816DF"/>
    <w:rsid w:val="00A816EA"/>
    <w:rsid w:val="00A8175F"/>
    <w:rsid w:val="00A81791"/>
    <w:rsid w:val="00A817A7"/>
    <w:rsid w:val="00A8181A"/>
    <w:rsid w:val="00A81877"/>
    <w:rsid w:val="00A8187A"/>
    <w:rsid w:val="00A818C0"/>
    <w:rsid w:val="00A818C8"/>
    <w:rsid w:val="00A8192C"/>
    <w:rsid w:val="00A81955"/>
    <w:rsid w:val="00A81ACC"/>
    <w:rsid w:val="00A81D81"/>
    <w:rsid w:val="00A81F63"/>
    <w:rsid w:val="00A81FA0"/>
    <w:rsid w:val="00A82006"/>
    <w:rsid w:val="00A82032"/>
    <w:rsid w:val="00A8208F"/>
    <w:rsid w:val="00A82101"/>
    <w:rsid w:val="00A821F7"/>
    <w:rsid w:val="00A82279"/>
    <w:rsid w:val="00A82388"/>
    <w:rsid w:val="00A82452"/>
    <w:rsid w:val="00A82464"/>
    <w:rsid w:val="00A82491"/>
    <w:rsid w:val="00A825B3"/>
    <w:rsid w:val="00A825E5"/>
    <w:rsid w:val="00A825EB"/>
    <w:rsid w:val="00A826EE"/>
    <w:rsid w:val="00A8274B"/>
    <w:rsid w:val="00A8289D"/>
    <w:rsid w:val="00A829C5"/>
    <w:rsid w:val="00A82B00"/>
    <w:rsid w:val="00A82BD8"/>
    <w:rsid w:val="00A82BE5"/>
    <w:rsid w:val="00A82BF2"/>
    <w:rsid w:val="00A82CF0"/>
    <w:rsid w:val="00A82D5F"/>
    <w:rsid w:val="00A82DD4"/>
    <w:rsid w:val="00A82EF2"/>
    <w:rsid w:val="00A82F2F"/>
    <w:rsid w:val="00A83035"/>
    <w:rsid w:val="00A8309C"/>
    <w:rsid w:val="00A83188"/>
    <w:rsid w:val="00A831B3"/>
    <w:rsid w:val="00A83266"/>
    <w:rsid w:val="00A834DA"/>
    <w:rsid w:val="00A8350B"/>
    <w:rsid w:val="00A83530"/>
    <w:rsid w:val="00A83623"/>
    <w:rsid w:val="00A836BE"/>
    <w:rsid w:val="00A8378C"/>
    <w:rsid w:val="00A837CA"/>
    <w:rsid w:val="00A837E2"/>
    <w:rsid w:val="00A838F6"/>
    <w:rsid w:val="00A839A0"/>
    <w:rsid w:val="00A83B03"/>
    <w:rsid w:val="00A83B45"/>
    <w:rsid w:val="00A83BB3"/>
    <w:rsid w:val="00A83C84"/>
    <w:rsid w:val="00A83D0F"/>
    <w:rsid w:val="00A83EA1"/>
    <w:rsid w:val="00A83F13"/>
    <w:rsid w:val="00A83F85"/>
    <w:rsid w:val="00A83FE1"/>
    <w:rsid w:val="00A83FEA"/>
    <w:rsid w:val="00A8400B"/>
    <w:rsid w:val="00A84027"/>
    <w:rsid w:val="00A8408F"/>
    <w:rsid w:val="00A840C2"/>
    <w:rsid w:val="00A840F2"/>
    <w:rsid w:val="00A840F4"/>
    <w:rsid w:val="00A84113"/>
    <w:rsid w:val="00A8419A"/>
    <w:rsid w:val="00A841D2"/>
    <w:rsid w:val="00A842FF"/>
    <w:rsid w:val="00A84300"/>
    <w:rsid w:val="00A8444F"/>
    <w:rsid w:val="00A84519"/>
    <w:rsid w:val="00A84681"/>
    <w:rsid w:val="00A846D3"/>
    <w:rsid w:val="00A84740"/>
    <w:rsid w:val="00A84867"/>
    <w:rsid w:val="00A84898"/>
    <w:rsid w:val="00A848FA"/>
    <w:rsid w:val="00A84948"/>
    <w:rsid w:val="00A849B2"/>
    <w:rsid w:val="00A84A61"/>
    <w:rsid w:val="00A84AEB"/>
    <w:rsid w:val="00A84BA1"/>
    <w:rsid w:val="00A84BD8"/>
    <w:rsid w:val="00A84BEE"/>
    <w:rsid w:val="00A84C41"/>
    <w:rsid w:val="00A84C7A"/>
    <w:rsid w:val="00A84C81"/>
    <w:rsid w:val="00A84D31"/>
    <w:rsid w:val="00A84D3A"/>
    <w:rsid w:val="00A84DEC"/>
    <w:rsid w:val="00A84E68"/>
    <w:rsid w:val="00A84E92"/>
    <w:rsid w:val="00A85023"/>
    <w:rsid w:val="00A85027"/>
    <w:rsid w:val="00A850D1"/>
    <w:rsid w:val="00A8513F"/>
    <w:rsid w:val="00A8514D"/>
    <w:rsid w:val="00A8516A"/>
    <w:rsid w:val="00A851ED"/>
    <w:rsid w:val="00A85201"/>
    <w:rsid w:val="00A8520C"/>
    <w:rsid w:val="00A8530C"/>
    <w:rsid w:val="00A854DD"/>
    <w:rsid w:val="00A85540"/>
    <w:rsid w:val="00A85547"/>
    <w:rsid w:val="00A855A1"/>
    <w:rsid w:val="00A8574D"/>
    <w:rsid w:val="00A85753"/>
    <w:rsid w:val="00A8583B"/>
    <w:rsid w:val="00A8585B"/>
    <w:rsid w:val="00A8588E"/>
    <w:rsid w:val="00A858A5"/>
    <w:rsid w:val="00A858BB"/>
    <w:rsid w:val="00A858F3"/>
    <w:rsid w:val="00A85A01"/>
    <w:rsid w:val="00A85A7D"/>
    <w:rsid w:val="00A85A96"/>
    <w:rsid w:val="00A85AB8"/>
    <w:rsid w:val="00A85AD3"/>
    <w:rsid w:val="00A85B7F"/>
    <w:rsid w:val="00A85BE8"/>
    <w:rsid w:val="00A85C85"/>
    <w:rsid w:val="00A85CE8"/>
    <w:rsid w:val="00A85D1F"/>
    <w:rsid w:val="00A85D52"/>
    <w:rsid w:val="00A85E05"/>
    <w:rsid w:val="00A85EF7"/>
    <w:rsid w:val="00A85F47"/>
    <w:rsid w:val="00A85F53"/>
    <w:rsid w:val="00A860E3"/>
    <w:rsid w:val="00A86164"/>
    <w:rsid w:val="00A8627E"/>
    <w:rsid w:val="00A8628A"/>
    <w:rsid w:val="00A863A0"/>
    <w:rsid w:val="00A863C4"/>
    <w:rsid w:val="00A863CC"/>
    <w:rsid w:val="00A863D6"/>
    <w:rsid w:val="00A863EA"/>
    <w:rsid w:val="00A8670D"/>
    <w:rsid w:val="00A86887"/>
    <w:rsid w:val="00A86903"/>
    <w:rsid w:val="00A86B37"/>
    <w:rsid w:val="00A86B93"/>
    <w:rsid w:val="00A86BDE"/>
    <w:rsid w:val="00A86DDC"/>
    <w:rsid w:val="00A86E27"/>
    <w:rsid w:val="00A870AC"/>
    <w:rsid w:val="00A87128"/>
    <w:rsid w:val="00A8719A"/>
    <w:rsid w:val="00A872FC"/>
    <w:rsid w:val="00A874AB"/>
    <w:rsid w:val="00A8752D"/>
    <w:rsid w:val="00A8754F"/>
    <w:rsid w:val="00A87562"/>
    <w:rsid w:val="00A8757B"/>
    <w:rsid w:val="00A875E4"/>
    <w:rsid w:val="00A87686"/>
    <w:rsid w:val="00A8768B"/>
    <w:rsid w:val="00A8774F"/>
    <w:rsid w:val="00A87777"/>
    <w:rsid w:val="00A87881"/>
    <w:rsid w:val="00A879C2"/>
    <w:rsid w:val="00A87A66"/>
    <w:rsid w:val="00A87AB4"/>
    <w:rsid w:val="00A87C1E"/>
    <w:rsid w:val="00A87CC7"/>
    <w:rsid w:val="00A87E35"/>
    <w:rsid w:val="00A87FCD"/>
    <w:rsid w:val="00A9007E"/>
    <w:rsid w:val="00A9008F"/>
    <w:rsid w:val="00A900F4"/>
    <w:rsid w:val="00A90166"/>
    <w:rsid w:val="00A9027C"/>
    <w:rsid w:val="00A9038D"/>
    <w:rsid w:val="00A904B4"/>
    <w:rsid w:val="00A904F7"/>
    <w:rsid w:val="00A90543"/>
    <w:rsid w:val="00A90616"/>
    <w:rsid w:val="00A9063C"/>
    <w:rsid w:val="00A9066F"/>
    <w:rsid w:val="00A907D6"/>
    <w:rsid w:val="00A9080C"/>
    <w:rsid w:val="00A90820"/>
    <w:rsid w:val="00A90828"/>
    <w:rsid w:val="00A90936"/>
    <w:rsid w:val="00A90A0B"/>
    <w:rsid w:val="00A90A1B"/>
    <w:rsid w:val="00A90AB6"/>
    <w:rsid w:val="00A90B49"/>
    <w:rsid w:val="00A90C48"/>
    <w:rsid w:val="00A90CF0"/>
    <w:rsid w:val="00A90DB4"/>
    <w:rsid w:val="00A90E9B"/>
    <w:rsid w:val="00A90F4D"/>
    <w:rsid w:val="00A910A1"/>
    <w:rsid w:val="00A91169"/>
    <w:rsid w:val="00A911CF"/>
    <w:rsid w:val="00A911D0"/>
    <w:rsid w:val="00A911F3"/>
    <w:rsid w:val="00A91239"/>
    <w:rsid w:val="00A91312"/>
    <w:rsid w:val="00A913DE"/>
    <w:rsid w:val="00A91408"/>
    <w:rsid w:val="00A91506"/>
    <w:rsid w:val="00A9158A"/>
    <w:rsid w:val="00A91749"/>
    <w:rsid w:val="00A91787"/>
    <w:rsid w:val="00A917DD"/>
    <w:rsid w:val="00A9182C"/>
    <w:rsid w:val="00A9194E"/>
    <w:rsid w:val="00A91A2E"/>
    <w:rsid w:val="00A91A45"/>
    <w:rsid w:val="00A91A46"/>
    <w:rsid w:val="00A91AE3"/>
    <w:rsid w:val="00A91B09"/>
    <w:rsid w:val="00A91B3B"/>
    <w:rsid w:val="00A91B7C"/>
    <w:rsid w:val="00A91C06"/>
    <w:rsid w:val="00A91C0F"/>
    <w:rsid w:val="00A91CCF"/>
    <w:rsid w:val="00A91D56"/>
    <w:rsid w:val="00A91ECF"/>
    <w:rsid w:val="00A91FAE"/>
    <w:rsid w:val="00A91FB3"/>
    <w:rsid w:val="00A91FDF"/>
    <w:rsid w:val="00A9209C"/>
    <w:rsid w:val="00A920E6"/>
    <w:rsid w:val="00A920F8"/>
    <w:rsid w:val="00A92168"/>
    <w:rsid w:val="00A922C2"/>
    <w:rsid w:val="00A922F3"/>
    <w:rsid w:val="00A924DA"/>
    <w:rsid w:val="00A924FA"/>
    <w:rsid w:val="00A92603"/>
    <w:rsid w:val="00A9262A"/>
    <w:rsid w:val="00A92798"/>
    <w:rsid w:val="00A927BD"/>
    <w:rsid w:val="00A92892"/>
    <w:rsid w:val="00A928B2"/>
    <w:rsid w:val="00A928B4"/>
    <w:rsid w:val="00A928FC"/>
    <w:rsid w:val="00A929F4"/>
    <w:rsid w:val="00A92A9D"/>
    <w:rsid w:val="00A92BCE"/>
    <w:rsid w:val="00A92C0D"/>
    <w:rsid w:val="00A92CEA"/>
    <w:rsid w:val="00A92DB6"/>
    <w:rsid w:val="00A92E81"/>
    <w:rsid w:val="00A92F6A"/>
    <w:rsid w:val="00A92F93"/>
    <w:rsid w:val="00A93073"/>
    <w:rsid w:val="00A930E6"/>
    <w:rsid w:val="00A93188"/>
    <w:rsid w:val="00A9319D"/>
    <w:rsid w:val="00A931E8"/>
    <w:rsid w:val="00A93297"/>
    <w:rsid w:val="00A9334E"/>
    <w:rsid w:val="00A9339F"/>
    <w:rsid w:val="00A933B4"/>
    <w:rsid w:val="00A93538"/>
    <w:rsid w:val="00A936CB"/>
    <w:rsid w:val="00A936EF"/>
    <w:rsid w:val="00A936FC"/>
    <w:rsid w:val="00A937B5"/>
    <w:rsid w:val="00A93997"/>
    <w:rsid w:val="00A93AE7"/>
    <w:rsid w:val="00A93B4C"/>
    <w:rsid w:val="00A93B6F"/>
    <w:rsid w:val="00A93C50"/>
    <w:rsid w:val="00A93D91"/>
    <w:rsid w:val="00A93DC4"/>
    <w:rsid w:val="00A93E01"/>
    <w:rsid w:val="00A93E32"/>
    <w:rsid w:val="00A93E42"/>
    <w:rsid w:val="00A94007"/>
    <w:rsid w:val="00A940B7"/>
    <w:rsid w:val="00A940BF"/>
    <w:rsid w:val="00A9422A"/>
    <w:rsid w:val="00A9425C"/>
    <w:rsid w:val="00A94301"/>
    <w:rsid w:val="00A94396"/>
    <w:rsid w:val="00A943C1"/>
    <w:rsid w:val="00A943C6"/>
    <w:rsid w:val="00A9440D"/>
    <w:rsid w:val="00A94914"/>
    <w:rsid w:val="00A949DB"/>
    <w:rsid w:val="00A94A7F"/>
    <w:rsid w:val="00A94B13"/>
    <w:rsid w:val="00A94B59"/>
    <w:rsid w:val="00A94C35"/>
    <w:rsid w:val="00A94E87"/>
    <w:rsid w:val="00A95061"/>
    <w:rsid w:val="00A950A4"/>
    <w:rsid w:val="00A95118"/>
    <w:rsid w:val="00A95136"/>
    <w:rsid w:val="00A95172"/>
    <w:rsid w:val="00A9522F"/>
    <w:rsid w:val="00A9539A"/>
    <w:rsid w:val="00A953C7"/>
    <w:rsid w:val="00A9546F"/>
    <w:rsid w:val="00A9563C"/>
    <w:rsid w:val="00A956CF"/>
    <w:rsid w:val="00A957F0"/>
    <w:rsid w:val="00A95898"/>
    <w:rsid w:val="00A95920"/>
    <w:rsid w:val="00A95A7B"/>
    <w:rsid w:val="00A95A8C"/>
    <w:rsid w:val="00A95AE3"/>
    <w:rsid w:val="00A95AEF"/>
    <w:rsid w:val="00A95B1C"/>
    <w:rsid w:val="00A95C61"/>
    <w:rsid w:val="00A95C62"/>
    <w:rsid w:val="00A95D01"/>
    <w:rsid w:val="00A95DBF"/>
    <w:rsid w:val="00A95DF9"/>
    <w:rsid w:val="00A95DFC"/>
    <w:rsid w:val="00A95F95"/>
    <w:rsid w:val="00A95F9E"/>
    <w:rsid w:val="00A9606E"/>
    <w:rsid w:val="00A96158"/>
    <w:rsid w:val="00A961A5"/>
    <w:rsid w:val="00A961FA"/>
    <w:rsid w:val="00A9627C"/>
    <w:rsid w:val="00A96284"/>
    <w:rsid w:val="00A9637D"/>
    <w:rsid w:val="00A963C9"/>
    <w:rsid w:val="00A964AA"/>
    <w:rsid w:val="00A96586"/>
    <w:rsid w:val="00A965F2"/>
    <w:rsid w:val="00A96671"/>
    <w:rsid w:val="00A9672D"/>
    <w:rsid w:val="00A96771"/>
    <w:rsid w:val="00A967A5"/>
    <w:rsid w:val="00A96873"/>
    <w:rsid w:val="00A96946"/>
    <w:rsid w:val="00A9696B"/>
    <w:rsid w:val="00A96997"/>
    <w:rsid w:val="00A969BE"/>
    <w:rsid w:val="00A96A06"/>
    <w:rsid w:val="00A96A36"/>
    <w:rsid w:val="00A96A9D"/>
    <w:rsid w:val="00A96AB3"/>
    <w:rsid w:val="00A96B1E"/>
    <w:rsid w:val="00A96B6B"/>
    <w:rsid w:val="00A96BF7"/>
    <w:rsid w:val="00A96C1B"/>
    <w:rsid w:val="00A96CBE"/>
    <w:rsid w:val="00A96E0D"/>
    <w:rsid w:val="00A96E7C"/>
    <w:rsid w:val="00A96F1D"/>
    <w:rsid w:val="00A97253"/>
    <w:rsid w:val="00A97277"/>
    <w:rsid w:val="00A9730F"/>
    <w:rsid w:val="00A97380"/>
    <w:rsid w:val="00A97430"/>
    <w:rsid w:val="00A9750D"/>
    <w:rsid w:val="00A975EA"/>
    <w:rsid w:val="00A97619"/>
    <w:rsid w:val="00A976A4"/>
    <w:rsid w:val="00A97717"/>
    <w:rsid w:val="00A977CC"/>
    <w:rsid w:val="00A97811"/>
    <w:rsid w:val="00A97849"/>
    <w:rsid w:val="00A97937"/>
    <w:rsid w:val="00A97952"/>
    <w:rsid w:val="00A979A0"/>
    <w:rsid w:val="00A97A77"/>
    <w:rsid w:val="00A97B0E"/>
    <w:rsid w:val="00A97B94"/>
    <w:rsid w:val="00A97C18"/>
    <w:rsid w:val="00A97CB7"/>
    <w:rsid w:val="00A97DAA"/>
    <w:rsid w:val="00A97DB5"/>
    <w:rsid w:val="00A97DE4"/>
    <w:rsid w:val="00A97EB0"/>
    <w:rsid w:val="00A97EE9"/>
    <w:rsid w:val="00AA0025"/>
    <w:rsid w:val="00AA0076"/>
    <w:rsid w:val="00AA0214"/>
    <w:rsid w:val="00AA0243"/>
    <w:rsid w:val="00AA02D2"/>
    <w:rsid w:val="00AA04EC"/>
    <w:rsid w:val="00AA055A"/>
    <w:rsid w:val="00AA07A9"/>
    <w:rsid w:val="00AA08BF"/>
    <w:rsid w:val="00AA0914"/>
    <w:rsid w:val="00AA09E3"/>
    <w:rsid w:val="00AA0A15"/>
    <w:rsid w:val="00AA0BA6"/>
    <w:rsid w:val="00AA0CD0"/>
    <w:rsid w:val="00AA0CFC"/>
    <w:rsid w:val="00AA0F12"/>
    <w:rsid w:val="00AA0F13"/>
    <w:rsid w:val="00AA0F8F"/>
    <w:rsid w:val="00AA0FAF"/>
    <w:rsid w:val="00AA0FB2"/>
    <w:rsid w:val="00AA10B9"/>
    <w:rsid w:val="00AA10BB"/>
    <w:rsid w:val="00AA1199"/>
    <w:rsid w:val="00AA11F8"/>
    <w:rsid w:val="00AA1237"/>
    <w:rsid w:val="00AA12D3"/>
    <w:rsid w:val="00AA12EC"/>
    <w:rsid w:val="00AA13EE"/>
    <w:rsid w:val="00AA140C"/>
    <w:rsid w:val="00AA1631"/>
    <w:rsid w:val="00AA16A3"/>
    <w:rsid w:val="00AA1782"/>
    <w:rsid w:val="00AA185B"/>
    <w:rsid w:val="00AA188F"/>
    <w:rsid w:val="00AA1AEE"/>
    <w:rsid w:val="00AA1B05"/>
    <w:rsid w:val="00AA1C1B"/>
    <w:rsid w:val="00AA1C23"/>
    <w:rsid w:val="00AA1C38"/>
    <w:rsid w:val="00AA1C74"/>
    <w:rsid w:val="00AA1C78"/>
    <w:rsid w:val="00AA1D71"/>
    <w:rsid w:val="00AA1DAD"/>
    <w:rsid w:val="00AA1FC3"/>
    <w:rsid w:val="00AA2007"/>
    <w:rsid w:val="00AA200F"/>
    <w:rsid w:val="00AA21A6"/>
    <w:rsid w:val="00AA21F0"/>
    <w:rsid w:val="00AA2292"/>
    <w:rsid w:val="00AA2380"/>
    <w:rsid w:val="00AA23CC"/>
    <w:rsid w:val="00AA249A"/>
    <w:rsid w:val="00AA25F9"/>
    <w:rsid w:val="00AA2627"/>
    <w:rsid w:val="00AA2652"/>
    <w:rsid w:val="00AA26D4"/>
    <w:rsid w:val="00AA27F0"/>
    <w:rsid w:val="00AA27FE"/>
    <w:rsid w:val="00AA280B"/>
    <w:rsid w:val="00AA2834"/>
    <w:rsid w:val="00AA289B"/>
    <w:rsid w:val="00AA28F7"/>
    <w:rsid w:val="00AA29D5"/>
    <w:rsid w:val="00AA2A7C"/>
    <w:rsid w:val="00AA2AFF"/>
    <w:rsid w:val="00AA2B3F"/>
    <w:rsid w:val="00AA2BBF"/>
    <w:rsid w:val="00AA2BCF"/>
    <w:rsid w:val="00AA2C3A"/>
    <w:rsid w:val="00AA2C3D"/>
    <w:rsid w:val="00AA2CE0"/>
    <w:rsid w:val="00AA2D1F"/>
    <w:rsid w:val="00AA2EE1"/>
    <w:rsid w:val="00AA2FCB"/>
    <w:rsid w:val="00AA3055"/>
    <w:rsid w:val="00AA3077"/>
    <w:rsid w:val="00AA3086"/>
    <w:rsid w:val="00AA308C"/>
    <w:rsid w:val="00AA3244"/>
    <w:rsid w:val="00AA32BF"/>
    <w:rsid w:val="00AA33BB"/>
    <w:rsid w:val="00AA3431"/>
    <w:rsid w:val="00AA344B"/>
    <w:rsid w:val="00AA34BA"/>
    <w:rsid w:val="00AA34DC"/>
    <w:rsid w:val="00AA3560"/>
    <w:rsid w:val="00AA3585"/>
    <w:rsid w:val="00AA35B2"/>
    <w:rsid w:val="00AA35E7"/>
    <w:rsid w:val="00AA375A"/>
    <w:rsid w:val="00AA38E2"/>
    <w:rsid w:val="00AA3938"/>
    <w:rsid w:val="00AA393F"/>
    <w:rsid w:val="00AA394A"/>
    <w:rsid w:val="00AA39E8"/>
    <w:rsid w:val="00AA3A02"/>
    <w:rsid w:val="00AA3A0C"/>
    <w:rsid w:val="00AA3A1D"/>
    <w:rsid w:val="00AA3A29"/>
    <w:rsid w:val="00AA3AE3"/>
    <w:rsid w:val="00AA3D01"/>
    <w:rsid w:val="00AA3E37"/>
    <w:rsid w:val="00AA3E7E"/>
    <w:rsid w:val="00AA3F2C"/>
    <w:rsid w:val="00AA3FA1"/>
    <w:rsid w:val="00AA4083"/>
    <w:rsid w:val="00AA4117"/>
    <w:rsid w:val="00AA42AD"/>
    <w:rsid w:val="00AA4361"/>
    <w:rsid w:val="00AA43A6"/>
    <w:rsid w:val="00AA43E3"/>
    <w:rsid w:val="00AA457F"/>
    <w:rsid w:val="00AA45BA"/>
    <w:rsid w:val="00AA4612"/>
    <w:rsid w:val="00AA4828"/>
    <w:rsid w:val="00AA4834"/>
    <w:rsid w:val="00AA48BE"/>
    <w:rsid w:val="00AA4948"/>
    <w:rsid w:val="00AA4AE2"/>
    <w:rsid w:val="00AA4B7D"/>
    <w:rsid w:val="00AA4B80"/>
    <w:rsid w:val="00AA4BBD"/>
    <w:rsid w:val="00AA4CA1"/>
    <w:rsid w:val="00AA4CBF"/>
    <w:rsid w:val="00AA4E24"/>
    <w:rsid w:val="00AA4E46"/>
    <w:rsid w:val="00AA4E8A"/>
    <w:rsid w:val="00AA4F00"/>
    <w:rsid w:val="00AA4F94"/>
    <w:rsid w:val="00AA4FC7"/>
    <w:rsid w:val="00AA503E"/>
    <w:rsid w:val="00AA5160"/>
    <w:rsid w:val="00AA516D"/>
    <w:rsid w:val="00AA5255"/>
    <w:rsid w:val="00AA5306"/>
    <w:rsid w:val="00AA53AA"/>
    <w:rsid w:val="00AA5419"/>
    <w:rsid w:val="00AA543B"/>
    <w:rsid w:val="00AA54AC"/>
    <w:rsid w:val="00AA5583"/>
    <w:rsid w:val="00AA569C"/>
    <w:rsid w:val="00AA57C3"/>
    <w:rsid w:val="00AA5821"/>
    <w:rsid w:val="00AA5858"/>
    <w:rsid w:val="00AA5A30"/>
    <w:rsid w:val="00AA5A4B"/>
    <w:rsid w:val="00AA5A7C"/>
    <w:rsid w:val="00AA5C4C"/>
    <w:rsid w:val="00AA5D49"/>
    <w:rsid w:val="00AA5D75"/>
    <w:rsid w:val="00AA5E53"/>
    <w:rsid w:val="00AA5EA0"/>
    <w:rsid w:val="00AA5F7C"/>
    <w:rsid w:val="00AA5FCB"/>
    <w:rsid w:val="00AA603E"/>
    <w:rsid w:val="00AA60E4"/>
    <w:rsid w:val="00AA6123"/>
    <w:rsid w:val="00AA62B9"/>
    <w:rsid w:val="00AA64A4"/>
    <w:rsid w:val="00AA64A9"/>
    <w:rsid w:val="00AA655D"/>
    <w:rsid w:val="00AA65B3"/>
    <w:rsid w:val="00AA65F3"/>
    <w:rsid w:val="00AA66E5"/>
    <w:rsid w:val="00AA672E"/>
    <w:rsid w:val="00AA676A"/>
    <w:rsid w:val="00AA67A9"/>
    <w:rsid w:val="00AA6873"/>
    <w:rsid w:val="00AA68D4"/>
    <w:rsid w:val="00AA68E5"/>
    <w:rsid w:val="00AA6959"/>
    <w:rsid w:val="00AA6A80"/>
    <w:rsid w:val="00AA6B45"/>
    <w:rsid w:val="00AA6BB5"/>
    <w:rsid w:val="00AA6BF2"/>
    <w:rsid w:val="00AA6C7A"/>
    <w:rsid w:val="00AA6CBA"/>
    <w:rsid w:val="00AA6D39"/>
    <w:rsid w:val="00AA6E32"/>
    <w:rsid w:val="00AA6F4D"/>
    <w:rsid w:val="00AA6FFE"/>
    <w:rsid w:val="00AA72DC"/>
    <w:rsid w:val="00AA7353"/>
    <w:rsid w:val="00AA741A"/>
    <w:rsid w:val="00AA74AD"/>
    <w:rsid w:val="00AA74B0"/>
    <w:rsid w:val="00AA74B6"/>
    <w:rsid w:val="00AA750D"/>
    <w:rsid w:val="00AA75A7"/>
    <w:rsid w:val="00AA75E7"/>
    <w:rsid w:val="00AA7689"/>
    <w:rsid w:val="00AA77AC"/>
    <w:rsid w:val="00AA77D7"/>
    <w:rsid w:val="00AA786D"/>
    <w:rsid w:val="00AA7957"/>
    <w:rsid w:val="00AA798A"/>
    <w:rsid w:val="00AA79DA"/>
    <w:rsid w:val="00AA7ACF"/>
    <w:rsid w:val="00AA7B21"/>
    <w:rsid w:val="00AA7B95"/>
    <w:rsid w:val="00AA7CAB"/>
    <w:rsid w:val="00AA7E21"/>
    <w:rsid w:val="00AA7E95"/>
    <w:rsid w:val="00AA7EC3"/>
    <w:rsid w:val="00AA7F1A"/>
    <w:rsid w:val="00AA7F74"/>
    <w:rsid w:val="00AA7F80"/>
    <w:rsid w:val="00AA7F87"/>
    <w:rsid w:val="00AA7F9D"/>
    <w:rsid w:val="00AAEF81"/>
    <w:rsid w:val="00AB015F"/>
    <w:rsid w:val="00AB01C4"/>
    <w:rsid w:val="00AB01D7"/>
    <w:rsid w:val="00AB02EF"/>
    <w:rsid w:val="00AB0390"/>
    <w:rsid w:val="00AB03BC"/>
    <w:rsid w:val="00AB045A"/>
    <w:rsid w:val="00AB0494"/>
    <w:rsid w:val="00AB07CB"/>
    <w:rsid w:val="00AB0874"/>
    <w:rsid w:val="00AB08AA"/>
    <w:rsid w:val="00AB09AE"/>
    <w:rsid w:val="00AB0A8F"/>
    <w:rsid w:val="00AB0ADD"/>
    <w:rsid w:val="00AB0BC5"/>
    <w:rsid w:val="00AB0C2D"/>
    <w:rsid w:val="00AB0DC6"/>
    <w:rsid w:val="00AB0E2C"/>
    <w:rsid w:val="00AB0E82"/>
    <w:rsid w:val="00AB0EBC"/>
    <w:rsid w:val="00AB0FAA"/>
    <w:rsid w:val="00AB0FD5"/>
    <w:rsid w:val="00AB0FE2"/>
    <w:rsid w:val="00AB104D"/>
    <w:rsid w:val="00AB10CD"/>
    <w:rsid w:val="00AB10D2"/>
    <w:rsid w:val="00AB11D7"/>
    <w:rsid w:val="00AB1217"/>
    <w:rsid w:val="00AB12D6"/>
    <w:rsid w:val="00AB1491"/>
    <w:rsid w:val="00AB14F7"/>
    <w:rsid w:val="00AB156E"/>
    <w:rsid w:val="00AB15F9"/>
    <w:rsid w:val="00AB1634"/>
    <w:rsid w:val="00AB16CF"/>
    <w:rsid w:val="00AB17BC"/>
    <w:rsid w:val="00AB18B8"/>
    <w:rsid w:val="00AB1968"/>
    <w:rsid w:val="00AB1A28"/>
    <w:rsid w:val="00AB1AE5"/>
    <w:rsid w:val="00AB1B60"/>
    <w:rsid w:val="00AB1CC3"/>
    <w:rsid w:val="00AB1CC6"/>
    <w:rsid w:val="00AB1D2B"/>
    <w:rsid w:val="00AB1DC6"/>
    <w:rsid w:val="00AB2064"/>
    <w:rsid w:val="00AB2094"/>
    <w:rsid w:val="00AB233B"/>
    <w:rsid w:val="00AB23B6"/>
    <w:rsid w:val="00AB25BC"/>
    <w:rsid w:val="00AB2649"/>
    <w:rsid w:val="00AB27FA"/>
    <w:rsid w:val="00AB2935"/>
    <w:rsid w:val="00AB2A2B"/>
    <w:rsid w:val="00AB2A54"/>
    <w:rsid w:val="00AB2B1A"/>
    <w:rsid w:val="00AB2B74"/>
    <w:rsid w:val="00AB2BB9"/>
    <w:rsid w:val="00AB2D23"/>
    <w:rsid w:val="00AB2D3F"/>
    <w:rsid w:val="00AB2DC6"/>
    <w:rsid w:val="00AB2EA6"/>
    <w:rsid w:val="00AB2F01"/>
    <w:rsid w:val="00AB2F88"/>
    <w:rsid w:val="00AB2FEF"/>
    <w:rsid w:val="00AB30AA"/>
    <w:rsid w:val="00AB30B8"/>
    <w:rsid w:val="00AB30BF"/>
    <w:rsid w:val="00AB30DC"/>
    <w:rsid w:val="00AB313B"/>
    <w:rsid w:val="00AB3281"/>
    <w:rsid w:val="00AB32EA"/>
    <w:rsid w:val="00AB330F"/>
    <w:rsid w:val="00AB33AC"/>
    <w:rsid w:val="00AB33C0"/>
    <w:rsid w:val="00AB33DF"/>
    <w:rsid w:val="00AB3462"/>
    <w:rsid w:val="00AB34AC"/>
    <w:rsid w:val="00AB34B9"/>
    <w:rsid w:val="00AB3500"/>
    <w:rsid w:val="00AB351F"/>
    <w:rsid w:val="00AB3552"/>
    <w:rsid w:val="00AB3560"/>
    <w:rsid w:val="00AB3584"/>
    <w:rsid w:val="00AB35B7"/>
    <w:rsid w:val="00AB392C"/>
    <w:rsid w:val="00AB3963"/>
    <w:rsid w:val="00AB39FB"/>
    <w:rsid w:val="00AB3BC5"/>
    <w:rsid w:val="00AB3D13"/>
    <w:rsid w:val="00AB3D90"/>
    <w:rsid w:val="00AB3DC0"/>
    <w:rsid w:val="00AB3DD3"/>
    <w:rsid w:val="00AB3E40"/>
    <w:rsid w:val="00AB3E66"/>
    <w:rsid w:val="00AB3E94"/>
    <w:rsid w:val="00AB401C"/>
    <w:rsid w:val="00AB4051"/>
    <w:rsid w:val="00AB405C"/>
    <w:rsid w:val="00AB40E8"/>
    <w:rsid w:val="00AB4149"/>
    <w:rsid w:val="00AB417F"/>
    <w:rsid w:val="00AB420E"/>
    <w:rsid w:val="00AB433A"/>
    <w:rsid w:val="00AB436D"/>
    <w:rsid w:val="00AB446D"/>
    <w:rsid w:val="00AB4508"/>
    <w:rsid w:val="00AB451E"/>
    <w:rsid w:val="00AB4567"/>
    <w:rsid w:val="00AB45B9"/>
    <w:rsid w:val="00AB469A"/>
    <w:rsid w:val="00AB469E"/>
    <w:rsid w:val="00AB46B9"/>
    <w:rsid w:val="00AB4841"/>
    <w:rsid w:val="00AB4922"/>
    <w:rsid w:val="00AB498E"/>
    <w:rsid w:val="00AB49FF"/>
    <w:rsid w:val="00AB4AB4"/>
    <w:rsid w:val="00AB4B65"/>
    <w:rsid w:val="00AB4BAC"/>
    <w:rsid w:val="00AB4BDD"/>
    <w:rsid w:val="00AB4C41"/>
    <w:rsid w:val="00AB4CBF"/>
    <w:rsid w:val="00AB4D10"/>
    <w:rsid w:val="00AB4D21"/>
    <w:rsid w:val="00AB4D30"/>
    <w:rsid w:val="00AB4F0A"/>
    <w:rsid w:val="00AB5017"/>
    <w:rsid w:val="00AB5054"/>
    <w:rsid w:val="00AB5075"/>
    <w:rsid w:val="00AB50EE"/>
    <w:rsid w:val="00AB5304"/>
    <w:rsid w:val="00AB5427"/>
    <w:rsid w:val="00AB551A"/>
    <w:rsid w:val="00AB5640"/>
    <w:rsid w:val="00AB572C"/>
    <w:rsid w:val="00AB576F"/>
    <w:rsid w:val="00AB5880"/>
    <w:rsid w:val="00AB588F"/>
    <w:rsid w:val="00AB58AE"/>
    <w:rsid w:val="00AB58D8"/>
    <w:rsid w:val="00AB5A53"/>
    <w:rsid w:val="00AB5A56"/>
    <w:rsid w:val="00AB5A66"/>
    <w:rsid w:val="00AB5AAB"/>
    <w:rsid w:val="00AB5ACE"/>
    <w:rsid w:val="00AB5BD5"/>
    <w:rsid w:val="00AB5BFE"/>
    <w:rsid w:val="00AB5CB9"/>
    <w:rsid w:val="00AB5CF4"/>
    <w:rsid w:val="00AB5DE2"/>
    <w:rsid w:val="00AB5E3F"/>
    <w:rsid w:val="00AB5F19"/>
    <w:rsid w:val="00AB5F32"/>
    <w:rsid w:val="00AB5F50"/>
    <w:rsid w:val="00AB5F7B"/>
    <w:rsid w:val="00AB608D"/>
    <w:rsid w:val="00AB6157"/>
    <w:rsid w:val="00AB6239"/>
    <w:rsid w:val="00AB63DA"/>
    <w:rsid w:val="00AB646A"/>
    <w:rsid w:val="00AB64F0"/>
    <w:rsid w:val="00AB6545"/>
    <w:rsid w:val="00AB65BF"/>
    <w:rsid w:val="00AB662F"/>
    <w:rsid w:val="00AB6662"/>
    <w:rsid w:val="00AB669D"/>
    <w:rsid w:val="00AB66C4"/>
    <w:rsid w:val="00AB66E2"/>
    <w:rsid w:val="00AB6720"/>
    <w:rsid w:val="00AB67B6"/>
    <w:rsid w:val="00AB67E5"/>
    <w:rsid w:val="00AB68C8"/>
    <w:rsid w:val="00AB6959"/>
    <w:rsid w:val="00AB6972"/>
    <w:rsid w:val="00AB6976"/>
    <w:rsid w:val="00AB69FE"/>
    <w:rsid w:val="00AB6A28"/>
    <w:rsid w:val="00AB6A88"/>
    <w:rsid w:val="00AB6A97"/>
    <w:rsid w:val="00AB6AFA"/>
    <w:rsid w:val="00AB6B30"/>
    <w:rsid w:val="00AB6BF8"/>
    <w:rsid w:val="00AB6C4D"/>
    <w:rsid w:val="00AB6EDD"/>
    <w:rsid w:val="00AB6EEC"/>
    <w:rsid w:val="00AB6F38"/>
    <w:rsid w:val="00AB6F77"/>
    <w:rsid w:val="00AB6F78"/>
    <w:rsid w:val="00AB719A"/>
    <w:rsid w:val="00AB73E3"/>
    <w:rsid w:val="00AB74EB"/>
    <w:rsid w:val="00AB7521"/>
    <w:rsid w:val="00AB7533"/>
    <w:rsid w:val="00AB756C"/>
    <w:rsid w:val="00AB758F"/>
    <w:rsid w:val="00AB7609"/>
    <w:rsid w:val="00AB7673"/>
    <w:rsid w:val="00AB77F6"/>
    <w:rsid w:val="00AB77FE"/>
    <w:rsid w:val="00AB7868"/>
    <w:rsid w:val="00AB7890"/>
    <w:rsid w:val="00AB78D8"/>
    <w:rsid w:val="00AB7910"/>
    <w:rsid w:val="00AB799B"/>
    <w:rsid w:val="00AB79FF"/>
    <w:rsid w:val="00AB7A2E"/>
    <w:rsid w:val="00AB7B21"/>
    <w:rsid w:val="00AB7B42"/>
    <w:rsid w:val="00AB7C33"/>
    <w:rsid w:val="00AB7C5E"/>
    <w:rsid w:val="00AB7DE6"/>
    <w:rsid w:val="00AB7E3A"/>
    <w:rsid w:val="00AB7F2F"/>
    <w:rsid w:val="00AC02D2"/>
    <w:rsid w:val="00AC0316"/>
    <w:rsid w:val="00AC039A"/>
    <w:rsid w:val="00AC0421"/>
    <w:rsid w:val="00AC05D1"/>
    <w:rsid w:val="00AC0935"/>
    <w:rsid w:val="00AC099D"/>
    <w:rsid w:val="00AC09BA"/>
    <w:rsid w:val="00AC09D8"/>
    <w:rsid w:val="00AC0A92"/>
    <w:rsid w:val="00AC0A98"/>
    <w:rsid w:val="00AC0AEF"/>
    <w:rsid w:val="00AC0B72"/>
    <w:rsid w:val="00AC0C05"/>
    <w:rsid w:val="00AC0C29"/>
    <w:rsid w:val="00AC0C63"/>
    <w:rsid w:val="00AC0C7A"/>
    <w:rsid w:val="00AC0D15"/>
    <w:rsid w:val="00AC0D47"/>
    <w:rsid w:val="00AC0DAE"/>
    <w:rsid w:val="00AC0E2B"/>
    <w:rsid w:val="00AC0F45"/>
    <w:rsid w:val="00AC0F4E"/>
    <w:rsid w:val="00AC0FF3"/>
    <w:rsid w:val="00AC1027"/>
    <w:rsid w:val="00AC107F"/>
    <w:rsid w:val="00AC1267"/>
    <w:rsid w:val="00AC12E9"/>
    <w:rsid w:val="00AC134F"/>
    <w:rsid w:val="00AC1355"/>
    <w:rsid w:val="00AC1520"/>
    <w:rsid w:val="00AC1631"/>
    <w:rsid w:val="00AC16C8"/>
    <w:rsid w:val="00AC17A0"/>
    <w:rsid w:val="00AC1838"/>
    <w:rsid w:val="00AC18CB"/>
    <w:rsid w:val="00AC19CA"/>
    <w:rsid w:val="00AC1D1E"/>
    <w:rsid w:val="00AC1E31"/>
    <w:rsid w:val="00AC1E3C"/>
    <w:rsid w:val="00AC1EE2"/>
    <w:rsid w:val="00AC1EF2"/>
    <w:rsid w:val="00AC1F47"/>
    <w:rsid w:val="00AC1FBC"/>
    <w:rsid w:val="00AC203D"/>
    <w:rsid w:val="00AC207A"/>
    <w:rsid w:val="00AC208D"/>
    <w:rsid w:val="00AC2123"/>
    <w:rsid w:val="00AC2143"/>
    <w:rsid w:val="00AC2224"/>
    <w:rsid w:val="00AC2265"/>
    <w:rsid w:val="00AC236E"/>
    <w:rsid w:val="00AC2401"/>
    <w:rsid w:val="00AC2640"/>
    <w:rsid w:val="00AC266B"/>
    <w:rsid w:val="00AC26F0"/>
    <w:rsid w:val="00AC26F7"/>
    <w:rsid w:val="00AC2743"/>
    <w:rsid w:val="00AC274A"/>
    <w:rsid w:val="00AC2750"/>
    <w:rsid w:val="00AC29E5"/>
    <w:rsid w:val="00AC2A0A"/>
    <w:rsid w:val="00AC2A38"/>
    <w:rsid w:val="00AC2A3E"/>
    <w:rsid w:val="00AC2AAD"/>
    <w:rsid w:val="00AC2B0A"/>
    <w:rsid w:val="00AC2C06"/>
    <w:rsid w:val="00AC2D25"/>
    <w:rsid w:val="00AC2D61"/>
    <w:rsid w:val="00AC2E1D"/>
    <w:rsid w:val="00AC2E7F"/>
    <w:rsid w:val="00AC2EBD"/>
    <w:rsid w:val="00AC2FC3"/>
    <w:rsid w:val="00AC2FE0"/>
    <w:rsid w:val="00AC306B"/>
    <w:rsid w:val="00AC3194"/>
    <w:rsid w:val="00AC32AC"/>
    <w:rsid w:val="00AC32B7"/>
    <w:rsid w:val="00AC32F1"/>
    <w:rsid w:val="00AC331E"/>
    <w:rsid w:val="00AC33E0"/>
    <w:rsid w:val="00AC350E"/>
    <w:rsid w:val="00AC35AB"/>
    <w:rsid w:val="00AC35ED"/>
    <w:rsid w:val="00AC363E"/>
    <w:rsid w:val="00AC3640"/>
    <w:rsid w:val="00AC3695"/>
    <w:rsid w:val="00AC36EE"/>
    <w:rsid w:val="00AC373D"/>
    <w:rsid w:val="00AC375A"/>
    <w:rsid w:val="00AC376B"/>
    <w:rsid w:val="00AC376F"/>
    <w:rsid w:val="00AC384D"/>
    <w:rsid w:val="00AC3854"/>
    <w:rsid w:val="00AC3881"/>
    <w:rsid w:val="00AC38F6"/>
    <w:rsid w:val="00AC38FD"/>
    <w:rsid w:val="00AC39FB"/>
    <w:rsid w:val="00AC3A44"/>
    <w:rsid w:val="00AC3ABE"/>
    <w:rsid w:val="00AC3CC3"/>
    <w:rsid w:val="00AC3DA9"/>
    <w:rsid w:val="00AC3E29"/>
    <w:rsid w:val="00AC3ECB"/>
    <w:rsid w:val="00AC3ED5"/>
    <w:rsid w:val="00AC3F25"/>
    <w:rsid w:val="00AC3F84"/>
    <w:rsid w:val="00AC41A8"/>
    <w:rsid w:val="00AC41C6"/>
    <w:rsid w:val="00AC4241"/>
    <w:rsid w:val="00AC462B"/>
    <w:rsid w:val="00AC46E0"/>
    <w:rsid w:val="00AC4774"/>
    <w:rsid w:val="00AC47CE"/>
    <w:rsid w:val="00AC4897"/>
    <w:rsid w:val="00AC48DD"/>
    <w:rsid w:val="00AC497D"/>
    <w:rsid w:val="00AC4B7D"/>
    <w:rsid w:val="00AC4CBE"/>
    <w:rsid w:val="00AC4D53"/>
    <w:rsid w:val="00AC4D6D"/>
    <w:rsid w:val="00AC4F53"/>
    <w:rsid w:val="00AC507E"/>
    <w:rsid w:val="00AC51F5"/>
    <w:rsid w:val="00AC5249"/>
    <w:rsid w:val="00AC52F9"/>
    <w:rsid w:val="00AC5327"/>
    <w:rsid w:val="00AC534B"/>
    <w:rsid w:val="00AC53CF"/>
    <w:rsid w:val="00AC53F0"/>
    <w:rsid w:val="00AC54E1"/>
    <w:rsid w:val="00AC55FB"/>
    <w:rsid w:val="00AC560D"/>
    <w:rsid w:val="00AC56EE"/>
    <w:rsid w:val="00AC576C"/>
    <w:rsid w:val="00AC5816"/>
    <w:rsid w:val="00AC58FB"/>
    <w:rsid w:val="00AC594D"/>
    <w:rsid w:val="00AC59FF"/>
    <w:rsid w:val="00AC5B46"/>
    <w:rsid w:val="00AC5C5D"/>
    <w:rsid w:val="00AC5CED"/>
    <w:rsid w:val="00AC5F2D"/>
    <w:rsid w:val="00AC5FE5"/>
    <w:rsid w:val="00AC6019"/>
    <w:rsid w:val="00AC6085"/>
    <w:rsid w:val="00AC61CC"/>
    <w:rsid w:val="00AC6286"/>
    <w:rsid w:val="00AC62AC"/>
    <w:rsid w:val="00AC62B2"/>
    <w:rsid w:val="00AC63AA"/>
    <w:rsid w:val="00AC648E"/>
    <w:rsid w:val="00AC6493"/>
    <w:rsid w:val="00AC64A6"/>
    <w:rsid w:val="00AC64B6"/>
    <w:rsid w:val="00AC64ED"/>
    <w:rsid w:val="00AC6518"/>
    <w:rsid w:val="00AC6581"/>
    <w:rsid w:val="00AC659B"/>
    <w:rsid w:val="00AC65E8"/>
    <w:rsid w:val="00AC66A3"/>
    <w:rsid w:val="00AC66D6"/>
    <w:rsid w:val="00AC6831"/>
    <w:rsid w:val="00AC68A1"/>
    <w:rsid w:val="00AC6959"/>
    <w:rsid w:val="00AC698B"/>
    <w:rsid w:val="00AC6A75"/>
    <w:rsid w:val="00AC6AB1"/>
    <w:rsid w:val="00AC6AD3"/>
    <w:rsid w:val="00AC6B51"/>
    <w:rsid w:val="00AC6C88"/>
    <w:rsid w:val="00AC6CC8"/>
    <w:rsid w:val="00AC6D38"/>
    <w:rsid w:val="00AC6D6B"/>
    <w:rsid w:val="00AC6DED"/>
    <w:rsid w:val="00AC6E19"/>
    <w:rsid w:val="00AC6E4A"/>
    <w:rsid w:val="00AC6E91"/>
    <w:rsid w:val="00AC6E9F"/>
    <w:rsid w:val="00AC6EDB"/>
    <w:rsid w:val="00AC7258"/>
    <w:rsid w:val="00AC7439"/>
    <w:rsid w:val="00AC76A9"/>
    <w:rsid w:val="00AC7809"/>
    <w:rsid w:val="00AC7831"/>
    <w:rsid w:val="00AC7A84"/>
    <w:rsid w:val="00AC7C53"/>
    <w:rsid w:val="00AC7CCB"/>
    <w:rsid w:val="00AC7D68"/>
    <w:rsid w:val="00AC7E30"/>
    <w:rsid w:val="00AC7FA6"/>
    <w:rsid w:val="00AD011E"/>
    <w:rsid w:val="00AD0173"/>
    <w:rsid w:val="00AD01C2"/>
    <w:rsid w:val="00AD027F"/>
    <w:rsid w:val="00AD049F"/>
    <w:rsid w:val="00AD058E"/>
    <w:rsid w:val="00AD05A1"/>
    <w:rsid w:val="00AD0622"/>
    <w:rsid w:val="00AD0794"/>
    <w:rsid w:val="00AD07B7"/>
    <w:rsid w:val="00AD0929"/>
    <w:rsid w:val="00AD0ACB"/>
    <w:rsid w:val="00AD0AF8"/>
    <w:rsid w:val="00AD0B3B"/>
    <w:rsid w:val="00AD0B8A"/>
    <w:rsid w:val="00AD0C6F"/>
    <w:rsid w:val="00AD0D07"/>
    <w:rsid w:val="00AD0E10"/>
    <w:rsid w:val="00AD0F43"/>
    <w:rsid w:val="00AD0FF1"/>
    <w:rsid w:val="00AD10BA"/>
    <w:rsid w:val="00AD1114"/>
    <w:rsid w:val="00AD1116"/>
    <w:rsid w:val="00AD13F7"/>
    <w:rsid w:val="00AD1408"/>
    <w:rsid w:val="00AD1431"/>
    <w:rsid w:val="00AD1537"/>
    <w:rsid w:val="00AD164A"/>
    <w:rsid w:val="00AD1750"/>
    <w:rsid w:val="00AD17A7"/>
    <w:rsid w:val="00AD1868"/>
    <w:rsid w:val="00AD1952"/>
    <w:rsid w:val="00AD1990"/>
    <w:rsid w:val="00AD1A01"/>
    <w:rsid w:val="00AD1A1A"/>
    <w:rsid w:val="00AD1A7E"/>
    <w:rsid w:val="00AD1B8C"/>
    <w:rsid w:val="00AD1C21"/>
    <w:rsid w:val="00AD1C30"/>
    <w:rsid w:val="00AD1D29"/>
    <w:rsid w:val="00AD1D83"/>
    <w:rsid w:val="00AD1E5F"/>
    <w:rsid w:val="00AD2124"/>
    <w:rsid w:val="00AD2158"/>
    <w:rsid w:val="00AD2363"/>
    <w:rsid w:val="00AD236F"/>
    <w:rsid w:val="00AD2492"/>
    <w:rsid w:val="00AD2537"/>
    <w:rsid w:val="00AD2593"/>
    <w:rsid w:val="00AD25C8"/>
    <w:rsid w:val="00AD25D1"/>
    <w:rsid w:val="00AD2663"/>
    <w:rsid w:val="00AD2819"/>
    <w:rsid w:val="00AD2933"/>
    <w:rsid w:val="00AD295F"/>
    <w:rsid w:val="00AD2988"/>
    <w:rsid w:val="00AD2A3D"/>
    <w:rsid w:val="00AD2AE1"/>
    <w:rsid w:val="00AD2B06"/>
    <w:rsid w:val="00AD2B5F"/>
    <w:rsid w:val="00AD2C93"/>
    <w:rsid w:val="00AD2CA6"/>
    <w:rsid w:val="00AD2CF3"/>
    <w:rsid w:val="00AD2DFB"/>
    <w:rsid w:val="00AD2E0C"/>
    <w:rsid w:val="00AD2ECB"/>
    <w:rsid w:val="00AD2FA0"/>
    <w:rsid w:val="00AD3112"/>
    <w:rsid w:val="00AD3116"/>
    <w:rsid w:val="00AD3145"/>
    <w:rsid w:val="00AD327F"/>
    <w:rsid w:val="00AD3293"/>
    <w:rsid w:val="00AD32AF"/>
    <w:rsid w:val="00AD33C8"/>
    <w:rsid w:val="00AD33FB"/>
    <w:rsid w:val="00AD3478"/>
    <w:rsid w:val="00AD348E"/>
    <w:rsid w:val="00AD34BB"/>
    <w:rsid w:val="00AD36CE"/>
    <w:rsid w:val="00AD38D8"/>
    <w:rsid w:val="00AD3926"/>
    <w:rsid w:val="00AD39A0"/>
    <w:rsid w:val="00AD3A59"/>
    <w:rsid w:val="00AD3AA1"/>
    <w:rsid w:val="00AD3AC5"/>
    <w:rsid w:val="00AD3E36"/>
    <w:rsid w:val="00AD3FB7"/>
    <w:rsid w:val="00AD4055"/>
    <w:rsid w:val="00AD406B"/>
    <w:rsid w:val="00AD447D"/>
    <w:rsid w:val="00AD452B"/>
    <w:rsid w:val="00AD45A6"/>
    <w:rsid w:val="00AD4604"/>
    <w:rsid w:val="00AD460E"/>
    <w:rsid w:val="00AD4825"/>
    <w:rsid w:val="00AD48B9"/>
    <w:rsid w:val="00AD48D0"/>
    <w:rsid w:val="00AD4A4A"/>
    <w:rsid w:val="00AD4A68"/>
    <w:rsid w:val="00AD4A86"/>
    <w:rsid w:val="00AD4B60"/>
    <w:rsid w:val="00AD4BF1"/>
    <w:rsid w:val="00AD4C78"/>
    <w:rsid w:val="00AD4E0C"/>
    <w:rsid w:val="00AD51A0"/>
    <w:rsid w:val="00AD52EC"/>
    <w:rsid w:val="00AD5505"/>
    <w:rsid w:val="00AD56A3"/>
    <w:rsid w:val="00AD56DD"/>
    <w:rsid w:val="00AD5864"/>
    <w:rsid w:val="00AD5907"/>
    <w:rsid w:val="00AD5927"/>
    <w:rsid w:val="00AD5950"/>
    <w:rsid w:val="00AD5AE6"/>
    <w:rsid w:val="00AD5C66"/>
    <w:rsid w:val="00AD5D07"/>
    <w:rsid w:val="00AD5DAE"/>
    <w:rsid w:val="00AD5DB5"/>
    <w:rsid w:val="00AD5DF6"/>
    <w:rsid w:val="00AD5EB4"/>
    <w:rsid w:val="00AD5ECE"/>
    <w:rsid w:val="00AD5F7D"/>
    <w:rsid w:val="00AD60A6"/>
    <w:rsid w:val="00AD60EF"/>
    <w:rsid w:val="00AD6367"/>
    <w:rsid w:val="00AD63C7"/>
    <w:rsid w:val="00AD63F9"/>
    <w:rsid w:val="00AD6463"/>
    <w:rsid w:val="00AD64BC"/>
    <w:rsid w:val="00AD64E0"/>
    <w:rsid w:val="00AD65EE"/>
    <w:rsid w:val="00AD6816"/>
    <w:rsid w:val="00AD6858"/>
    <w:rsid w:val="00AD689B"/>
    <w:rsid w:val="00AD6A74"/>
    <w:rsid w:val="00AD6B8D"/>
    <w:rsid w:val="00AD6BC6"/>
    <w:rsid w:val="00AD6C47"/>
    <w:rsid w:val="00AD6C72"/>
    <w:rsid w:val="00AD6CF2"/>
    <w:rsid w:val="00AD6D4A"/>
    <w:rsid w:val="00AD6DAF"/>
    <w:rsid w:val="00AD6E64"/>
    <w:rsid w:val="00AD6E6E"/>
    <w:rsid w:val="00AD6EA3"/>
    <w:rsid w:val="00AD6EF7"/>
    <w:rsid w:val="00AD6FC6"/>
    <w:rsid w:val="00AD6FD6"/>
    <w:rsid w:val="00AD70AD"/>
    <w:rsid w:val="00AD726F"/>
    <w:rsid w:val="00AD7345"/>
    <w:rsid w:val="00AD741E"/>
    <w:rsid w:val="00AD7481"/>
    <w:rsid w:val="00AD74A0"/>
    <w:rsid w:val="00AD74F6"/>
    <w:rsid w:val="00AD7555"/>
    <w:rsid w:val="00AD7574"/>
    <w:rsid w:val="00AD75A2"/>
    <w:rsid w:val="00AD76A1"/>
    <w:rsid w:val="00AD76AC"/>
    <w:rsid w:val="00AD7761"/>
    <w:rsid w:val="00AD78B8"/>
    <w:rsid w:val="00AD7A1C"/>
    <w:rsid w:val="00AD7C9A"/>
    <w:rsid w:val="00AD7CE9"/>
    <w:rsid w:val="00AE004C"/>
    <w:rsid w:val="00AE007D"/>
    <w:rsid w:val="00AE0097"/>
    <w:rsid w:val="00AE00F8"/>
    <w:rsid w:val="00AE0239"/>
    <w:rsid w:val="00AE0385"/>
    <w:rsid w:val="00AE0394"/>
    <w:rsid w:val="00AE04CF"/>
    <w:rsid w:val="00AE04DE"/>
    <w:rsid w:val="00AE0698"/>
    <w:rsid w:val="00AE0831"/>
    <w:rsid w:val="00AE0833"/>
    <w:rsid w:val="00AE084C"/>
    <w:rsid w:val="00AE0893"/>
    <w:rsid w:val="00AE08E5"/>
    <w:rsid w:val="00AE0A96"/>
    <w:rsid w:val="00AE0B0C"/>
    <w:rsid w:val="00AE0BC2"/>
    <w:rsid w:val="00AE0D07"/>
    <w:rsid w:val="00AE0D54"/>
    <w:rsid w:val="00AE0D96"/>
    <w:rsid w:val="00AE0E07"/>
    <w:rsid w:val="00AE0ED9"/>
    <w:rsid w:val="00AE0F61"/>
    <w:rsid w:val="00AE1018"/>
    <w:rsid w:val="00AE112F"/>
    <w:rsid w:val="00AE1269"/>
    <w:rsid w:val="00AE142C"/>
    <w:rsid w:val="00AE153E"/>
    <w:rsid w:val="00AE1559"/>
    <w:rsid w:val="00AE155B"/>
    <w:rsid w:val="00AE162C"/>
    <w:rsid w:val="00AE162F"/>
    <w:rsid w:val="00AE1675"/>
    <w:rsid w:val="00AE16E2"/>
    <w:rsid w:val="00AE187F"/>
    <w:rsid w:val="00AE193D"/>
    <w:rsid w:val="00AE1968"/>
    <w:rsid w:val="00AE1ADA"/>
    <w:rsid w:val="00AE1AF0"/>
    <w:rsid w:val="00AE1C17"/>
    <w:rsid w:val="00AE1D65"/>
    <w:rsid w:val="00AE1D76"/>
    <w:rsid w:val="00AE1D7D"/>
    <w:rsid w:val="00AE1DAE"/>
    <w:rsid w:val="00AE1DB5"/>
    <w:rsid w:val="00AE1DE0"/>
    <w:rsid w:val="00AE1E3D"/>
    <w:rsid w:val="00AE1E61"/>
    <w:rsid w:val="00AE1F08"/>
    <w:rsid w:val="00AE1FA0"/>
    <w:rsid w:val="00AE223C"/>
    <w:rsid w:val="00AE2272"/>
    <w:rsid w:val="00AE235A"/>
    <w:rsid w:val="00AE2391"/>
    <w:rsid w:val="00AE2444"/>
    <w:rsid w:val="00AE258C"/>
    <w:rsid w:val="00AE2719"/>
    <w:rsid w:val="00AE27EC"/>
    <w:rsid w:val="00AE2879"/>
    <w:rsid w:val="00AE29A3"/>
    <w:rsid w:val="00AE29B8"/>
    <w:rsid w:val="00AE29C3"/>
    <w:rsid w:val="00AE2A97"/>
    <w:rsid w:val="00AE2BBD"/>
    <w:rsid w:val="00AE2BCC"/>
    <w:rsid w:val="00AE2CB9"/>
    <w:rsid w:val="00AE2D53"/>
    <w:rsid w:val="00AE2DBE"/>
    <w:rsid w:val="00AE2EBB"/>
    <w:rsid w:val="00AE2ED5"/>
    <w:rsid w:val="00AE2FDC"/>
    <w:rsid w:val="00AE2FEC"/>
    <w:rsid w:val="00AE302A"/>
    <w:rsid w:val="00AE306F"/>
    <w:rsid w:val="00AE30B7"/>
    <w:rsid w:val="00AE3104"/>
    <w:rsid w:val="00AE3220"/>
    <w:rsid w:val="00AE3279"/>
    <w:rsid w:val="00AE32BB"/>
    <w:rsid w:val="00AE32C1"/>
    <w:rsid w:val="00AE34F0"/>
    <w:rsid w:val="00AE3533"/>
    <w:rsid w:val="00AE356F"/>
    <w:rsid w:val="00AE3582"/>
    <w:rsid w:val="00AE3617"/>
    <w:rsid w:val="00AE3697"/>
    <w:rsid w:val="00AE36CB"/>
    <w:rsid w:val="00AE3748"/>
    <w:rsid w:val="00AE3906"/>
    <w:rsid w:val="00AE3994"/>
    <w:rsid w:val="00AE39AE"/>
    <w:rsid w:val="00AE39DE"/>
    <w:rsid w:val="00AE3A0B"/>
    <w:rsid w:val="00AE3A45"/>
    <w:rsid w:val="00AE3BC8"/>
    <w:rsid w:val="00AE3BEA"/>
    <w:rsid w:val="00AE3C6F"/>
    <w:rsid w:val="00AE3C8F"/>
    <w:rsid w:val="00AE3DC9"/>
    <w:rsid w:val="00AE3E43"/>
    <w:rsid w:val="00AE3E46"/>
    <w:rsid w:val="00AE3F26"/>
    <w:rsid w:val="00AE3F3D"/>
    <w:rsid w:val="00AE3FBC"/>
    <w:rsid w:val="00AE3FE2"/>
    <w:rsid w:val="00AE406C"/>
    <w:rsid w:val="00AE4108"/>
    <w:rsid w:val="00AE41CF"/>
    <w:rsid w:val="00AE4226"/>
    <w:rsid w:val="00AE42DA"/>
    <w:rsid w:val="00AE432B"/>
    <w:rsid w:val="00AE43A4"/>
    <w:rsid w:val="00AE4476"/>
    <w:rsid w:val="00AE4523"/>
    <w:rsid w:val="00AE489A"/>
    <w:rsid w:val="00AE4955"/>
    <w:rsid w:val="00AE4982"/>
    <w:rsid w:val="00AE49A1"/>
    <w:rsid w:val="00AE4A15"/>
    <w:rsid w:val="00AE4B2B"/>
    <w:rsid w:val="00AE4BF6"/>
    <w:rsid w:val="00AE4C86"/>
    <w:rsid w:val="00AE4CBA"/>
    <w:rsid w:val="00AE4D79"/>
    <w:rsid w:val="00AE4DBC"/>
    <w:rsid w:val="00AE4DD3"/>
    <w:rsid w:val="00AE4E4F"/>
    <w:rsid w:val="00AE4FAD"/>
    <w:rsid w:val="00AE503E"/>
    <w:rsid w:val="00AE50E3"/>
    <w:rsid w:val="00AE527F"/>
    <w:rsid w:val="00AE53A0"/>
    <w:rsid w:val="00AE5412"/>
    <w:rsid w:val="00AE5458"/>
    <w:rsid w:val="00AE5495"/>
    <w:rsid w:val="00AE54B8"/>
    <w:rsid w:val="00AE5600"/>
    <w:rsid w:val="00AE56D9"/>
    <w:rsid w:val="00AE5732"/>
    <w:rsid w:val="00AE5795"/>
    <w:rsid w:val="00AE5831"/>
    <w:rsid w:val="00AE5844"/>
    <w:rsid w:val="00AE5899"/>
    <w:rsid w:val="00AE59DA"/>
    <w:rsid w:val="00AE59DE"/>
    <w:rsid w:val="00AE5B2D"/>
    <w:rsid w:val="00AE5C93"/>
    <w:rsid w:val="00AE5CF6"/>
    <w:rsid w:val="00AE5CF9"/>
    <w:rsid w:val="00AE5D01"/>
    <w:rsid w:val="00AE5DF1"/>
    <w:rsid w:val="00AE600E"/>
    <w:rsid w:val="00AE6047"/>
    <w:rsid w:val="00AE6048"/>
    <w:rsid w:val="00AE609C"/>
    <w:rsid w:val="00AE6106"/>
    <w:rsid w:val="00AE61D2"/>
    <w:rsid w:val="00AE61D3"/>
    <w:rsid w:val="00AE61EB"/>
    <w:rsid w:val="00AE624D"/>
    <w:rsid w:val="00AE62AF"/>
    <w:rsid w:val="00AE62C6"/>
    <w:rsid w:val="00AE62F3"/>
    <w:rsid w:val="00AE6310"/>
    <w:rsid w:val="00AE6394"/>
    <w:rsid w:val="00AE63FA"/>
    <w:rsid w:val="00AE644B"/>
    <w:rsid w:val="00AE6482"/>
    <w:rsid w:val="00AE64A3"/>
    <w:rsid w:val="00AE66AE"/>
    <w:rsid w:val="00AE66D0"/>
    <w:rsid w:val="00AE67C7"/>
    <w:rsid w:val="00AE6969"/>
    <w:rsid w:val="00AE69DD"/>
    <w:rsid w:val="00AE6A58"/>
    <w:rsid w:val="00AE6A65"/>
    <w:rsid w:val="00AE6C66"/>
    <w:rsid w:val="00AE6D38"/>
    <w:rsid w:val="00AE6D56"/>
    <w:rsid w:val="00AE6E16"/>
    <w:rsid w:val="00AE6E17"/>
    <w:rsid w:val="00AE6EFC"/>
    <w:rsid w:val="00AE7045"/>
    <w:rsid w:val="00AE704F"/>
    <w:rsid w:val="00AE711C"/>
    <w:rsid w:val="00AE714E"/>
    <w:rsid w:val="00AE71A8"/>
    <w:rsid w:val="00AE71C4"/>
    <w:rsid w:val="00AE756E"/>
    <w:rsid w:val="00AE75AC"/>
    <w:rsid w:val="00AE7797"/>
    <w:rsid w:val="00AE77D7"/>
    <w:rsid w:val="00AE783A"/>
    <w:rsid w:val="00AE7B22"/>
    <w:rsid w:val="00AE7B53"/>
    <w:rsid w:val="00AE7B5E"/>
    <w:rsid w:val="00AE7CB2"/>
    <w:rsid w:val="00AE7D2F"/>
    <w:rsid w:val="00AE7D3A"/>
    <w:rsid w:val="00AE7D82"/>
    <w:rsid w:val="00AE7F18"/>
    <w:rsid w:val="00AF002B"/>
    <w:rsid w:val="00AF00C6"/>
    <w:rsid w:val="00AF00DD"/>
    <w:rsid w:val="00AF00E1"/>
    <w:rsid w:val="00AF01B8"/>
    <w:rsid w:val="00AF02D3"/>
    <w:rsid w:val="00AF0575"/>
    <w:rsid w:val="00AF057A"/>
    <w:rsid w:val="00AF0848"/>
    <w:rsid w:val="00AF0870"/>
    <w:rsid w:val="00AF0924"/>
    <w:rsid w:val="00AF0AAB"/>
    <w:rsid w:val="00AF0B9C"/>
    <w:rsid w:val="00AF0CBF"/>
    <w:rsid w:val="00AF0D54"/>
    <w:rsid w:val="00AF0D6F"/>
    <w:rsid w:val="00AF0D95"/>
    <w:rsid w:val="00AF0DD6"/>
    <w:rsid w:val="00AF0F72"/>
    <w:rsid w:val="00AF0F81"/>
    <w:rsid w:val="00AF115A"/>
    <w:rsid w:val="00AF11A5"/>
    <w:rsid w:val="00AF1296"/>
    <w:rsid w:val="00AF13F3"/>
    <w:rsid w:val="00AF14C1"/>
    <w:rsid w:val="00AF1570"/>
    <w:rsid w:val="00AF181B"/>
    <w:rsid w:val="00AF1823"/>
    <w:rsid w:val="00AF18C7"/>
    <w:rsid w:val="00AF1913"/>
    <w:rsid w:val="00AF1A81"/>
    <w:rsid w:val="00AF1C73"/>
    <w:rsid w:val="00AF1E49"/>
    <w:rsid w:val="00AF1F4A"/>
    <w:rsid w:val="00AF204F"/>
    <w:rsid w:val="00AF21C4"/>
    <w:rsid w:val="00AF228F"/>
    <w:rsid w:val="00AF22C3"/>
    <w:rsid w:val="00AF2335"/>
    <w:rsid w:val="00AF249E"/>
    <w:rsid w:val="00AF2769"/>
    <w:rsid w:val="00AF2775"/>
    <w:rsid w:val="00AF277C"/>
    <w:rsid w:val="00AF293E"/>
    <w:rsid w:val="00AF297B"/>
    <w:rsid w:val="00AF2AD4"/>
    <w:rsid w:val="00AF2C59"/>
    <w:rsid w:val="00AF2D35"/>
    <w:rsid w:val="00AF2E54"/>
    <w:rsid w:val="00AF2E8D"/>
    <w:rsid w:val="00AF3051"/>
    <w:rsid w:val="00AF3070"/>
    <w:rsid w:val="00AF31B8"/>
    <w:rsid w:val="00AF3376"/>
    <w:rsid w:val="00AF33C4"/>
    <w:rsid w:val="00AF3428"/>
    <w:rsid w:val="00AF34B8"/>
    <w:rsid w:val="00AF35D3"/>
    <w:rsid w:val="00AF3673"/>
    <w:rsid w:val="00AF36A0"/>
    <w:rsid w:val="00AF3ABF"/>
    <w:rsid w:val="00AF3B44"/>
    <w:rsid w:val="00AF3B5C"/>
    <w:rsid w:val="00AF3C41"/>
    <w:rsid w:val="00AF3E3D"/>
    <w:rsid w:val="00AF415E"/>
    <w:rsid w:val="00AF4252"/>
    <w:rsid w:val="00AF4400"/>
    <w:rsid w:val="00AF4430"/>
    <w:rsid w:val="00AF44B7"/>
    <w:rsid w:val="00AF454B"/>
    <w:rsid w:val="00AF45AB"/>
    <w:rsid w:val="00AF468D"/>
    <w:rsid w:val="00AF4707"/>
    <w:rsid w:val="00AF4744"/>
    <w:rsid w:val="00AF4887"/>
    <w:rsid w:val="00AF4CA2"/>
    <w:rsid w:val="00AF4DD8"/>
    <w:rsid w:val="00AF4EA1"/>
    <w:rsid w:val="00AF4EDC"/>
    <w:rsid w:val="00AF4EE0"/>
    <w:rsid w:val="00AF4F94"/>
    <w:rsid w:val="00AF5014"/>
    <w:rsid w:val="00AF5123"/>
    <w:rsid w:val="00AF51F4"/>
    <w:rsid w:val="00AF5229"/>
    <w:rsid w:val="00AF5313"/>
    <w:rsid w:val="00AF5354"/>
    <w:rsid w:val="00AF539F"/>
    <w:rsid w:val="00AF5437"/>
    <w:rsid w:val="00AF5450"/>
    <w:rsid w:val="00AF54A2"/>
    <w:rsid w:val="00AF54AD"/>
    <w:rsid w:val="00AF54D1"/>
    <w:rsid w:val="00AF56F5"/>
    <w:rsid w:val="00AF590E"/>
    <w:rsid w:val="00AF5942"/>
    <w:rsid w:val="00AF5ADC"/>
    <w:rsid w:val="00AF5DD5"/>
    <w:rsid w:val="00AF5EA6"/>
    <w:rsid w:val="00AF5EB0"/>
    <w:rsid w:val="00AF601C"/>
    <w:rsid w:val="00AF620B"/>
    <w:rsid w:val="00AF6246"/>
    <w:rsid w:val="00AF631D"/>
    <w:rsid w:val="00AF6399"/>
    <w:rsid w:val="00AF63B1"/>
    <w:rsid w:val="00AF63CB"/>
    <w:rsid w:val="00AF645E"/>
    <w:rsid w:val="00AF6676"/>
    <w:rsid w:val="00AF672A"/>
    <w:rsid w:val="00AF6761"/>
    <w:rsid w:val="00AF6830"/>
    <w:rsid w:val="00AF6967"/>
    <w:rsid w:val="00AF6B22"/>
    <w:rsid w:val="00AF6C28"/>
    <w:rsid w:val="00AF6C69"/>
    <w:rsid w:val="00AF6CAA"/>
    <w:rsid w:val="00AF6CE9"/>
    <w:rsid w:val="00AF6D46"/>
    <w:rsid w:val="00AF6DA9"/>
    <w:rsid w:val="00AF6F34"/>
    <w:rsid w:val="00AF6F8E"/>
    <w:rsid w:val="00AF6FDD"/>
    <w:rsid w:val="00AF70E5"/>
    <w:rsid w:val="00AF710F"/>
    <w:rsid w:val="00AF716D"/>
    <w:rsid w:val="00AF7284"/>
    <w:rsid w:val="00AF72C6"/>
    <w:rsid w:val="00AF744A"/>
    <w:rsid w:val="00AF7480"/>
    <w:rsid w:val="00AF7571"/>
    <w:rsid w:val="00AF759B"/>
    <w:rsid w:val="00AF77A6"/>
    <w:rsid w:val="00AF77CB"/>
    <w:rsid w:val="00AF7829"/>
    <w:rsid w:val="00AF79BD"/>
    <w:rsid w:val="00AF79EB"/>
    <w:rsid w:val="00AF7A34"/>
    <w:rsid w:val="00AF7A5D"/>
    <w:rsid w:val="00AF7B23"/>
    <w:rsid w:val="00AF7B3B"/>
    <w:rsid w:val="00AF7B4D"/>
    <w:rsid w:val="00AF7BAB"/>
    <w:rsid w:val="00AF7BD3"/>
    <w:rsid w:val="00AF7D7A"/>
    <w:rsid w:val="00AF7EF1"/>
    <w:rsid w:val="00AF7F99"/>
    <w:rsid w:val="00AF7FA4"/>
    <w:rsid w:val="00B00047"/>
    <w:rsid w:val="00B00081"/>
    <w:rsid w:val="00B000A4"/>
    <w:rsid w:val="00B000DC"/>
    <w:rsid w:val="00B000F0"/>
    <w:rsid w:val="00B00111"/>
    <w:rsid w:val="00B002A6"/>
    <w:rsid w:val="00B00368"/>
    <w:rsid w:val="00B004EB"/>
    <w:rsid w:val="00B0057A"/>
    <w:rsid w:val="00B00626"/>
    <w:rsid w:val="00B008F3"/>
    <w:rsid w:val="00B00930"/>
    <w:rsid w:val="00B0097B"/>
    <w:rsid w:val="00B009A8"/>
    <w:rsid w:val="00B00A35"/>
    <w:rsid w:val="00B00AC7"/>
    <w:rsid w:val="00B00B4C"/>
    <w:rsid w:val="00B00C3E"/>
    <w:rsid w:val="00B00C98"/>
    <w:rsid w:val="00B00D74"/>
    <w:rsid w:val="00B00E15"/>
    <w:rsid w:val="00B00EBE"/>
    <w:rsid w:val="00B00F71"/>
    <w:rsid w:val="00B00F83"/>
    <w:rsid w:val="00B00FB1"/>
    <w:rsid w:val="00B01072"/>
    <w:rsid w:val="00B010CE"/>
    <w:rsid w:val="00B01124"/>
    <w:rsid w:val="00B011A9"/>
    <w:rsid w:val="00B01238"/>
    <w:rsid w:val="00B013CA"/>
    <w:rsid w:val="00B01618"/>
    <w:rsid w:val="00B01630"/>
    <w:rsid w:val="00B017CF"/>
    <w:rsid w:val="00B017E0"/>
    <w:rsid w:val="00B01860"/>
    <w:rsid w:val="00B01989"/>
    <w:rsid w:val="00B01B51"/>
    <w:rsid w:val="00B01CB0"/>
    <w:rsid w:val="00B01E12"/>
    <w:rsid w:val="00B01F43"/>
    <w:rsid w:val="00B01F49"/>
    <w:rsid w:val="00B01F93"/>
    <w:rsid w:val="00B02086"/>
    <w:rsid w:val="00B023BA"/>
    <w:rsid w:val="00B024DB"/>
    <w:rsid w:val="00B0254F"/>
    <w:rsid w:val="00B025CC"/>
    <w:rsid w:val="00B025DC"/>
    <w:rsid w:val="00B02676"/>
    <w:rsid w:val="00B028AC"/>
    <w:rsid w:val="00B028E1"/>
    <w:rsid w:val="00B028F8"/>
    <w:rsid w:val="00B0296D"/>
    <w:rsid w:val="00B02B1C"/>
    <w:rsid w:val="00B02B94"/>
    <w:rsid w:val="00B02BB6"/>
    <w:rsid w:val="00B02C05"/>
    <w:rsid w:val="00B02F38"/>
    <w:rsid w:val="00B02FFF"/>
    <w:rsid w:val="00B03144"/>
    <w:rsid w:val="00B0329A"/>
    <w:rsid w:val="00B03412"/>
    <w:rsid w:val="00B0342F"/>
    <w:rsid w:val="00B0345C"/>
    <w:rsid w:val="00B0357D"/>
    <w:rsid w:val="00B0358F"/>
    <w:rsid w:val="00B03610"/>
    <w:rsid w:val="00B0362E"/>
    <w:rsid w:val="00B03657"/>
    <w:rsid w:val="00B037B4"/>
    <w:rsid w:val="00B03827"/>
    <w:rsid w:val="00B0392B"/>
    <w:rsid w:val="00B03957"/>
    <w:rsid w:val="00B03A0B"/>
    <w:rsid w:val="00B03AE8"/>
    <w:rsid w:val="00B03B9D"/>
    <w:rsid w:val="00B03C68"/>
    <w:rsid w:val="00B03D51"/>
    <w:rsid w:val="00B03DE2"/>
    <w:rsid w:val="00B03EBE"/>
    <w:rsid w:val="00B03F5B"/>
    <w:rsid w:val="00B03F71"/>
    <w:rsid w:val="00B03F8A"/>
    <w:rsid w:val="00B040EF"/>
    <w:rsid w:val="00B04147"/>
    <w:rsid w:val="00B04161"/>
    <w:rsid w:val="00B04296"/>
    <w:rsid w:val="00B042BE"/>
    <w:rsid w:val="00B043D3"/>
    <w:rsid w:val="00B04440"/>
    <w:rsid w:val="00B04564"/>
    <w:rsid w:val="00B04587"/>
    <w:rsid w:val="00B0459C"/>
    <w:rsid w:val="00B0478F"/>
    <w:rsid w:val="00B049CE"/>
    <w:rsid w:val="00B04A6A"/>
    <w:rsid w:val="00B04AA3"/>
    <w:rsid w:val="00B04B75"/>
    <w:rsid w:val="00B04B8D"/>
    <w:rsid w:val="00B04CC0"/>
    <w:rsid w:val="00B04D9E"/>
    <w:rsid w:val="00B04DD7"/>
    <w:rsid w:val="00B04F74"/>
    <w:rsid w:val="00B0515B"/>
    <w:rsid w:val="00B051C7"/>
    <w:rsid w:val="00B051F7"/>
    <w:rsid w:val="00B052F0"/>
    <w:rsid w:val="00B05350"/>
    <w:rsid w:val="00B053EC"/>
    <w:rsid w:val="00B05429"/>
    <w:rsid w:val="00B054CB"/>
    <w:rsid w:val="00B054FD"/>
    <w:rsid w:val="00B05603"/>
    <w:rsid w:val="00B05645"/>
    <w:rsid w:val="00B0571B"/>
    <w:rsid w:val="00B05749"/>
    <w:rsid w:val="00B057E0"/>
    <w:rsid w:val="00B05B14"/>
    <w:rsid w:val="00B05BDF"/>
    <w:rsid w:val="00B05C2F"/>
    <w:rsid w:val="00B05C59"/>
    <w:rsid w:val="00B05DA9"/>
    <w:rsid w:val="00B05DB4"/>
    <w:rsid w:val="00B05E40"/>
    <w:rsid w:val="00B05E5F"/>
    <w:rsid w:val="00B05F6D"/>
    <w:rsid w:val="00B05FD1"/>
    <w:rsid w:val="00B061CC"/>
    <w:rsid w:val="00B0623B"/>
    <w:rsid w:val="00B06310"/>
    <w:rsid w:val="00B06327"/>
    <w:rsid w:val="00B0636C"/>
    <w:rsid w:val="00B063C6"/>
    <w:rsid w:val="00B06536"/>
    <w:rsid w:val="00B0668C"/>
    <w:rsid w:val="00B06694"/>
    <w:rsid w:val="00B06765"/>
    <w:rsid w:val="00B06768"/>
    <w:rsid w:val="00B06867"/>
    <w:rsid w:val="00B0689D"/>
    <w:rsid w:val="00B06956"/>
    <w:rsid w:val="00B069C9"/>
    <w:rsid w:val="00B06AE3"/>
    <w:rsid w:val="00B06BF8"/>
    <w:rsid w:val="00B06C7F"/>
    <w:rsid w:val="00B06D40"/>
    <w:rsid w:val="00B06D68"/>
    <w:rsid w:val="00B06E6C"/>
    <w:rsid w:val="00B06E7B"/>
    <w:rsid w:val="00B06F4E"/>
    <w:rsid w:val="00B06F6C"/>
    <w:rsid w:val="00B0700C"/>
    <w:rsid w:val="00B07031"/>
    <w:rsid w:val="00B07085"/>
    <w:rsid w:val="00B0716B"/>
    <w:rsid w:val="00B0717D"/>
    <w:rsid w:val="00B07185"/>
    <w:rsid w:val="00B072B0"/>
    <w:rsid w:val="00B072C4"/>
    <w:rsid w:val="00B07342"/>
    <w:rsid w:val="00B0738A"/>
    <w:rsid w:val="00B073AC"/>
    <w:rsid w:val="00B07507"/>
    <w:rsid w:val="00B0761B"/>
    <w:rsid w:val="00B0768B"/>
    <w:rsid w:val="00B07714"/>
    <w:rsid w:val="00B0775B"/>
    <w:rsid w:val="00B07776"/>
    <w:rsid w:val="00B077B9"/>
    <w:rsid w:val="00B07879"/>
    <w:rsid w:val="00B0788F"/>
    <w:rsid w:val="00B078CB"/>
    <w:rsid w:val="00B07A6E"/>
    <w:rsid w:val="00B07AEB"/>
    <w:rsid w:val="00B07BE2"/>
    <w:rsid w:val="00B07D73"/>
    <w:rsid w:val="00B07D9D"/>
    <w:rsid w:val="00B07E60"/>
    <w:rsid w:val="00B07EC4"/>
    <w:rsid w:val="00B07F41"/>
    <w:rsid w:val="00B100EC"/>
    <w:rsid w:val="00B102A3"/>
    <w:rsid w:val="00B102FD"/>
    <w:rsid w:val="00B1036A"/>
    <w:rsid w:val="00B10372"/>
    <w:rsid w:val="00B10387"/>
    <w:rsid w:val="00B10515"/>
    <w:rsid w:val="00B10521"/>
    <w:rsid w:val="00B10547"/>
    <w:rsid w:val="00B1065A"/>
    <w:rsid w:val="00B1067F"/>
    <w:rsid w:val="00B10685"/>
    <w:rsid w:val="00B10696"/>
    <w:rsid w:val="00B1076F"/>
    <w:rsid w:val="00B107E6"/>
    <w:rsid w:val="00B10B0A"/>
    <w:rsid w:val="00B10C6A"/>
    <w:rsid w:val="00B10E45"/>
    <w:rsid w:val="00B10F02"/>
    <w:rsid w:val="00B10F49"/>
    <w:rsid w:val="00B11132"/>
    <w:rsid w:val="00B11276"/>
    <w:rsid w:val="00B1127A"/>
    <w:rsid w:val="00B11289"/>
    <w:rsid w:val="00B1132B"/>
    <w:rsid w:val="00B1138B"/>
    <w:rsid w:val="00B113D0"/>
    <w:rsid w:val="00B11453"/>
    <w:rsid w:val="00B11461"/>
    <w:rsid w:val="00B115E9"/>
    <w:rsid w:val="00B11647"/>
    <w:rsid w:val="00B1170F"/>
    <w:rsid w:val="00B1180A"/>
    <w:rsid w:val="00B11895"/>
    <w:rsid w:val="00B118C8"/>
    <w:rsid w:val="00B119B8"/>
    <w:rsid w:val="00B11ABE"/>
    <w:rsid w:val="00B11C31"/>
    <w:rsid w:val="00B11C89"/>
    <w:rsid w:val="00B11C9C"/>
    <w:rsid w:val="00B11D9B"/>
    <w:rsid w:val="00B11EA3"/>
    <w:rsid w:val="00B11FD2"/>
    <w:rsid w:val="00B11FF9"/>
    <w:rsid w:val="00B12056"/>
    <w:rsid w:val="00B12185"/>
    <w:rsid w:val="00B1219B"/>
    <w:rsid w:val="00B122FA"/>
    <w:rsid w:val="00B123A7"/>
    <w:rsid w:val="00B123BA"/>
    <w:rsid w:val="00B12417"/>
    <w:rsid w:val="00B12452"/>
    <w:rsid w:val="00B12521"/>
    <w:rsid w:val="00B1253A"/>
    <w:rsid w:val="00B125C0"/>
    <w:rsid w:val="00B12673"/>
    <w:rsid w:val="00B126B2"/>
    <w:rsid w:val="00B127ED"/>
    <w:rsid w:val="00B12970"/>
    <w:rsid w:val="00B129ED"/>
    <w:rsid w:val="00B12B22"/>
    <w:rsid w:val="00B12B67"/>
    <w:rsid w:val="00B12BC1"/>
    <w:rsid w:val="00B12C0D"/>
    <w:rsid w:val="00B12C9A"/>
    <w:rsid w:val="00B12D07"/>
    <w:rsid w:val="00B12D9A"/>
    <w:rsid w:val="00B12DBB"/>
    <w:rsid w:val="00B12E15"/>
    <w:rsid w:val="00B12E4B"/>
    <w:rsid w:val="00B12ED6"/>
    <w:rsid w:val="00B12F98"/>
    <w:rsid w:val="00B12FA5"/>
    <w:rsid w:val="00B13027"/>
    <w:rsid w:val="00B13089"/>
    <w:rsid w:val="00B130D8"/>
    <w:rsid w:val="00B13107"/>
    <w:rsid w:val="00B13124"/>
    <w:rsid w:val="00B131B8"/>
    <w:rsid w:val="00B1321B"/>
    <w:rsid w:val="00B132C5"/>
    <w:rsid w:val="00B132F1"/>
    <w:rsid w:val="00B132FA"/>
    <w:rsid w:val="00B1333A"/>
    <w:rsid w:val="00B134CA"/>
    <w:rsid w:val="00B1353B"/>
    <w:rsid w:val="00B135F3"/>
    <w:rsid w:val="00B136E3"/>
    <w:rsid w:val="00B137F8"/>
    <w:rsid w:val="00B137FC"/>
    <w:rsid w:val="00B13841"/>
    <w:rsid w:val="00B1384F"/>
    <w:rsid w:val="00B138DE"/>
    <w:rsid w:val="00B13A67"/>
    <w:rsid w:val="00B13A6B"/>
    <w:rsid w:val="00B13B86"/>
    <w:rsid w:val="00B13CA7"/>
    <w:rsid w:val="00B13CF4"/>
    <w:rsid w:val="00B13E08"/>
    <w:rsid w:val="00B13F89"/>
    <w:rsid w:val="00B14008"/>
    <w:rsid w:val="00B14188"/>
    <w:rsid w:val="00B143D1"/>
    <w:rsid w:val="00B14488"/>
    <w:rsid w:val="00B145C7"/>
    <w:rsid w:val="00B146B0"/>
    <w:rsid w:val="00B14709"/>
    <w:rsid w:val="00B14780"/>
    <w:rsid w:val="00B14807"/>
    <w:rsid w:val="00B14819"/>
    <w:rsid w:val="00B148AD"/>
    <w:rsid w:val="00B14939"/>
    <w:rsid w:val="00B14A78"/>
    <w:rsid w:val="00B14A83"/>
    <w:rsid w:val="00B14B36"/>
    <w:rsid w:val="00B14B4D"/>
    <w:rsid w:val="00B14C41"/>
    <w:rsid w:val="00B14D2F"/>
    <w:rsid w:val="00B14D6B"/>
    <w:rsid w:val="00B14E40"/>
    <w:rsid w:val="00B14FA2"/>
    <w:rsid w:val="00B15202"/>
    <w:rsid w:val="00B15211"/>
    <w:rsid w:val="00B15273"/>
    <w:rsid w:val="00B15275"/>
    <w:rsid w:val="00B152A6"/>
    <w:rsid w:val="00B152BB"/>
    <w:rsid w:val="00B15323"/>
    <w:rsid w:val="00B15343"/>
    <w:rsid w:val="00B1541F"/>
    <w:rsid w:val="00B1548C"/>
    <w:rsid w:val="00B156A8"/>
    <w:rsid w:val="00B156D1"/>
    <w:rsid w:val="00B157C6"/>
    <w:rsid w:val="00B15969"/>
    <w:rsid w:val="00B15A85"/>
    <w:rsid w:val="00B15B51"/>
    <w:rsid w:val="00B15CB5"/>
    <w:rsid w:val="00B15DA3"/>
    <w:rsid w:val="00B15DB0"/>
    <w:rsid w:val="00B15DEA"/>
    <w:rsid w:val="00B15E47"/>
    <w:rsid w:val="00B15F87"/>
    <w:rsid w:val="00B16053"/>
    <w:rsid w:val="00B1609A"/>
    <w:rsid w:val="00B160D7"/>
    <w:rsid w:val="00B16155"/>
    <w:rsid w:val="00B161A9"/>
    <w:rsid w:val="00B161D4"/>
    <w:rsid w:val="00B1638F"/>
    <w:rsid w:val="00B16403"/>
    <w:rsid w:val="00B16443"/>
    <w:rsid w:val="00B164C4"/>
    <w:rsid w:val="00B164C5"/>
    <w:rsid w:val="00B1667D"/>
    <w:rsid w:val="00B16751"/>
    <w:rsid w:val="00B16857"/>
    <w:rsid w:val="00B168C1"/>
    <w:rsid w:val="00B168D9"/>
    <w:rsid w:val="00B16953"/>
    <w:rsid w:val="00B1697A"/>
    <w:rsid w:val="00B169E9"/>
    <w:rsid w:val="00B16A10"/>
    <w:rsid w:val="00B16A49"/>
    <w:rsid w:val="00B16A4B"/>
    <w:rsid w:val="00B16A5A"/>
    <w:rsid w:val="00B16A7B"/>
    <w:rsid w:val="00B16B43"/>
    <w:rsid w:val="00B16C3D"/>
    <w:rsid w:val="00B16C8F"/>
    <w:rsid w:val="00B16CF3"/>
    <w:rsid w:val="00B16D04"/>
    <w:rsid w:val="00B16D97"/>
    <w:rsid w:val="00B16E63"/>
    <w:rsid w:val="00B17029"/>
    <w:rsid w:val="00B170CC"/>
    <w:rsid w:val="00B17128"/>
    <w:rsid w:val="00B17258"/>
    <w:rsid w:val="00B17306"/>
    <w:rsid w:val="00B1733E"/>
    <w:rsid w:val="00B174A5"/>
    <w:rsid w:val="00B1754E"/>
    <w:rsid w:val="00B1757F"/>
    <w:rsid w:val="00B17590"/>
    <w:rsid w:val="00B17595"/>
    <w:rsid w:val="00B175C4"/>
    <w:rsid w:val="00B17665"/>
    <w:rsid w:val="00B176DC"/>
    <w:rsid w:val="00B17786"/>
    <w:rsid w:val="00B177CC"/>
    <w:rsid w:val="00B17865"/>
    <w:rsid w:val="00B17871"/>
    <w:rsid w:val="00B178AD"/>
    <w:rsid w:val="00B178FA"/>
    <w:rsid w:val="00B17900"/>
    <w:rsid w:val="00B179AF"/>
    <w:rsid w:val="00B17A4B"/>
    <w:rsid w:val="00B17A4C"/>
    <w:rsid w:val="00B17AAB"/>
    <w:rsid w:val="00B17AF7"/>
    <w:rsid w:val="00B17B45"/>
    <w:rsid w:val="00B17B48"/>
    <w:rsid w:val="00B17B7B"/>
    <w:rsid w:val="00B17BAA"/>
    <w:rsid w:val="00B17D23"/>
    <w:rsid w:val="00B17F2B"/>
    <w:rsid w:val="00B17F7F"/>
    <w:rsid w:val="00B1E2E8"/>
    <w:rsid w:val="00B20048"/>
    <w:rsid w:val="00B2016C"/>
    <w:rsid w:val="00B201C9"/>
    <w:rsid w:val="00B20264"/>
    <w:rsid w:val="00B20274"/>
    <w:rsid w:val="00B2031F"/>
    <w:rsid w:val="00B20397"/>
    <w:rsid w:val="00B20530"/>
    <w:rsid w:val="00B205D5"/>
    <w:rsid w:val="00B205EB"/>
    <w:rsid w:val="00B20640"/>
    <w:rsid w:val="00B20822"/>
    <w:rsid w:val="00B20923"/>
    <w:rsid w:val="00B20992"/>
    <w:rsid w:val="00B20B76"/>
    <w:rsid w:val="00B20BFF"/>
    <w:rsid w:val="00B20CCF"/>
    <w:rsid w:val="00B20CFB"/>
    <w:rsid w:val="00B20DB8"/>
    <w:rsid w:val="00B20E70"/>
    <w:rsid w:val="00B20EEB"/>
    <w:rsid w:val="00B20F11"/>
    <w:rsid w:val="00B20F5B"/>
    <w:rsid w:val="00B2101C"/>
    <w:rsid w:val="00B210E5"/>
    <w:rsid w:val="00B211F8"/>
    <w:rsid w:val="00B21270"/>
    <w:rsid w:val="00B21276"/>
    <w:rsid w:val="00B21337"/>
    <w:rsid w:val="00B21364"/>
    <w:rsid w:val="00B21500"/>
    <w:rsid w:val="00B216E1"/>
    <w:rsid w:val="00B2171B"/>
    <w:rsid w:val="00B21762"/>
    <w:rsid w:val="00B2197D"/>
    <w:rsid w:val="00B219E6"/>
    <w:rsid w:val="00B21A70"/>
    <w:rsid w:val="00B21B83"/>
    <w:rsid w:val="00B21C11"/>
    <w:rsid w:val="00B21CBF"/>
    <w:rsid w:val="00B21D7E"/>
    <w:rsid w:val="00B21ED4"/>
    <w:rsid w:val="00B21EDC"/>
    <w:rsid w:val="00B21F74"/>
    <w:rsid w:val="00B22204"/>
    <w:rsid w:val="00B22473"/>
    <w:rsid w:val="00B224E7"/>
    <w:rsid w:val="00B2255A"/>
    <w:rsid w:val="00B22630"/>
    <w:rsid w:val="00B2280A"/>
    <w:rsid w:val="00B22952"/>
    <w:rsid w:val="00B229CA"/>
    <w:rsid w:val="00B22A07"/>
    <w:rsid w:val="00B22A17"/>
    <w:rsid w:val="00B22A45"/>
    <w:rsid w:val="00B22BA4"/>
    <w:rsid w:val="00B22C84"/>
    <w:rsid w:val="00B22CEA"/>
    <w:rsid w:val="00B22D0B"/>
    <w:rsid w:val="00B22DC7"/>
    <w:rsid w:val="00B22DD6"/>
    <w:rsid w:val="00B22E3A"/>
    <w:rsid w:val="00B22FBB"/>
    <w:rsid w:val="00B22FE9"/>
    <w:rsid w:val="00B2300F"/>
    <w:rsid w:val="00B23021"/>
    <w:rsid w:val="00B23039"/>
    <w:rsid w:val="00B2308C"/>
    <w:rsid w:val="00B230A0"/>
    <w:rsid w:val="00B23121"/>
    <w:rsid w:val="00B23179"/>
    <w:rsid w:val="00B231B9"/>
    <w:rsid w:val="00B23347"/>
    <w:rsid w:val="00B2335A"/>
    <w:rsid w:val="00B233EB"/>
    <w:rsid w:val="00B234B6"/>
    <w:rsid w:val="00B23521"/>
    <w:rsid w:val="00B235A0"/>
    <w:rsid w:val="00B235B7"/>
    <w:rsid w:val="00B2364D"/>
    <w:rsid w:val="00B23840"/>
    <w:rsid w:val="00B23924"/>
    <w:rsid w:val="00B2394E"/>
    <w:rsid w:val="00B2399A"/>
    <w:rsid w:val="00B23A6B"/>
    <w:rsid w:val="00B23A88"/>
    <w:rsid w:val="00B23B33"/>
    <w:rsid w:val="00B23B4F"/>
    <w:rsid w:val="00B23BF3"/>
    <w:rsid w:val="00B23CAC"/>
    <w:rsid w:val="00B23DA9"/>
    <w:rsid w:val="00B23E23"/>
    <w:rsid w:val="00B23E58"/>
    <w:rsid w:val="00B23E5D"/>
    <w:rsid w:val="00B23FD9"/>
    <w:rsid w:val="00B24200"/>
    <w:rsid w:val="00B242AD"/>
    <w:rsid w:val="00B2432C"/>
    <w:rsid w:val="00B24337"/>
    <w:rsid w:val="00B2453D"/>
    <w:rsid w:val="00B2454C"/>
    <w:rsid w:val="00B24585"/>
    <w:rsid w:val="00B245EC"/>
    <w:rsid w:val="00B246A8"/>
    <w:rsid w:val="00B246AF"/>
    <w:rsid w:val="00B246D9"/>
    <w:rsid w:val="00B2472F"/>
    <w:rsid w:val="00B247DB"/>
    <w:rsid w:val="00B24817"/>
    <w:rsid w:val="00B249E8"/>
    <w:rsid w:val="00B24BA2"/>
    <w:rsid w:val="00B24BA9"/>
    <w:rsid w:val="00B24BB8"/>
    <w:rsid w:val="00B24BFE"/>
    <w:rsid w:val="00B24C6B"/>
    <w:rsid w:val="00B24D2A"/>
    <w:rsid w:val="00B24D6C"/>
    <w:rsid w:val="00B24D83"/>
    <w:rsid w:val="00B24D9C"/>
    <w:rsid w:val="00B24E0F"/>
    <w:rsid w:val="00B24EB5"/>
    <w:rsid w:val="00B24F83"/>
    <w:rsid w:val="00B250C4"/>
    <w:rsid w:val="00B251DC"/>
    <w:rsid w:val="00B25210"/>
    <w:rsid w:val="00B25270"/>
    <w:rsid w:val="00B2531E"/>
    <w:rsid w:val="00B25386"/>
    <w:rsid w:val="00B253D8"/>
    <w:rsid w:val="00B25462"/>
    <w:rsid w:val="00B25513"/>
    <w:rsid w:val="00B257E4"/>
    <w:rsid w:val="00B25854"/>
    <w:rsid w:val="00B258DD"/>
    <w:rsid w:val="00B25925"/>
    <w:rsid w:val="00B25955"/>
    <w:rsid w:val="00B25958"/>
    <w:rsid w:val="00B2599A"/>
    <w:rsid w:val="00B25A18"/>
    <w:rsid w:val="00B25A39"/>
    <w:rsid w:val="00B25CF3"/>
    <w:rsid w:val="00B25DD1"/>
    <w:rsid w:val="00B26126"/>
    <w:rsid w:val="00B2614C"/>
    <w:rsid w:val="00B26175"/>
    <w:rsid w:val="00B26336"/>
    <w:rsid w:val="00B26340"/>
    <w:rsid w:val="00B26351"/>
    <w:rsid w:val="00B265E6"/>
    <w:rsid w:val="00B266F4"/>
    <w:rsid w:val="00B26751"/>
    <w:rsid w:val="00B2678C"/>
    <w:rsid w:val="00B267C4"/>
    <w:rsid w:val="00B2680E"/>
    <w:rsid w:val="00B2682C"/>
    <w:rsid w:val="00B2683B"/>
    <w:rsid w:val="00B26846"/>
    <w:rsid w:val="00B26880"/>
    <w:rsid w:val="00B26892"/>
    <w:rsid w:val="00B2689E"/>
    <w:rsid w:val="00B268EE"/>
    <w:rsid w:val="00B26906"/>
    <w:rsid w:val="00B26B7C"/>
    <w:rsid w:val="00B26CDD"/>
    <w:rsid w:val="00B26D1A"/>
    <w:rsid w:val="00B26DD4"/>
    <w:rsid w:val="00B26DE9"/>
    <w:rsid w:val="00B26E15"/>
    <w:rsid w:val="00B26E2B"/>
    <w:rsid w:val="00B26E89"/>
    <w:rsid w:val="00B26F86"/>
    <w:rsid w:val="00B270CD"/>
    <w:rsid w:val="00B2728B"/>
    <w:rsid w:val="00B2731F"/>
    <w:rsid w:val="00B2736E"/>
    <w:rsid w:val="00B273E3"/>
    <w:rsid w:val="00B27421"/>
    <w:rsid w:val="00B27457"/>
    <w:rsid w:val="00B274E5"/>
    <w:rsid w:val="00B27519"/>
    <w:rsid w:val="00B27584"/>
    <w:rsid w:val="00B27676"/>
    <w:rsid w:val="00B2778B"/>
    <w:rsid w:val="00B2791F"/>
    <w:rsid w:val="00B27928"/>
    <w:rsid w:val="00B2799B"/>
    <w:rsid w:val="00B27A18"/>
    <w:rsid w:val="00B27A52"/>
    <w:rsid w:val="00B27A71"/>
    <w:rsid w:val="00B27AB6"/>
    <w:rsid w:val="00B27BDD"/>
    <w:rsid w:val="00B27D06"/>
    <w:rsid w:val="00B27D5B"/>
    <w:rsid w:val="00B27F8D"/>
    <w:rsid w:val="00B27FCA"/>
    <w:rsid w:val="00B301B0"/>
    <w:rsid w:val="00B302DB"/>
    <w:rsid w:val="00B30332"/>
    <w:rsid w:val="00B3037C"/>
    <w:rsid w:val="00B3046B"/>
    <w:rsid w:val="00B304AA"/>
    <w:rsid w:val="00B304E8"/>
    <w:rsid w:val="00B305D1"/>
    <w:rsid w:val="00B307BD"/>
    <w:rsid w:val="00B308A3"/>
    <w:rsid w:val="00B308C8"/>
    <w:rsid w:val="00B30967"/>
    <w:rsid w:val="00B309A6"/>
    <w:rsid w:val="00B309BA"/>
    <w:rsid w:val="00B309CB"/>
    <w:rsid w:val="00B30A62"/>
    <w:rsid w:val="00B30A83"/>
    <w:rsid w:val="00B30B3B"/>
    <w:rsid w:val="00B30C43"/>
    <w:rsid w:val="00B30CE1"/>
    <w:rsid w:val="00B30CE8"/>
    <w:rsid w:val="00B30DBD"/>
    <w:rsid w:val="00B30DD8"/>
    <w:rsid w:val="00B30E48"/>
    <w:rsid w:val="00B30E69"/>
    <w:rsid w:val="00B30F67"/>
    <w:rsid w:val="00B30FD3"/>
    <w:rsid w:val="00B3104E"/>
    <w:rsid w:val="00B314C1"/>
    <w:rsid w:val="00B31526"/>
    <w:rsid w:val="00B31589"/>
    <w:rsid w:val="00B315C7"/>
    <w:rsid w:val="00B316D1"/>
    <w:rsid w:val="00B31716"/>
    <w:rsid w:val="00B317A5"/>
    <w:rsid w:val="00B3184C"/>
    <w:rsid w:val="00B3186E"/>
    <w:rsid w:val="00B318B5"/>
    <w:rsid w:val="00B318F9"/>
    <w:rsid w:val="00B31AE1"/>
    <w:rsid w:val="00B31D9E"/>
    <w:rsid w:val="00B31DE5"/>
    <w:rsid w:val="00B31DEC"/>
    <w:rsid w:val="00B31DF0"/>
    <w:rsid w:val="00B31E6C"/>
    <w:rsid w:val="00B31FB0"/>
    <w:rsid w:val="00B32030"/>
    <w:rsid w:val="00B320F5"/>
    <w:rsid w:val="00B32115"/>
    <w:rsid w:val="00B32219"/>
    <w:rsid w:val="00B322A4"/>
    <w:rsid w:val="00B325B0"/>
    <w:rsid w:val="00B32720"/>
    <w:rsid w:val="00B32736"/>
    <w:rsid w:val="00B327C9"/>
    <w:rsid w:val="00B32857"/>
    <w:rsid w:val="00B32861"/>
    <w:rsid w:val="00B3290B"/>
    <w:rsid w:val="00B32934"/>
    <w:rsid w:val="00B32A20"/>
    <w:rsid w:val="00B32A52"/>
    <w:rsid w:val="00B32A76"/>
    <w:rsid w:val="00B32B2F"/>
    <w:rsid w:val="00B32C01"/>
    <w:rsid w:val="00B32CA4"/>
    <w:rsid w:val="00B32CB2"/>
    <w:rsid w:val="00B32D8F"/>
    <w:rsid w:val="00B32E0F"/>
    <w:rsid w:val="00B32F89"/>
    <w:rsid w:val="00B32FA2"/>
    <w:rsid w:val="00B33038"/>
    <w:rsid w:val="00B33044"/>
    <w:rsid w:val="00B330D7"/>
    <w:rsid w:val="00B33363"/>
    <w:rsid w:val="00B333F9"/>
    <w:rsid w:val="00B33430"/>
    <w:rsid w:val="00B33655"/>
    <w:rsid w:val="00B33705"/>
    <w:rsid w:val="00B33708"/>
    <w:rsid w:val="00B33859"/>
    <w:rsid w:val="00B338EA"/>
    <w:rsid w:val="00B33AAB"/>
    <w:rsid w:val="00B33B01"/>
    <w:rsid w:val="00B33BFE"/>
    <w:rsid w:val="00B33C37"/>
    <w:rsid w:val="00B33C41"/>
    <w:rsid w:val="00B33CFA"/>
    <w:rsid w:val="00B33D60"/>
    <w:rsid w:val="00B33DA9"/>
    <w:rsid w:val="00B33E80"/>
    <w:rsid w:val="00B33F98"/>
    <w:rsid w:val="00B33FF1"/>
    <w:rsid w:val="00B340C7"/>
    <w:rsid w:val="00B34163"/>
    <w:rsid w:val="00B34228"/>
    <w:rsid w:val="00B342FF"/>
    <w:rsid w:val="00B34414"/>
    <w:rsid w:val="00B3451F"/>
    <w:rsid w:val="00B345F9"/>
    <w:rsid w:val="00B3462D"/>
    <w:rsid w:val="00B346FC"/>
    <w:rsid w:val="00B347C0"/>
    <w:rsid w:val="00B348EC"/>
    <w:rsid w:val="00B3491E"/>
    <w:rsid w:val="00B34993"/>
    <w:rsid w:val="00B34A51"/>
    <w:rsid w:val="00B34AB7"/>
    <w:rsid w:val="00B34B29"/>
    <w:rsid w:val="00B34B3F"/>
    <w:rsid w:val="00B34C79"/>
    <w:rsid w:val="00B34C82"/>
    <w:rsid w:val="00B34EA1"/>
    <w:rsid w:val="00B34EB2"/>
    <w:rsid w:val="00B34FC3"/>
    <w:rsid w:val="00B35079"/>
    <w:rsid w:val="00B35088"/>
    <w:rsid w:val="00B35206"/>
    <w:rsid w:val="00B35266"/>
    <w:rsid w:val="00B35330"/>
    <w:rsid w:val="00B353EB"/>
    <w:rsid w:val="00B3541D"/>
    <w:rsid w:val="00B354D3"/>
    <w:rsid w:val="00B3551E"/>
    <w:rsid w:val="00B35576"/>
    <w:rsid w:val="00B356FC"/>
    <w:rsid w:val="00B357E9"/>
    <w:rsid w:val="00B35815"/>
    <w:rsid w:val="00B3591C"/>
    <w:rsid w:val="00B3593F"/>
    <w:rsid w:val="00B35A58"/>
    <w:rsid w:val="00B35B18"/>
    <w:rsid w:val="00B35B72"/>
    <w:rsid w:val="00B35B94"/>
    <w:rsid w:val="00B35BA0"/>
    <w:rsid w:val="00B35D1D"/>
    <w:rsid w:val="00B35D5A"/>
    <w:rsid w:val="00B35E1D"/>
    <w:rsid w:val="00B35E38"/>
    <w:rsid w:val="00B35E3A"/>
    <w:rsid w:val="00B35E3F"/>
    <w:rsid w:val="00B35EA6"/>
    <w:rsid w:val="00B35EC1"/>
    <w:rsid w:val="00B35FE1"/>
    <w:rsid w:val="00B3604F"/>
    <w:rsid w:val="00B36087"/>
    <w:rsid w:val="00B36108"/>
    <w:rsid w:val="00B36110"/>
    <w:rsid w:val="00B36179"/>
    <w:rsid w:val="00B36215"/>
    <w:rsid w:val="00B3621D"/>
    <w:rsid w:val="00B3625A"/>
    <w:rsid w:val="00B36360"/>
    <w:rsid w:val="00B36383"/>
    <w:rsid w:val="00B36425"/>
    <w:rsid w:val="00B36431"/>
    <w:rsid w:val="00B36542"/>
    <w:rsid w:val="00B36786"/>
    <w:rsid w:val="00B368AF"/>
    <w:rsid w:val="00B3697A"/>
    <w:rsid w:val="00B36A14"/>
    <w:rsid w:val="00B36A71"/>
    <w:rsid w:val="00B36AB3"/>
    <w:rsid w:val="00B36C0D"/>
    <w:rsid w:val="00B36CA6"/>
    <w:rsid w:val="00B36CAD"/>
    <w:rsid w:val="00B36D3B"/>
    <w:rsid w:val="00B36DED"/>
    <w:rsid w:val="00B36E03"/>
    <w:rsid w:val="00B36E0F"/>
    <w:rsid w:val="00B36EF4"/>
    <w:rsid w:val="00B37049"/>
    <w:rsid w:val="00B37058"/>
    <w:rsid w:val="00B37421"/>
    <w:rsid w:val="00B37531"/>
    <w:rsid w:val="00B375EA"/>
    <w:rsid w:val="00B3773B"/>
    <w:rsid w:val="00B377ED"/>
    <w:rsid w:val="00B37817"/>
    <w:rsid w:val="00B37842"/>
    <w:rsid w:val="00B378A1"/>
    <w:rsid w:val="00B378CF"/>
    <w:rsid w:val="00B379AF"/>
    <w:rsid w:val="00B37ADD"/>
    <w:rsid w:val="00B37BEE"/>
    <w:rsid w:val="00B37C59"/>
    <w:rsid w:val="00B37CC9"/>
    <w:rsid w:val="00B37CFB"/>
    <w:rsid w:val="00B37DD2"/>
    <w:rsid w:val="00B37E82"/>
    <w:rsid w:val="00B37FAD"/>
    <w:rsid w:val="00B4010D"/>
    <w:rsid w:val="00B40119"/>
    <w:rsid w:val="00B40138"/>
    <w:rsid w:val="00B4017A"/>
    <w:rsid w:val="00B40184"/>
    <w:rsid w:val="00B401CB"/>
    <w:rsid w:val="00B40242"/>
    <w:rsid w:val="00B4036E"/>
    <w:rsid w:val="00B403FE"/>
    <w:rsid w:val="00B40438"/>
    <w:rsid w:val="00B40513"/>
    <w:rsid w:val="00B4070A"/>
    <w:rsid w:val="00B407AD"/>
    <w:rsid w:val="00B409FD"/>
    <w:rsid w:val="00B40C2A"/>
    <w:rsid w:val="00B40CFF"/>
    <w:rsid w:val="00B40DC1"/>
    <w:rsid w:val="00B40DCE"/>
    <w:rsid w:val="00B40EDA"/>
    <w:rsid w:val="00B4113B"/>
    <w:rsid w:val="00B4117C"/>
    <w:rsid w:val="00B4118C"/>
    <w:rsid w:val="00B41226"/>
    <w:rsid w:val="00B4126A"/>
    <w:rsid w:val="00B412C3"/>
    <w:rsid w:val="00B41371"/>
    <w:rsid w:val="00B414B5"/>
    <w:rsid w:val="00B41550"/>
    <w:rsid w:val="00B41555"/>
    <w:rsid w:val="00B4157F"/>
    <w:rsid w:val="00B4159F"/>
    <w:rsid w:val="00B415C2"/>
    <w:rsid w:val="00B415EB"/>
    <w:rsid w:val="00B4183B"/>
    <w:rsid w:val="00B41854"/>
    <w:rsid w:val="00B41931"/>
    <w:rsid w:val="00B41A3F"/>
    <w:rsid w:val="00B41A7E"/>
    <w:rsid w:val="00B41AA4"/>
    <w:rsid w:val="00B41AD4"/>
    <w:rsid w:val="00B41BC6"/>
    <w:rsid w:val="00B41D04"/>
    <w:rsid w:val="00B41DEC"/>
    <w:rsid w:val="00B41E71"/>
    <w:rsid w:val="00B41E87"/>
    <w:rsid w:val="00B4204A"/>
    <w:rsid w:val="00B4208D"/>
    <w:rsid w:val="00B420A8"/>
    <w:rsid w:val="00B420D0"/>
    <w:rsid w:val="00B420DB"/>
    <w:rsid w:val="00B42122"/>
    <w:rsid w:val="00B42200"/>
    <w:rsid w:val="00B42264"/>
    <w:rsid w:val="00B42342"/>
    <w:rsid w:val="00B42479"/>
    <w:rsid w:val="00B424BF"/>
    <w:rsid w:val="00B42578"/>
    <w:rsid w:val="00B426CD"/>
    <w:rsid w:val="00B4271B"/>
    <w:rsid w:val="00B42857"/>
    <w:rsid w:val="00B42868"/>
    <w:rsid w:val="00B42885"/>
    <w:rsid w:val="00B428CA"/>
    <w:rsid w:val="00B42975"/>
    <w:rsid w:val="00B42A1E"/>
    <w:rsid w:val="00B42B06"/>
    <w:rsid w:val="00B42C42"/>
    <w:rsid w:val="00B42C46"/>
    <w:rsid w:val="00B42D18"/>
    <w:rsid w:val="00B42DED"/>
    <w:rsid w:val="00B42E2A"/>
    <w:rsid w:val="00B42E95"/>
    <w:rsid w:val="00B42EF5"/>
    <w:rsid w:val="00B42FE5"/>
    <w:rsid w:val="00B4306C"/>
    <w:rsid w:val="00B4321A"/>
    <w:rsid w:val="00B43285"/>
    <w:rsid w:val="00B43349"/>
    <w:rsid w:val="00B43491"/>
    <w:rsid w:val="00B43517"/>
    <w:rsid w:val="00B43592"/>
    <w:rsid w:val="00B43651"/>
    <w:rsid w:val="00B43772"/>
    <w:rsid w:val="00B43801"/>
    <w:rsid w:val="00B43843"/>
    <w:rsid w:val="00B4386D"/>
    <w:rsid w:val="00B4388B"/>
    <w:rsid w:val="00B439FE"/>
    <w:rsid w:val="00B43A07"/>
    <w:rsid w:val="00B43AC0"/>
    <w:rsid w:val="00B43AF9"/>
    <w:rsid w:val="00B43DAE"/>
    <w:rsid w:val="00B43DE8"/>
    <w:rsid w:val="00B43E2A"/>
    <w:rsid w:val="00B4400F"/>
    <w:rsid w:val="00B440B2"/>
    <w:rsid w:val="00B441A1"/>
    <w:rsid w:val="00B442A1"/>
    <w:rsid w:val="00B442F6"/>
    <w:rsid w:val="00B443FF"/>
    <w:rsid w:val="00B4456A"/>
    <w:rsid w:val="00B445A2"/>
    <w:rsid w:val="00B445F6"/>
    <w:rsid w:val="00B44600"/>
    <w:rsid w:val="00B44624"/>
    <w:rsid w:val="00B4464A"/>
    <w:rsid w:val="00B44945"/>
    <w:rsid w:val="00B4497B"/>
    <w:rsid w:val="00B449D1"/>
    <w:rsid w:val="00B44A6A"/>
    <w:rsid w:val="00B44AA5"/>
    <w:rsid w:val="00B44AE8"/>
    <w:rsid w:val="00B44BB5"/>
    <w:rsid w:val="00B44DE2"/>
    <w:rsid w:val="00B45055"/>
    <w:rsid w:val="00B4506C"/>
    <w:rsid w:val="00B451A0"/>
    <w:rsid w:val="00B451AD"/>
    <w:rsid w:val="00B453B7"/>
    <w:rsid w:val="00B45616"/>
    <w:rsid w:val="00B45669"/>
    <w:rsid w:val="00B45681"/>
    <w:rsid w:val="00B45720"/>
    <w:rsid w:val="00B4579D"/>
    <w:rsid w:val="00B4582B"/>
    <w:rsid w:val="00B45846"/>
    <w:rsid w:val="00B45965"/>
    <w:rsid w:val="00B459B1"/>
    <w:rsid w:val="00B45AA4"/>
    <w:rsid w:val="00B45C75"/>
    <w:rsid w:val="00B45C8B"/>
    <w:rsid w:val="00B45CCE"/>
    <w:rsid w:val="00B45CF7"/>
    <w:rsid w:val="00B45D79"/>
    <w:rsid w:val="00B45DC1"/>
    <w:rsid w:val="00B45E02"/>
    <w:rsid w:val="00B45E39"/>
    <w:rsid w:val="00B45E8F"/>
    <w:rsid w:val="00B45ED5"/>
    <w:rsid w:val="00B45EE1"/>
    <w:rsid w:val="00B45EF8"/>
    <w:rsid w:val="00B45FA1"/>
    <w:rsid w:val="00B45FE0"/>
    <w:rsid w:val="00B460CB"/>
    <w:rsid w:val="00B460D9"/>
    <w:rsid w:val="00B4620D"/>
    <w:rsid w:val="00B46298"/>
    <w:rsid w:val="00B462C8"/>
    <w:rsid w:val="00B46327"/>
    <w:rsid w:val="00B4635A"/>
    <w:rsid w:val="00B46376"/>
    <w:rsid w:val="00B463A2"/>
    <w:rsid w:val="00B463A5"/>
    <w:rsid w:val="00B463AB"/>
    <w:rsid w:val="00B46415"/>
    <w:rsid w:val="00B46459"/>
    <w:rsid w:val="00B464A6"/>
    <w:rsid w:val="00B464AE"/>
    <w:rsid w:val="00B4654A"/>
    <w:rsid w:val="00B46569"/>
    <w:rsid w:val="00B465B5"/>
    <w:rsid w:val="00B465CF"/>
    <w:rsid w:val="00B4662A"/>
    <w:rsid w:val="00B4677B"/>
    <w:rsid w:val="00B467E9"/>
    <w:rsid w:val="00B467F0"/>
    <w:rsid w:val="00B46865"/>
    <w:rsid w:val="00B46889"/>
    <w:rsid w:val="00B468CD"/>
    <w:rsid w:val="00B469D3"/>
    <w:rsid w:val="00B46A9D"/>
    <w:rsid w:val="00B46C96"/>
    <w:rsid w:val="00B46CA7"/>
    <w:rsid w:val="00B46CAD"/>
    <w:rsid w:val="00B46D32"/>
    <w:rsid w:val="00B46D53"/>
    <w:rsid w:val="00B46D56"/>
    <w:rsid w:val="00B46DEE"/>
    <w:rsid w:val="00B46F16"/>
    <w:rsid w:val="00B46FDB"/>
    <w:rsid w:val="00B47004"/>
    <w:rsid w:val="00B470AE"/>
    <w:rsid w:val="00B470B6"/>
    <w:rsid w:val="00B470EA"/>
    <w:rsid w:val="00B47127"/>
    <w:rsid w:val="00B47138"/>
    <w:rsid w:val="00B4730E"/>
    <w:rsid w:val="00B4733A"/>
    <w:rsid w:val="00B474DB"/>
    <w:rsid w:val="00B47836"/>
    <w:rsid w:val="00B47937"/>
    <w:rsid w:val="00B4798E"/>
    <w:rsid w:val="00B47994"/>
    <w:rsid w:val="00B479D1"/>
    <w:rsid w:val="00B47A2C"/>
    <w:rsid w:val="00B47AF3"/>
    <w:rsid w:val="00B47BC8"/>
    <w:rsid w:val="00B47C52"/>
    <w:rsid w:val="00B47C7E"/>
    <w:rsid w:val="00B47DD4"/>
    <w:rsid w:val="00B47DE7"/>
    <w:rsid w:val="00B47DEF"/>
    <w:rsid w:val="00B47E9A"/>
    <w:rsid w:val="00B47EC0"/>
    <w:rsid w:val="00B47F38"/>
    <w:rsid w:val="00B4F69D"/>
    <w:rsid w:val="00B50045"/>
    <w:rsid w:val="00B500FD"/>
    <w:rsid w:val="00B50122"/>
    <w:rsid w:val="00B501F9"/>
    <w:rsid w:val="00B502C6"/>
    <w:rsid w:val="00B50379"/>
    <w:rsid w:val="00B5048D"/>
    <w:rsid w:val="00B504DA"/>
    <w:rsid w:val="00B50555"/>
    <w:rsid w:val="00B50566"/>
    <w:rsid w:val="00B50583"/>
    <w:rsid w:val="00B50596"/>
    <w:rsid w:val="00B506B5"/>
    <w:rsid w:val="00B507DF"/>
    <w:rsid w:val="00B50846"/>
    <w:rsid w:val="00B509A2"/>
    <w:rsid w:val="00B509CF"/>
    <w:rsid w:val="00B50A65"/>
    <w:rsid w:val="00B50A70"/>
    <w:rsid w:val="00B50B49"/>
    <w:rsid w:val="00B50C0F"/>
    <w:rsid w:val="00B50CCD"/>
    <w:rsid w:val="00B50D43"/>
    <w:rsid w:val="00B50E60"/>
    <w:rsid w:val="00B50EC5"/>
    <w:rsid w:val="00B50F71"/>
    <w:rsid w:val="00B51073"/>
    <w:rsid w:val="00B51100"/>
    <w:rsid w:val="00B5111C"/>
    <w:rsid w:val="00B51347"/>
    <w:rsid w:val="00B5147F"/>
    <w:rsid w:val="00B51624"/>
    <w:rsid w:val="00B51730"/>
    <w:rsid w:val="00B51734"/>
    <w:rsid w:val="00B51743"/>
    <w:rsid w:val="00B517AC"/>
    <w:rsid w:val="00B5190D"/>
    <w:rsid w:val="00B5196B"/>
    <w:rsid w:val="00B51986"/>
    <w:rsid w:val="00B51988"/>
    <w:rsid w:val="00B519E1"/>
    <w:rsid w:val="00B519EF"/>
    <w:rsid w:val="00B51A1D"/>
    <w:rsid w:val="00B51A48"/>
    <w:rsid w:val="00B51A4D"/>
    <w:rsid w:val="00B51A8F"/>
    <w:rsid w:val="00B51B3B"/>
    <w:rsid w:val="00B51B3F"/>
    <w:rsid w:val="00B51D86"/>
    <w:rsid w:val="00B51F1C"/>
    <w:rsid w:val="00B51F35"/>
    <w:rsid w:val="00B51F90"/>
    <w:rsid w:val="00B51F95"/>
    <w:rsid w:val="00B51FF0"/>
    <w:rsid w:val="00B52051"/>
    <w:rsid w:val="00B520A2"/>
    <w:rsid w:val="00B520D7"/>
    <w:rsid w:val="00B52121"/>
    <w:rsid w:val="00B5214B"/>
    <w:rsid w:val="00B521A0"/>
    <w:rsid w:val="00B5221A"/>
    <w:rsid w:val="00B5232C"/>
    <w:rsid w:val="00B523ED"/>
    <w:rsid w:val="00B524BF"/>
    <w:rsid w:val="00B52521"/>
    <w:rsid w:val="00B5256E"/>
    <w:rsid w:val="00B525B6"/>
    <w:rsid w:val="00B52609"/>
    <w:rsid w:val="00B5269C"/>
    <w:rsid w:val="00B526F7"/>
    <w:rsid w:val="00B527C7"/>
    <w:rsid w:val="00B52968"/>
    <w:rsid w:val="00B52A0D"/>
    <w:rsid w:val="00B52A57"/>
    <w:rsid w:val="00B52A83"/>
    <w:rsid w:val="00B52B58"/>
    <w:rsid w:val="00B52C08"/>
    <w:rsid w:val="00B52C71"/>
    <w:rsid w:val="00B52CC2"/>
    <w:rsid w:val="00B52CC4"/>
    <w:rsid w:val="00B52CE4"/>
    <w:rsid w:val="00B52E22"/>
    <w:rsid w:val="00B52EF3"/>
    <w:rsid w:val="00B52F99"/>
    <w:rsid w:val="00B53012"/>
    <w:rsid w:val="00B53070"/>
    <w:rsid w:val="00B53121"/>
    <w:rsid w:val="00B5313B"/>
    <w:rsid w:val="00B53356"/>
    <w:rsid w:val="00B535B5"/>
    <w:rsid w:val="00B53625"/>
    <w:rsid w:val="00B5366A"/>
    <w:rsid w:val="00B537B1"/>
    <w:rsid w:val="00B537C2"/>
    <w:rsid w:val="00B5380C"/>
    <w:rsid w:val="00B538A1"/>
    <w:rsid w:val="00B53C46"/>
    <w:rsid w:val="00B53C97"/>
    <w:rsid w:val="00B53CAA"/>
    <w:rsid w:val="00B53D0E"/>
    <w:rsid w:val="00B53D6D"/>
    <w:rsid w:val="00B53D8E"/>
    <w:rsid w:val="00B53E19"/>
    <w:rsid w:val="00B53E1C"/>
    <w:rsid w:val="00B53FF2"/>
    <w:rsid w:val="00B53FFB"/>
    <w:rsid w:val="00B5408D"/>
    <w:rsid w:val="00B540C5"/>
    <w:rsid w:val="00B54114"/>
    <w:rsid w:val="00B54246"/>
    <w:rsid w:val="00B54295"/>
    <w:rsid w:val="00B542A4"/>
    <w:rsid w:val="00B542F6"/>
    <w:rsid w:val="00B5436E"/>
    <w:rsid w:val="00B543FE"/>
    <w:rsid w:val="00B544C5"/>
    <w:rsid w:val="00B546A7"/>
    <w:rsid w:val="00B546D9"/>
    <w:rsid w:val="00B54710"/>
    <w:rsid w:val="00B54725"/>
    <w:rsid w:val="00B5472C"/>
    <w:rsid w:val="00B547B4"/>
    <w:rsid w:val="00B548A0"/>
    <w:rsid w:val="00B549C5"/>
    <w:rsid w:val="00B54A37"/>
    <w:rsid w:val="00B54BBC"/>
    <w:rsid w:val="00B54D5E"/>
    <w:rsid w:val="00B54E8C"/>
    <w:rsid w:val="00B54ECB"/>
    <w:rsid w:val="00B54F3E"/>
    <w:rsid w:val="00B54F53"/>
    <w:rsid w:val="00B54F66"/>
    <w:rsid w:val="00B54FB3"/>
    <w:rsid w:val="00B54FBB"/>
    <w:rsid w:val="00B55055"/>
    <w:rsid w:val="00B550B8"/>
    <w:rsid w:val="00B55188"/>
    <w:rsid w:val="00B55243"/>
    <w:rsid w:val="00B55487"/>
    <w:rsid w:val="00B554E7"/>
    <w:rsid w:val="00B55526"/>
    <w:rsid w:val="00B55684"/>
    <w:rsid w:val="00B55715"/>
    <w:rsid w:val="00B55764"/>
    <w:rsid w:val="00B55795"/>
    <w:rsid w:val="00B55879"/>
    <w:rsid w:val="00B55974"/>
    <w:rsid w:val="00B559A7"/>
    <w:rsid w:val="00B55A15"/>
    <w:rsid w:val="00B55A31"/>
    <w:rsid w:val="00B55A99"/>
    <w:rsid w:val="00B55AC7"/>
    <w:rsid w:val="00B55BA2"/>
    <w:rsid w:val="00B55C5E"/>
    <w:rsid w:val="00B55C71"/>
    <w:rsid w:val="00B55D17"/>
    <w:rsid w:val="00B55D23"/>
    <w:rsid w:val="00B55D4B"/>
    <w:rsid w:val="00B55D6C"/>
    <w:rsid w:val="00B55E7F"/>
    <w:rsid w:val="00B55EE6"/>
    <w:rsid w:val="00B55F6A"/>
    <w:rsid w:val="00B5615B"/>
    <w:rsid w:val="00B56192"/>
    <w:rsid w:val="00B56209"/>
    <w:rsid w:val="00B5643A"/>
    <w:rsid w:val="00B5656E"/>
    <w:rsid w:val="00B56581"/>
    <w:rsid w:val="00B56640"/>
    <w:rsid w:val="00B566D6"/>
    <w:rsid w:val="00B5684A"/>
    <w:rsid w:val="00B5689C"/>
    <w:rsid w:val="00B56A61"/>
    <w:rsid w:val="00B56A68"/>
    <w:rsid w:val="00B56C20"/>
    <w:rsid w:val="00B56C2B"/>
    <w:rsid w:val="00B56C40"/>
    <w:rsid w:val="00B56C7C"/>
    <w:rsid w:val="00B56EF8"/>
    <w:rsid w:val="00B5700F"/>
    <w:rsid w:val="00B5707A"/>
    <w:rsid w:val="00B570C2"/>
    <w:rsid w:val="00B570FC"/>
    <w:rsid w:val="00B57141"/>
    <w:rsid w:val="00B57171"/>
    <w:rsid w:val="00B571BC"/>
    <w:rsid w:val="00B571E0"/>
    <w:rsid w:val="00B57281"/>
    <w:rsid w:val="00B57321"/>
    <w:rsid w:val="00B57426"/>
    <w:rsid w:val="00B57432"/>
    <w:rsid w:val="00B57480"/>
    <w:rsid w:val="00B5750D"/>
    <w:rsid w:val="00B578C8"/>
    <w:rsid w:val="00B57952"/>
    <w:rsid w:val="00B57A2C"/>
    <w:rsid w:val="00B57A9B"/>
    <w:rsid w:val="00B57B58"/>
    <w:rsid w:val="00B57C5A"/>
    <w:rsid w:val="00B57D84"/>
    <w:rsid w:val="00B57DED"/>
    <w:rsid w:val="00B57DF6"/>
    <w:rsid w:val="00B57E10"/>
    <w:rsid w:val="00B57E1C"/>
    <w:rsid w:val="00B57E31"/>
    <w:rsid w:val="00B57E6A"/>
    <w:rsid w:val="00B57E9D"/>
    <w:rsid w:val="00B57E9E"/>
    <w:rsid w:val="00B57F19"/>
    <w:rsid w:val="00B57F5E"/>
    <w:rsid w:val="00B57F8E"/>
    <w:rsid w:val="00B57FFE"/>
    <w:rsid w:val="00B60153"/>
    <w:rsid w:val="00B601A1"/>
    <w:rsid w:val="00B602EB"/>
    <w:rsid w:val="00B603C0"/>
    <w:rsid w:val="00B6041E"/>
    <w:rsid w:val="00B6057E"/>
    <w:rsid w:val="00B606C8"/>
    <w:rsid w:val="00B608E3"/>
    <w:rsid w:val="00B608ED"/>
    <w:rsid w:val="00B60936"/>
    <w:rsid w:val="00B6094A"/>
    <w:rsid w:val="00B609A2"/>
    <w:rsid w:val="00B60A68"/>
    <w:rsid w:val="00B60AD3"/>
    <w:rsid w:val="00B60C4B"/>
    <w:rsid w:val="00B60D8E"/>
    <w:rsid w:val="00B60EC8"/>
    <w:rsid w:val="00B60ED2"/>
    <w:rsid w:val="00B60EFD"/>
    <w:rsid w:val="00B60F2E"/>
    <w:rsid w:val="00B60FD0"/>
    <w:rsid w:val="00B60FD4"/>
    <w:rsid w:val="00B6103D"/>
    <w:rsid w:val="00B61136"/>
    <w:rsid w:val="00B61332"/>
    <w:rsid w:val="00B613BF"/>
    <w:rsid w:val="00B61491"/>
    <w:rsid w:val="00B616D4"/>
    <w:rsid w:val="00B616EE"/>
    <w:rsid w:val="00B61755"/>
    <w:rsid w:val="00B61765"/>
    <w:rsid w:val="00B61846"/>
    <w:rsid w:val="00B6184C"/>
    <w:rsid w:val="00B61905"/>
    <w:rsid w:val="00B61948"/>
    <w:rsid w:val="00B61A22"/>
    <w:rsid w:val="00B61A4A"/>
    <w:rsid w:val="00B61B8B"/>
    <w:rsid w:val="00B61D0C"/>
    <w:rsid w:val="00B61D40"/>
    <w:rsid w:val="00B61F00"/>
    <w:rsid w:val="00B6205C"/>
    <w:rsid w:val="00B62142"/>
    <w:rsid w:val="00B62184"/>
    <w:rsid w:val="00B621E4"/>
    <w:rsid w:val="00B62283"/>
    <w:rsid w:val="00B62450"/>
    <w:rsid w:val="00B6251E"/>
    <w:rsid w:val="00B625BF"/>
    <w:rsid w:val="00B625CA"/>
    <w:rsid w:val="00B62722"/>
    <w:rsid w:val="00B6273E"/>
    <w:rsid w:val="00B62750"/>
    <w:rsid w:val="00B627BA"/>
    <w:rsid w:val="00B628AB"/>
    <w:rsid w:val="00B628E4"/>
    <w:rsid w:val="00B62B1E"/>
    <w:rsid w:val="00B62B58"/>
    <w:rsid w:val="00B62C07"/>
    <w:rsid w:val="00B62C12"/>
    <w:rsid w:val="00B62C29"/>
    <w:rsid w:val="00B62E21"/>
    <w:rsid w:val="00B62EC9"/>
    <w:rsid w:val="00B62F95"/>
    <w:rsid w:val="00B630C9"/>
    <w:rsid w:val="00B6310C"/>
    <w:rsid w:val="00B63295"/>
    <w:rsid w:val="00B632A8"/>
    <w:rsid w:val="00B632AF"/>
    <w:rsid w:val="00B63387"/>
    <w:rsid w:val="00B633A3"/>
    <w:rsid w:val="00B6344A"/>
    <w:rsid w:val="00B634E8"/>
    <w:rsid w:val="00B6355C"/>
    <w:rsid w:val="00B635D9"/>
    <w:rsid w:val="00B6361D"/>
    <w:rsid w:val="00B63683"/>
    <w:rsid w:val="00B6373C"/>
    <w:rsid w:val="00B63854"/>
    <w:rsid w:val="00B638B4"/>
    <w:rsid w:val="00B639BA"/>
    <w:rsid w:val="00B63CE1"/>
    <w:rsid w:val="00B63D69"/>
    <w:rsid w:val="00B63E5D"/>
    <w:rsid w:val="00B63E99"/>
    <w:rsid w:val="00B63EE9"/>
    <w:rsid w:val="00B63F47"/>
    <w:rsid w:val="00B64073"/>
    <w:rsid w:val="00B640A2"/>
    <w:rsid w:val="00B64127"/>
    <w:rsid w:val="00B6424F"/>
    <w:rsid w:val="00B642B8"/>
    <w:rsid w:val="00B64383"/>
    <w:rsid w:val="00B643C8"/>
    <w:rsid w:val="00B6441F"/>
    <w:rsid w:val="00B644F2"/>
    <w:rsid w:val="00B644FA"/>
    <w:rsid w:val="00B64576"/>
    <w:rsid w:val="00B64583"/>
    <w:rsid w:val="00B647A6"/>
    <w:rsid w:val="00B64832"/>
    <w:rsid w:val="00B64873"/>
    <w:rsid w:val="00B648E3"/>
    <w:rsid w:val="00B64912"/>
    <w:rsid w:val="00B64AE0"/>
    <w:rsid w:val="00B64BEA"/>
    <w:rsid w:val="00B64CCC"/>
    <w:rsid w:val="00B64D5C"/>
    <w:rsid w:val="00B64DAC"/>
    <w:rsid w:val="00B64E2C"/>
    <w:rsid w:val="00B64E6A"/>
    <w:rsid w:val="00B6501B"/>
    <w:rsid w:val="00B65185"/>
    <w:rsid w:val="00B651EE"/>
    <w:rsid w:val="00B65208"/>
    <w:rsid w:val="00B652C4"/>
    <w:rsid w:val="00B65355"/>
    <w:rsid w:val="00B653C8"/>
    <w:rsid w:val="00B653DC"/>
    <w:rsid w:val="00B65477"/>
    <w:rsid w:val="00B65495"/>
    <w:rsid w:val="00B6554B"/>
    <w:rsid w:val="00B65594"/>
    <w:rsid w:val="00B655CE"/>
    <w:rsid w:val="00B6564B"/>
    <w:rsid w:val="00B6567D"/>
    <w:rsid w:val="00B656C7"/>
    <w:rsid w:val="00B65754"/>
    <w:rsid w:val="00B65795"/>
    <w:rsid w:val="00B6587A"/>
    <w:rsid w:val="00B658AA"/>
    <w:rsid w:val="00B658C2"/>
    <w:rsid w:val="00B65964"/>
    <w:rsid w:val="00B659AD"/>
    <w:rsid w:val="00B659DF"/>
    <w:rsid w:val="00B65A6D"/>
    <w:rsid w:val="00B65A87"/>
    <w:rsid w:val="00B65B0A"/>
    <w:rsid w:val="00B65DA6"/>
    <w:rsid w:val="00B65DF6"/>
    <w:rsid w:val="00B65E69"/>
    <w:rsid w:val="00B65F75"/>
    <w:rsid w:val="00B660A1"/>
    <w:rsid w:val="00B661CF"/>
    <w:rsid w:val="00B66426"/>
    <w:rsid w:val="00B666D7"/>
    <w:rsid w:val="00B66756"/>
    <w:rsid w:val="00B668D0"/>
    <w:rsid w:val="00B66AC0"/>
    <w:rsid w:val="00B66BB5"/>
    <w:rsid w:val="00B66C0C"/>
    <w:rsid w:val="00B66C12"/>
    <w:rsid w:val="00B66D65"/>
    <w:rsid w:val="00B66F8F"/>
    <w:rsid w:val="00B67124"/>
    <w:rsid w:val="00B6716C"/>
    <w:rsid w:val="00B671A9"/>
    <w:rsid w:val="00B671E1"/>
    <w:rsid w:val="00B671F2"/>
    <w:rsid w:val="00B672CA"/>
    <w:rsid w:val="00B672DF"/>
    <w:rsid w:val="00B67477"/>
    <w:rsid w:val="00B674D6"/>
    <w:rsid w:val="00B67560"/>
    <w:rsid w:val="00B67696"/>
    <w:rsid w:val="00B67752"/>
    <w:rsid w:val="00B677F1"/>
    <w:rsid w:val="00B67818"/>
    <w:rsid w:val="00B6783C"/>
    <w:rsid w:val="00B67A2B"/>
    <w:rsid w:val="00B67A92"/>
    <w:rsid w:val="00B67AF8"/>
    <w:rsid w:val="00B67B85"/>
    <w:rsid w:val="00B67D9A"/>
    <w:rsid w:val="00B67F3E"/>
    <w:rsid w:val="00B67F4F"/>
    <w:rsid w:val="00B67F6E"/>
    <w:rsid w:val="00B6E8C4"/>
    <w:rsid w:val="00B7004B"/>
    <w:rsid w:val="00B700B5"/>
    <w:rsid w:val="00B7018F"/>
    <w:rsid w:val="00B70289"/>
    <w:rsid w:val="00B702F1"/>
    <w:rsid w:val="00B7030F"/>
    <w:rsid w:val="00B7047F"/>
    <w:rsid w:val="00B704C0"/>
    <w:rsid w:val="00B7065A"/>
    <w:rsid w:val="00B70790"/>
    <w:rsid w:val="00B708B7"/>
    <w:rsid w:val="00B709EF"/>
    <w:rsid w:val="00B70AC7"/>
    <w:rsid w:val="00B70B45"/>
    <w:rsid w:val="00B70C68"/>
    <w:rsid w:val="00B70C6E"/>
    <w:rsid w:val="00B70CB5"/>
    <w:rsid w:val="00B70D30"/>
    <w:rsid w:val="00B70E4B"/>
    <w:rsid w:val="00B70EF7"/>
    <w:rsid w:val="00B70F22"/>
    <w:rsid w:val="00B70F36"/>
    <w:rsid w:val="00B71046"/>
    <w:rsid w:val="00B71079"/>
    <w:rsid w:val="00B71101"/>
    <w:rsid w:val="00B71115"/>
    <w:rsid w:val="00B7115B"/>
    <w:rsid w:val="00B71319"/>
    <w:rsid w:val="00B71590"/>
    <w:rsid w:val="00B7159D"/>
    <w:rsid w:val="00B71642"/>
    <w:rsid w:val="00B71804"/>
    <w:rsid w:val="00B7185C"/>
    <w:rsid w:val="00B71867"/>
    <w:rsid w:val="00B7186D"/>
    <w:rsid w:val="00B7195A"/>
    <w:rsid w:val="00B719EA"/>
    <w:rsid w:val="00B71AEC"/>
    <w:rsid w:val="00B71C20"/>
    <w:rsid w:val="00B71C24"/>
    <w:rsid w:val="00B71C89"/>
    <w:rsid w:val="00B71CD3"/>
    <w:rsid w:val="00B71D08"/>
    <w:rsid w:val="00B71D9B"/>
    <w:rsid w:val="00B71DC7"/>
    <w:rsid w:val="00B71E75"/>
    <w:rsid w:val="00B71E9C"/>
    <w:rsid w:val="00B71F1A"/>
    <w:rsid w:val="00B71FC6"/>
    <w:rsid w:val="00B7215C"/>
    <w:rsid w:val="00B7218F"/>
    <w:rsid w:val="00B721B6"/>
    <w:rsid w:val="00B723A2"/>
    <w:rsid w:val="00B72460"/>
    <w:rsid w:val="00B725C1"/>
    <w:rsid w:val="00B7261F"/>
    <w:rsid w:val="00B726F9"/>
    <w:rsid w:val="00B72752"/>
    <w:rsid w:val="00B728BD"/>
    <w:rsid w:val="00B729A1"/>
    <w:rsid w:val="00B729B4"/>
    <w:rsid w:val="00B72B69"/>
    <w:rsid w:val="00B72DC4"/>
    <w:rsid w:val="00B72EBA"/>
    <w:rsid w:val="00B72F02"/>
    <w:rsid w:val="00B72F72"/>
    <w:rsid w:val="00B7307F"/>
    <w:rsid w:val="00B7309B"/>
    <w:rsid w:val="00B7315D"/>
    <w:rsid w:val="00B7315F"/>
    <w:rsid w:val="00B73166"/>
    <w:rsid w:val="00B731AD"/>
    <w:rsid w:val="00B731D1"/>
    <w:rsid w:val="00B7328A"/>
    <w:rsid w:val="00B732CF"/>
    <w:rsid w:val="00B73368"/>
    <w:rsid w:val="00B734FA"/>
    <w:rsid w:val="00B73655"/>
    <w:rsid w:val="00B7366D"/>
    <w:rsid w:val="00B736AF"/>
    <w:rsid w:val="00B7387A"/>
    <w:rsid w:val="00B73928"/>
    <w:rsid w:val="00B73A29"/>
    <w:rsid w:val="00B73A36"/>
    <w:rsid w:val="00B73A4F"/>
    <w:rsid w:val="00B73AE0"/>
    <w:rsid w:val="00B73B77"/>
    <w:rsid w:val="00B73C23"/>
    <w:rsid w:val="00B73C90"/>
    <w:rsid w:val="00B73D14"/>
    <w:rsid w:val="00B73D4F"/>
    <w:rsid w:val="00B73FB2"/>
    <w:rsid w:val="00B73FEF"/>
    <w:rsid w:val="00B73FFE"/>
    <w:rsid w:val="00B7403B"/>
    <w:rsid w:val="00B7404C"/>
    <w:rsid w:val="00B74134"/>
    <w:rsid w:val="00B74169"/>
    <w:rsid w:val="00B74232"/>
    <w:rsid w:val="00B74321"/>
    <w:rsid w:val="00B74350"/>
    <w:rsid w:val="00B743A1"/>
    <w:rsid w:val="00B743F0"/>
    <w:rsid w:val="00B74410"/>
    <w:rsid w:val="00B744BF"/>
    <w:rsid w:val="00B744D9"/>
    <w:rsid w:val="00B744F0"/>
    <w:rsid w:val="00B74564"/>
    <w:rsid w:val="00B745DE"/>
    <w:rsid w:val="00B7463D"/>
    <w:rsid w:val="00B74650"/>
    <w:rsid w:val="00B74682"/>
    <w:rsid w:val="00B7478D"/>
    <w:rsid w:val="00B74797"/>
    <w:rsid w:val="00B7482E"/>
    <w:rsid w:val="00B7492B"/>
    <w:rsid w:val="00B749B1"/>
    <w:rsid w:val="00B749E9"/>
    <w:rsid w:val="00B74BB3"/>
    <w:rsid w:val="00B74C1B"/>
    <w:rsid w:val="00B74C1C"/>
    <w:rsid w:val="00B74C59"/>
    <w:rsid w:val="00B74D79"/>
    <w:rsid w:val="00B74EAF"/>
    <w:rsid w:val="00B74EC0"/>
    <w:rsid w:val="00B74EE4"/>
    <w:rsid w:val="00B7512C"/>
    <w:rsid w:val="00B75140"/>
    <w:rsid w:val="00B7516E"/>
    <w:rsid w:val="00B75172"/>
    <w:rsid w:val="00B751EB"/>
    <w:rsid w:val="00B7524D"/>
    <w:rsid w:val="00B75420"/>
    <w:rsid w:val="00B75462"/>
    <w:rsid w:val="00B7546A"/>
    <w:rsid w:val="00B754A0"/>
    <w:rsid w:val="00B7553A"/>
    <w:rsid w:val="00B755C9"/>
    <w:rsid w:val="00B75650"/>
    <w:rsid w:val="00B75674"/>
    <w:rsid w:val="00B75758"/>
    <w:rsid w:val="00B7576A"/>
    <w:rsid w:val="00B7578D"/>
    <w:rsid w:val="00B75850"/>
    <w:rsid w:val="00B75940"/>
    <w:rsid w:val="00B75AA7"/>
    <w:rsid w:val="00B75B59"/>
    <w:rsid w:val="00B75B7B"/>
    <w:rsid w:val="00B75BDC"/>
    <w:rsid w:val="00B75CE9"/>
    <w:rsid w:val="00B75D13"/>
    <w:rsid w:val="00B75D5D"/>
    <w:rsid w:val="00B75E9E"/>
    <w:rsid w:val="00B75EC2"/>
    <w:rsid w:val="00B75FF2"/>
    <w:rsid w:val="00B76050"/>
    <w:rsid w:val="00B76241"/>
    <w:rsid w:val="00B76311"/>
    <w:rsid w:val="00B763A9"/>
    <w:rsid w:val="00B763E8"/>
    <w:rsid w:val="00B7646A"/>
    <w:rsid w:val="00B764C9"/>
    <w:rsid w:val="00B76530"/>
    <w:rsid w:val="00B765D3"/>
    <w:rsid w:val="00B76638"/>
    <w:rsid w:val="00B766BF"/>
    <w:rsid w:val="00B768A0"/>
    <w:rsid w:val="00B76938"/>
    <w:rsid w:val="00B76961"/>
    <w:rsid w:val="00B76AF8"/>
    <w:rsid w:val="00B76AFF"/>
    <w:rsid w:val="00B76B36"/>
    <w:rsid w:val="00B76C78"/>
    <w:rsid w:val="00B76DBB"/>
    <w:rsid w:val="00B76E20"/>
    <w:rsid w:val="00B76E90"/>
    <w:rsid w:val="00B76EA7"/>
    <w:rsid w:val="00B76ED4"/>
    <w:rsid w:val="00B76F10"/>
    <w:rsid w:val="00B76F76"/>
    <w:rsid w:val="00B76F8A"/>
    <w:rsid w:val="00B76FAC"/>
    <w:rsid w:val="00B76FB1"/>
    <w:rsid w:val="00B76FC4"/>
    <w:rsid w:val="00B76FDD"/>
    <w:rsid w:val="00B77084"/>
    <w:rsid w:val="00B77134"/>
    <w:rsid w:val="00B77257"/>
    <w:rsid w:val="00B772D3"/>
    <w:rsid w:val="00B772F4"/>
    <w:rsid w:val="00B77389"/>
    <w:rsid w:val="00B77441"/>
    <w:rsid w:val="00B77583"/>
    <w:rsid w:val="00B7782B"/>
    <w:rsid w:val="00B77845"/>
    <w:rsid w:val="00B77886"/>
    <w:rsid w:val="00B77895"/>
    <w:rsid w:val="00B77965"/>
    <w:rsid w:val="00B77A1C"/>
    <w:rsid w:val="00B77A57"/>
    <w:rsid w:val="00B77A5E"/>
    <w:rsid w:val="00B77AFD"/>
    <w:rsid w:val="00B77B28"/>
    <w:rsid w:val="00B77B5D"/>
    <w:rsid w:val="00B77CC0"/>
    <w:rsid w:val="00B77E3E"/>
    <w:rsid w:val="00B77E48"/>
    <w:rsid w:val="00B77FEA"/>
    <w:rsid w:val="00B8011F"/>
    <w:rsid w:val="00B80331"/>
    <w:rsid w:val="00B803CA"/>
    <w:rsid w:val="00B8041C"/>
    <w:rsid w:val="00B805F4"/>
    <w:rsid w:val="00B806E3"/>
    <w:rsid w:val="00B80820"/>
    <w:rsid w:val="00B8083D"/>
    <w:rsid w:val="00B8085B"/>
    <w:rsid w:val="00B8092A"/>
    <w:rsid w:val="00B80A67"/>
    <w:rsid w:val="00B80B6D"/>
    <w:rsid w:val="00B80BB2"/>
    <w:rsid w:val="00B80BFA"/>
    <w:rsid w:val="00B80D07"/>
    <w:rsid w:val="00B80DE0"/>
    <w:rsid w:val="00B80DEA"/>
    <w:rsid w:val="00B80DF7"/>
    <w:rsid w:val="00B80FB5"/>
    <w:rsid w:val="00B8101E"/>
    <w:rsid w:val="00B8119B"/>
    <w:rsid w:val="00B811DE"/>
    <w:rsid w:val="00B811F6"/>
    <w:rsid w:val="00B81200"/>
    <w:rsid w:val="00B81424"/>
    <w:rsid w:val="00B81493"/>
    <w:rsid w:val="00B814D1"/>
    <w:rsid w:val="00B81529"/>
    <w:rsid w:val="00B81553"/>
    <w:rsid w:val="00B8162E"/>
    <w:rsid w:val="00B81779"/>
    <w:rsid w:val="00B8184C"/>
    <w:rsid w:val="00B818C0"/>
    <w:rsid w:val="00B81975"/>
    <w:rsid w:val="00B81997"/>
    <w:rsid w:val="00B819A8"/>
    <w:rsid w:val="00B81D10"/>
    <w:rsid w:val="00B81D2D"/>
    <w:rsid w:val="00B81E7A"/>
    <w:rsid w:val="00B81EDC"/>
    <w:rsid w:val="00B81F1F"/>
    <w:rsid w:val="00B81FF3"/>
    <w:rsid w:val="00B820B1"/>
    <w:rsid w:val="00B8213C"/>
    <w:rsid w:val="00B821ED"/>
    <w:rsid w:val="00B82264"/>
    <w:rsid w:val="00B823B5"/>
    <w:rsid w:val="00B823F0"/>
    <w:rsid w:val="00B824BC"/>
    <w:rsid w:val="00B8256D"/>
    <w:rsid w:val="00B82578"/>
    <w:rsid w:val="00B82580"/>
    <w:rsid w:val="00B8265F"/>
    <w:rsid w:val="00B826AA"/>
    <w:rsid w:val="00B8271A"/>
    <w:rsid w:val="00B82789"/>
    <w:rsid w:val="00B8282F"/>
    <w:rsid w:val="00B82895"/>
    <w:rsid w:val="00B82A9B"/>
    <w:rsid w:val="00B82AA2"/>
    <w:rsid w:val="00B82AA3"/>
    <w:rsid w:val="00B82AE4"/>
    <w:rsid w:val="00B82AF1"/>
    <w:rsid w:val="00B82B11"/>
    <w:rsid w:val="00B82B89"/>
    <w:rsid w:val="00B82CF3"/>
    <w:rsid w:val="00B82DE3"/>
    <w:rsid w:val="00B82E44"/>
    <w:rsid w:val="00B82EB1"/>
    <w:rsid w:val="00B82FAE"/>
    <w:rsid w:val="00B83074"/>
    <w:rsid w:val="00B830DC"/>
    <w:rsid w:val="00B83101"/>
    <w:rsid w:val="00B8320A"/>
    <w:rsid w:val="00B8329D"/>
    <w:rsid w:val="00B834E7"/>
    <w:rsid w:val="00B834F4"/>
    <w:rsid w:val="00B8351F"/>
    <w:rsid w:val="00B835A2"/>
    <w:rsid w:val="00B83698"/>
    <w:rsid w:val="00B8369F"/>
    <w:rsid w:val="00B836B7"/>
    <w:rsid w:val="00B83803"/>
    <w:rsid w:val="00B83838"/>
    <w:rsid w:val="00B83862"/>
    <w:rsid w:val="00B83BA0"/>
    <w:rsid w:val="00B83BE2"/>
    <w:rsid w:val="00B83C64"/>
    <w:rsid w:val="00B83CAB"/>
    <w:rsid w:val="00B83CBB"/>
    <w:rsid w:val="00B83CC3"/>
    <w:rsid w:val="00B83CDE"/>
    <w:rsid w:val="00B83CEE"/>
    <w:rsid w:val="00B83D03"/>
    <w:rsid w:val="00B83D90"/>
    <w:rsid w:val="00B83E65"/>
    <w:rsid w:val="00B83EBD"/>
    <w:rsid w:val="00B83F1E"/>
    <w:rsid w:val="00B83F75"/>
    <w:rsid w:val="00B841F3"/>
    <w:rsid w:val="00B84288"/>
    <w:rsid w:val="00B842D6"/>
    <w:rsid w:val="00B843B2"/>
    <w:rsid w:val="00B844AB"/>
    <w:rsid w:val="00B8477A"/>
    <w:rsid w:val="00B848D4"/>
    <w:rsid w:val="00B8491C"/>
    <w:rsid w:val="00B8494D"/>
    <w:rsid w:val="00B849E5"/>
    <w:rsid w:val="00B84BDF"/>
    <w:rsid w:val="00B85078"/>
    <w:rsid w:val="00B850AE"/>
    <w:rsid w:val="00B85102"/>
    <w:rsid w:val="00B8520B"/>
    <w:rsid w:val="00B852DF"/>
    <w:rsid w:val="00B8535B"/>
    <w:rsid w:val="00B853AC"/>
    <w:rsid w:val="00B853F3"/>
    <w:rsid w:val="00B854BD"/>
    <w:rsid w:val="00B85507"/>
    <w:rsid w:val="00B85558"/>
    <w:rsid w:val="00B85843"/>
    <w:rsid w:val="00B85921"/>
    <w:rsid w:val="00B85945"/>
    <w:rsid w:val="00B85B9A"/>
    <w:rsid w:val="00B85BB5"/>
    <w:rsid w:val="00B85C83"/>
    <w:rsid w:val="00B85CD6"/>
    <w:rsid w:val="00B85CEB"/>
    <w:rsid w:val="00B85E7F"/>
    <w:rsid w:val="00B85EF2"/>
    <w:rsid w:val="00B8600C"/>
    <w:rsid w:val="00B8604E"/>
    <w:rsid w:val="00B8606A"/>
    <w:rsid w:val="00B860D2"/>
    <w:rsid w:val="00B860D7"/>
    <w:rsid w:val="00B86126"/>
    <w:rsid w:val="00B86170"/>
    <w:rsid w:val="00B8622B"/>
    <w:rsid w:val="00B86339"/>
    <w:rsid w:val="00B8636D"/>
    <w:rsid w:val="00B863B6"/>
    <w:rsid w:val="00B863D5"/>
    <w:rsid w:val="00B864A3"/>
    <w:rsid w:val="00B864D0"/>
    <w:rsid w:val="00B864EB"/>
    <w:rsid w:val="00B86509"/>
    <w:rsid w:val="00B86563"/>
    <w:rsid w:val="00B865DF"/>
    <w:rsid w:val="00B86607"/>
    <w:rsid w:val="00B8668F"/>
    <w:rsid w:val="00B866AC"/>
    <w:rsid w:val="00B866D1"/>
    <w:rsid w:val="00B8670B"/>
    <w:rsid w:val="00B86715"/>
    <w:rsid w:val="00B86739"/>
    <w:rsid w:val="00B86884"/>
    <w:rsid w:val="00B86965"/>
    <w:rsid w:val="00B86A3D"/>
    <w:rsid w:val="00B86B30"/>
    <w:rsid w:val="00B86E63"/>
    <w:rsid w:val="00B86ECA"/>
    <w:rsid w:val="00B86F13"/>
    <w:rsid w:val="00B86F8F"/>
    <w:rsid w:val="00B870AB"/>
    <w:rsid w:val="00B87275"/>
    <w:rsid w:val="00B8730A"/>
    <w:rsid w:val="00B87396"/>
    <w:rsid w:val="00B8747F"/>
    <w:rsid w:val="00B874C4"/>
    <w:rsid w:val="00B874DA"/>
    <w:rsid w:val="00B87638"/>
    <w:rsid w:val="00B876AB"/>
    <w:rsid w:val="00B876AD"/>
    <w:rsid w:val="00B877EF"/>
    <w:rsid w:val="00B87806"/>
    <w:rsid w:val="00B878BD"/>
    <w:rsid w:val="00B8799B"/>
    <w:rsid w:val="00B87A2A"/>
    <w:rsid w:val="00B87B67"/>
    <w:rsid w:val="00B87B9E"/>
    <w:rsid w:val="00B87BFC"/>
    <w:rsid w:val="00B87C00"/>
    <w:rsid w:val="00B87C1A"/>
    <w:rsid w:val="00B87D45"/>
    <w:rsid w:val="00B87D64"/>
    <w:rsid w:val="00B87DCA"/>
    <w:rsid w:val="00B87E4F"/>
    <w:rsid w:val="00B900F8"/>
    <w:rsid w:val="00B904E1"/>
    <w:rsid w:val="00B9056D"/>
    <w:rsid w:val="00B905B2"/>
    <w:rsid w:val="00B9076D"/>
    <w:rsid w:val="00B907E1"/>
    <w:rsid w:val="00B90866"/>
    <w:rsid w:val="00B908FE"/>
    <w:rsid w:val="00B909BD"/>
    <w:rsid w:val="00B90B2B"/>
    <w:rsid w:val="00B90CC0"/>
    <w:rsid w:val="00B90CC5"/>
    <w:rsid w:val="00B90CD6"/>
    <w:rsid w:val="00B90F4F"/>
    <w:rsid w:val="00B91042"/>
    <w:rsid w:val="00B9113A"/>
    <w:rsid w:val="00B91182"/>
    <w:rsid w:val="00B9128C"/>
    <w:rsid w:val="00B912D8"/>
    <w:rsid w:val="00B912E0"/>
    <w:rsid w:val="00B91366"/>
    <w:rsid w:val="00B9146D"/>
    <w:rsid w:val="00B9167F"/>
    <w:rsid w:val="00B91681"/>
    <w:rsid w:val="00B916CB"/>
    <w:rsid w:val="00B916D1"/>
    <w:rsid w:val="00B917BE"/>
    <w:rsid w:val="00B918B4"/>
    <w:rsid w:val="00B919A2"/>
    <w:rsid w:val="00B919B7"/>
    <w:rsid w:val="00B919F4"/>
    <w:rsid w:val="00B91BB6"/>
    <w:rsid w:val="00B91CC4"/>
    <w:rsid w:val="00B91D9A"/>
    <w:rsid w:val="00B91DB3"/>
    <w:rsid w:val="00B91DB9"/>
    <w:rsid w:val="00B91E29"/>
    <w:rsid w:val="00B91E96"/>
    <w:rsid w:val="00B91F05"/>
    <w:rsid w:val="00B91F0F"/>
    <w:rsid w:val="00B91F59"/>
    <w:rsid w:val="00B9211A"/>
    <w:rsid w:val="00B9218C"/>
    <w:rsid w:val="00B92345"/>
    <w:rsid w:val="00B92445"/>
    <w:rsid w:val="00B924A7"/>
    <w:rsid w:val="00B92507"/>
    <w:rsid w:val="00B926D8"/>
    <w:rsid w:val="00B926F8"/>
    <w:rsid w:val="00B927E7"/>
    <w:rsid w:val="00B92934"/>
    <w:rsid w:val="00B92989"/>
    <w:rsid w:val="00B92AF0"/>
    <w:rsid w:val="00B92D21"/>
    <w:rsid w:val="00B92E65"/>
    <w:rsid w:val="00B93012"/>
    <w:rsid w:val="00B930B6"/>
    <w:rsid w:val="00B930D7"/>
    <w:rsid w:val="00B930F3"/>
    <w:rsid w:val="00B9311E"/>
    <w:rsid w:val="00B931B7"/>
    <w:rsid w:val="00B93260"/>
    <w:rsid w:val="00B932E9"/>
    <w:rsid w:val="00B933B3"/>
    <w:rsid w:val="00B93445"/>
    <w:rsid w:val="00B9348E"/>
    <w:rsid w:val="00B934A4"/>
    <w:rsid w:val="00B934EC"/>
    <w:rsid w:val="00B93577"/>
    <w:rsid w:val="00B935AF"/>
    <w:rsid w:val="00B9362B"/>
    <w:rsid w:val="00B936D2"/>
    <w:rsid w:val="00B936F9"/>
    <w:rsid w:val="00B937FF"/>
    <w:rsid w:val="00B9382C"/>
    <w:rsid w:val="00B9387F"/>
    <w:rsid w:val="00B93903"/>
    <w:rsid w:val="00B93B02"/>
    <w:rsid w:val="00B93BCC"/>
    <w:rsid w:val="00B93E62"/>
    <w:rsid w:val="00B93E7B"/>
    <w:rsid w:val="00B93E8D"/>
    <w:rsid w:val="00B93F35"/>
    <w:rsid w:val="00B93F3D"/>
    <w:rsid w:val="00B93F5E"/>
    <w:rsid w:val="00B93F9A"/>
    <w:rsid w:val="00B93FF1"/>
    <w:rsid w:val="00B9403E"/>
    <w:rsid w:val="00B94067"/>
    <w:rsid w:val="00B94153"/>
    <w:rsid w:val="00B94155"/>
    <w:rsid w:val="00B941CA"/>
    <w:rsid w:val="00B94234"/>
    <w:rsid w:val="00B9424A"/>
    <w:rsid w:val="00B94390"/>
    <w:rsid w:val="00B94441"/>
    <w:rsid w:val="00B94468"/>
    <w:rsid w:val="00B944A6"/>
    <w:rsid w:val="00B944B9"/>
    <w:rsid w:val="00B944F4"/>
    <w:rsid w:val="00B94562"/>
    <w:rsid w:val="00B945A2"/>
    <w:rsid w:val="00B9467F"/>
    <w:rsid w:val="00B9485E"/>
    <w:rsid w:val="00B94877"/>
    <w:rsid w:val="00B9490A"/>
    <w:rsid w:val="00B94A2C"/>
    <w:rsid w:val="00B94B0D"/>
    <w:rsid w:val="00B94BD0"/>
    <w:rsid w:val="00B94C19"/>
    <w:rsid w:val="00B94CAF"/>
    <w:rsid w:val="00B94D53"/>
    <w:rsid w:val="00B94E15"/>
    <w:rsid w:val="00B94EC9"/>
    <w:rsid w:val="00B94FF1"/>
    <w:rsid w:val="00B94FFB"/>
    <w:rsid w:val="00B950FD"/>
    <w:rsid w:val="00B951D4"/>
    <w:rsid w:val="00B952D2"/>
    <w:rsid w:val="00B95306"/>
    <w:rsid w:val="00B95436"/>
    <w:rsid w:val="00B9559C"/>
    <w:rsid w:val="00B9564C"/>
    <w:rsid w:val="00B956AD"/>
    <w:rsid w:val="00B956D8"/>
    <w:rsid w:val="00B9578E"/>
    <w:rsid w:val="00B95806"/>
    <w:rsid w:val="00B95939"/>
    <w:rsid w:val="00B9593A"/>
    <w:rsid w:val="00B95978"/>
    <w:rsid w:val="00B959FA"/>
    <w:rsid w:val="00B95A74"/>
    <w:rsid w:val="00B95AD2"/>
    <w:rsid w:val="00B95B76"/>
    <w:rsid w:val="00B95C16"/>
    <w:rsid w:val="00B95C76"/>
    <w:rsid w:val="00B95DAD"/>
    <w:rsid w:val="00B95E0A"/>
    <w:rsid w:val="00B95F9D"/>
    <w:rsid w:val="00B960C7"/>
    <w:rsid w:val="00B960CA"/>
    <w:rsid w:val="00B960DE"/>
    <w:rsid w:val="00B961C4"/>
    <w:rsid w:val="00B961D2"/>
    <w:rsid w:val="00B9627C"/>
    <w:rsid w:val="00B963C6"/>
    <w:rsid w:val="00B9642C"/>
    <w:rsid w:val="00B96470"/>
    <w:rsid w:val="00B96493"/>
    <w:rsid w:val="00B964A5"/>
    <w:rsid w:val="00B965B1"/>
    <w:rsid w:val="00B96605"/>
    <w:rsid w:val="00B9666D"/>
    <w:rsid w:val="00B966DA"/>
    <w:rsid w:val="00B96979"/>
    <w:rsid w:val="00B96B14"/>
    <w:rsid w:val="00B96BDB"/>
    <w:rsid w:val="00B96C13"/>
    <w:rsid w:val="00B96C28"/>
    <w:rsid w:val="00B96D19"/>
    <w:rsid w:val="00B96DB4"/>
    <w:rsid w:val="00B96EA2"/>
    <w:rsid w:val="00B96EC4"/>
    <w:rsid w:val="00B97142"/>
    <w:rsid w:val="00B97247"/>
    <w:rsid w:val="00B9730B"/>
    <w:rsid w:val="00B97713"/>
    <w:rsid w:val="00B9778D"/>
    <w:rsid w:val="00B977FB"/>
    <w:rsid w:val="00B97815"/>
    <w:rsid w:val="00B97836"/>
    <w:rsid w:val="00B9790A"/>
    <w:rsid w:val="00B9795A"/>
    <w:rsid w:val="00B97A28"/>
    <w:rsid w:val="00B97A41"/>
    <w:rsid w:val="00B97C94"/>
    <w:rsid w:val="00B97CE4"/>
    <w:rsid w:val="00B97CED"/>
    <w:rsid w:val="00B97F45"/>
    <w:rsid w:val="00B97F47"/>
    <w:rsid w:val="00BA0015"/>
    <w:rsid w:val="00BA013F"/>
    <w:rsid w:val="00BA015B"/>
    <w:rsid w:val="00BA03B5"/>
    <w:rsid w:val="00BA04D4"/>
    <w:rsid w:val="00BA0587"/>
    <w:rsid w:val="00BA0598"/>
    <w:rsid w:val="00BA06CE"/>
    <w:rsid w:val="00BA06E0"/>
    <w:rsid w:val="00BA0810"/>
    <w:rsid w:val="00BA08CB"/>
    <w:rsid w:val="00BA08DD"/>
    <w:rsid w:val="00BA09F9"/>
    <w:rsid w:val="00BA0A46"/>
    <w:rsid w:val="00BA0AD5"/>
    <w:rsid w:val="00BA0B0C"/>
    <w:rsid w:val="00BA0B0F"/>
    <w:rsid w:val="00BA0CD3"/>
    <w:rsid w:val="00BA0D25"/>
    <w:rsid w:val="00BA0D5B"/>
    <w:rsid w:val="00BA0DC4"/>
    <w:rsid w:val="00BA0E0E"/>
    <w:rsid w:val="00BA0E61"/>
    <w:rsid w:val="00BA0E6A"/>
    <w:rsid w:val="00BA0ED4"/>
    <w:rsid w:val="00BA0EF7"/>
    <w:rsid w:val="00BA0F6A"/>
    <w:rsid w:val="00BA100E"/>
    <w:rsid w:val="00BA116D"/>
    <w:rsid w:val="00BA1185"/>
    <w:rsid w:val="00BA1187"/>
    <w:rsid w:val="00BA11A8"/>
    <w:rsid w:val="00BA11C6"/>
    <w:rsid w:val="00BA1220"/>
    <w:rsid w:val="00BA12C2"/>
    <w:rsid w:val="00BA130C"/>
    <w:rsid w:val="00BA139C"/>
    <w:rsid w:val="00BA13AE"/>
    <w:rsid w:val="00BA13C6"/>
    <w:rsid w:val="00BA1435"/>
    <w:rsid w:val="00BA1499"/>
    <w:rsid w:val="00BA14B3"/>
    <w:rsid w:val="00BA154E"/>
    <w:rsid w:val="00BA1564"/>
    <w:rsid w:val="00BA1601"/>
    <w:rsid w:val="00BA177C"/>
    <w:rsid w:val="00BA18E2"/>
    <w:rsid w:val="00BA1ACC"/>
    <w:rsid w:val="00BA1C58"/>
    <w:rsid w:val="00BA1E81"/>
    <w:rsid w:val="00BA1E87"/>
    <w:rsid w:val="00BA1E95"/>
    <w:rsid w:val="00BA1FF3"/>
    <w:rsid w:val="00BA20DB"/>
    <w:rsid w:val="00BA210D"/>
    <w:rsid w:val="00BA21E4"/>
    <w:rsid w:val="00BA21EA"/>
    <w:rsid w:val="00BA21FF"/>
    <w:rsid w:val="00BA2268"/>
    <w:rsid w:val="00BA227A"/>
    <w:rsid w:val="00BA22CF"/>
    <w:rsid w:val="00BA2319"/>
    <w:rsid w:val="00BA232B"/>
    <w:rsid w:val="00BA2409"/>
    <w:rsid w:val="00BA24D9"/>
    <w:rsid w:val="00BA2542"/>
    <w:rsid w:val="00BA2583"/>
    <w:rsid w:val="00BA264C"/>
    <w:rsid w:val="00BA285C"/>
    <w:rsid w:val="00BA29A1"/>
    <w:rsid w:val="00BA2B1A"/>
    <w:rsid w:val="00BA2D2B"/>
    <w:rsid w:val="00BA2DEE"/>
    <w:rsid w:val="00BA2EB9"/>
    <w:rsid w:val="00BA2ECA"/>
    <w:rsid w:val="00BA2EDC"/>
    <w:rsid w:val="00BA2FA8"/>
    <w:rsid w:val="00BA30F1"/>
    <w:rsid w:val="00BA312D"/>
    <w:rsid w:val="00BA314E"/>
    <w:rsid w:val="00BA315D"/>
    <w:rsid w:val="00BA31F5"/>
    <w:rsid w:val="00BA32BA"/>
    <w:rsid w:val="00BA33B9"/>
    <w:rsid w:val="00BA3491"/>
    <w:rsid w:val="00BA3609"/>
    <w:rsid w:val="00BA3631"/>
    <w:rsid w:val="00BA3708"/>
    <w:rsid w:val="00BA3719"/>
    <w:rsid w:val="00BA3765"/>
    <w:rsid w:val="00BA380C"/>
    <w:rsid w:val="00BA38C9"/>
    <w:rsid w:val="00BA3987"/>
    <w:rsid w:val="00BA3A30"/>
    <w:rsid w:val="00BA3A32"/>
    <w:rsid w:val="00BA3A6C"/>
    <w:rsid w:val="00BA3AD1"/>
    <w:rsid w:val="00BA3C21"/>
    <w:rsid w:val="00BA3DE6"/>
    <w:rsid w:val="00BA3E12"/>
    <w:rsid w:val="00BA3EC1"/>
    <w:rsid w:val="00BA4088"/>
    <w:rsid w:val="00BA40F8"/>
    <w:rsid w:val="00BA40FA"/>
    <w:rsid w:val="00BA41BE"/>
    <w:rsid w:val="00BA4276"/>
    <w:rsid w:val="00BA42B9"/>
    <w:rsid w:val="00BA431B"/>
    <w:rsid w:val="00BA441B"/>
    <w:rsid w:val="00BA462B"/>
    <w:rsid w:val="00BA480F"/>
    <w:rsid w:val="00BA4829"/>
    <w:rsid w:val="00BA4AB8"/>
    <w:rsid w:val="00BA4AED"/>
    <w:rsid w:val="00BA4B51"/>
    <w:rsid w:val="00BA4B66"/>
    <w:rsid w:val="00BA4BC8"/>
    <w:rsid w:val="00BA4C0E"/>
    <w:rsid w:val="00BA4C27"/>
    <w:rsid w:val="00BA4C8A"/>
    <w:rsid w:val="00BA4CD8"/>
    <w:rsid w:val="00BA4D27"/>
    <w:rsid w:val="00BA4FDE"/>
    <w:rsid w:val="00BA5028"/>
    <w:rsid w:val="00BA512B"/>
    <w:rsid w:val="00BA5237"/>
    <w:rsid w:val="00BA5387"/>
    <w:rsid w:val="00BA5407"/>
    <w:rsid w:val="00BA5473"/>
    <w:rsid w:val="00BA54DC"/>
    <w:rsid w:val="00BA54EC"/>
    <w:rsid w:val="00BA556E"/>
    <w:rsid w:val="00BA566B"/>
    <w:rsid w:val="00BA57A8"/>
    <w:rsid w:val="00BA587C"/>
    <w:rsid w:val="00BA590B"/>
    <w:rsid w:val="00BA5994"/>
    <w:rsid w:val="00BA59A1"/>
    <w:rsid w:val="00BA59C0"/>
    <w:rsid w:val="00BA59C1"/>
    <w:rsid w:val="00BA5A20"/>
    <w:rsid w:val="00BA5D5B"/>
    <w:rsid w:val="00BA5D64"/>
    <w:rsid w:val="00BA5DA1"/>
    <w:rsid w:val="00BA5E45"/>
    <w:rsid w:val="00BA5F4A"/>
    <w:rsid w:val="00BA6127"/>
    <w:rsid w:val="00BA6190"/>
    <w:rsid w:val="00BA61B7"/>
    <w:rsid w:val="00BA61E2"/>
    <w:rsid w:val="00BA6340"/>
    <w:rsid w:val="00BA6449"/>
    <w:rsid w:val="00BA64E5"/>
    <w:rsid w:val="00BA6533"/>
    <w:rsid w:val="00BA653B"/>
    <w:rsid w:val="00BA65A6"/>
    <w:rsid w:val="00BA668B"/>
    <w:rsid w:val="00BA66EF"/>
    <w:rsid w:val="00BA6786"/>
    <w:rsid w:val="00BA67C8"/>
    <w:rsid w:val="00BA67F9"/>
    <w:rsid w:val="00BA694E"/>
    <w:rsid w:val="00BA6AE2"/>
    <w:rsid w:val="00BA6B3D"/>
    <w:rsid w:val="00BA6BDF"/>
    <w:rsid w:val="00BA6C4B"/>
    <w:rsid w:val="00BA6D5E"/>
    <w:rsid w:val="00BA6DC4"/>
    <w:rsid w:val="00BA6F70"/>
    <w:rsid w:val="00BA6FBF"/>
    <w:rsid w:val="00BA6FF8"/>
    <w:rsid w:val="00BA70C2"/>
    <w:rsid w:val="00BA70FD"/>
    <w:rsid w:val="00BA71C9"/>
    <w:rsid w:val="00BA71CD"/>
    <w:rsid w:val="00BA730D"/>
    <w:rsid w:val="00BA73FF"/>
    <w:rsid w:val="00BA7488"/>
    <w:rsid w:val="00BA7641"/>
    <w:rsid w:val="00BA7670"/>
    <w:rsid w:val="00BA76EC"/>
    <w:rsid w:val="00BA775F"/>
    <w:rsid w:val="00BA7812"/>
    <w:rsid w:val="00BA78EA"/>
    <w:rsid w:val="00BA799D"/>
    <w:rsid w:val="00BA79FD"/>
    <w:rsid w:val="00BA7A05"/>
    <w:rsid w:val="00BA7A28"/>
    <w:rsid w:val="00BA7A29"/>
    <w:rsid w:val="00BA7ABC"/>
    <w:rsid w:val="00BA7B1C"/>
    <w:rsid w:val="00BA7B68"/>
    <w:rsid w:val="00BA7C37"/>
    <w:rsid w:val="00BA7DB7"/>
    <w:rsid w:val="00BA7E2A"/>
    <w:rsid w:val="00BA7E48"/>
    <w:rsid w:val="00BA7ECA"/>
    <w:rsid w:val="00BA7F63"/>
    <w:rsid w:val="00BA7FAB"/>
    <w:rsid w:val="00BA7FBA"/>
    <w:rsid w:val="00BB0008"/>
    <w:rsid w:val="00BB0067"/>
    <w:rsid w:val="00BB00D6"/>
    <w:rsid w:val="00BB0102"/>
    <w:rsid w:val="00BB0261"/>
    <w:rsid w:val="00BB0388"/>
    <w:rsid w:val="00BB03F4"/>
    <w:rsid w:val="00BB04B7"/>
    <w:rsid w:val="00BB04C5"/>
    <w:rsid w:val="00BB05A7"/>
    <w:rsid w:val="00BB06F8"/>
    <w:rsid w:val="00BB0735"/>
    <w:rsid w:val="00BB07BF"/>
    <w:rsid w:val="00BB08F0"/>
    <w:rsid w:val="00BB0982"/>
    <w:rsid w:val="00BB098C"/>
    <w:rsid w:val="00BB0996"/>
    <w:rsid w:val="00BB0A10"/>
    <w:rsid w:val="00BB0A2A"/>
    <w:rsid w:val="00BB0A77"/>
    <w:rsid w:val="00BB0A8F"/>
    <w:rsid w:val="00BB0B25"/>
    <w:rsid w:val="00BB0B6F"/>
    <w:rsid w:val="00BB0BB9"/>
    <w:rsid w:val="00BB0C36"/>
    <w:rsid w:val="00BB0C78"/>
    <w:rsid w:val="00BB0CE3"/>
    <w:rsid w:val="00BB0F1C"/>
    <w:rsid w:val="00BB0F68"/>
    <w:rsid w:val="00BB1075"/>
    <w:rsid w:val="00BB1196"/>
    <w:rsid w:val="00BB11D6"/>
    <w:rsid w:val="00BB122E"/>
    <w:rsid w:val="00BB12B4"/>
    <w:rsid w:val="00BB12DC"/>
    <w:rsid w:val="00BB13B1"/>
    <w:rsid w:val="00BB13F2"/>
    <w:rsid w:val="00BB14A9"/>
    <w:rsid w:val="00BB15E9"/>
    <w:rsid w:val="00BB1671"/>
    <w:rsid w:val="00BB168A"/>
    <w:rsid w:val="00BB16C6"/>
    <w:rsid w:val="00BB1711"/>
    <w:rsid w:val="00BB182A"/>
    <w:rsid w:val="00BB182D"/>
    <w:rsid w:val="00BB1845"/>
    <w:rsid w:val="00BB1872"/>
    <w:rsid w:val="00BB187C"/>
    <w:rsid w:val="00BB1A82"/>
    <w:rsid w:val="00BB1B26"/>
    <w:rsid w:val="00BB1BFB"/>
    <w:rsid w:val="00BB1C23"/>
    <w:rsid w:val="00BB1DA2"/>
    <w:rsid w:val="00BB1DA6"/>
    <w:rsid w:val="00BB1E74"/>
    <w:rsid w:val="00BB1F8A"/>
    <w:rsid w:val="00BB2141"/>
    <w:rsid w:val="00BB21C4"/>
    <w:rsid w:val="00BB22F5"/>
    <w:rsid w:val="00BB2302"/>
    <w:rsid w:val="00BB23D3"/>
    <w:rsid w:val="00BB255E"/>
    <w:rsid w:val="00BB2609"/>
    <w:rsid w:val="00BB2693"/>
    <w:rsid w:val="00BB26BC"/>
    <w:rsid w:val="00BB2776"/>
    <w:rsid w:val="00BB27AE"/>
    <w:rsid w:val="00BB2914"/>
    <w:rsid w:val="00BB29CD"/>
    <w:rsid w:val="00BB29CE"/>
    <w:rsid w:val="00BB2A32"/>
    <w:rsid w:val="00BB2B2E"/>
    <w:rsid w:val="00BB2B95"/>
    <w:rsid w:val="00BB2BC6"/>
    <w:rsid w:val="00BB2BD9"/>
    <w:rsid w:val="00BB2BDF"/>
    <w:rsid w:val="00BB2C31"/>
    <w:rsid w:val="00BB2C65"/>
    <w:rsid w:val="00BB2CF3"/>
    <w:rsid w:val="00BB2E3A"/>
    <w:rsid w:val="00BB3004"/>
    <w:rsid w:val="00BB3116"/>
    <w:rsid w:val="00BB311C"/>
    <w:rsid w:val="00BB3238"/>
    <w:rsid w:val="00BB32C3"/>
    <w:rsid w:val="00BB3302"/>
    <w:rsid w:val="00BB3305"/>
    <w:rsid w:val="00BB3365"/>
    <w:rsid w:val="00BB33AE"/>
    <w:rsid w:val="00BB33BD"/>
    <w:rsid w:val="00BB33E0"/>
    <w:rsid w:val="00BB3429"/>
    <w:rsid w:val="00BB34C0"/>
    <w:rsid w:val="00BB365C"/>
    <w:rsid w:val="00BB3682"/>
    <w:rsid w:val="00BB369B"/>
    <w:rsid w:val="00BB3719"/>
    <w:rsid w:val="00BB3832"/>
    <w:rsid w:val="00BB39E6"/>
    <w:rsid w:val="00BB3A2E"/>
    <w:rsid w:val="00BB3AD2"/>
    <w:rsid w:val="00BB3B23"/>
    <w:rsid w:val="00BB3BCD"/>
    <w:rsid w:val="00BB3CD0"/>
    <w:rsid w:val="00BB3D04"/>
    <w:rsid w:val="00BB3DC7"/>
    <w:rsid w:val="00BB3EBE"/>
    <w:rsid w:val="00BB3EE9"/>
    <w:rsid w:val="00BB3F0F"/>
    <w:rsid w:val="00BB3FF2"/>
    <w:rsid w:val="00BB4037"/>
    <w:rsid w:val="00BB4136"/>
    <w:rsid w:val="00BB4482"/>
    <w:rsid w:val="00BB44BB"/>
    <w:rsid w:val="00BB4538"/>
    <w:rsid w:val="00BB4566"/>
    <w:rsid w:val="00BB4679"/>
    <w:rsid w:val="00BB481D"/>
    <w:rsid w:val="00BB4904"/>
    <w:rsid w:val="00BB4962"/>
    <w:rsid w:val="00BB4A21"/>
    <w:rsid w:val="00BB4AA0"/>
    <w:rsid w:val="00BB4BB7"/>
    <w:rsid w:val="00BB4DFD"/>
    <w:rsid w:val="00BB5140"/>
    <w:rsid w:val="00BB5143"/>
    <w:rsid w:val="00BB523F"/>
    <w:rsid w:val="00BB52BA"/>
    <w:rsid w:val="00BB52F5"/>
    <w:rsid w:val="00BB536A"/>
    <w:rsid w:val="00BB5423"/>
    <w:rsid w:val="00BB5475"/>
    <w:rsid w:val="00BB5551"/>
    <w:rsid w:val="00BB5569"/>
    <w:rsid w:val="00BB5575"/>
    <w:rsid w:val="00BB55FA"/>
    <w:rsid w:val="00BB574B"/>
    <w:rsid w:val="00BB57F1"/>
    <w:rsid w:val="00BB5881"/>
    <w:rsid w:val="00BB58A8"/>
    <w:rsid w:val="00BB59F1"/>
    <w:rsid w:val="00BB5A3A"/>
    <w:rsid w:val="00BB5ACE"/>
    <w:rsid w:val="00BB5B1A"/>
    <w:rsid w:val="00BB5BC2"/>
    <w:rsid w:val="00BB5BCA"/>
    <w:rsid w:val="00BB5D11"/>
    <w:rsid w:val="00BB5D2C"/>
    <w:rsid w:val="00BB6047"/>
    <w:rsid w:val="00BB6085"/>
    <w:rsid w:val="00BB62C0"/>
    <w:rsid w:val="00BB64F2"/>
    <w:rsid w:val="00BB655D"/>
    <w:rsid w:val="00BB6566"/>
    <w:rsid w:val="00BB65FF"/>
    <w:rsid w:val="00BB67B9"/>
    <w:rsid w:val="00BB680B"/>
    <w:rsid w:val="00BB68B3"/>
    <w:rsid w:val="00BB699F"/>
    <w:rsid w:val="00BB6CBE"/>
    <w:rsid w:val="00BB6D16"/>
    <w:rsid w:val="00BB6D84"/>
    <w:rsid w:val="00BB6DB9"/>
    <w:rsid w:val="00BB7011"/>
    <w:rsid w:val="00BB711A"/>
    <w:rsid w:val="00BB7191"/>
    <w:rsid w:val="00BB72F7"/>
    <w:rsid w:val="00BB746C"/>
    <w:rsid w:val="00BB74AC"/>
    <w:rsid w:val="00BB74DA"/>
    <w:rsid w:val="00BB7523"/>
    <w:rsid w:val="00BB7720"/>
    <w:rsid w:val="00BB77A1"/>
    <w:rsid w:val="00BB7901"/>
    <w:rsid w:val="00BB79CD"/>
    <w:rsid w:val="00BB79D8"/>
    <w:rsid w:val="00BB79EF"/>
    <w:rsid w:val="00BB7A6B"/>
    <w:rsid w:val="00BB7AFD"/>
    <w:rsid w:val="00BB7C5A"/>
    <w:rsid w:val="00BB7C9B"/>
    <w:rsid w:val="00BB7D12"/>
    <w:rsid w:val="00BB7D7D"/>
    <w:rsid w:val="00BB7E9C"/>
    <w:rsid w:val="00BB7EB2"/>
    <w:rsid w:val="00BB7F73"/>
    <w:rsid w:val="00BB7FF0"/>
    <w:rsid w:val="00BB8533"/>
    <w:rsid w:val="00BC001B"/>
    <w:rsid w:val="00BC0080"/>
    <w:rsid w:val="00BC01C9"/>
    <w:rsid w:val="00BC01E1"/>
    <w:rsid w:val="00BC02BB"/>
    <w:rsid w:val="00BC036E"/>
    <w:rsid w:val="00BC038A"/>
    <w:rsid w:val="00BC0447"/>
    <w:rsid w:val="00BC047F"/>
    <w:rsid w:val="00BC0584"/>
    <w:rsid w:val="00BC0835"/>
    <w:rsid w:val="00BC08FE"/>
    <w:rsid w:val="00BC098A"/>
    <w:rsid w:val="00BC0B12"/>
    <w:rsid w:val="00BC0C40"/>
    <w:rsid w:val="00BC0D3E"/>
    <w:rsid w:val="00BC0D57"/>
    <w:rsid w:val="00BC115F"/>
    <w:rsid w:val="00BC1210"/>
    <w:rsid w:val="00BC14A7"/>
    <w:rsid w:val="00BC154A"/>
    <w:rsid w:val="00BC1619"/>
    <w:rsid w:val="00BC171B"/>
    <w:rsid w:val="00BC17FD"/>
    <w:rsid w:val="00BC1836"/>
    <w:rsid w:val="00BC1847"/>
    <w:rsid w:val="00BC19AD"/>
    <w:rsid w:val="00BC19FA"/>
    <w:rsid w:val="00BC1AF8"/>
    <w:rsid w:val="00BC1B19"/>
    <w:rsid w:val="00BC1C76"/>
    <w:rsid w:val="00BC1D1D"/>
    <w:rsid w:val="00BC1D45"/>
    <w:rsid w:val="00BC1DA6"/>
    <w:rsid w:val="00BC1EBB"/>
    <w:rsid w:val="00BC2059"/>
    <w:rsid w:val="00BC2099"/>
    <w:rsid w:val="00BC20E5"/>
    <w:rsid w:val="00BC2109"/>
    <w:rsid w:val="00BC2229"/>
    <w:rsid w:val="00BC2254"/>
    <w:rsid w:val="00BC2261"/>
    <w:rsid w:val="00BC229A"/>
    <w:rsid w:val="00BC22E9"/>
    <w:rsid w:val="00BC2401"/>
    <w:rsid w:val="00BC2449"/>
    <w:rsid w:val="00BC2461"/>
    <w:rsid w:val="00BC249A"/>
    <w:rsid w:val="00BC25E5"/>
    <w:rsid w:val="00BC27EA"/>
    <w:rsid w:val="00BC27EC"/>
    <w:rsid w:val="00BC2868"/>
    <w:rsid w:val="00BC288C"/>
    <w:rsid w:val="00BC2921"/>
    <w:rsid w:val="00BC2989"/>
    <w:rsid w:val="00BC29F3"/>
    <w:rsid w:val="00BC2A21"/>
    <w:rsid w:val="00BC2B42"/>
    <w:rsid w:val="00BC2C9C"/>
    <w:rsid w:val="00BC2D21"/>
    <w:rsid w:val="00BC2E08"/>
    <w:rsid w:val="00BC2E21"/>
    <w:rsid w:val="00BC2EBB"/>
    <w:rsid w:val="00BC2ECD"/>
    <w:rsid w:val="00BC2FF2"/>
    <w:rsid w:val="00BC30C5"/>
    <w:rsid w:val="00BC3105"/>
    <w:rsid w:val="00BC3139"/>
    <w:rsid w:val="00BC3189"/>
    <w:rsid w:val="00BC3199"/>
    <w:rsid w:val="00BC3287"/>
    <w:rsid w:val="00BC32E9"/>
    <w:rsid w:val="00BC3311"/>
    <w:rsid w:val="00BC3329"/>
    <w:rsid w:val="00BC3421"/>
    <w:rsid w:val="00BC344F"/>
    <w:rsid w:val="00BC34A3"/>
    <w:rsid w:val="00BC354A"/>
    <w:rsid w:val="00BC35C9"/>
    <w:rsid w:val="00BC386C"/>
    <w:rsid w:val="00BC38D1"/>
    <w:rsid w:val="00BC391A"/>
    <w:rsid w:val="00BC397A"/>
    <w:rsid w:val="00BC3AA6"/>
    <w:rsid w:val="00BC3AD9"/>
    <w:rsid w:val="00BC3BEF"/>
    <w:rsid w:val="00BC3C47"/>
    <w:rsid w:val="00BC3C66"/>
    <w:rsid w:val="00BC3E21"/>
    <w:rsid w:val="00BC3E25"/>
    <w:rsid w:val="00BC3E2C"/>
    <w:rsid w:val="00BC3FDB"/>
    <w:rsid w:val="00BC4146"/>
    <w:rsid w:val="00BC41C8"/>
    <w:rsid w:val="00BC41D3"/>
    <w:rsid w:val="00BC41FC"/>
    <w:rsid w:val="00BC4432"/>
    <w:rsid w:val="00BC4781"/>
    <w:rsid w:val="00BC47CE"/>
    <w:rsid w:val="00BC47E7"/>
    <w:rsid w:val="00BC48A6"/>
    <w:rsid w:val="00BC4957"/>
    <w:rsid w:val="00BC4A3F"/>
    <w:rsid w:val="00BC4BBF"/>
    <w:rsid w:val="00BC4C41"/>
    <w:rsid w:val="00BC4DDE"/>
    <w:rsid w:val="00BC4E32"/>
    <w:rsid w:val="00BC4F0F"/>
    <w:rsid w:val="00BC513B"/>
    <w:rsid w:val="00BC518B"/>
    <w:rsid w:val="00BC51E2"/>
    <w:rsid w:val="00BC51E6"/>
    <w:rsid w:val="00BC5203"/>
    <w:rsid w:val="00BC52DF"/>
    <w:rsid w:val="00BC5358"/>
    <w:rsid w:val="00BC5359"/>
    <w:rsid w:val="00BC53B2"/>
    <w:rsid w:val="00BC547E"/>
    <w:rsid w:val="00BC5497"/>
    <w:rsid w:val="00BC54E7"/>
    <w:rsid w:val="00BC5503"/>
    <w:rsid w:val="00BC5587"/>
    <w:rsid w:val="00BC5699"/>
    <w:rsid w:val="00BC57D2"/>
    <w:rsid w:val="00BC59DC"/>
    <w:rsid w:val="00BC5A08"/>
    <w:rsid w:val="00BC5A59"/>
    <w:rsid w:val="00BC5B38"/>
    <w:rsid w:val="00BC5B8D"/>
    <w:rsid w:val="00BC5BE0"/>
    <w:rsid w:val="00BC5C30"/>
    <w:rsid w:val="00BC5CCD"/>
    <w:rsid w:val="00BC5D17"/>
    <w:rsid w:val="00BC5D4B"/>
    <w:rsid w:val="00BC5D87"/>
    <w:rsid w:val="00BC5EF8"/>
    <w:rsid w:val="00BC5FD8"/>
    <w:rsid w:val="00BC604B"/>
    <w:rsid w:val="00BC607D"/>
    <w:rsid w:val="00BC60BE"/>
    <w:rsid w:val="00BC60F0"/>
    <w:rsid w:val="00BC630E"/>
    <w:rsid w:val="00BC6391"/>
    <w:rsid w:val="00BC651F"/>
    <w:rsid w:val="00BC6686"/>
    <w:rsid w:val="00BC668C"/>
    <w:rsid w:val="00BC66D5"/>
    <w:rsid w:val="00BC6769"/>
    <w:rsid w:val="00BC677B"/>
    <w:rsid w:val="00BC6782"/>
    <w:rsid w:val="00BC67E2"/>
    <w:rsid w:val="00BC67F2"/>
    <w:rsid w:val="00BC69A6"/>
    <w:rsid w:val="00BC69D7"/>
    <w:rsid w:val="00BC6A79"/>
    <w:rsid w:val="00BC6AB5"/>
    <w:rsid w:val="00BC6B12"/>
    <w:rsid w:val="00BC6BDB"/>
    <w:rsid w:val="00BC6C06"/>
    <w:rsid w:val="00BC6C29"/>
    <w:rsid w:val="00BC6CBB"/>
    <w:rsid w:val="00BC6CC9"/>
    <w:rsid w:val="00BC6D05"/>
    <w:rsid w:val="00BC6D3F"/>
    <w:rsid w:val="00BC6DC4"/>
    <w:rsid w:val="00BC6E19"/>
    <w:rsid w:val="00BC702D"/>
    <w:rsid w:val="00BC702E"/>
    <w:rsid w:val="00BC7087"/>
    <w:rsid w:val="00BC7125"/>
    <w:rsid w:val="00BC7186"/>
    <w:rsid w:val="00BC71EA"/>
    <w:rsid w:val="00BC71EB"/>
    <w:rsid w:val="00BC7270"/>
    <w:rsid w:val="00BC729E"/>
    <w:rsid w:val="00BC72CA"/>
    <w:rsid w:val="00BC7370"/>
    <w:rsid w:val="00BC73F9"/>
    <w:rsid w:val="00BC74FD"/>
    <w:rsid w:val="00BC764A"/>
    <w:rsid w:val="00BC764E"/>
    <w:rsid w:val="00BC76D5"/>
    <w:rsid w:val="00BC78F3"/>
    <w:rsid w:val="00BC7902"/>
    <w:rsid w:val="00BC791C"/>
    <w:rsid w:val="00BC7963"/>
    <w:rsid w:val="00BC7995"/>
    <w:rsid w:val="00BC7A36"/>
    <w:rsid w:val="00BC7A9E"/>
    <w:rsid w:val="00BC7B64"/>
    <w:rsid w:val="00BC7B78"/>
    <w:rsid w:val="00BC7C8D"/>
    <w:rsid w:val="00BD0024"/>
    <w:rsid w:val="00BD00A9"/>
    <w:rsid w:val="00BD0138"/>
    <w:rsid w:val="00BD01E2"/>
    <w:rsid w:val="00BD033E"/>
    <w:rsid w:val="00BD059D"/>
    <w:rsid w:val="00BD061F"/>
    <w:rsid w:val="00BD0677"/>
    <w:rsid w:val="00BD06B1"/>
    <w:rsid w:val="00BD071E"/>
    <w:rsid w:val="00BD075B"/>
    <w:rsid w:val="00BD0764"/>
    <w:rsid w:val="00BD07EF"/>
    <w:rsid w:val="00BD0819"/>
    <w:rsid w:val="00BD0849"/>
    <w:rsid w:val="00BD0A15"/>
    <w:rsid w:val="00BD0A78"/>
    <w:rsid w:val="00BD0AE6"/>
    <w:rsid w:val="00BD0B0E"/>
    <w:rsid w:val="00BD0BB8"/>
    <w:rsid w:val="00BD0C1A"/>
    <w:rsid w:val="00BD0C81"/>
    <w:rsid w:val="00BD0E08"/>
    <w:rsid w:val="00BD0E34"/>
    <w:rsid w:val="00BD0EB7"/>
    <w:rsid w:val="00BD0F11"/>
    <w:rsid w:val="00BD0FEF"/>
    <w:rsid w:val="00BD10FD"/>
    <w:rsid w:val="00BD1155"/>
    <w:rsid w:val="00BD1205"/>
    <w:rsid w:val="00BD12A4"/>
    <w:rsid w:val="00BD13C1"/>
    <w:rsid w:val="00BD1482"/>
    <w:rsid w:val="00BD15CD"/>
    <w:rsid w:val="00BD15D3"/>
    <w:rsid w:val="00BD166D"/>
    <w:rsid w:val="00BD168F"/>
    <w:rsid w:val="00BD176F"/>
    <w:rsid w:val="00BD17A5"/>
    <w:rsid w:val="00BD191E"/>
    <w:rsid w:val="00BD19BF"/>
    <w:rsid w:val="00BD1B51"/>
    <w:rsid w:val="00BD1B96"/>
    <w:rsid w:val="00BD1BC9"/>
    <w:rsid w:val="00BD1BD2"/>
    <w:rsid w:val="00BD1D5B"/>
    <w:rsid w:val="00BD1DF6"/>
    <w:rsid w:val="00BD1FA7"/>
    <w:rsid w:val="00BD1FBC"/>
    <w:rsid w:val="00BD1FEB"/>
    <w:rsid w:val="00BD2197"/>
    <w:rsid w:val="00BD22F0"/>
    <w:rsid w:val="00BD2369"/>
    <w:rsid w:val="00BD2423"/>
    <w:rsid w:val="00BD2487"/>
    <w:rsid w:val="00BD24DA"/>
    <w:rsid w:val="00BD24E6"/>
    <w:rsid w:val="00BD2588"/>
    <w:rsid w:val="00BD25B0"/>
    <w:rsid w:val="00BD2630"/>
    <w:rsid w:val="00BD292C"/>
    <w:rsid w:val="00BD2972"/>
    <w:rsid w:val="00BD2BBB"/>
    <w:rsid w:val="00BD2BCB"/>
    <w:rsid w:val="00BD2C4C"/>
    <w:rsid w:val="00BD2C82"/>
    <w:rsid w:val="00BD2C83"/>
    <w:rsid w:val="00BD2D19"/>
    <w:rsid w:val="00BD2D72"/>
    <w:rsid w:val="00BD2DE7"/>
    <w:rsid w:val="00BD2E2A"/>
    <w:rsid w:val="00BD2E77"/>
    <w:rsid w:val="00BD2EE8"/>
    <w:rsid w:val="00BD2EFC"/>
    <w:rsid w:val="00BD2F04"/>
    <w:rsid w:val="00BD2F3C"/>
    <w:rsid w:val="00BD301A"/>
    <w:rsid w:val="00BD3105"/>
    <w:rsid w:val="00BD3114"/>
    <w:rsid w:val="00BD313C"/>
    <w:rsid w:val="00BD3186"/>
    <w:rsid w:val="00BD31D7"/>
    <w:rsid w:val="00BD34DC"/>
    <w:rsid w:val="00BD34F4"/>
    <w:rsid w:val="00BD35D2"/>
    <w:rsid w:val="00BD360E"/>
    <w:rsid w:val="00BD364B"/>
    <w:rsid w:val="00BD3673"/>
    <w:rsid w:val="00BD36C4"/>
    <w:rsid w:val="00BD36D8"/>
    <w:rsid w:val="00BD388A"/>
    <w:rsid w:val="00BD3929"/>
    <w:rsid w:val="00BD3B13"/>
    <w:rsid w:val="00BD3BA0"/>
    <w:rsid w:val="00BD3BFE"/>
    <w:rsid w:val="00BD3CA9"/>
    <w:rsid w:val="00BD3D22"/>
    <w:rsid w:val="00BD3DB0"/>
    <w:rsid w:val="00BD3DB5"/>
    <w:rsid w:val="00BD3DC0"/>
    <w:rsid w:val="00BD3DC7"/>
    <w:rsid w:val="00BD3EBF"/>
    <w:rsid w:val="00BD3EE8"/>
    <w:rsid w:val="00BD3F34"/>
    <w:rsid w:val="00BD40F6"/>
    <w:rsid w:val="00BD4173"/>
    <w:rsid w:val="00BD41BC"/>
    <w:rsid w:val="00BD422A"/>
    <w:rsid w:val="00BD43CC"/>
    <w:rsid w:val="00BD44A8"/>
    <w:rsid w:val="00BD44C1"/>
    <w:rsid w:val="00BD46FB"/>
    <w:rsid w:val="00BD481B"/>
    <w:rsid w:val="00BD483D"/>
    <w:rsid w:val="00BD4880"/>
    <w:rsid w:val="00BD48CC"/>
    <w:rsid w:val="00BD4992"/>
    <w:rsid w:val="00BD4996"/>
    <w:rsid w:val="00BD49E2"/>
    <w:rsid w:val="00BD4A57"/>
    <w:rsid w:val="00BD4A6B"/>
    <w:rsid w:val="00BD4A6D"/>
    <w:rsid w:val="00BD4A9B"/>
    <w:rsid w:val="00BD4AEA"/>
    <w:rsid w:val="00BD4B1A"/>
    <w:rsid w:val="00BD4B5A"/>
    <w:rsid w:val="00BD4B7F"/>
    <w:rsid w:val="00BD4BF6"/>
    <w:rsid w:val="00BD4CDE"/>
    <w:rsid w:val="00BD4D8C"/>
    <w:rsid w:val="00BD4E59"/>
    <w:rsid w:val="00BD4E6D"/>
    <w:rsid w:val="00BD4E75"/>
    <w:rsid w:val="00BD4F80"/>
    <w:rsid w:val="00BD5085"/>
    <w:rsid w:val="00BD50D7"/>
    <w:rsid w:val="00BD50EE"/>
    <w:rsid w:val="00BD5314"/>
    <w:rsid w:val="00BD5411"/>
    <w:rsid w:val="00BD546B"/>
    <w:rsid w:val="00BD54BB"/>
    <w:rsid w:val="00BD5528"/>
    <w:rsid w:val="00BD552B"/>
    <w:rsid w:val="00BD5610"/>
    <w:rsid w:val="00BD570F"/>
    <w:rsid w:val="00BD57DA"/>
    <w:rsid w:val="00BD57DB"/>
    <w:rsid w:val="00BD5845"/>
    <w:rsid w:val="00BD588A"/>
    <w:rsid w:val="00BD58B1"/>
    <w:rsid w:val="00BD58C2"/>
    <w:rsid w:val="00BD58E5"/>
    <w:rsid w:val="00BD5A1F"/>
    <w:rsid w:val="00BD5A73"/>
    <w:rsid w:val="00BD5A9A"/>
    <w:rsid w:val="00BD5ACA"/>
    <w:rsid w:val="00BD5D44"/>
    <w:rsid w:val="00BD5DB8"/>
    <w:rsid w:val="00BD5EFE"/>
    <w:rsid w:val="00BD5F05"/>
    <w:rsid w:val="00BD5FFB"/>
    <w:rsid w:val="00BD6087"/>
    <w:rsid w:val="00BD611C"/>
    <w:rsid w:val="00BD62A9"/>
    <w:rsid w:val="00BD638C"/>
    <w:rsid w:val="00BD63E3"/>
    <w:rsid w:val="00BD68E8"/>
    <w:rsid w:val="00BD69E0"/>
    <w:rsid w:val="00BD6A9B"/>
    <w:rsid w:val="00BD6ADB"/>
    <w:rsid w:val="00BD6B8C"/>
    <w:rsid w:val="00BD6D74"/>
    <w:rsid w:val="00BD6EDA"/>
    <w:rsid w:val="00BD6EFE"/>
    <w:rsid w:val="00BD6FB9"/>
    <w:rsid w:val="00BD719C"/>
    <w:rsid w:val="00BD72C2"/>
    <w:rsid w:val="00BD731F"/>
    <w:rsid w:val="00BD7384"/>
    <w:rsid w:val="00BD754D"/>
    <w:rsid w:val="00BD7614"/>
    <w:rsid w:val="00BD762A"/>
    <w:rsid w:val="00BD762F"/>
    <w:rsid w:val="00BD7639"/>
    <w:rsid w:val="00BD76EE"/>
    <w:rsid w:val="00BD7714"/>
    <w:rsid w:val="00BD7756"/>
    <w:rsid w:val="00BD784F"/>
    <w:rsid w:val="00BD7A74"/>
    <w:rsid w:val="00BD7B77"/>
    <w:rsid w:val="00BD7C05"/>
    <w:rsid w:val="00BD7C18"/>
    <w:rsid w:val="00BD7C6A"/>
    <w:rsid w:val="00BD7C70"/>
    <w:rsid w:val="00BD7C77"/>
    <w:rsid w:val="00BD7C87"/>
    <w:rsid w:val="00BD7D05"/>
    <w:rsid w:val="00BD7D4F"/>
    <w:rsid w:val="00BD7D63"/>
    <w:rsid w:val="00BD7DE9"/>
    <w:rsid w:val="00BD7E0A"/>
    <w:rsid w:val="00BD7EF3"/>
    <w:rsid w:val="00BD7F8D"/>
    <w:rsid w:val="00BE005B"/>
    <w:rsid w:val="00BE0147"/>
    <w:rsid w:val="00BE01B9"/>
    <w:rsid w:val="00BE01F6"/>
    <w:rsid w:val="00BE02C3"/>
    <w:rsid w:val="00BE0301"/>
    <w:rsid w:val="00BE035F"/>
    <w:rsid w:val="00BE04A2"/>
    <w:rsid w:val="00BE04B7"/>
    <w:rsid w:val="00BE065A"/>
    <w:rsid w:val="00BE06B6"/>
    <w:rsid w:val="00BE06C3"/>
    <w:rsid w:val="00BE06D1"/>
    <w:rsid w:val="00BE06F3"/>
    <w:rsid w:val="00BE084E"/>
    <w:rsid w:val="00BE0938"/>
    <w:rsid w:val="00BE0A77"/>
    <w:rsid w:val="00BE0A8B"/>
    <w:rsid w:val="00BE0A8F"/>
    <w:rsid w:val="00BE0A9E"/>
    <w:rsid w:val="00BE0BE7"/>
    <w:rsid w:val="00BE0CF2"/>
    <w:rsid w:val="00BE0D0C"/>
    <w:rsid w:val="00BE0D6C"/>
    <w:rsid w:val="00BE0D99"/>
    <w:rsid w:val="00BE0FB3"/>
    <w:rsid w:val="00BE0FF3"/>
    <w:rsid w:val="00BE115B"/>
    <w:rsid w:val="00BE11BD"/>
    <w:rsid w:val="00BE1203"/>
    <w:rsid w:val="00BE13F2"/>
    <w:rsid w:val="00BE14D8"/>
    <w:rsid w:val="00BE151F"/>
    <w:rsid w:val="00BE154E"/>
    <w:rsid w:val="00BE15FE"/>
    <w:rsid w:val="00BE1652"/>
    <w:rsid w:val="00BE166B"/>
    <w:rsid w:val="00BE18DE"/>
    <w:rsid w:val="00BE19CD"/>
    <w:rsid w:val="00BE1B0D"/>
    <w:rsid w:val="00BE1B65"/>
    <w:rsid w:val="00BE1B66"/>
    <w:rsid w:val="00BE1BA1"/>
    <w:rsid w:val="00BE1DE3"/>
    <w:rsid w:val="00BE1F32"/>
    <w:rsid w:val="00BE204D"/>
    <w:rsid w:val="00BE208E"/>
    <w:rsid w:val="00BE2274"/>
    <w:rsid w:val="00BE2277"/>
    <w:rsid w:val="00BE2292"/>
    <w:rsid w:val="00BE2522"/>
    <w:rsid w:val="00BE2741"/>
    <w:rsid w:val="00BE289A"/>
    <w:rsid w:val="00BE28E4"/>
    <w:rsid w:val="00BE295D"/>
    <w:rsid w:val="00BE2ACB"/>
    <w:rsid w:val="00BE2C32"/>
    <w:rsid w:val="00BE2DB2"/>
    <w:rsid w:val="00BE2E0F"/>
    <w:rsid w:val="00BE2E6B"/>
    <w:rsid w:val="00BE2EB3"/>
    <w:rsid w:val="00BE2ED8"/>
    <w:rsid w:val="00BE2EF0"/>
    <w:rsid w:val="00BE301B"/>
    <w:rsid w:val="00BE301C"/>
    <w:rsid w:val="00BE311A"/>
    <w:rsid w:val="00BE312D"/>
    <w:rsid w:val="00BE3147"/>
    <w:rsid w:val="00BE31CA"/>
    <w:rsid w:val="00BE322D"/>
    <w:rsid w:val="00BE32A8"/>
    <w:rsid w:val="00BE32FD"/>
    <w:rsid w:val="00BE33DC"/>
    <w:rsid w:val="00BE34AA"/>
    <w:rsid w:val="00BE34AD"/>
    <w:rsid w:val="00BE387E"/>
    <w:rsid w:val="00BE3940"/>
    <w:rsid w:val="00BE399E"/>
    <w:rsid w:val="00BE39DD"/>
    <w:rsid w:val="00BE3B3F"/>
    <w:rsid w:val="00BE3D18"/>
    <w:rsid w:val="00BE3E42"/>
    <w:rsid w:val="00BE40D1"/>
    <w:rsid w:val="00BE41AE"/>
    <w:rsid w:val="00BE41DD"/>
    <w:rsid w:val="00BE428B"/>
    <w:rsid w:val="00BE42B8"/>
    <w:rsid w:val="00BE42D3"/>
    <w:rsid w:val="00BE42E1"/>
    <w:rsid w:val="00BE4384"/>
    <w:rsid w:val="00BE4495"/>
    <w:rsid w:val="00BE44CC"/>
    <w:rsid w:val="00BE46A8"/>
    <w:rsid w:val="00BE4726"/>
    <w:rsid w:val="00BE48D4"/>
    <w:rsid w:val="00BE498B"/>
    <w:rsid w:val="00BE49B7"/>
    <w:rsid w:val="00BE4A16"/>
    <w:rsid w:val="00BE4B29"/>
    <w:rsid w:val="00BE4C0A"/>
    <w:rsid w:val="00BE4C1E"/>
    <w:rsid w:val="00BE4EBE"/>
    <w:rsid w:val="00BE4F14"/>
    <w:rsid w:val="00BE4F6B"/>
    <w:rsid w:val="00BE506B"/>
    <w:rsid w:val="00BE5087"/>
    <w:rsid w:val="00BE50A3"/>
    <w:rsid w:val="00BE5266"/>
    <w:rsid w:val="00BE5298"/>
    <w:rsid w:val="00BE5359"/>
    <w:rsid w:val="00BE5447"/>
    <w:rsid w:val="00BE552C"/>
    <w:rsid w:val="00BE5626"/>
    <w:rsid w:val="00BE5645"/>
    <w:rsid w:val="00BE5683"/>
    <w:rsid w:val="00BE56A2"/>
    <w:rsid w:val="00BE575A"/>
    <w:rsid w:val="00BE5886"/>
    <w:rsid w:val="00BE5963"/>
    <w:rsid w:val="00BE5A34"/>
    <w:rsid w:val="00BE5BB6"/>
    <w:rsid w:val="00BE5BB7"/>
    <w:rsid w:val="00BE5C6C"/>
    <w:rsid w:val="00BE5D6C"/>
    <w:rsid w:val="00BE5E32"/>
    <w:rsid w:val="00BE60D4"/>
    <w:rsid w:val="00BE60FA"/>
    <w:rsid w:val="00BE6118"/>
    <w:rsid w:val="00BE644F"/>
    <w:rsid w:val="00BE6450"/>
    <w:rsid w:val="00BE662F"/>
    <w:rsid w:val="00BE6779"/>
    <w:rsid w:val="00BE6834"/>
    <w:rsid w:val="00BE69B4"/>
    <w:rsid w:val="00BE6A67"/>
    <w:rsid w:val="00BE6B65"/>
    <w:rsid w:val="00BE6BD0"/>
    <w:rsid w:val="00BE6C36"/>
    <w:rsid w:val="00BE6CD3"/>
    <w:rsid w:val="00BE6CE7"/>
    <w:rsid w:val="00BE6D10"/>
    <w:rsid w:val="00BE6DAD"/>
    <w:rsid w:val="00BE6E06"/>
    <w:rsid w:val="00BE6E12"/>
    <w:rsid w:val="00BE6E29"/>
    <w:rsid w:val="00BE6F0A"/>
    <w:rsid w:val="00BE6F17"/>
    <w:rsid w:val="00BE6FBE"/>
    <w:rsid w:val="00BE713F"/>
    <w:rsid w:val="00BE71B2"/>
    <w:rsid w:val="00BE724F"/>
    <w:rsid w:val="00BE7314"/>
    <w:rsid w:val="00BE7330"/>
    <w:rsid w:val="00BE7334"/>
    <w:rsid w:val="00BE74B8"/>
    <w:rsid w:val="00BE756F"/>
    <w:rsid w:val="00BE7688"/>
    <w:rsid w:val="00BE76A8"/>
    <w:rsid w:val="00BE77A2"/>
    <w:rsid w:val="00BE78DF"/>
    <w:rsid w:val="00BE79BF"/>
    <w:rsid w:val="00BE79F2"/>
    <w:rsid w:val="00BE7A82"/>
    <w:rsid w:val="00BE7AF4"/>
    <w:rsid w:val="00BE7D11"/>
    <w:rsid w:val="00BF0002"/>
    <w:rsid w:val="00BF0083"/>
    <w:rsid w:val="00BF034B"/>
    <w:rsid w:val="00BF0377"/>
    <w:rsid w:val="00BF03A6"/>
    <w:rsid w:val="00BF0443"/>
    <w:rsid w:val="00BF04AC"/>
    <w:rsid w:val="00BF054D"/>
    <w:rsid w:val="00BF05CF"/>
    <w:rsid w:val="00BF068A"/>
    <w:rsid w:val="00BF07C7"/>
    <w:rsid w:val="00BF07E5"/>
    <w:rsid w:val="00BF08B1"/>
    <w:rsid w:val="00BF08C0"/>
    <w:rsid w:val="00BF0AE6"/>
    <w:rsid w:val="00BF0BDB"/>
    <w:rsid w:val="00BF0C0A"/>
    <w:rsid w:val="00BF0C50"/>
    <w:rsid w:val="00BF0DBD"/>
    <w:rsid w:val="00BF0E32"/>
    <w:rsid w:val="00BF0E46"/>
    <w:rsid w:val="00BF0E60"/>
    <w:rsid w:val="00BF0F2A"/>
    <w:rsid w:val="00BF104B"/>
    <w:rsid w:val="00BF1063"/>
    <w:rsid w:val="00BF10E8"/>
    <w:rsid w:val="00BF114B"/>
    <w:rsid w:val="00BF1191"/>
    <w:rsid w:val="00BF12B3"/>
    <w:rsid w:val="00BF1342"/>
    <w:rsid w:val="00BF1445"/>
    <w:rsid w:val="00BF1464"/>
    <w:rsid w:val="00BF147C"/>
    <w:rsid w:val="00BF1507"/>
    <w:rsid w:val="00BF15D6"/>
    <w:rsid w:val="00BF173A"/>
    <w:rsid w:val="00BF182D"/>
    <w:rsid w:val="00BF18B8"/>
    <w:rsid w:val="00BF1913"/>
    <w:rsid w:val="00BF191E"/>
    <w:rsid w:val="00BF1A67"/>
    <w:rsid w:val="00BF1AE1"/>
    <w:rsid w:val="00BF1C60"/>
    <w:rsid w:val="00BF1CD5"/>
    <w:rsid w:val="00BF1CDE"/>
    <w:rsid w:val="00BF1E2D"/>
    <w:rsid w:val="00BF1E45"/>
    <w:rsid w:val="00BF1E71"/>
    <w:rsid w:val="00BF1EF0"/>
    <w:rsid w:val="00BF1F63"/>
    <w:rsid w:val="00BF205C"/>
    <w:rsid w:val="00BF20AC"/>
    <w:rsid w:val="00BF20E3"/>
    <w:rsid w:val="00BF2127"/>
    <w:rsid w:val="00BF2176"/>
    <w:rsid w:val="00BF2198"/>
    <w:rsid w:val="00BF2291"/>
    <w:rsid w:val="00BF2313"/>
    <w:rsid w:val="00BF2373"/>
    <w:rsid w:val="00BF23B3"/>
    <w:rsid w:val="00BF23B9"/>
    <w:rsid w:val="00BF23C3"/>
    <w:rsid w:val="00BF23C8"/>
    <w:rsid w:val="00BF2455"/>
    <w:rsid w:val="00BF253A"/>
    <w:rsid w:val="00BF2572"/>
    <w:rsid w:val="00BF2590"/>
    <w:rsid w:val="00BF25AE"/>
    <w:rsid w:val="00BF25AF"/>
    <w:rsid w:val="00BF26C1"/>
    <w:rsid w:val="00BF2710"/>
    <w:rsid w:val="00BF2752"/>
    <w:rsid w:val="00BF2A2B"/>
    <w:rsid w:val="00BF2A6D"/>
    <w:rsid w:val="00BF2AA7"/>
    <w:rsid w:val="00BF2BED"/>
    <w:rsid w:val="00BF2C25"/>
    <w:rsid w:val="00BF2CEF"/>
    <w:rsid w:val="00BF2DF5"/>
    <w:rsid w:val="00BF2E78"/>
    <w:rsid w:val="00BF2EC3"/>
    <w:rsid w:val="00BF304D"/>
    <w:rsid w:val="00BF30AE"/>
    <w:rsid w:val="00BF315C"/>
    <w:rsid w:val="00BF3169"/>
    <w:rsid w:val="00BF32A3"/>
    <w:rsid w:val="00BF32A8"/>
    <w:rsid w:val="00BF3349"/>
    <w:rsid w:val="00BF34DC"/>
    <w:rsid w:val="00BF3510"/>
    <w:rsid w:val="00BF3516"/>
    <w:rsid w:val="00BF3597"/>
    <w:rsid w:val="00BF360A"/>
    <w:rsid w:val="00BF36C0"/>
    <w:rsid w:val="00BF3711"/>
    <w:rsid w:val="00BF37E9"/>
    <w:rsid w:val="00BF3804"/>
    <w:rsid w:val="00BF38BA"/>
    <w:rsid w:val="00BF38E2"/>
    <w:rsid w:val="00BF394F"/>
    <w:rsid w:val="00BF39AF"/>
    <w:rsid w:val="00BF3B86"/>
    <w:rsid w:val="00BF3BA4"/>
    <w:rsid w:val="00BF3BAA"/>
    <w:rsid w:val="00BF3BFC"/>
    <w:rsid w:val="00BF3C12"/>
    <w:rsid w:val="00BF3CE2"/>
    <w:rsid w:val="00BF3E07"/>
    <w:rsid w:val="00BF3E27"/>
    <w:rsid w:val="00BF3E81"/>
    <w:rsid w:val="00BF3F1D"/>
    <w:rsid w:val="00BF3F54"/>
    <w:rsid w:val="00BF3FDB"/>
    <w:rsid w:val="00BF4014"/>
    <w:rsid w:val="00BF4116"/>
    <w:rsid w:val="00BF411B"/>
    <w:rsid w:val="00BF4156"/>
    <w:rsid w:val="00BF41D3"/>
    <w:rsid w:val="00BF4208"/>
    <w:rsid w:val="00BF42F7"/>
    <w:rsid w:val="00BF4381"/>
    <w:rsid w:val="00BF4455"/>
    <w:rsid w:val="00BF45A8"/>
    <w:rsid w:val="00BF45E7"/>
    <w:rsid w:val="00BF47A8"/>
    <w:rsid w:val="00BF47C8"/>
    <w:rsid w:val="00BF48B5"/>
    <w:rsid w:val="00BF48EE"/>
    <w:rsid w:val="00BF4930"/>
    <w:rsid w:val="00BF498F"/>
    <w:rsid w:val="00BF49AB"/>
    <w:rsid w:val="00BF4B8C"/>
    <w:rsid w:val="00BF4BC7"/>
    <w:rsid w:val="00BF4C78"/>
    <w:rsid w:val="00BF4D4D"/>
    <w:rsid w:val="00BF4D94"/>
    <w:rsid w:val="00BF4E05"/>
    <w:rsid w:val="00BF4E35"/>
    <w:rsid w:val="00BF4E6E"/>
    <w:rsid w:val="00BF4F3A"/>
    <w:rsid w:val="00BF4FBE"/>
    <w:rsid w:val="00BF50A2"/>
    <w:rsid w:val="00BF50A7"/>
    <w:rsid w:val="00BF512F"/>
    <w:rsid w:val="00BF51A6"/>
    <w:rsid w:val="00BF521C"/>
    <w:rsid w:val="00BF5224"/>
    <w:rsid w:val="00BF5256"/>
    <w:rsid w:val="00BF526A"/>
    <w:rsid w:val="00BF52DB"/>
    <w:rsid w:val="00BF5412"/>
    <w:rsid w:val="00BF551B"/>
    <w:rsid w:val="00BF5625"/>
    <w:rsid w:val="00BF56B4"/>
    <w:rsid w:val="00BF5810"/>
    <w:rsid w:val="00BF584C"/>
    <w:rsid w:val="00BF5936"/>
    <w:rsid w:val="00BF5AE8"/>
    <w:rsid w:val="00BF5BE2"/>
    <w:rsid w:val="00BF5C2B"/>
    <w:rsid w:val="00BF5C8B"/>
    <w:rsid w:val="00BF5C92"/>
    <w:rsid w:val="00BF5E5E"/>
    <w:rsid w:val="00BF5EA7"/>
    <w:rsid w:val="00BF5EDD"/>
    <w:rsid w:val="00BF5FC5"/>
    <w:rsid w:val="00BF5FEE"/>
    <w:rsid w:val="00BF60F5"/>
    <w:rsid w:val="00BF6266"/>
    <w:rsid w:val="00BF62AB"/>
    <w:rsid w:val="00BF6334"/>
    <w:rsid w:val="00BF637C"/>
    <w:rsid w:val="00BF6390"/>
    <w:rsid w:val="00BF63A0"/>
    <w:rsid w:val="00BF641C"/>
    <w:rsid w:val="00BF6459"/>
    <w:rsid w:val="00BF66D6"/>
    <w:rsid w:val="00BF6889"/>
    <w:rsid w:val="00BF6991"/>
    <w:rsid w:val="00BF6AD2"/>
    <w:rsid w:val="00BF6ADA"/>
    <w:rsid w:val="00BF6B00"/>
    <w:rsid w:val="00BF6B05"/>
    <w:rsid w:val="00BF6D07"/>
    <w:rsid w:val="00BF6D20"/>
    <w:rsid w:val="00BF6D49"/>
    <w:rsid w:val="00BF6DE7"/>
    <w:rsid w:val="00BF6E8F"/>
    <w:rsid w:val="00BF6E9E"/>
    <w:rsid w:val="00BF6F52"/>
    <w:rsid w:val="00BF7011"/>
    <w:rsid w:val="00BF709A"/>
    <w:rsid w:val="00BF70CC"/>
    <w:rsid w:val="00BF71A7"/>
    <w:rsid w:val="00BF7253"/>
    <w:rsid w:val="00BF72EE"/>
    <w:rsid w:val="00BF73A1"/>
    <w:rsid w:val="00BF7571"/>
    <w:rsid w:val="00BF7678"/>
    <w:rsid w:val="00BF768F"/>
    <w:rsid w:val="00BF7742"/>
    <w:rsid w:val="00BF7784"/>
    <w:rsid w:val="00BF7996"/>
    <w:rsid w:val="00BF79E0"/>
    <w:rsid w:val="00BF7A26"/>
    <w:rsid w:val="00BF7A33"/>
    <w:rsid w:val="00BF7BC9"/>
    <w:rsid w:val="00BF7C1A"/>
    <w:rsid w:val="00BF7C4F"/>
    <w:rsid w:val="00BF7C6A"/>
    <w:rsid w:val="00BF7C9C"/>
    <w:rsid w:val="00BF7DA3"/>
    <w:rsid w:val="00BF7F71"/>
    <w:rsid w:val="00BF7FF9"/>
    <w:rsid w:val="00C00185"/>
    <w:rsid w:val="00C001B4"/>
    <w:rsid w:val="00C0025F"/>
    <w:rsid w:val="00C002B8"/>
    <w:rsid w:val="00C002DA"/>
    <w:rsid w:val="00C002E3"/>
    <w:rsid w:val="00C00324"/>
    <w:rsid w:val="00C0034D"/>
    <w:rsid w:val="00C0034F"/>
    <w:rsid w:val="00C003CF"/>
    <w:rsid w:val="00C003FD"/>
    <w:rsid w:val="00C00408"/>
    <w:rsid w:val="00C00479"/>
    <w:rsid w:val="00C004DD"/>
    <w:rsid w:val="00C0058B"/>
    <w:rsid w:val="00C006A4"/>
    <w:rsid w:val="00C006F4"/>
    <w:rsid w:val="00C007A6"/>
    <w:rsid w:val="00C00875"/>
    <w:rsid w:val="00C00892"/>
    <w:rsid w:val="00C008A8"/>
    <w:rsid w:val="00C0096E"/>
    <w:rsid w:val="00C009AE"/>
    <w:rsid w:val="00C00A5A"/>
    <w:rsid w:val="00C00A9D"/>
    <w:rsid w:val="00C00B55"/>
    <w:rsid w:val="00C00BBC"/>
    <w:rsid w:val="00C00C32"/>
    <w:rsid w:val="00C00CC1"/>
    <w:rsid w:val="00C00CD0"/>
    <w:rsid w:val="00C00DD6"/>
    <w:rsid w:val="00C00E42"/>
    <w:rsid w:val="00C00E6A"/>
    <w:rsid w:val="00C00F14"/>
    <w:rsid w:val="00C01133"/>
    <w:rsid w:val="00C01232"/>
    <w:rsid w:val="00C01245"/>
    <w:rsid w:val="00C0124B"/>
    <w:rsid w:val="00C01299"/>
    <w:rsid w:val="00C012B4"/>
    <w:rsid w:val="00C012B5"/>
    <w:rsid w:val="00C012EC"/>
    <w:rsid w:val="00C01308"/>
    <w:rsid w:val="00C01346"/>
    <w:rsid w:val="00C0137C"/>
    <w:rsid w:val="00C013E6"/>
    <w:rsid w:val="00C013FE"/>
    <w:rsid w:val="00C013FF"/>
    <w:rsid w:val="00C014A4"/>
    <w:rsid w:val="00C015E9"/>
    <w:rsid w:val="00C01656"/>
    <w:rsid w:val="00C01670"/>
    <w:rsid w:val="00C016E1"/>
    <w:rsid w:val="00C01837"/>
    <w:rsid w:val="00C0184A"/>
    <w:rsid w:val="00C018E1"/>
    <w:rsid w:val="00C01965"/>
    <w:rsid w:val="00C01A9A"/>
    <w:rsid w:val="00C01BFE"/>
    <w:rsid w:val="00C01EB8"/>
    <w:rsid w:val="00C01EF0"/>
    <w:rsid w:val="00C01F20"/>
    <w:rsid w:val="00C02016"/>
    <w:rsid w:val="00C02072"/>
    <w:rsid w:val="00C02099"/>
    <w:rsid w:val="00C02187"/>
    <w:rsid w:val="00C022B9"/>
    <w:rsid w:val="00C023D4"/>
    <w:rsid w:val="00C023EF"/>
    <w:rsid w:val="00C0244D"/>
    <w:rsid w:val="00C02529"/>
    <w:rsid w:val="00C025FC"/>
    <w:rsid w:val="00C02639"/>
    <w:rsid w:val="00C0264D"/>
    <w:rsid w:val="00C02657"/>
    <w:rsid w:val="00C02666"/>
    <w:rsid w:val="00C0270D"/>
    <w:rsid w:val="00C02735"/>
    <w:rsid w:val="00C02740"/>
    <w:rsid w:val="00C027F9"/>
    <w:rsid w:val="00C0294B"/>
    <w:rsid w:val="00C02951"/>
    <w:rsid w:val="00C02961"/>
    <w:rsid w:val="00C029A9"/>
    <w:rsid w:val="00C029F0"/>
    <w:rsid w:val="00C02A1C"/>
    <w:rsid w:val="00C02AEB"/>
    <w:rsid w:val="00C02B34"/>
    <w:rsid w:val="00C02F60"/>
    <w:rsid w:val="00C0300E"/>
    <w:rsid w:val="00C030B3"/>
    <w:rsid w:val="00C030F9"/>
    <w:rsid w:val="00C031B6"/>
    <w:rsid w:val="00C031EE"/>
    <w:rsid w:val="00C03299"/>
    <w:rsid w:val="00C0332A"/>
    <w:rsid w:val="00C03412"/>
    <w:rsid w:val="00C03470"/>
    <w:rsid w:val="00C03536"/>
    <w:rsid w:val="00C03574"/>
    <w:rsid w:val="00C0358B"/>
    <w:rsid w:val="00C03627"/>
    <w:rsid w:val="00C036F0"/>
    <w:rsid w:val="00C03828"/>
    <w:rsid w:val="00C03919"/>
    <w:rsid w:val="00C03967"/>
    <w:rsid w:val="00C039C5"/>
    <w:rsid w:val="00C03A30"/>
    <w:rsid w:val="00C03A4B"/>
    <w:rsid w:val="00C03A6C"/>
    <w:rsid w:val="00C03A9F"/>
    <w:rsid w:val="00C03B9D"/>
    <w:rsid w:val="00C03BFC"/>
    <w:rsid w:val="00C03C32"/>
    <w:rsid w:val="00C03C5B"/>
    <w:rsid w:val="00C03F09"/>
    <w:rsid w:val="00C03F6A"/>
    <w:rsid w:val="00C03FA6"/>
    <w:rsid w:val="00C03FD7"/>
    <w:rsid w:val="00C040D7"/>
    <w:rsid w:val="00C040F9"/>
    <w:rsid w:val="00C04113"/>
    <w:rsid w:val="00C042FF"/>
    <w:rsid w:val="00C043A4"/>
    <w:rsid w:val="00C043BA"/>
    <w:rsid w:val="00C043BC"/>
    <w:rsid w:val="00C044C7"/>
    <w:rsid w:val="00C04585"/>
    <w:rsid w:val="00C0458B"/>
    <w:rsid w:val="00C045B9"/>
    <w:rsid w:val="00C04667"/>
    <w:rsid w:val="00C046FB"/>
    <w:rsid w:val="00C0471F"/>
    <w:rsid w:val="00C0472A"/>
    <w:rsid w:val="00C047CA"/>
    <w:rsid w:val="00C048C5"/>
    <w:rsid w:val="00C048DA"/>
    <w:rsid w:val="00C04971"/>
    <w:rsid w:val="00C0499B"/>
    <w:rsid w:val="00C049DA"/>
    <w:rsid w:val="00C049EB"/>
    <w:rsid w:val="00C04A08"/>
    <w:rsid w:val="00C04A60"/>
    <w:rsid w:val="00C04A6F"/>
    <w:rsid w:val="00C04ADD"/>
    <w:rsid w:val="00C04BB8"/>
    <w:rsid w:val="00C04D8B"/>
    <w:rsid w:val="00C04E40"/>
    <w:rsid w:val="00C04EC7"/>
    <w:rsid w:val="00C04F23"/>
    <w:rsid w:val="00C04F47"/>
    <w:rsid w:val="00C04F4C"/>
    <w:rsid w:val="00C04F67"/>
    <w:rsid w:val="00C04F97"/>
    <w:rsid w:val="00C05043"/>
    <w:rsid w:val="00C05057"/>
    <w:rsid w:val="00C050A9"/>
    <w:rsid w:val="00C051AA"/>
    <w:rsid w:val="00C051B4"/>
    <w:rsid w:val="00C0534E"/>
    <w:rsid w:val="00C05482"/>
    <w:rsid w:val="00C054F0"/>
    <w:rsid w:val="00C0557F"/>
    <w:rsid w:val="00C055F4"/>
    <w:rsid w:val="00C056F4"/>
    <w:rsid w:val="00C05935"/>
    <w:rsid w:val="00C05977"/>
    <w:rsid w:val="00C059AA"/>
    <w:rsid w:val="00C05A9D"/>
    <w:rsid w:val="00C05BD6"/>
    <w:rsid w:val="00C05C07"/>
    <w:rsid w:val="00C05C8A"/>
    <w:rsid w:val="00C05CCD"/>
    <w:rsid w:val="00C05F95"/>
    <w:rsid w:val="00C05FA6"/>
    <w:rsid w:val="00C06208"/>
    <w:rsid w:val="00C0621D"/>
    <w:rsid w:val="00C06287"/>
    <w:rsid w:val="00C06321"/>
    <w:rsid w:val="00C063FC"/>
    <w:rsid w:val="00C0641E"/>
    <w:rsid w:val="00C0646B"/>
    <w:rsid w:val="00C0654E"/>
    <w:rsid w:val="00C0655C"/>
    <w:rsid w:val="00C065B3"/>
    <w:rsid w:val="00C06717"/>
    <w:rsid w:val="00C06732"/>
    <w:rsid w:val="00C0678A"/>
    <w:rsid w:val="00C067F8"/>
    <w:rsid w:val="00C06A07"/>
    <w:rsid w:val="00C06A74"/>
    <w:rsid w:val="00C06ACD"/>
    <w:rsid w:val="00C06B08"/>
    <w:rsid w:val="00C06C3F"/>
    <w:rsid w:val="00C06D37"/>
    <w:rsid w:val="00C06E49"/>
    <w:rsid w:val="00C06E57"/>
    <w:rsid w:val="00C06E93"/>
    <w:rsid w:val="00C06FEE"/>
    <w:rsid w:val="00C07067"/>
    <w:rsid w:val="00C0709C"/>
    <w:rsid w:val="00C07204"/>
    <w:rsid w:val="00C0753C"/>
    <w:rsid w:val="00C07572"/>
    <w:rsid w:val="00C0765D"/>
    <w:rsid w:val="00C078DA"/>
    <w:rsid w:val="00C07987"/>
    <w:rsid w:val="00C07996"/>
    <w:rsid w:val="00C07A1F"/>
    <w:rsid w:val="00C07ADA"/>
    <w:rsid w:val="00C07B78"/>
    <w:rsid w:val="00C07BA3"/>
    <w:rsid w:val="00C07C98"/>
    <w:rsid w:val="00C07E50"/>
    <w:rsid w:val="00C07F5D"/>
    <w:rsid w:val="00C07F8A"/>
    <w:rsid w:val="00C07FC7"/>
    <w:rsid w:val="00C10344"/>
    <w:rsid w:val="00C103E0"/>
    <w:rsid w:val="00C105C4"/>
    <w:rsid w:val="00C1062A"/>
    <w:rsid w:val="00C106C2"/>
    <w:rsid w:val="00C106EA"/>
    <w:rsid w:val="00C10724"/>
    <w:rsid w:val="00C107DB"/>
    <w:rsid w:val="00C1081D"/>
    <w:rsid w:val="00C10891"/>
    <w:rsid w:val="00C10922"/>
    <w:rsid w:val="00C10927"/>
    <w:rsid w:val="00C1092D"/>
    <w:rsid w:val="00C10A02"/>
    <w:rsid w:val="00C10A41"/>
    <w:rsid w:val="00C10A97"/>
    <w:rsid w:val="00C10AA4"/>
    <w:rsid w:val="00C10AF8"/>
    <w:rsid w:val="00C10B39"/>
    <w:rsid w:val="00C10BC3"/>
    <w:rsid w:val="00C10C26"/>
    <w:rsid w:val="00C10DAC"/>
    <w:rsid w:val="00C10E28"/>
    <w:rsid w:val="00C10EAE"/>
    <w:rsid w:val="00C11028"/>
    <w:rsid w:val="00C111AD"/>
    <w:rsid w:val="00C113EC"/>
    <w:rsid w:val="00C11532"/>
    <w:rsid w:val="00C11665"/>
    <w:rsid w:val="00C117FA"/>
    <w:rsid w:val="00C118F3"/>
    <w:rsid w:val="00C11936"/>
    <w:rsid w:val="00C11A9B"/>
    <w:rsid w:val="00C11ADF"/>
    <w:rsid w:val="00C11BA7"/>
    <w:rsid w:val="00C11BEF"/>
    <w:rsid w:val="00C11C2C"/>
    <w:rsid w:val="00C11D5E"/>
    <w:rsid w:val="00C11FD4"/>
    <w:rsid w:val="00C12106"/>
    <w:rsid w:val="00C1212A"/>
    <w:rsid w:val="00C121F8"/>
    <w:rsid w:val="00C1221B"/>
    <w:rsid w:val="00C123B4"/>
    <w:rsid w:val="00C124BB"/>
    <w:rsid w:val="00C124DE"/>
    <w:rsid w:val="00C125A4"/>
    <w:rsid w:val="00C125F2"/>
    <w:rsid w:val="00C12629"/>
    <w:rsid w:val="00C1279C"/>
    <w:rsid w:val="00C12837"/>
    <w:rsid w:val="00C1287F"/>
    <w:rsid w:val="00C12882"/>
    <w:rsid w:val="00C12A17"/>
    <w:rsid w:val="00C12BDB"/>
    <w:rsid w:val="00C12D0D"/>
    <w:rsid w:val="00C12DAC"/>
    <w:rsid w:val="00C12DBE"/>
    <w:rsid w:val="00C12DC5"/>
    <w:rsid w:val="00C12F70"/>
    <w:rsid w:val="00C130D2"/>
    <w:rsid w:val="00C131BA"/>
    <w:rsid w:val="00C13212"/>
    <w:rsid w:val="00C1326C"/>
    <w:rsid w:val="00C13340"/>
    <w:rsid w:val="00C13506"/>
    <w:rsid w:val="00C1357F"/>
    <w:rsid w:val="00C136E7"/>
    <w:rsid w:val="00C13733"/>
    <w:rsid w:val="00C137B3"/>
    <w:rsid w:val="00C13809"/>
    <w:rsid w:val="00C1380C"/>
    <w:rsid w:val="00C1398F"/>
    <w:rsid w:val="00C13A71"/>
    <w:rsid w:val="00C13AB9"/>
    <w:rsid w:val="00C13B0A"/>
    <w:rsid w:val="00C13B5F"/>
    <w:rsid w:val="00C13BC7"/>
    <w:rsid w:val="00C13DDC"/>
    <w:rsid w:val="00C13F13"/>
    <w:rsid w:val="00C13F43"/>
    <w:rsid w:val="00C1406B"/>
    <w:rsid w:val="00C1422A"/>
    <w:rsid w:val="00C1428B"/>
    <w:rsid w:val="00C14331"/>
    <w:rsid w:val="00C1439E"/>
    <w:rsid w:val="00C143A1"/>
    <w:rsid w:val="00C143DC"/>
    <w:rsid w:val="00C143FB"/>
    <w:rsid w:val="00C14401"/>
    <w:rsid w:val="00C14407"/>
    <w:rsid w:val="00C14511"/>
    <w:rsid w:val="00C145F9"/>
    <w:rsid w:val="00C14635"/>
    <w:rsid w:val="00C146A0"/>
    <w:rsid w:val="00C14704"/>
    <w:rsid w:val="00C1479F"/>
    <w:rsid w:val="00C147AE"/>
    <w:rsid w:val="00C147B5"/>
    <w:rsid w:val="00C14825"/>
    <w:rsid w:val="00C14880"/>
    <w:rsid w:val="00C148F1"/>
    <w:rsid w:val="00C14909"/>
    <w:rsid w:val="00C14957"/>
    <w:rsid w:val="00C14972"/>
    <w:rsid w:val="00C14988"/>
    <w:rsid w:val="00C149DD"/>
    <w:rsid w:val="00C14A16"/>
    <w:rsid w:val="00C14B05"/>
    <w:rsid w:val="00C14B16"/>
    <w:rsid w:val="00C14B4D"/>
    <w:rsid w:val="00C14B5D"/>
    <w:rsid w:val="00C14B79"/>
    <w:rsid w:val="00C14B81"/>
    <w:rsid w:val="00C14C1F"/>
    <w:rsid w:val="00C14C72"/>
    <w:rsid w:val="00C14C8A"/>
    <w:rsid w:val="00C14CA1"/>
    <w:rsid w:val="00C14DA1"/>
    <w:rsid w:val="00C14DB4"/>
    <w:rsid w:val="00C14F6C"/>
    <w:rsid w:val="00C15014"/>
    <w:rsid w:val="00C1511C"/>
    <w:rsid w:val="00C1515D"/>
    <w:rsid w:val="00C15241"/>
    <w:rsid w:val="00C15378"/>
    <w:rsid w:val="00C154DF"/>
    <w:rsid w:val="00C155E1"/>
    <w:rsid w:val="00C15614"/>
    <w:rsid w:val="00C15680"/>
    <w:rsid w:val="00C1569B"/>
    <w:rsid w:val="00C1583D"/>
    <w:rsid w:val="00C15A33"/>
    <w:rsid w:val="00C15AC4"/>
    <w:rsid w:val="00C15ACA"/>
    <w:rsid w:val="00C15B2A"/>
    <w:rsid w:val="00C15C14"/>
    <w:rsid w:val="00C15DC6"/>
    <w:rsid w:val="00C15DC7"/>
    <w:rsid w:val="00C15DED"/>
    <w:rsid w:val="00C15EE3"/>
    <w:rsid w:val="00C15F71"/>
    <w:rsid w:val="00C15F7B"/>
    <w:rsid w:val="00C15FA4"/>
    <w:rsid w:val="00C1600A"/>
    <w:rsid w:val="00C1612F"/>
    <w:rsid w:val="00C161B8"/>
    <w:rsid w:val="00C161D9"/>
    <w:rsid w:val="00C161E7"/>
    <w:rsid w:val="00C162A9"/>
    <w:rsid w:val="00C1631B"/>
    <w:rsid w:val="00C1631D"/>
    <w:rsid w:val="00C1651A"/>
    <w:rsid w:val="00C1652F"/>
    <w:rsid w:val="00C166C8"/>
    <w:rsid w:val="00C16735"/>
    <w:rsid w:val="00C16744"/>
    <w:rsid w:val="00C1679F"/>
    <w:rsid w:val="00C167A1"/>
    <w:rsid w:val="00C167C4"/>
    <w:rsid w:val="00C167E1"/>
    <w:rsid w:val="00C168DE"/>
    <w:rsid w:val="00C168FA"/>
    <w:rsid w:val="00C16974"/>
    <w:rsid w:val="00C1697E"/>
    <w:rsid w:val="00C169EB"/>
    <w:rsid w:val="00C16C7E"/>
    <w:rsid w:val="00C16CC6"/>
    <w:rsid w:val="00C16CE0"/>
    <w:rsid w:val="00C16DB4"/>
    <w:rsid w:val="00C16E7C"/>
    <w:rsid w:val="00C16EA9"/>
    <w:rsid w:val="00C16ED2"/>
    <w:rsid w:val="00C16EE8"/>
    <w:rsid w:val="00C16FA8"/>
    <w:rsid w:val="00C16FF3"/>
    <w:rsid w:val="00C171A7"/>
    <w:rsid w:val="00C1724B"/>
    <w:rsid w:val="00C1727D"/>
    <w:rsid w:val="00C172D0"/>
    <w:rsid w:val="00C17312"/>
    <w:rsid w:val="00C1732F"/>
    <w:rsid w:val="00C1742C"/>
    <w:rsid w:val="00C174AD"/>
    <w:rsid w:val="00C174CF"/>
    <w:rsid w:val="00C17555"/>
    <w:rsid w:val="00C175C7"/>
    <w:rsid w:val="00C175F5"/>
    <w:rsid w:val="00C175F6"/>
    <w:rsid w:val="00C17622"/>
    <w:rsid w:val="00C17623"/>
    <w:rsid w:val="00C1772F"/>
    <w:rsid w:val="00C1775F"/>
    <w:rsid w:val="00C17823"/>
    <w:rsid w:val="00C17839"/>
    <w:rsid w:val="00C1794D"/>
    <w:rsid w:val="00C179B3"/>
    <w:rsid w:val="00C17A4B"/>
    <w:rsid w:val="00C17A96"/>
    <w:rsid w:val="00C17B29"/>
    <w:rsid w:val="00C17BCC"/>
    <w:rsid w:val="00C17BFC"/>
    <w:rsid w:val="00C17C64"/>
    <w:rsid w:val="00C17CF6"/>
    <w:rsid w:val="00C17D69"/>
    <w:rsid w:val="00C17E09"/>
    <w:rsid w:val="00C17F06"/>
    <w:rsid w:val="00C1C408"/>
    <w:rsid w:val="00C2004D"/>
    <w:rsid w:val="00C20098"/>
    <w:rsid w:val="00C20124"/>
    <w:rsid w:val="00C201B7"/>
    <w:rsid w:val="00C20281"/>
    <w:rsid w:val="00C2033A"/>
    <w:rsid w:val="00C20467"/>
    <w:rsid w:val="00C205AF"/>
    <w:rsid w:val="00C20800"/>
    <w:rsid w:val="00C20848"/>
    <w:rsid w:val="00C208A0"/>
    <w:rsid w:val="00C20961"/>
    <w:rsid w:val="00C20969"/>
    <w:rsid w:val="00C20AB8"/>
    <w:rsid w:val="00C20BF4"/>
    <w:rsid w:val="00C20CAA"/>
    <w:rsid w:val="00C20CC7"/>
    <w:rsid w:val="00C20CFF"/>
    <w:rsid w:val="00C20D3D"/>
    <w:rsid w:val="00C20DD2"/>
    <w:rsid w:val="00C20E45"/>
    <w:rsid w:val="00C20F50"/>
    <w:rsid w:val="00C20FDF"/>
    <w:rsid w:val="00C2109E"/>
    <w:rsid w:val="00C210ED"/>
    <w:rsid w:val="00C21126"/>
    <w:rsid w:val="00C2112E"/>
    <w:rsid w:val="00C212E6"/>
    <w:rsid w:val="00C2131B"/>
    <w:rsid w:val="00C21457"/>
    <w:rsid w:val="00C2147A"/>
    <w:rsid w:val="00C21530"/>
    <w:rsid w:val="00C215C3"/>
    <w:rsid w:val="00C21613"/>
    <w:rsid w:val="00C21685"/>
    <w:rsid w:val="00C21752"/>
    <w:rsid w:val="00C2177B"/>
    <w:rsid w:val="00C21869"/>
    <w:rsid w:val="00C21CC6"/>
    <w:rsid w:val="00C21DD3"/>
    <w:rsid w:val="00C21E5D"/>
    <w:rsid w:val="00C21F18"/>
    <w:rsid w:val="00C21F2D"/>
    <w:rsid w:val="00C21F6A"/>
    <w:rsid w:val="00C2202E"/>
    <w:rsid w:val="00C22190"/>
    <w:rsid w:val="00C221BA"/>
    <w:rsid w:val="00C224CD"/>
    <w:rsid w:val="00C224DB"/>
    <w:rsid w:val="00C22512"/>
    <w:rsid w:val="00C225DB"/>
    <w:rsid w:val="00C22631"/>
    <w:rsid w:val="00C22694"/>
    <w:rsid w:val="00C226C2"/>
    <w:rsid w:val="00C22786"/>
    <w:rsid w:val="00C227C1"/>
    <w:rsid w:val="00C22835"/>
    <w:rsid w:val="00C22998"/>
    <w:rsid w:val="00C22AB4"/>
    <w:rsid w:val="00C22B65"/>
    <w:rsid w:val="00C22BB1"/>
    <w:rsid w:val="00C22C8D"/>
    <w:rsid w:val="00C22CD8"/>
    <w:rsid w:val="00C22CEE"/>
    <w:rsid w:val="00C22DB3"/>
    <w:rsid w:val="00C22F65"/>
    <w:rsid w:val="00C22FC3"/>
    <w:rsid w:val="00C230BD"/>
    <w:rsid w:val="00C23174"/>
    <w:rsid w:val="00C231F1"/>
    <w:rsid w:val="00C23208"/>
    <w:rsid w:val="00C23258"/>
    <w:rsid w:val="00C232D9"/>
    <w:rsid w:val="00C2332F"/>
    <w:rsid w:val="00C233AA"/>
    <w:rsid w:val="00C234BF"/>
    <w:rsid w:val="00C234D7"/>
    <w:rsid w:val="00C2359A"/>
    <w:rsid w:val="00C23657"/>
    <w:rsid w:val="00C237C2"/>
    <w:rsid w:val="00C238BE"/>
    <w:rsid w:val="00C23993"/>
    <w:rsid w:val="00C23A15"/>
    <w:rsid w:val="00C23A59"/>
    <w:rsid w:val="00C23AAE"/>
    <w:rsid w:val="00C23B3C"/>
    <w:rsid w:val="00C23B50"/>
    <w:rsid w:val="00C23B71"/>
    <w:rsid w:val="00C23CB1"/>
    <w:rsid w:val="00C23CB5"/>
    <w:rsid w:val="00C23CDF"/>
    <w:rsid w:val="00C23D42"/>
    <w:rsid w:val="00C23DA1"/>
    <w:rsid w:val="00C23E04"/>
    <w:rsid w:val="00C23E38"/>
    <w:rsid w:val="00C23EEA"/>
    <w:rsid w:val="00C23F42"/>
    <w:rsid w:val="00C23F88"/>
    <w:rsid w:val="00C24067"/>
    <w:rsid w:val="00C2422D"/>
    <w:rsid w:val="00C24287"/>
    <w:rsid w:val="00C24295"/>
    <w:rsid w:val="00C242C2"/>
    <w:rsid w:val="00C242F5"/>
    <w:rsid w:val="00C24332"/>
    <w:rsid w:val="00C243BA"/>
    <w:rsid w:val="00C24477"/>
    <w:rsid w:val="00C244B9"/>
    <w:rsid w:val="00C24660"/>
    <w:rsid w:val="00C2469F"/>
    <w:rsid w:val="00C247E7"/>
    <w:rsid w:val="00C24848"/>
    <w:rsid w:val="00C2490D"/>
    <w:rsid w:val="00C24911"/>
    <w:rsid w:val="00C24996"/>
    <w:rsid w:val="00C24B84"/>
    <w:rsid w:val="00C24C83"/>
    <w:rsid w:val="00C24CB3"/>
    <w:rsid w:val="00C24CB4"/>
    <w:rsid w:val="00C24CE3"/>
    <w:rsid w:val="00C24D6A"/>
    <w:rsid w:val="00C24D7D"/>
    <w:rsid w:val="00C25066"/>
    <w:rsid w:val="00C250D6"/>
    <w:rsid w:val="00C251DF"/>
    <w:rsid w:val="00C2545E"/>
    <w:rsid w:val="00C2559C"/>
    <w:rsid w:val="00C256E8"/>
    <w:rsid w:val="00C2570C"/>
    <w:rsid w:val="00C257CD"/>
    <w:rsid w:val="00C257E7"/>
    <w:rsid w:val="00C25B7A"/>
    <w:rsid w:val="00C25C90"/>
    <w:rsid w:val="00C25D0D"/>
    <w:rsid w:val="00C25D86"/>
    <w:rsid w:val="00C25FBC"/>
    <w:rsid w:val="00C261EB"/>
    <w:rsid w:val="00C2631E"/>
    <w:rsid w:val="00C26320"/>
    <w:rsid w:val="00C26344"/>
    <w:rsid w:val="00C26349"/>
    <w:rsid w:val="00C26437"/>
    <w:rsid w:val="00C2644B"/>
    <w:rsid w:val="00C264E7"/>
    <w:rsid w:val="00C26586"/>
    <w:rsid w:val="00C2659E"/>
    <w:rsid w:val="00C265EF"/>
    <w:rsid w:val="00C26601"/>
    <w:rsid w:val="00C2677E"/>
    <w:rsid w:val="00C269C4"/>
    <w:rsid w:val="00C26A5C"/>
    <w:rsid w:val="00C26AD8"/>
    <w:rsid w:val="00C26B4A"/>
    <w:rsid w:val="00C26BC7"/>
    <w:rsid w:val="00C26C3A"/>
    <w:rsid w:val="00C26D02"/>
    <w:rsid w:val="00C26DEB"/>
    <w:rsid w:val="00C26EFD"/>
    <w:rsid w:val="00C26F6D"/>
    <w:rsid w:val="00C26F86"/>
    <w:rsid w:val="00C27035"/>
    <w:rsid w:val="00C2704A"/>
    <w:rsid w:val="00C2711D"/>
    <w:rsid w:val="00C27276"/>
    <w:rsid w:val="00C27280"/>
    <w:rsid w:val="00C272E3"/>
    <w:rsid w:val="00C273DC"/>
    <w:rsid w:val="00C2741E"/>
    <w:rsid w:val="00C2743C"/>
    <w:rsid w:val="00C274C4"/>
    <w:rsid w:val="00C27645"/>
    <w:rsid w:val="00C277F9"/>
    <w:rsid w:val="00C27913"/>
    <w:rsid w:val="00C279F9"/>
    <w:rsid w:val="00C27A56"/>
    <w:rsid w:val="00C27A71"/>
    <w:rsid w:val="00C27B80"/>
    <w:rsid w:val="00C27B8E"/>
    <w:rsid w:val="00C27C58"/>
    <w:rsid w:val="00C27CF8"/>
    <w:rsid w:val="00C27DE3"/>
    <w:rsid w:val="00C27EE4"/>
    <w:rsid w:val="00C27FEF"/>
    <w:rsid w:val="00C27FFD"/>
    <w:rsid w:val="00C3016C"/>
    <w:rsid w:val="00C30175"/>
    <w:rsid w:val="00C301A4"/>
    <w:rsid w:val="00C30445"/>
    <w:rsid w:val="00C30450"/>
    <w:rsid w:val="00C304E6"/>
    <w:rsid w:val="00C3055B"/>
    <w:rsid w:val="00C30615"/>
    <w:rsid w:val="00C30759"/>
    <w:rsid w:val="00C30814"/>
    <w:rsid w:val="00C30830"/>
    <w:rsid w:val="00C30855"/>
    <w:rsid w:val="00C308A2"/>
    <w:rsid w:val="00C30904"/>
    <w:rsid w:val="00C30967"/>
    <w:rsid w:val="00C30AC7"/>
    <w:rsid w:val="00C30BDA"/>
    <w:rsid w:val="00C30C02"/>
    <w:rsid w:val="00C30DAB"/>
    <w:rsid w:val="00C30E1A"/>
    <w:rsid w:val="00C30EFD"/>
    <w:rsid w:val="00C30FD4"/>
    <w:rsid w:val="00C311C9"/>
    <w:rsid w:val="00C31263"/>
    <w:rsid w:val="00C312A6"/>
    <w:rsid w:val="00C3130D"/>
    <w:rsid w:val="00C31376"/>
    <w:rsid w:val="00C3143B"/>
    <w:rsid w:val="00C314D6"/>
    <w:rsid w:val="00C315AB"/>
    <w:rsid w:val="00C317CC"/>
    <w:rsid w:val="00C31830"/>
    <w:rsid w:val="00C31917"/>
    <w:rsid w:val="00C3194C"/>
    <w:rsid w:val="00C3199A"/>
    <w:rsid w:val="00C31B34"/>
    <w:rsid w:val="00C31EA8"/>
    <w:rsid w:val="00C31F55"/>
    <w:rsid w:val="00C31F58"/>
    <w:rsid w:val="00C321BC"/>
    <w:rsid w:val="00C321C8"/>
    <w:rsid w:val="00C321FF"/>
    <w:rsid w:val="00C322EE"/>
    <w:rsid w:val="00C323C5"/>
    <w:rsid w:val="00C324CD"/>
    <w:rsid w:val="00C3250C"/>
    <w:rsid w:val="00C32616"/>
    <w:rsid w:val="00C32719"/>
    <w:rsid w:val="00C32770"/>
    <w:rsid w:val="00C3279D"/>
    <w:rsid w:val="00C32840"/>
    <w:rsid w:val="00C329B5"/>
    <w:rsid w:val="00C32A59"/>
    <w:rsid w:val="00C32C4B"/>
    <w:rsid w:val="00C32C69"/>
    <w:rsid w:val="00C32F73"/>
    <w:rsid w:val="00C32F8D"/>
    <w:rsid w:val="00C32FBB"/>
    <w:rsid w:val="00C3301B"/>
    <w:rsid w:val="00C331B9"/>
    <w:rsid w:val="00C33264"/>
    <w:rsid w:val="00C33267"/>
    <w:rsid w:val="00C335B2"/>
    <w:rsid w:val="00C335D9"/>
    <w:rsid w:val="00C33677"/>
    <w:rsid w:val="00C33760"/>
    <w:rsid w:val="00C337BF"/>
    <w:rsid w:val="00C338C9"/>
    <w:rsid w:val="00C33962"/>
    <w:rsid w:val="00C339F8"/>
    <w:rsid w:val="00C33A38"/>
    <w:rsid w:val="00C33B32"/>
    <w:rsid w:val="00C33B5C"/>
    <w:rsid w:val="00C33D17"/>
    <w:rsid w:val="00C33E13"/>
    <w:rsid w:val="00C33E27"/>
    <w:rsid w:val="00C33E44"/>
    <w:rsid w:val="00C33F19"/>
    <w:rsid w:val="00C34011"/>
    <w:rsid w:val="00C34115"/>
    <w:rsid w:val="00C341EB"/>
    <w:rsid w:val="00C34213"/>
    <w:rsid w:val="00C342DC"/>
    <w:rsid w:val="00C34338"/>
    <w:rsid w:val="00C34441"/>
    <w:rsid w:val="00C34478"/>
    <w:rsid w:val="00C34501"/>
    <w:rsid w:val="00C3453A"/>
    <w:rsid w:val="00C34543"/>
    <w:rsid w:val="00C346A1"/>
    <w:rsid w:val="00C34727"/>
    <w:rsid w:val="00C3481B"/>
    <w:rsid w:val="00C348B8"/>
    <w:rsid w:val="00C349ED"/>
    <w:rsid w:val="00C34AB3"/>
    <w:rsid w:val="00C34B12"/>
    <w:rsid w:val="00C34B8F"/>
    <w:rsid w:val="00C34C3B"/>
    <w:rsid w:val="00C34CB5"/>
    <w:rsid w:val="00C34E78"/>
    <w:rsid w:val="00C34F68"/>
    <w:rsid w:val="00C34F7C"/>
    <w:rsid w:val="00C34F9F"/>
    <w:rsid w:val="00C3506D"/>
    <w:rsid w:val="00C350DC"/>
    <w:rsid w:val="00C3522F"/>
    <w:rsid w:val="00C35242"/>
    <w:rsid w:val="00C352B0"/>
    <w:rsid w:val="00C35308"/>
    <w:rsid w:val="00C35391"/>
    <w:rsid w:val="00C353A3"/>
    <w:rsid w:val="00C353DF"/>
    <w:rsid w:val="00C3543E"/>
    <w:rsid w:val="00C35491"/>
    <w:rsid w:val="00C3551E"/>
    <w:rsid w:val="00C355B2"/>
    <w:rsid w:val="00C355D9"/>
    <w:rsid w:val="00C355E7"/>
    <w:rsid w:val="00C3561B"/>
    <w:rsid w:val="00C356E1"/>
    <w:rsid w:val="00C35872"/>
    <w:rsid w:val="00C3587B"/>
    <w:rsid w:val="00C35915"/>
    <w:rsid w:val="00C35944"/>
    <w:rsid w:val="00C359D5"/>
    <w:rsid w:val="00C35B33"/>
    <w:rsid w:val="00C35BD6"/>
    <w:rsid w:val="00C35C09"/>
    <w:rsid w:val="00C35C32"/>
    <w:rsid w:val="00C35CDA"/>
    <w:rsid w:val="00C35CEB"/>
    <w:rsid w:val="00C35D13"/>
    <w:rsid w:val="00C35F75"/>
    <w:rsid w:val="00C360C5"/>
    <w:rsid w:val="00C360CB"/>
    <w:rsid w:val="00C360E0"/>
    <w:rsid w:val="00C36137"/>
    <w:rsid w:val="00C3613C"/>
    <w:rsid w:val="00C36245"/>
    <w:rsid w:val="00C362DE"/>
    <w:rsid w:val="00C36319"/>
    <w:rsid w:val="00C363D2"/>
    <w:rsid w:val="00C364A0"/>
    <w:rsid w:val="00C364F7"/>
    <w:rsid w:val="00C36573"/>
    <w:rsid w:val="00C36613"/>
    <w:rsid w:val="00C36662"/>
    <w:rsid w:val="00C366B0"/>
    <w:rsid w:val="00C368EF"/>
    <w:rsid w:val="00C36951"/>
    <w:rsid w:val="00C36A36"/>
    <w:rsid w:val="00C36A75"/>
    <w:rsid w:val="00C36AC1"/>
    <w:rsid w:val="00C36B0B"/>
    <w:rsid w:val="00C36DAF"/>
    <w:rsid w:val="00C36E2C"/>
    <w:rsid w:val="00C36EB2"/>
    <w:rsid w:val="00C36EE6"/>
    <w:rsid w:val="00C36F06"/>
    <w:rsid w:val="00C36F54"/>
    <w:rsid w:val="00C36F65"/>
    <w:rsid w:val="00C36F8E"/>
    <w:rsid w:val="00C37023"/>
    <w:rsid w:val="00C37086"/>
    <w:rsid w:val="00C37094"/>
    <w:rsid w:val="00C370DF"/>
    <w:rsid w:val="00C370E5"/>
    <w:rsid w:val="00C37334"/>
    <w:rsid w:val="00C37381"/>
    <w:rsid w:val="00C37597"/>
    <w:rsid w:val="00C375F4"/>
    <w:rsid w:val="00C376D1"/>
    <w:rsid w:val="00C3781E"/>
    <w:rsid w:val="00C37888"/>
    <w:rsid w:val="00C378B7"/>
    <w:rsid w:val="00C37986"/>
    <w:rsid w:val="00C37987"/>
    <w:rsid w:val="00C37B13"/>
    <w:rsid w:val="00C37C13"/>
    <w:rsid w:val="00C37CEA"/>
    <w:rsid w:val="00C37DD3"/>
    <w:rsid w:val="00C3B17F"/>
    <w:rsid w:val="00C4004D"/>
    <w:rsid w:val="00C40135"/>
    <w:rsid w:val="00C40240"/>
    <w:rsid w:val="00C40246"/>
    <w:rsid w:val="00C402B3"/>
    <w:rsid w:val="00C402BB"/>
    <w:rsid w:val="00C40355"/>
    <w:rsid w:val="00C40392"/>
    <w:rsid w:val="00C4044F"/>
    <w:rsid w:val="00C405C7"/>
    <w:rsid w:val="00C40605"/>
    <w:rsid w:val="00C40800"/>
    <w:rsid w:val="00C4082E"/>
    <w:rsid w:val="00C4083E"/>
    <w:rsid w:val="00C408B8"/>
    <w:rsid w:val="00C40901"/>
    <w:rsid w:val="00C40A0A"/>
    <w:rsid w:val="00C40AB3"/>
    <w:rsid w:val="00C40B86"/>
    <w:rsid w:val="00C40C54"/>
    <w:rsid w:val="00C40CD6"/>
    <w:rsid w:val="00C40EA9"/>
    <w:rsid w:val="00C41286"/>
    <w:rsid w:val="00C412DA"/>
    <w:rsid w:val="00C4130B"/>
    <w:rsid w:val="00C41326"/>
    <w:rsid w:val="00C4137C"/>
    <w:rsid w:val="00C41473"/>
    <w:rsid w:val="00C4153A"/>
    <w:rsid w:val="00C41622"/>
    <w:rsid w:val="00C41696"/>
    <w:rsid w:val="00C416CE"/>
    <w:rsid w:val="00C41781"/>
    <w:rsid w:val="00C41991"/>
    <w:rsid w:val="00C41A1D"/>
    <w:rsid w:val="00C41AA9"/>
    <w:rsid w:val="00C41B65"/>
    <w:rsid w:val="00C41BA0"/>
    <w:rsid w:val="00C41BDF"/>
    <w:rsid w:val="00C41C6D"/>
    <w:rsid w:val="00C41CA7"/>
    <w:rsid w:val="00C41D61"/>
    <w:rsid w:val="00C41E94"/>
    <w:rsid w:val="00C41EAD"/>
    <w:rsid w:val="00C42054"/>
    <w:rsid w:val="00C42133"/>
    <w:rsid w:val="00C4252F"/>
    <w:rsid w:val="00C42542"/>
    <w:rsid w:val="00C42598"/>
    <w:rsid w:val="00C42694"/>
    <w:rsid w:val="00C42749"/>
    <w:rsid w:val="00C4275B"/>
    <w:rsid w:val="00C42774"/>
    <w:rsid w:val="00C427E7"/>
    <w:rsid w:val="00C4285A"/>
    <w:rsid w:val="00C428E8"/>
    <w:rsid w:val="00C428EA"/>
    <w:rsid w:val="00C4294B"/>
    <w:rsid w:val="00C42AD4"/>
    <w:rsid w:val="00C42B1A"/>
    <w:rsid w:val="00C42B23"/>
    <w:rsid w:val="00C42BE8"/>
    <w:rsid w:val="00C42C2D"/>
    <w:rsid w:val="00C42D63"/>
    <w:rsid w:val="00C42E59"/>
    <w:rsid w:val="00C42ED8"/>
    <w:rsid w:val="00C4314D"/>
    <w:rsid w:val="00C432F5"/>
    <w:rsid w:val="00C434A5"/>
    <w:rsid w:val="00C4357E"/>
    <w:rsid w:val="00C4365F"/>
    <w:rsid w:val="00C436DB"/>
    <w:rsid w:val="00C436F7"/>
    <w:rsid w:val="00C4380D"/>
    <w:rsid w:val="00C438B9"/>
    <w:rsid w:val="00C43A0F"/>
    <w:rsid w:val="00C43A11"/>
    <w:rsid w:val="00C43ADA"/>
    <w:rsid w:val="00C43B2A"/>
    <w:rsid w:val="00C43B97"/>
    <w:rsid w:val="00C43BC9"/>
    <w:rsid w:val="00C43BCC"/>
    <w:rsid w:val="00C43CB0"/>
    <w:rsid w:val="00C43D3E"/>
    <w:rsid w:val="00C43D66"/>
    <w:rsid w:val="00C43DDA"/>
    <w:rsid w:val="00C43EA4"/>
    <w:rsid w:val="00C43EFA"/>
    <w:rsid w:val="00C43F67"/>
    <w:rsid w:val="00C43FC2"/>
    <w:rsid w:val="00C43FF7"/>
    <w:rsid w:val="00C44035"/>
    <w:rsid w:val="00C4408B"/>
    <w:rsid w:val="00C4412A"/>
    <w:rsid w:val="00C4422D"/>
    <w:rsid w:val="00C44262"/>
    <w:rsid w:val="00C442C2"/>
    <w:rsid w:val="00C443DE"/>
    <w:rsid w:val="00C4443E"/>
    <w:rsid w:val="00C444A3"/>
    <w:rsid w:val="00C444A5"/>
    <w:rsid w:val="00C444E8"/>
    <w:rsid w:val="00C44586"/>
    <w:rsid w:val="00C445EE"/>
    <w:rsid w:val="00C445F1"/>
    <w:rsid w:val="00C447B0"/>
    <w:rsid w:val="00C4487A"/>
    <w:rsid w:val="00C448B4"/>
    <w:rsid w:val="00C448DF"/>
    <w:rsid w:val="00C449F5"/>
    <w:rsid w:val="00C44B19"/>
    <w:rsid w:val="00C44BF1"/>
    <w:rsid w:val="00C44D29"/>
    <w:rsid w:val="00C44D50"/>
    <w:rsid w:val="00C44D6D"/>
    <w:rsid w:val="00C44D7F"/>
    <w:rsid w:val="00C44F4B"/>
    <w:rsid w:val="00C44FA0"/>
    <w:rsid w:val="00C44FA6"/>
    <w:rsid w:val="00C45028"/>
    <w:rsid w:val="00C45037"/>
    <w:rsid w:val="00C45048"/>
    <w:rsid w:val="00C45255"/>
    <w:rsid w:val="00C452E9"/>
    <w:rsid w:val="00C45339"/>
    <w:rsid w:val="00C45486"/>
    <w:rsid w:val="00C45663"/>
    <w:rsid w:val="00C4573D"/>
    <w:rsid w:val="00C45890"/>
    <w:rsid w:val="00C459D1"/>
    <w:rsid w:val="00C45A08"/>
    <w:rsid w:val="00C45BD3"/>
    <w:rsid w:val="00C45C6A"/>
    <w:rsid w:val="00C45E1E"/>
    <w:rsid w:val="00C45FD4"/>
    <w:rsid w:val="00C460A7"/>
    <w:rsid w:val="00C460F1"/>
    <w:rsid w:val="00C461BF"/>
    <w:rsid w:val="00C461DF"/>
    <w:rsid w:val="00C46498"/>
    <w:rsid w:val="00C464AE"/>
    <w:rsid w:val="00C464BF"/>
    <w:rsid w:val="00C467E0"/>
    <w:rsid w:val="00C46825"/>
    <w:rsid w:val="00C4683E"/>
    <w:rsid w:val="00C46949"/>
    <w:rsid w:val="00C4697F"/>
    <w:rsid w:val="00C46A11"/>
    <w:rsid w:val="00C46AA4"/>
    <w:rsid w:val="00C46ACB"/>
    <w:rsid w:val="00C46B3E"/>
    <w:rsid w:val="00C46B84"/>
    <w:rsid w:val="00C46C15"/>
    <w:rsid w:val="00C46DB2"/>
    <w:rsid w:val="00C46E38"/>
    <w:rsid w:val="00C46EE3"/>
    <w:rsid w:val="00C46FDA"/>
    <w:rsid w:val="00C47153"/>
    <w:rsid w:val="00C4723B"/>
    <w:rsid w:val="00C47252"/>
    <w:rsid w:val="00C47453"/>
    <w:rsid w:val="00C47464"/>
    <w:rsid w:val="00C474A8"/>
    <w:rsid w:val="00C47520"/>
    <w:rsid w:val="00C475E1"/>
    <w:rsid w:val="00C4773F"/>
    <w:rsid w:val="00C47798"/>
    <w:rsid w:val="00C477E1"/>
    <w:rsid w:val="00C478DE"/>
    <w:rsid w:val="00C47982"/>
    <w:rsid w:val="00C47AEB"/>
    <w:rsid w:val="00C47B28"/>
    <w:rsid w:val="00C47BA7"/>
    <w:rsid w:val="00C47BF4"/>
    <w:rsid w:val="00C47C4C"/>
    <w:rsid w:val="00C47CDF"/>
    <w:rsid w:val="00C47F29"/>
    <w:rsid w:val="00C47FF5"/>
    <w:rsid w:val="00C50036"/>
    <w:rsid w:val="00C501EC"/>
    <w:rsid w:val="00C50258"/>
    <w:rsid w:val="00C50290"/>
    <w:rsid w:val="00C503F1"/>
    <w:rsid w:val="00C504C1"/>
    <w:rsid w:val="00C50595"/>
    <w:rsid w:val="00C5062B"/>
    <w:rsid w:val="00C50763"/>
    <w:rsid w:val="00C5078C"/>
    <w:rsid w:val="00C507E8"/>
    <w:rsid w:val="00C50BC5"/>
    <w:rsid w:val="00C50CCB"/>
    <w:rsid w:val="00C50CEE"/>
    <w:rsid w:val="00C50DDB"/>
    <w:rsid w:val="00C50EF2"/>
    <w:rsid w:val="00C50F23"/>
    <w:rsid w:val="00C50F76"/>
    <w:rsid w:val="00C50F8E"/>
    <w:rsid w:val="00C50FDF"/>
    <w:rsid w:val="00C5101D"/>
    <w:rsid w:val="00C5109A"/>
    <w:rsid w:val="00C510BD"/>
    <w:rsid w:val="00C51190"/>
    <w:rsid w:val="00C51230"/>
    <w:rsid w:val="00C512C3"/>
    <w:rsid w:val="00C51348"/>
    <w:rsid w:val="00C51406"/>
    <w:rsid w:val="00C51662"/>
    <w:rsid w:val="00C517EB"/>
    <w:rsid w:val="00C518C2"/>
    <w:rsid w:val="00C51918"/>
    <w:rsid w:val="00C51920"/>
    <w:rsid w:val="00C51A27"/>
    <w:rsid w:val="00C51C7B"/>
    <w:rsid w:val="00C51D82"/>
    <w:rsid w:val="00C51ED0"/>
    <w:rsid w:val="00C51ED9"/>
    <w:rsid w:val="00C520C2"/>
    <w:rsid w:val="00C520C4"/>
    <w:rsid w:val="00C5225E"/>
    <w:rsid w:val="00C522B9"/>
    <w:rsid w:val="00C5248F"/>
    <w:rsid w:val="00C524B9"/>
    <w:rsid w:val="00C5251C"/>
    <w:rsid w:val="00C5261C"/>
    <w:rsid w:val="00C52662"/>
    <w:rsid w:val="00C5274E"/>
    <w:rsid w:val="00C527A3"/>
    <w:rsid w:val="00C527E1"/>
    <w:rsid w:val="00C5287A"/>
    <w:rsid w:val="00C5288F"/>
    <w:rsid w:val="00C528E6"/>
    <w:rsid w:val="00C52A0E"/>
    <w:rsid w:val="00C52AD3"/>
    <w:rsid w:val="00C52B10"/>
    <w:rsid w:val="00C52CA4"/>
    <w:rsid w:val="00C52D64"/>
    <w:rsid w:val="00C52E9E"/>
    <w:rsid w:val="00C52EBE"/>
    <w:rsid w:val="00C52EDF"/>
    <w:rsid w:val="00C53110"/>
    <w:rsid w:val="00C53113"/>
    <w:rsid w:val="00C53159"/>
    <w:rsid w:val="00C5319D"/>
    <w:rsid w:val="00C531D8"/>
    <w:rsid w:val="00C532AF"/>
    <w:rsid w:val="00C532F6"/>
    <w:rsid w:val="00C5337F"/>
    <w:rsid w:val="00C534F1"/>
    <w:rsid w:val="00C53510"/>
    <w:rsid w:val="00C535BE"/>
    <w:rsid w:val="00C536BE"/>
    <w:rsid w:val="00C537D0"/>
    <w:rsid w:val="00C537D7"/>
    <w:rsid w:val="00C53801"/>
    <w:rsid w:val="00C53988"/>
    <w:rsid w:val="00C539F6"/>
    <w:rsid w:val="00C53A0D"/>
    <w:rsid w:val="00C53A44"/>
    <w:rsid w:val="00C53A91"/>
    <w:rsid w:val="00C53AD9"/>
    <w:rsid w:val="00C53B24"/>
    <w:rsid w:val="00C53C0A"/>
    <w:rsid w:val="00C53CEB"/>
    <w:rsid w:val="00C53D2A"/>
    <w:rsid w:val="00C53E2B"/>
    <w:rsid w:val="00C53F44"/>
    <w:rsid w:val="00C53F72"/>
    <w:rsid w:val="00C53FAB"/>
    <w:rsid w:val="00C54068"/>
    <w:rsid w:val="00C54372"/>
    <w:rsid w:val="00C5445C"/>
    <w:rsid w:val="00C544E4"/>
    <w:rsid w:val="00C54546"/>
    <w:rsid w:val="00C54577"/>
    <w:rsid w:val="00C5464C"/>
    <w:rsid w:val="00C547C1"/>
    <w:rsid w:val="00C54846"/>
    <w:rsid w:val="00C548D4"/>
    <w:rsid w:val="00C549A7"/>
    <w:rsid w:val="00C549ED"/>
    <w:rsid w:val="00C54A69"/>
    <w:rsid w:val="00C54AEF"/>
    <w:rsid w:val="00C54D64"/>
    <w:rsid w:val="00C54D98"/>
    <w:rsid w:val="00C54EF3"/>
    <w:rsid w:val="00C54FAE"/>
    <w:rsid w:val="00C55021"/>
    <w:rsid w:val="00C550B4"/>
    <w:rsid w:val="00C55131"/>
    <w:rsid w:val="00C551F5"/>
    <w:rsid w:val="00C5533D"/>
    <w:rsid w:val="00C55345"/>
    <w:rsid w:val="00C55588"/>
    <w:rsid w:val="00C5558F"/>
    <w:rsid w:val="00C55590"/>
    <w:rsid w:val="00C55651"/>
    <w:rsid w:val="00C55708"/>
    <w:rsid w:val="00C55807"/>
    <w:rsid w:val="00C558A2"/>
    <w:rsid w:val="00C558AF"/>
    <w:rsid w:val="00C55A1F"/>
    <w:rsid w:val="00C55B99"/>
    <w:rsid w:val="00C55C4E"/>
    <w:rsid w:val="00C55CA0"/>
    <w:rsid w:val="00C55DED"/>
    <w:rsid w:val="00C55EC9"/>
    <w:rsid w:val="00C55EF2"/>
    <w:rsid w:val="00C56056"/>
    <w:rsid w:val="00C560AC"/>
    <w:rsid w:val="00C560EB"/>
    <w:rsid w:val="00C56196"/>
    <w:rsid w:val="00C56382"/>
    <w:rsid w:val="00C5639F"/>
    <w:rsid w:val="00C563DF"/>
    <w:rsid w:val="00C5647D"/>
    <w:rsid w:val="00C564CE"/>
    <w:rsid w:val="00C56510"/>
    <w:rsid w:val="00C56536"/>
    <w:rsid w:val="00C56617"/>
    <w:rsid w:val="00C5682C"/>
    <w:rsid w:val="00C56850"/>
    <w:rsid w:val="00C5698C"/>
    <w:rsid w:val="00C569EA"/>
    <w:rsid w:val="00C569EE"/>
    <w:rsid w:val="00C56AA5"/>
    <w:rsid w:val="00C56B09"/>
    <w:rsid w:val="00C56C44"/>
    <w:rsid w:val="00C56C46"/>
    <w:rsid w:val="00C56D5E"/>
    <w:rsid w:val="00C5700E"/>
    <w:rsid w:val="00C57020"/>
    <w:rsid w:val="00C570B9"/>
    <w:rsid w:val="00C57117"/>
    <w:rsid w:val="00C571CA"/>
    <w:rsid w:val="00C572D7"/>
    <w:rsid w:val="00C5736A"/>
    <w:rsid w:val="00C5739B"/>
    <w:rsid w:val="00C573D9"/>
    <w:rsid w:val="00C5761B"/>
    <w:rsid w:val="00C5772A"/>
    <w:rsid w:val="00C5772C"/>
    <w:rsid w:val="00C5773E"/>
    <w:rsid w:val="00C57897"/>
    <w:rsid w:val="00C5789D"/>
    <w:rsid w:val="00C578BE"/>
    <w:rsid w:val="00C579FF"/>
    <w:rsid w:val="00C57B80"/>
    <w:rsid w:val="00C57CD7"/>
    <w:rsid w:val="00C57D0D"/>
    <w:rsid w:val="00C57D71"/>
    <w:rsid w:val="00C57DEA"/>
    <w:rsid w:val="00C57DF6"/>
    <w:rsid w:val="00C57E7D"/>
    <w:rsid w:val="00C57E87"/>
    <w:rsid w:val="00C57EBE"/>
    <w:rsid w:val="00C57ECE"/>
    <w:rsid w:val="00C57EDF"/>
    <w:rsid w:val="00C60105"/>
    <w:rsid w:val="00C601E7"/>
    <w:rsid w:val="00C601F9"/>
    <w:rsid w:val="00C60369"/>
    <w:rsid w:val="00C603B1"/>
    <w:rsid w:val="00C603BD"/>
    <w:rsid w:val="00C60504"/>
    <w:rsid w:val="00C60544"/>
    <w:rsid w:val="00C60685"/>
    <w:rsid w:val="00C606A0"/>
    <w:rsid w:val="00C606DB"/>
    <w:rsid w:val="00C606FB"/>
    <w:rsid w:val="00C60777"/>
    <w:rsid w:val="00C607E2"/>
    <w:rsid w:val="00C60820"/>
    <w:rsid w:val="00C60965"/>
    <w:rsid w:val="00C60A56"/>
    <w:rsid w:val="00C60C84"/>
    <w:rsid w:val="00C60DF8"/>
    <w:rsid w:val="00C60E2F"/>
    <w:rsid w:val="00C60EFD"/>
    <w:rsid w:val="00C60F28"/>
    <w:rsid w:val="00C6108A"/>
    <w:rsid w:val="00C610DD"/>
    <w:rsid w:val="00C6115A"/>
    <w:rsid w:val="00C6119D"/>
    <w:rsid w:val="00C611EB"/>
    <w:rsid w:val="00C61369"/>
    <w:rsid w:val="00C61501"/>
    <w:rsid w:val="00C615B1"/>
    <w:rsid w:val="00C615D3"/>
    <w:rsid w:val="00C6164B"/>
    <w:rsid w:val="00C617A4"/>
    <w:rsid w:val="00C617AD"/>
    <w:rsid w:val="00C6186D"/>
    <w:rsid w:val="00C618EA"/>
    <w:rsid w:val="00C61983"/>
    <w:rsid w:val="00C619BA"/>
    <w:rsid w:val="00C619FF"/>
    <w:rsid w:val="00C61A16"/>
    <w:rsid w:val="00C61A57"/>
    <w:rsid w:val="00C61C91"/>
    <w:rsid w:val="00C61D36"/>
    <w:rsid w:val="00C61DE7"/>
    <w:rsid w:val="00C61E27"/>
    <w:rsid w:val="00C61F00"/>
    <w:rsid w:val="00C62014"/>
    <w:rsid w:val="00C62098"/>
    <w:rsid w:val="00C6209A"/>
    <w:rsid w:val="00C621D2"/>
    <w:rsid w:val="00C6231B"/>
    <w:rsid w:val="00C624C2"/>
    <w:rsid w:val="00C62548"/>
    <w:rsid w:val="00C6261E"/>
    <w:rsid w:val="00C6268B"/>
    <w:rsid w:val="00C6283E"/>
    <w:rsid w:val="00C6286C"/>
    <w:rsid w:val="00C62987"/>
    <w:rsid w:val="00C629C9"/>
    <w:rsid w:val="00C62A54"/>
    <w:rsid w:val="00C62A82"/>
    <w:rsid w:val="00C62B0D"/>
    <w:rsid w:val="00C62B77"/>
    <w:rsid w:val="00C62BB1"/>
    <w:rsid w:val="00C62BD7"/>
    <w:rsid w:val="00C62C9E"/>
    <w:rsid w:val="00C62DC3"/>
    <w:rsid w:val="00C62E87"/>
    <w:rsid w:val="00C62EA4"/>
    <w:rsid w:val="00C63161"/>
    <w:rsid w:val="00C631D1"/>
    <w:rsid w:val="00C63289"/>
    <w:rsid w:val="00C6330E"/>
    <w:rsid w:val="00C6338C"/>
    <w:rsid w:val="00C63423"/>
    <w:rsid w:val="00C63598"/>
    <w:rsid w:val="00C635AA"/>
    <w:rsid w:val="00C635C0"/>
    <w:rsid w:val="00C635D3"/>
    <w:rsid w:val="00C635E0"/>
    <w:rsid w:val="00C6363B"/>
    <w:rsid w:val="00C636E9"/>
    <w:rsid w:val="00C6374E"/>
    <w:rsid w:val="00C63768"/>
    <w:rsid w:val="00C637E1"/>
    <w:rsid w:val="00C637F2"/>
    <w:rsid w:val="00C637F5"/>
    <w:rsid w:val="00C63827"/>
    <w:rsid w:val="00C638E5"/>
    <w:rsid w:val="00C638FA"/>
    <w:rsid w:val="00C63978"/>
    <w:rsid w:val="00C639AB"/>
    <w:rsid w:val="00C63A99"/>
    <w:rsid w:val="00C63AC2"/>
    <w:rsid w:val="00C63B82"/>
    <w:rsid w:val="00C63BD2"/>
    <w:rsid w:val="00C63C7F"/>
    <w:rsid w:val="00C63C8A"/>
    <w:rsid w:val="00C63CED"/>
    <w:rsid w:val="00C63D28"/>
    <w:rsid w:val="00C63DD9"/>
    <w:rsid w:val="00C63E2A"/>
    <w:rsid w:val="00C63FA9"/>
    <w:rsid w:val="00C63FAF"/>
    <w:rsid w:val="00C64063"/>
    <w:rsid w:val="00C641CD"/>
    <w:rsid w:val="00C64261"/>
    <w:rsid w:val="00C6439E"/>
    <w:rsid w:val="00C64434"/>
    <w:rsid w:val="00C645A1"/>
    <w:rsid w:val="00C645A9"/>
    <w:rsid w:val="00C645AA"/>
    <w:rsid w:val="00C64649"/>
    <w:rsid w:val="00C646BA"/>
    <w:rsid w:val="00C646CF"/>
    <w:rsid w:val="00C646EE"/>
    <w:rsid w:val="00C64757"/>
    <w:rsid w:val="00C6484E"/>
    <w:rsid w:val="00C64889"/>
    <w:rsid w:val="00C648C6"/>
    <w:rsid w:val="00C648D1"/>
    <w:rsid w:val="00C649E1"/>
    <w:rsid w:val="00C64B43"/>
    <w:rsid w:val="00C64BDE"/>
    <w:rsid w:val="00C64C0B"/>
    <w:rsid w:val="00C64C2C"/>
    <w:rsid w:val="00C64C38"/>
    <w:rsid w:val="00C64D77"/>
    <w:rsid w:val="00C64F5D"/>
    <w:rsid w:val="00C65065"/>
    <w:rsid w:val="00C6507C"/>
    <w:rsid w:val="00C650FB"/>
    <w:rsid w:val="00C65203"/>
    <w:rsid w:val="00C65204"/>
    <w:rsid w:val="00C652E1"/>
    <w:rsid w:val="00C6534F"/>
    <w:rsid w:val="00C653E8"/>
    <w:rsid w:val="00C6541B"/>
    <w:rsid w:val="00C65427"/>
    <w:rsid w:val="00C65486"/>
    <w:rsid w:val="00C65532"/>
    <w:rsid w:val="00C65656"/>
    <w:rsid w:val="00C65855"/>
    <w:rsid w:val="00C659CD"/>
    <w:rsid w:val="00C659EC"/>
    <w:rsid w:val="00C659F2"/>
    <w:rsid w:val="00C65B42"/>
    <w:rsid w:val="00C65B6F"/>
    <w:rsid w:val="00C65CBE"/>
    <w:rsid w:val="00C65D85"/>
    <w:rsid w:val="00C65DF0"/>
    <w:rsid w:val="00C65E99"/>
    <w:rsid w:val="00C65EF7"/>
    <w:rsid w:val="00C660A0"/>
    <w:rsid w:val="00C66107"/>
    <w:rsid w:val="00C66113"/>
    <w:rsid w:val="00C6614B"/>
    <w:rsid w:val="00C661EB"/>
    <w:rsid w:val="00C6620C"/>
    <w:rsid w:val="00C6622A"/>
    <w:rsid w:val="00C66240"/>
    <w:rsid w:val="00C663CD"/>
    <w:rsid w:val="00C663FA"/>
    <w:rsid w:val="00C66456"/>
    <w:rsid w:val="00C664E8"/>
    <w:rsid w:val="00C665FE"/>
    <w:rsid w:val="00C66700"/>
    <w:rsid w:val="00C66716"/>
    <w:rsid w:val="00C667A7"/>
    <w:rsid w:val="00C6694A"/>
    <w:rsid w:val="00C6699B"/>
    <w:rsid w:val="00C669D0"/>
    <w:rsid w:val="00C669D6"/>
    <w:rsid w:val="00C66AB8"/>
    <w:rsid w:val="00C66B2C"/>
    <w:rsid w:val="00C66C2D"/>
    <w:rsid w:val="00C66CE8"/>
    <w:rsid w:val="00C66DC2"/>
    <w:rsid w:val="00C67047"/>
    <w:rsid w:val="00C670C3"/>
    <w:rsid w:val="00C6721F"/>
    <w:rsid w:val="00C6729F"/>
    <w:rsid w:val="00C674C9"/>
    <w:rsid w:val="00C674CA"/>
    <w:rsid w:val="00C67737"/>
    <w:rsid w:val="00C67833"/>
    <w:rsid w:val="00C6786F"/>
    <w:rsid w:val="00C678C2"/>
    <w:rsid w:val="00C67902"/>
    <w:rsid w:val="00C6793B"/>
    <w:rsid w:val="00C6793F"/>
    <w:rsid w:val="00C67969"/>
    <w:rsid w:val="00C679B6"/>
    <w:rsid w:val="00C679FB"/>
    <w:rsid w:val="00C67AA1"/>
    <w:rsid w:val="00C67AB1"/>
    <w:rsid w:val="00C67AD4"/>
    <w:rsid w:val="00C67ADB"/>
    <w:rsid w:val="00C67AE8"/>
    <w:rsid w:val="00C67CD4"/>
    <w:rsid w:val="00C67CF1"/>
    <w:rsid w:val="00C67D07"/>
    <w:rsid w:val="00C67E6E"/>
    <w:rsid w:val="00C67EF2"/>
    <w:rsid w:val="00C67F9C"/>
    <w:rsid w:val="00C700CB"/>
    <w:rsid w:val="00C70113"/>
    <w:rsid w:val="00C7021F"/>
    <w:rsid w:val="00C70273"/>
    <w:rsid w:val="00C7032C"/>
    <w:rsid w:val="00C70345"/>
    <w:rsid w:val="00C7034F"/>
    <w:rsid w:val="00C70395"/>
    <w:rsid w:val="00C703BF"/>
    <w:rsid w:val="00C70414"/>
    <w:rsid w:val="00C704D3"/>
    <w:rsid w:val="00C70525"/>
    <w:rsid w:val="00C705E8"/>
    <w:rsid w:val="00C70607"/>
    <w:rsid w:val="00C70674"/>
    <w:rsid w:val="00C70742"/>
    <w:rsid w:val="00C708A5"/>
    <w:rsid w:val="00C70B60"/>
    <w:rsid w:val="00C70D30"/>
    <w:rsid w:val="00C70E50"/>
    <w:rsid w:val="00C70F16"/>
    <w:rsid w:val="00C7102D"/>
    <w:rsid w:val="00C711A1"/>
    <w:rsid w:val="00C71253"/>
    <w:rsid w:val="00C7133F"/>
    <w:rsid w:val="00C71386"/>
    <w:rsid w:val="00C71459"/>
    <w:rsid w:val="00C714A0"/>
    <w:rsid w:val="00C714FC"/>
    <w:rsid w:val="00C7152D"/>
    <w:rsid w:val="00C7162A"/>
    <w:rsid w:val="00C71673"/>
    <w:rsid w:val="00C717AA"/>
    <w:rsid w:val="00C717FD"/>
    <w:rsid w:val="00C718CE"/>
    <w:rsid w:val="00C71AA1"/>
    <w:rsid w:val="00C71AFA"/>
    <w:rsid w:val="00C71F19"/>
    <w:rsid w:val="00C71F55"/>
    <w:rsid w:val="00C71FAD"/>
    <w:rsid w:val="00C71FE5"/>
    <w:rsid w:val="00C720F8"/>
    <w:rsid w:val="00C72384"/>
    <w:rsid w:val="00C723E9"/>
    <w:rsid w:val="00C72461"/>
    <w:rsid w:val="00C7253C"/>
    <w:rsid w:val="00C7254F"/>
    <w:rsid w:val="00C725CF"/>
    <w:rsid w:val="00C725F7"/>
    <w:rsid w:val="00C7265D"/>
    <w:rsid w:val="00C72686"/>
    <w:rsid w:val="00C727C9"/>
    <w:rsid w:val="00C72912"/>
    <w:rsid w:val="00C72B75"/>
    <w:rsid w:val="00C72BD4"/>
    <w:rsid w:val="00C72CD6"/>
    <w:rsid w:val="00C72D56"/>
    <w:rsid w:val="00C72DE3"/>
    <w:rsid w:val="00C72E5A"/>
    <w:rsid w:val="00C72FB6"/>
    <w:rsid w:val="00C7304B"/>
    <w:rsid w:val="00C730CC"/>
    <w:rsid w:val="00C731E0"/>
    <w:rsid w:val="00C73472"/>
    <w:rsid w:val="00C73585"/>
    <w:rsid w:val="00C7360B"/>
    <w:rsid w:val="00C73631"/>
    <w:rsid w:val="00C73637"/>
    <w:rsid w:val="00C73690"/>
    <w:rsid w:val="00C73720"/>
    <w:rsid w:val="00C73943"/>
    <w:rsid w:val="00C739AC"/>
    <w:rsid w:val="00C739C2"/>
    <w:rsid w:val="00C73ACB"/>
    <w:rsid w:val="00C73AD0"/>
    <w:rsid w:val="00C73B09"/>
    <w:rsid w:val="00C73B39"/>
    <w:rsid w:val="00C73B77"/>
    <w:rsid w:val="00C73B9E"/>
    <w:rsid w:val="00C73BE6"/>
    <w:rsid w:val="00C73CA1"/>
    <w:rsid w:val="00C73D12"/>
    <w:rsid w:val="00C73D7F"/>
    <w:rsid w:val="00C73D96"/>
    <w:rsid w:val="00C73F2D"/>
    <w:rsid w:val="00C73FB1"/>
    <w:rsid w:val="00C74032"/>
    <w:rsid w:val="00C7412D"/>
    <w:rsid w:val="00C7426A"/>
    <w:rsid w:val="00C7437A"/>
    <w:rsid w:val="00C74569"/>
    <w:rsid w:val="00C7466A"/>
    <w:rsid w:val="00C74673"/>
    <w:rsid w:val="00C746A9"/>
    <w:rsid w:val="00C7470A"/>
    <w:rsid w:val="00C747F7"/>
    <w:rsid w:val="00C74900"/>
    <w:rsid w:val="00C7490B"/>
    <w:rsid w:val="00C74921"/>
    <w:rsid w:val="00C74950"/>
    <w:rsid w:val="00C74974"/>
    <w:rsid w:val="00C74A88"/>
    <w:rsid w:val="00C74AA2"/>
    <w:rsid w:val="00C74BB8"/>
    <w:rsid w:val="00C74BDB"/>
    <w:rsid w:val="00C74D1C"/>
    <w:rsid w:val="00C74DB2"/>
    <w:rsid w:val="00C74DF6"/>
    <w:rsid w:val="00C74F38"/>
    <w:rsid w:val="00C74F5C"/>
    <w:rsid w:val="00C7503B"/>
    <w:rsid w:val="00C752DD"/>
    <w:rsid w:val="00C75330"/>
    <w:rsid w:val="00C754B8"/>
    <w:rsid w:val="00C754BA"/>
    <w:rsid w:val="00C7575C"/>
    <w:rsid w:val="00C7585D"/>
    <w:rsid w:val="00C75996"/>
    <w:rsid w:val="00C7599C"/>
    <w:rsid w:val="00C759E3"/>
    <w:rsid w:val="00C75A20"/>
    <w:rsid w:val="00C75A76"/>
    <w:rsid w:val="00C75AB3"/>
    <w:rsid w:val="00C75ACF"/>
    <w:rsid w:val="00C75AF9"/>
    <w:rsid w:val="00C75F85"/>
    <w:rsid w:val="00C75FE1"/>
    <w:rsid w:val="00C7617C"/>
    <w:rsid w:val="00C761E9"/>
    <w:rsid w:val="00C761F3"/>
    <w:rsid w:val="00C76272"/>
    <w:rsid w:val="00C762C8"/>
    <w:rsid w:val="00C764F3"/>
    <w:rsid w:val="00C7652E"/>
    <w:rsid w:val="00C76564"/>
    <w:rsid w:val="00C76568"/>
    <w:rsid w:val="00C765F8"/>
    <w:rsid w:val="00C76602"/>
    <w:rsid w:val="00C766BC"/>
    <w:rsid w:val="00C7676E"/>
    <w:rsid w:val="00C76777"/>
    <w:rsid w:val="00C76881"/>
    <w:rsid w:val="00C7699B"/>
    <w:rsid w:val="00C76A4E"/>
    <w:rsid w:val="00C76A9D"/>
    <w:rsid w:val="00C76BE8"/>
    <w:rsid w:val="00C76BF2"/>
    <w:rsid w:val="00C76E0D"/>
    <w:rsid w:val="00C76E4D"/>
    <w:rsid w:val="00C77248"/>
    <w:rsid w:val="00C773EE"/>
    <w:rsid w:val="00C773FE"/>
    <w:rsid w:val="00C7742B"/>
    <w:rsid w:val="00C77453"/>
    <w:rsid w:val="00C7748F"/>
    <w:rsid w:val="00C7756F"/>
    <w:rsid w:val="00C776C3"/>
    <w:rsid w:val="00C77774"/>
    <w:rsid w:val="00C7784D"/>
    <w:rsid w:val="00C778D5"/>
    <w:rsid w:val="00C779AC"/>
    <w:rsid w:val="00C77B08"/>
    <w:rsid w:val="00C77BBB"/>
    <w:rsid w:val="00C77C77"/>
    <w:rsid w:val="00C77CD2"/>
    <w:rsid w:val="00C77E0A"/>
    <w:rsid w:val="00C77E35"/>
    <w:rsid w:val="00C77ED7"/>
    <w:rsid w:val="00C77F0B"/>
    <w:rsid w:val="00C80082"/>
    <w:rsid w:val="00C8012E"/>
    <w:rsid w:val="00C8016C"/>
    <w:rsid w:val="00C8025E"/>
    <w:rsid w:val="00C8026F"/>
    <w:rsid w:val="00C802AD"/>
    <w:rsid w:val="00C8033C"/>
    <w:rsid w:val="00C8034E"/>
    <w:rsid w:val="00C80450"/>
    <w:rsid w:val="00C80658"/>
    <w:rsid w:val="00C806CB"/>
    <w:rsid w:val="00C80849"/>
    <w:rsid w:val="00C809AA"/>
    <w:rsid w:val="00C80ACF"/>
    <w:rsid w:val="00C80BBD"/>
    <w:rsid w:val="00C80CC1"/>
    <w:rsid w:val="00C80D1E"/>
    <w:rsid w:val="00C80E15"/>
    <w:rsid w:val="00C80EF3"/>
    <w:rsid w:val="00C80F12"/>
    <w:rsid w:val="00C81003"/>
    <w:rsid w:val="00C8101F"/>
    <w:rsid w:val="00C81093"/>
    <w:rsid w:val="00C81235"/>
    <w:rsid w:val="00C812B9"/>
    <w:rsid w:val="00C813C3"/>
    <w:rsid w:val="00C814C6"/>
    <w:rsid w:val="00C81531"/>
    <w:rsid w:val="00C816AB"/>
    <w:rsid w:val="00C816B3"/>
    <w:rsid w:val="00C81760"/>
    <w:rsid w:val="00C81797"/>
    <w:rsid w:val="00C817F3"/>
    <w:rsid w:val="00C818A6"/>
    <w:rsid w:val="00C818D4"/>
    <w:rsid w:val="00C81A16"/>
    <w:rsid w:val="00C81A6C"/>
    <w:rsid w:val="00C81A9E"/>
    <w:rsid w:val="00C81AC8"/>
    <w:rsid w:val="00C81C6F"/>
    <w:rsid w:val="00C81D0E"/>
    <w:rsid w:val="00C81D12"/>
    <w:rsid w:val="00C81E11"/>
    <w:rsid w:val="00C81E44"/>
    <w:rsid w:val="00C81F98"/>
    <w:rsid w:val="00C8200E"/>
    <w:rsid w:val="00C82046"/>
    <w:rsid w:val="00C82176"/>
    <w:rsid w:val="00C821C4"/>
    <w:rsid w:val="00C8230C"/>
    <w:rsid w:val="00C82394"/>
    <w:rsid w:val="00C823A2"/>
    <w:rsid w:val="00C82433"/>
    <w:rsid w:val="00C82435"/>
    <w:rsid w:val="00C82492"/>
    <w:rsid w:val="00C824A8"/>
    <w:rsid w:val="00C82549"/>
    <w:rsid w:val="00C825A0"/>
    <w:rsid w:val="00C82626"/>
    <w:rsid w:val="00C82671"/>
    <w:rsid w:val="00C826E9"/>
    <w:rsid w:val="00C826F6"/>
    <w:rsid w:val="00C82702"/>
    <w:rsid w:val="00C827EE"/>
    <w:rsid w:val="00C829BD"/>
    <w:rsid w:val="00C82D07"/>
    <w:rsid w:val="00C82D15"/>
    <w:rsid w:val="00C82D20"/>
    <w:rsid w:val="00C82D4D"/>
    <w:rsid w:val="00C82D9D"/>
    <w:rsid w:val="00C82E0F"/>
    <w:rsid w:val="00C82E25"/>
    <w:rsid w:val="00C82E2D"/>
    <w:rsid w:val="00C82EC8"/>
    <w:rsid w:val="00C82F09"/>
    <w:rsid w:val="00C82F49"/>
    <w:rsid w:val="00C82F5D"/>
    <w:rsid w:val="00C82F5E"/>
    <w:rsid w:val="00C82FD3"/>
    <w:rsid w:val="00C8304A"/>
    <w:rsid w:val="00C830E0"/>
    <w:rsid w:val="00C83160"/>
    <w:rsid w:val="00C8318D"/>
    <w:rsid w:val="00C833B0"/>
    <w:rsid w:val="00C833C0"/>
    <w:rsid w:val="00C83498"/>
    <w:rsid w:val="00C836DD"/>
    <w:rsid w:val="00C8373D"/>
    <w:rsid w:val="00C83792"/>
    <w:rsid w:val="00C8388C"/>
    <w:rsid w:val="00C839CD"/>
    <w:rsid w:val="00C839E4"/>
    <w:rsid w:val="00C83A4A"/>
    <w:rsid w:val="00C83A52"/>
    <w:rsid w:val="00C83A93"/>
    <w:rsid w:val="00C83B89"/>
    <w:rsid w:val="00C83B8D"/>
    <w:rsid w:val="00C83C61"/>
    <w:rsid w:val="00C83C9E"/>
    <w:rsid w:val="00C83CF9"/>
    <w:rsid w:val="00C83D6E"/>
    <w:rsid w:val="00C83D74"/>
    <w:rsid w:val="00C83FAF"/>
    <w:rsid w:val="00C84002"/>
    <w:rsid w:val="00C84023"/>
    <w:rsid w:val="00C84035"/>
    <w:rsid w:val="00C8407E"/>
    <w:rsid w:val="00C840FD"/>
    <w:rsid w:val="00C8411F"/>
    <w:rsid w:val="00C8416E"/>
    <w:rsid w:val="00C842A9"/>
    <w:rsid w:val="00C84315"/>
    <w:rsid w:val="00C843FB"/>
    <w:rsid w:val="00C844D2"/>
    <w:rsid w:val="00C84508"/>
    <w:rsid w:val="00C845F6"/>
    <w:rsid w:val="00C84804"/>
    <w:rsid w:val="00C84831"/>
    <w:rsid w:val="00C84922"/>
    <w:rsid w:val="00C84977"/>
    <w:rsid w:val="00C849E0"/>
    <w:rsid w:val="00C84A16"/>
    <w:rsid w:val="00C84A75"/>
    <w:rsid w:val="00C84A79"/>
    <w:rsid w:val="00C84A8E"/>
    <w:rsid w:val="00C84ACB"/>
    <w:rsid w:val="00C84B56"/>
    <w:rsid w:val="00C84EED"/>
    <w:rsid w:val="00C85029"/>
    <w:rsid w:val="00C85090"/>
    <w:rsid w:val="00C850E2"/>
    <w:rsid w:val="00C85150"/>
    <w:rsid w:val="00C85166"/>
    <w:rsid w:val="00C85277"/>
    <w:rsid w:val="00C8536A"/>
    <w:rsid w:val="00C8573B"/>
    <w:rsid w:val="00C85840"/>
    <w:rsid w:val="00C858B9"/>
    <w:rsid w:val="00C8596B"/>
    <w:rsid w:val="00C859D5"/>
    <w:rsid w:val="00C85A54"/>
    <w:rsid w:val="00C85A81"/>
    <w:rsid w:val="00C85C7E"/>
    <w:rsid w:val="00C85CF7"/>
    <w:rsid w:val="00C85DD9"/>
    <w:rsid w:val="00C85DDF"/>
    <w:rsid w:val="00C85EAC"/>
    <w:rsid w:val="00C85EB8"/>
    <w:rsid w:val="00C85F34"/>
    <w:rsid w:val="00C85FA9"/>
    <w:rsid w:val="00C860BF"/>
    <w:rsid w:val="00C86155"/>
    <w:rsid w:val="00C861A4"/>
    <w:rsid w:val="00C861DB"/>
    <w:rsid w:val="00C86214"/>
    <w:rsid w:val="00C8625F"/>
    <w:rsid w:val="00C862D7"/>
    <w:rsid w:val="00C862F9"/>
    <w:rsid w:val="00C8632C"/>
    <w:rsid w:val="00C863CF"/>
    <w:rsid w:val="00C863FA"/>
    <w:rsid w:val="00C86491"/>
    <w:rsid w:val="00C86835"/>
    <w:rsid w:val="00C86890"/>
    <w:rsid w:val="00C869E0"/>
    <w:rsid w:val="00C86D3E"/>
    <w:rsid w:val="00C86D7A"/>
    <w:rsid w:val="00C86E89"/>
    <w:rsid w:val="00C86E91"/>
    <w:rsid w:val="00C86F71"/>
    <w:rsid w:val="00C8701E"/>
    <w:rsid w:val="00C870B6"/>
    <w:rsid w:val="00C8719C"/>
    <w:rsid w:val="00C872F0"/>
    <w:rsid w:val="00C87430"/>
    <w:rsid w:val="00C87467"/>
    <w:rsid w:val="00C874FD"/>
    <w:rsid w:val="00C87549"/>
    <w:rsid w:val="00C87559"/>
    <w:rsid w:val="00C875D0"/>
    <w:rsid w:val="00C878B2"/>
    <w:rsid w:val="00C87997"/>
    <w:rsid w:val="00C87AD7"/>
    <w:rsid w:val="00C87C13"/>
    <w:rsid w:val="00C87C5B"/>
    <w:rsid w:val="00C87CD7"/>
    <w:rsid w:val="00C87D29"/>
    <w:rsid w:val="00C87E17"/>
    <w:rsid w:val="00C87E8C"/>
    <w:rsid w:val="00C87F10"/>
    <w:rsid w:val="00C90188"/>
    <w:rsid w:val="00C901D4"/>
    <w:rsid w:val="00C90220"/>
    <w:rsid w:val="00C9035B"/>
    <w:rsid w:val="00C90371"/>
    <w:rsid w:val="00C903B4"/>
    <w:rsid w:val="00C9048A"/>
    <w:rsid w:val="00C90651"/>
    <w:rsid w:val="00C90810"/>
    <w:rsid w:val="00C908EA"/>
    <w:rsid w:val="00C908F8"/>
    <w:rsid w:val="00C90905"/>
    <w:rsid w:val="00C90993"/>
    <w:rsid w:val="00C90A2D"/>
    <w:rsid w:val="00C90A93"/>
    <w:rsid w:val="00C90C5E"/>
    <w:rsid w:val="00C90D45"/>
    <w:rsid w:val="00C90EBC"/>
    <w:rsid w:val="00C90FE5"/>
    <w:rsid w:val="00C9102A"/>
    <w:rsid w:val="00C91052"/>
    <w:rsid w:val="00C910FA"/>
    <w:rsid w:val="00C91152"/>
    <w:rsid w:val="00C912A4"/>
    <w:rsid w:val="00C91394"/>
    <w:rsid w:val="00C91414"/>
    <w:rsid w:val="00C91452"/>
    <w:rsid w:val="00C914A9"/>
    <w:rsid w:val="00C9150B"/>
    <w:rsid w:val="00C916FB"/>
    <w:rsid w:val="00C919F8"/>
    <w:rsid w:val="00C919FD"/>
    <w:rsid w:val="00C91A13"/>
    <w:rsid w:val="00C91B44"/>
    <w:rsid w:val="00C91BD3"/>
    <w:rsid w:val="00C91C98"/>
    <w:rsid w:val="00C91CBF"/>
    <w:rsid w:val="00C91D7C"/>
    <w:rsid w:val="00C91F0F"/>
    <w:rsid w:val="00C92040"/>
    <w:rsid w:val="00C92073"/>
    <w:rsid w:val="00C921B9"/>
    <w:rsid w:val="00C9227C"/>
    <w:rsid w:val="00C9238D"/>
    <w:rsid w:val="00C92560"/>
    <w:rsid w:val="00C92603"/>
    <w:rsid w:val="00C92631"/>
    <w:rsid w:val="00C926CE"/>
    <w:rsid w:val="00C9287A"/>
    <w:rsid w:val="00C92952"/>
    <w:rsid w:val="00C929E5"/>
    <w:rsid w:val="00C92A8A"/>
    <w:rsid w:val="00C92ACE"/>
    <w:rsid w:val="00C92B2F"/>
    <w:rsid w:val="00C92B98"/>
    <w:rsid w:val="00C92BFF"/>
    <w:rsid w:val="00C92C0E"/>
    <w:rsid w:val="00C92C95"/>
    <w:rsid w:val="00C92EC4"/>
    <w:rsid w:val="00C92ED0"/>
    <w:rsid w:val="00C92F13"/>
    <w:rsid w:val="00C92F1C"/>
    <w:rsid w:val="00C92F56"/>
    <w:rsid w:val="00C92FF3"/>
    <w:rsid w:val="00C93340"/>
    <w:rsid w:val="00C9345E"/>
    <w:rsid w:val="00C93586"/>
    <w:rsid w:val="00C935D3"/>
    <w:rsid w:val="00C93612"/>
    <w:rsid w:val="00C9367F"/>
    <w:rsid w:val="00C9377D"/>
    <w:rsid w:val="00C9399D"/>
    <w:rsid w:val="00C93A20"/>
    <w:rsid w:val="00C93AB1"/>
    <w:rsid w:val="00C93AFE"/>
    <w:rsid w:val="00C93CC0"/>
    <w:rsid w:val="00C93ED0"/>
    <w:rsid w:val="00C93F82"/>
    <w:rsid w:val="00C9406D"/>
    <w:rsid w:val="00C94109"/>
    <w:rsid w:val="00C94123"/>
    <w:rsid w:val="00C9413D"/>
    <w:rsid w:val="00C94288"/>
    <w:rsid w:val="00C94349"/>
    <w:rsid w:val="00C94384"/>
    <w:rsid w:val="00C94444"/>
    <w:rsid w:val="00C94692"/>
    <w:rsid w:val="00C946B5"/>
    <w:rsid w:val="00C947BD"/>
    <w:rsid w:val="00C94874"/>
    <w:rsid w:val="00C94947"/>
    <w:rsid w:val="00C9498D"/>
    <w:rsid w:val="00C949CC"/>
    <w:rsid w:val="00C949CD"/>
    <w:rsid w:val="00C949F0"/>
    <w:rsid w:val="00C94BAD"/>
    <w:rsid w:val="00C94BAF"/>
    <w:rsid w:val="00C94CA3"/>
    <w:rsid w:val="00C94D1E"/>
    <w:rsid w:val="00C94E26"/>
    <w:rsid w:val="00C94E57"/>
    <w:rsid w:val="00C94EA1"/>
    <w:rsid w:val="00C9504D"/>
    <w:rsid w:val="00C95291"/>
    <w:rsid w:val="00C952D1"/>
    <w:rsid w:val="00C95302"/>
    <w:rsid w:val="00C95346"/>
    <w:rsid w:val="00C95350"/>
    <w:rsid w:val="00C95356"/>
    <w:rsid w:val="00C9545A"/>
    <w:rsid w:val="00C9546C"/>
    <w:rsid w:val="00C954D2"/>
    <w:rsid w:val="00C95510"/>
    <w:rsid w:val="00C95688"/>
    <w:rsid w:val="00C956F6"/>
    <w:rsid w:val="00C95706"/>
    <w:rsid w:val="00C9571A"/>
    <w:rsid w:val="00C95735"/>
    <w:rsid w:val="00C9577E"/>
    <w:rsid w:val="00C957BF"/>
    <w:rsid w:val="00C958BB"/>
    <w:rsid w:val="00C9593E"/>
    <w:rsid w:val="00C959B2"/>
    <w:rsid w:val="00C959DC"/>
    <w:rsid w:val="00C95B2E"/>
    <w:rsid w:val="00C95B53"/>
    <w:rsid w:val="00C95C5E"/>
    <w:rsid w:val="00C95CBD"/>
    <w:rsid w:val="00C95E43"/>
    <w:rsid w:val="00C95E62"/>
    <w:rsid w:val="00C95E8F"/>
    <w:rsid w:val="00C95EBF"/>
    <w:rsid w:val="00C9607A"/>
    <w:rsid w:val="00C9608A"/>
    <w:rsid w:val="00C96095"/>
    <w:rsid w:val="00C96109"/>
    <w:rsid w:val="00C9617E"/>
    <w:rsid w:val="00C96199"/>
    <w:rsid w:val="00C961B4"/>
    <w:rsid w:val="00C96246"/>
    <w:rsid w:val="00C9632A"/>
    <w:rsid w:val="00C9638C"/>
    <w:rsid w:val="00C965C3"/>
    <w:rsid w:val="00C965F1"/>
    <w:rsid w:val="00C9661E"/>
    <w:rsid w:val="00C96624"/>
    <w:rsid w:val="00C966D6"/>
    <w:rsid w:val="00C966F0"/>
    <w:rsid w:val="00C9681E"/>
    <w:rsid w:val="00C968B5"/>
    <w:rsid w:val="00C968E3"/>
    <w:rsid w:val="00C96A4A"/>
    <w:rsid w:val="00C96BF5"/>
    <w:rsid w:val="00C96C38"/>
    <w:rsid w:val="00C96CA6"/>
    <w:rsid w:val="00C96D57"/>
    <w:rsid w:val="00C96E18"/>
    <w:rsid w:val="00C96EB9"/>
    <w:rsid w:val="00C96EBA"/>
    <w:rsid w:val="00C96F0F"/>
    <w:rsid w:val="00C96FF7"/>
    <w:rsid w:val="00C9702A"/>
    <w:rsid w:val="00C97065"/>
    <w:rsid w:val="00C9707C"/>
    <w:rsid w:val="00C970FA"/>
    <w:rsid w:val="00C97117"/>
    <w:rsid w:val="00C972BC"/>
    <w:rsid w:val="00C972E5"/>
    <w:rsid w:val="00C97494"/>
    <w:rsid w:val="00C974D0"/>
    <w:rsid w:val="00C974F4"/>
    <w:rsid w:val="00C975D4"/>
    <w:rsid w:val="00C975DC"/>
    <w:rsid w:val="00C97641"/>
    <w:rsid w:val="00C9772D"/>
    <w:rsid w:val="00C97732"/>
    <w:rsid w:val="00C978B7"/>
    <w:rsid w:val="00C97A6E"/>
    <w:rsid w:val="00C97AEE"/>
    <w:rsid w:val="00C97B23"/>
    <w:rsid w:val="00C97B32"/>
    <w:rsid w:val="00C97B83"/>
    <w:rsid w:val="00C97D4F"/>
    <w:rsid w:val="00C97E2D"/>
    <w:rsid w:val="00C97FC0"/>
    <w:rsid w:val="00CA01BB"/>
    <w:rsid w:val="00CA0487"/>
    <w:rsid w:val="00CA059C"/>
    <w:rsid w:val="00CA05ED"/>
    <w:rsid w:val="00CA06A9"/>
    <w:rsid w:val="00CA06D9"/>
    <w:rsid w:val="00CA0751"/>
    <w:rsid w:val="00CA090C"/>
    <w:rsid w:val="00CA0974"/>
    <w:rsid w:val="00CA0A7E"/>
    <w:rsid w:val="00CA0AEA"/>
    <w:rsid w:val="00CA0B2B"/>
    <w:rsid w:val="00CA0C74"/>
    <w:rsid w:val="00CA0F6A"/>
    <w:rsid w:val="00CA100B"/>
    <w:rsid w:val="00CA135E"/>
    <w:rsid w:val="00CA15FD"/>
    <w:rsid w:val="00CA1644"/>
    <w:rsid w:val="00CA169D"/>
    <w:rsid w:val="00CA16A6"/>
    <w:rsid w:val="00CA1720"/>
    <w:rsid w:val="00CA1765"/>
    <w:rsid w:val="00CA18B0"/>
    <w:rsid w:val="00CA18E7"/>
    <w:rsid w:val="00CA192B"/>
    <w:rsid w:val="00CA19B6"/>
    <w:rsid w:val="00CA1A1D"/>
    <w:rsid w:val="00CA1A45"/>
    <w:rsid w:val="00CA1AA3"/>
    <w:rsid w:val="00CA1AF2"/>
    <w:rsid w:val="00CA1AFE"/>
    <w:rsid w:val="00CA1BC9"/>
    <w:rsid w:val="00CA1BFE"/>
    <w:rsid w:val="00CA1C15"/>
    <w:rsid w:val="00CA1C17"/>
    <w:rsid w:val="00CA1C9C"/>
    <w:rsid w:val="00CA1DBA"/>
    <w:rsid w:val="00CA1E9D"/>
    <w:rsid w:val="00CA1E9F"/>
    <w:rsid w:val="00CA1F2E"/>
    <w:rsid w:val="00CA2145"/>
    <w:rsid w:val="00CA21B7"/>
    <w:rsid w:val="00CA224A"/>
    <w:rsid w:val="00CA2252"/>
    <w:rsid w:val="00CA22B6"/>
    <w:rsid w:val="00CA2328"/>
    <w:rsid w:val="00CA2340"/>
    <w:rsid w:val="00CA2355"/>
    <w:rsid w:val="00CA238F"/>
    <w:rsid w:val="00CA2425"/>
    <w:rsid w:val="00CA251A"/>
    <w:rsid w:val="00CA25E0"/>
    <w:rsid w:val="00CA2602"/>
    <w:rsid w:val="00CA2695"/>
    <w:rsid w:val="00CA2705"/>
    <w:rsid w:val="00CA272C"/>
    <w:rsid w:val="00CA2764"/>
    <w:rsid w:val="00CA28DD"/>
    <w:rsid w:val="00CA2958"/>
    <w:rsid w:val="00CA29C1"/>
    <w:rsid w:val="00CA2A14"/>
    <w:rsid w:val="00CA2A6D"/>
    <w:rsid w:val="00CA2A75"/>
    <w:rsid w:val="00CA2BCB"/>
    <w:rsid w:val="00CA2CF2"/>
    <w:rsid w:val="00CA2D76"/>
    <w:rsid w:val="00CA2D82"/>
    <w:rsid w:val="00CA2E15"/>
    <w:rsid w:val="00CA2ECF"/>
    <w:rsid w:val="00CA2F81"/>
    <w:rsid w:val="00CA307D"/>
    <w:rsid w:val="00CA3130"/>
    <w:rsid w:val="00CA315B"/>
    <w:rsid w:val="00CA31B0"/>
    <w:rsid w:val="00CA3321"/>
    <w:rsid w:val="00CA33D7"/>
    <w:rsid w:val="00CA34E2"/>
    <w:rsid w:val="00CA352A"/>
    <w:rsid w:val="00CA3591"/>
    <w:rsid w:val="00CA35C2"/>
    <w:rsid w:val="00CA3612"/>
    <w:rsid w:val="00CA3769"/>
    <w:rsid w:val="00CA37B2"/>
    <w:rsid w:val="00CA37D9"/>
    <w:rsid w:val="00CA3961"/>
    <w:rsid w:val="00CA39EE"/>
    <w:rsid w:val="00CA3A16"/>
    <w:rsid w:val="00CA3BD0"/>
    <w:rsid w:val="00CA3E03"/>
    <w:rsid w:val="00CA3FBF"/>
    <w:rsid w:val="00CA407F"/>
    <w:rsid w:val="00CA408F"/>
    <w:rsid w:val="00CA4115"/>
    <w:rsid w:val="00CA4152"/>
    <w:rsid w:val="00CA41F3"/>
    <w:rsid w:val="00CA4208"/>
    <w:rsid w:val="00CA43AD"/>
    <w:rsid w:val="00CA43E4"/>
    <w:rsid w:val="00CA4411"/>
    <w:rsid w:val="00CA4434"/>
    <w:rsid w:val="00CA4475"/>
    <w:rsid w:val="00CA44B8"/>
    <w:rsid w:val="00CA4660"/>
    <w:rsid w:val="00CA466D"/>
    <w:rsid w:val="00CA4872"/>
    <w:rsid w:val="00CA4880"/>
    <w:rsid w:val="00CA4A3D"/>
    <w:rsid w:val="00CA4ADE"/>
    <w:rsid w:val="00CA4AE6"/>
    <w:rsid w:val="00CA4B31"/>
    <w:rsid w:val="00CA4C28"/>
    <w:rsid w:val="00CA4C30"/>
    <w:rsid w:val="00CA4C3B"/>
    <w:rsid w:val="00CA4C8E"/>
    <w:rsid w:val="00CA4CF2"/>
    <w:rsid w:val="00CA4D11"/>
    <w:rsid w:val="00CA4D7C"/>
    <w:rsid w:val="00CA4D94"/>
    <w:rsid w:val="00CA4DEB"/>
    <w:rsid w:val="00CA4E32"/>
    <w:rsid w:val="00CA4EC0"/>
    <w:rsid w:val="00CA4F09"/>
    <w:rsid w:val="00CA4F17"/>
    <w:rsid w:val="00CA5044"/>
    <w:rsid w:val="00CA5046"/>
    <w:rsid w:val="00CA50AF"/>
    <w:rsid w:val="00CA50F1"/>
    <w:rsid w:val="00CA51C9"/>
    <w:rsid w:val="00CA5556"/>
    <w:rsid w:val="00CA5579"/>
    <w:rsid w:val="00CA55A5"/>
    <w:rsid w:val="00CA55FB"/>
    <w:rsid w:val="00CA5603"/>
    <w:rsid w:val="00CA5634"/>
    <w:rsid w:val="00CA56F4"/>
    <w:rsid w:val="00CA575A"/>
    <w:rsid w:val="00CA57EF"/>
    <w:rsid w:val="00CA5861"/>
    <w:rsid w:val="00CA5952"/>
    <w:rsid w:val="00CA598F"/>
    <w:rsid w:val="00CA5A3F"/>
    <w:rsid w:val="00CA5A4F"/>
    <w:rsid w:val="00CA5A53"/>
    <w:rsid w:val="00CA5A6D"/>
    <w:rsid w:val="00CA5AD6"/>
    <w:rsid w:val="00CA5ADC"/>
    <w:rsid w:val="00CA5BB5"/>
    <w:rsid w:val="00CA5D29"/>
    <w:rsid w:val="00CA5DA1"/>
    <w:rsid w:val="00CA5E36"/>
    <w:rsid w:val="00CA5E69"/>
    <w:rsid w:val="00CA5EFB"/>
    <w:rsid w:val="00CA5F72"/>
    <w:rsid w:val="00CA5F89"/>
    <w:rsid w:val="00CA5FD0"/>
    <w:rsid w:val="00CA5FE3"/>
    <w:rsid w:val="00CA6033"/>
    <w:rsid w:val="00CA6092"/>
    <w:rsid w:val="00CA60A3"/>
    <w:rsid w:val="00CA60CF"/>
    <w:rsid w:val="00CA61A8"/>
    <w:rsid w:val="00CA62BB"/>
    <w:rsid w:val="00CA62D1"/>
    <w:rsid w:val="00CA6442"/>
    <w:rsid w:val="00CA66D4"/>
    <w:rsid w:val="00CA670A"/>
    <w:rsid w:val="00CA67F0"/>
    <w:rsid w:val="00CA67FD"/>
    <w:rsid w:val="00CA682E"/>
    <w:rsid w:val="00CA687B"/>
    <w:rsid w:val="00CA6891"/>
    <w:rsid w:val="00CA68BA"/>
    <w:rsid w:val="00CA68C7"/>
    <w:rsid w:val="00CA68F0"/>
    <w:rsid w:val="00CA6960"/>
    <w:rsid w:val="00CA69C8"/>
    <w:rsid w:val="00CA6AE1"/>
    <w:rsid w:val="00CA6B5C"/>
    <w:rsid w:val="00CA6B5E"/>
    <w:rsid w:val="00CA6B62"/>
    <w:rsid w:val="00CA6C07"/>
    <w:rsid w:val="00CA6C49"/>
    <w:rsid w:val="00CA6C5E"/>
    <w:rsid w:val="00CA6CD4"/>
    <w:rsid w:val="00CA6D04"/>
    <w:rsid w:val="00CA6D12"/>
    <w:rsid w:val="00CA6E1B"/>
    <w:rsid w:val="00CA6EC8"/>
    <w:rsid w:val="00CA6FB5"/>
    <w:rsid w:val="00CA6FE4"/>
    <w:rsid w:val="00CA7194"/>
    <w:rsid w:val="00CA73B7"/>
    <w:rsid w:val="00CA73DC"/>
    <w:rsid w:val="00CA7427"/>
    <w:rsid w:val="00CA74AF"/>
    <w:rsid w:val="00CA7513"/>
    <w:rsid w:val="00CA7518"/>
    <w:rsid w:val="00CA7526"/>
    <w:rsid w:val="00CA7571"/>
    <w:rsid w:val="00CA757E"/>
    <w:rsid w:val="00CA759C"/>
    <w:rsid w:val="00CA765F"/>
    <w:rsid w:val="00CA76E4"/>
    <w:rsid w:val="00CA7703"/>
    <w:rsid w:val="00CA7798"/>
    <w:rsid w:val="00CA7868"/>
    <w:rsid w:val="00CA7920"/>
    <w:rsid w:val="00CA794B"/>
    <w:rsid w:val="00CA79F2"/>
    <w:rsid w:val="00CA7ACC"/>
    <w:rsid w:val="00CA7B2D"/>
    <w:rsid w:val="00CA7CFF"/>
    <w:rsid w:val="00CA7DE0"/>
    <w:rsid w:val="00CA7E05"/>
    <w:rsid w:val="00CA7E4B"/>
    <w:rsid w:val="00CA7EAE"/>
    <w:rsid w:val="00CB006D"/>
    <w:rsid w:val="00CB020F"/>
    <w:rsid w:val="00CB029B"/>
    <w:rsid w:val="00CB02DA"/>
    <w:rsid w:val="00CB0301"/>
    <w:rsid w:val="00CB0409"/>
    <w:rsid w:val="00CB04C5"/>
    <w:rsid w:val="00CB05B4"/>
    <w:rsid w:val="00CB05B6"/>
    <w:rsid w:val="00CB06A0"/>
    <w:rsid w:val="00CB0717"/>
    <w:rsid w:val="00CB07A6"/>
    <w:rsid w:val="00CB07B6"/>
    <w:rsid w:val="00CB07F6"/>
    <w:rsid w:val="00CB08F3"/>
    <w:rsid w:val="00CB0904"/>
    <w:rsid w:val="00CB09A6"/>
    <w:rsid w:val="00CB0AC5"/>
    <w:rsid w:val="00CB0B92"/>
    <w:rsid w:val="00CB0BC5"/>
    <w:rsid w:val="00CB0BF0"/>
    <w:rsid w:val="00CB0C3E"/>
    <w:rsid w:val="00CB0D84"/>
    <w:rsid w:val="00CB0D94"/>
    <w:rsid w:val="00CB0E2B"/>
    <w:rsid w:val="00CB0EE5"/>
    <w:rsid w:val="00CB103C"/>
    <w:rsid w:val="00CB1112"/>
    <w:rsid w:val="00CB1119"/>
    <w:rsid w:val="00CB1205"/>
    <w:rsid w:val="00CB120B"/>
    <w:rsid w:val="00CB126B"/>
    <w:rsid w:val="00CB14B2"/>
    <w:rsid w:val="00CB14DA"/>
    <w:rsid w:val="00CB1645"/>
    <w:rsid w:val="00CB166A"/>
    <w:rsid w:val="00CB169E"/>
    <w:rsid w:val="00CB16F1"/>
    <w:rsid w:val="00CB173D"/>
    <w:rsid w:val="00CB1745"/>
    <w:rsid w:val="00CB17D1"/>
    <w:rsid w:val="00CB18E7"/>
    <w:rsid w:val="00CB193A"/>
    <w:rsid w:val="00CB198F"/>
    <w:rsid w:val="00CB19D4"/>
    <w:rsid w:val="00CB1A58"/>
    <w:rsid w:val="00CB1BBC"/>
    <w:rsid w:val="00CB1C32"/>
    <w:rsid w:val="00CB1CD8"/>
    <w:rsid w:val="00CB1CE7"/>
    <w:rsid w:val="00CB1F3D"/>
    <w:rsid w:val="00CB2003"/>
    <w:rsid w:val="00CB2067"/>
    <w:rsid w:val="00CB2071"/>
    <w:rsid w:val="00CB21F5"/>
    <w:rsid w:val="00CB222B"/>
    <w:rsid w:val="00CB22FB"/>
    <w:rsid w:val="00CB2303"/>
    <w:rsid w:val="00CB2306"/>
    <w:rsid w:val="00CB2364"/>
    <w:rsid w:val="00CB23D3"/>
    <w:rsid w:val="00CB24A8"/>
    <w:rsid w:val="00CB2595"/>
    <w:rsid w:val="00CB2616"/>
    <w:rsid w:val="00CB27F1"/>
    <w:rsid w:val="00CB28D7"/>
    <w:rsid w:val="00CB2A3D"/>
    <w:rsid w:val="00CB2BF5"/>
    <w:rsid w:val="00CB2C0B"/>
    <w:rsid w:val="00CB2C4C"/>
    <w:rsid w:val="00CB2C61"/>
    <w:rsid w:val="00CB2D2C"/>
    <w:rsid w:val="00CB2E74"/>
    <w:rsid w:val="00CB2EC7"/>
    <w:rsid w:val="00CB2ED6"/>
    <w:rsid w:val="00CB2FAC"/>
    <w:rsid w:val="00CB31B6"/>
    <w:rsid w:val="00CB31CB"/>
    <w:rsid w:val="00CB32C6"/>
    <w:rsid w:val="00CB3327"/>
    <w:rsid w:val="00CB3329"/>
    <w:rsid w:val="00CB332A"/>
    <w:rsid w:val="00CB33BA"/>
    <w:rsid w:val="00CB3492"/>
    <w:rsid w:val="00CB3520"/>
    <w:rsid w:val="00CB3600"/>
    <w:rsid w:val="00CB3606"/>
    <w:rsid w:val="00CB361F"/>
    <w:rsid w:val="00CB3683"/>
    <w:rsid w:val="00CB3741"/>
    <w:rsid w:val="00CB3754"/>
    <w:rsid w:val="00CB37D2"/>
    <w:rsid w:val="00CB3BC5"/>
    <w:rsid w:val="00CB3BF5"/>
    <w:rsid w:val="00CB3D11"/>
    <w:rsid w:val="00CB3DEB"/>
    <w:rsid w:val="00CB3E35"/>
    <w:rsid w:val="00CB3E5D"/>
    <w:rsid w:val="00CB3EB7"/>
    <w:rsid w:val="00CB3F4C"/>
    <w:rsid w:val="00CB3FF5"/>
    <w:rsid w:val="00CB4061"/>
    <w:rsid w:val="00CB4170"/>
    <w:rsid w:val="00CB4182"/>
    <w:rsid w:val="00CB41CA"/>
    <w:rsid w:val="00CB43C9"/>
    <w:rsid w:val="00CB43CD"/>
    <w:rsid w:val="00CB453B"/>
    <w:rsid w:val="00CB4576"/>
    <w:rsid w:val="00CB45BB"/>
    <w:rsid w:val="00CB474D"/>
    <w:rsid w:val="00CB47F4"/>
    <w:rsid w:val="00CB4842"/>
    <w:rsid w:val="00CB486A"/>
    <w:rsid w:val="00CB490D"/>
    <w:rsid w:val="00CB4B1A"/>
    <w:rsid w:val="00CB4B9C"/>
    <w:rsid w:val="00CB4BB1"/>
    <w:rsid w:val="00CB4BB9"/>
    <w:rsid w:val="00CB4BCE"/>
    <w:rsid w:val="00CB4C74"/>
    <w:rsid w:val="00CB4D12"/>
    <w:rsid w:val="00CB4D39"/>
    <w:rsid w:val="00CB4E09"/>
    <w:rsid w:val="00CB4E7B"/>
    <w:rsid w:val="00CB4EA6"/>
    <w:rsid w:val="00CB4F9A"/>
    <w:rsid w:val="00CB500A"/>
    <w:rsid w:val="00CB5115"/>
    <w:rsid w:val="00CB516C"/>
    <w:rsid w:val="00CB5201"/>
    <w:rsid w:val="00CB5312"/>
    <w:rsid w:val="00CB552A"/>
    <w:rsid w:val="00CB56A1"/>
    <w:rsid w:val="00CB58FB"/>
    <w:rsid w:val="00CB59F8"/>
    <w:rsid w:val="00CB5AA4"/>
    <w:rsid w:val="00CB5B19"/>
    <w:rsid w:val="00CB5BB3"/>
    <w:rsid w:val="00CB5C90"/>
    <w:rsid w:val="00CB5D17"/>
    <w:rsid w:val="00CB5D2A"/>
    <w:rsid w:val="00CB5D2F"/>
    <w:rsid w:val="00CB5D7D"/>
    <w:rsid w:val="00CB5DA8"/>
    <w:rsid w:val="00CB5F7E"/>
    <w:rsid w:val="00CB5FD5"/>
    <w:rsid w:val="00CB602B"/>
    <w:rsid w:val="00CB6059"/>
    <w:rsid w:val="00CB61DC"/>
    <w:rsid w:val="00CB62F9"/>
    <w:rsid w:val="00CB6322"/>
    <w:rsid w:val="00CB6402"/>
    <w:rsid w:val="00CB641D"/>
    <w:rsid w:val="00CB6514"/>
    <w:rsid w:val="00CB654D"/>
    <w:rsid w:val="00CB6652"/>
    <w:rsid w:val="00CB66E4"/>
    <w:rsid w:val="00CB670D"/>
    <w:rsid w:val="00CB6741"/>
    <w:rsid w:val="00CB67A5"/>
    <w:rsid w:val="00CB682D"/>
    <w:rsid w:val="00CB693C"/>
    <w:rsid w:val="00CB69DE"/>
    <w:rsid w:val="00CB6A99"/>
    <w:rsid w:val="00CB6AD0"/>
    <w:rsid w:val="00CB6B65"/>
    <w:rsid w:val="00CB6B6E"/>
    <w:rsid w:val="00CB6BA8"/>
    <w:rsid w:val="00CB6C89"/>
    <w:rsid w:val="00CB6E16"/>
    <w:rsid w:val="00CB6EA2"/>
    <w:rsid w:val="00CB6EFA"/>
    <w:rsid w:val="00CB6F24"/>
    <w:rsid w:val="00CB6F29"/>
    <w:rsid w:val="00CB6FE1"/>
    <w:rsid w:val="00CB6FFE"/>
    <w:rsid w:val="00CB721A"/>
    <w:rsid w:val="00CB723B"/>
    <w:rsid w:val="00CB72EF"/>
    <w:rsid w:val="00CB7365"/>
    <w:rsid w:val="00CB7397"/>
    <w:rsid w:val="00CB739E"/>
    <w:rsid w:val="00CB7427"/>
    <w:rsid w:val="00CB7451"/>
    <w:rsid w:val="00CB74E8"/>
    <w:rsid w:val="00CB754B"/>
    <w:rsid w:val="00CB76CD"/>
    <w:rsid w:val="00CB7768"/>
    <w:rsid w:val="00CB77D5"/>
    <w:rsid w:val="00CB78F0"/>
    <w:rsid w:val="00CB7934"/>
    <w:rsid w:val="00CB7A45"/>
    <w:rsid w:val="00CB7B29"/>
    <w:rsid w:val="00CB7B38"/>
    <w:rsid w:val="00CB7B43"/>
    <w:rsid w:val="00CB7C49"/>
    <w:rsid w:val="00CB7D01"/>
    <w:rsid w:val="00CB7D34"/>
    <w:rsid w:val="00CB7DC7"/>
    <w:rsid w:val="00CB7DCC"/>
    <w:rsid w:val="00CB7E13"/>
    <w:rsid w:val="00CB7E42"/>
    <w:rsid w:val="00CB7F43"/>
    <w:rsid w:val="00CC009D"/>
    <w:rsid w:val="00CC00BF"/>
    <w:rsid w:val="00CC010E"/>
    <w:rsid w:val="00CC0119"/>
    <w:rsid w:val="00CC0151"/>
    <w:rsid w:val="00CC0329"/>
    <w:rsid w:val="00CC0354"/>
    <w:rsid w:val="00CC0395"/>
    <w:rsid w:val="00CC03F9"/>
    <w:rsid w:val="00CC045D"/>
    <w:rsid w:val="00CC0710"/>
    <w:rsid w:val="00CC0938"/>
    <w:rsid w:val="00CC0A83"/>
    <w:rsid w:val="00CC0A91"/>
    <w:rsid w:val="00CC0B91"/>
    <w:rsid w:val="00CC0CBC"/>
    <w:rsid w:val="00CC0CBE"/>
    <w:rsid w:val="00CC0D05"/>
    <w:rsid w:val="00CC0D83"/>
    <w:rsid w:val="00CC0DF5"/>
    <w:rsid w:val="00CC0E2B"/>
    <w:rsid w:val="00CC0EB7"/>
    <w:rsid w:val="00CC0F02"/>
    <w:rsid w:val="00CC0F92"/>
    <w:rsid w:val="00CC0FD5"/>
    <w:rsid w:val="00CC1012"/>
    <w:rsid w:val="00CC132A"/>
    <w:rsid w:val="00CC13D7"/>
    <w:rsid w:val="00CC1430"/>
    <w:rsid w:val="00CC14A2"/>
    <w:rsid w:val="00CC14F8"/>
    <w:rsid w:val="00CC1507"/>
    <w:rsid w:val="00CC1581"/>
    <w:rsid w:val="00CC15DB"/>
    <w:rsid w:val="00CC1684"/>
    <w:rsid w:val="00CC16A3"/>
    <w:rsid w:val="00CC17AD"/>
    <w:rsid w:val="00CC17BD"/>
    <w:rsid w:val="00CC1825"/>
    <w:rsid w:val="00CC192B"/>
    <w:rsid w:val="00CC19AF"/>
    <w:rsid w:val="00CC19D7"/>
    <w:rsid w:val="00CC1A55"/>
    <w:rsid w:val="00CC1B0C"/>
    <w:rsid w:val="00CC1C02"/>
    <w:rsid w:val="00CC209F"/>
    <w:rsid w:val="00CC20B0"/>
    <w:rsid w:val="00CC20FC"/>
    <w:rsid w:val="00CC2154"/>
    <w:rsid w:val="00CC229E"/>
    <w:rsid w:val="00CC230C"/>
    <w:rsid w:val="00CC23C7"/>
    <w:rsid w:val="00CC23F0"/>
    <w:rsid w:val="00CC2401"/>
    <w:rsid w:val="00CC24FD"/>
    <w:rsid w:val="00CC251D"/>
    <w:rsid w:val="00CC2549"/>
    <w:rsid w:val="00CC260A"/>
    <w:rsid w:val="00CC27E7"/>
    <w:rsid w:val="00CC28A2"/>
    <w:rsid w:val="00CC294E"/>
    <w:rsid w:val="00CC29C8"/>
    <w:rsid w:val="00CC29DB"/>
    <w:rsid w:val="00CC2A7D"/>
    <w:rsid w:val="00CC2BA3"/>
    <w:rsid w:val="00CC2BDA"/>
    <w:rsid w:val="00CC2D66"/>
    <w:rsid w:val="00CC2D77"/>
    <w:rsid w:val="00CC2EB9"/>
    <w:rsid w:val="00CC2EE7"/>
    <w:rsid w:val="00CC2F22"/>
    <w:rsid w:val="00CC3051"/>
    <w:rsid w:val="00CC3083"/>
    <w:rsid w:val="00CC3110"/>
    <w:rsid w:val="00CC312E"/>
    <w:rsid w:val="00CC31A8"/>
    <w:rsid w:val="00CC327F"/>
    <w:rsid w:val="00CC32D9"/>
    <w:rsid w:val="00CC32DA"/>
    <w:rsid w:val="00CC3376"/>
    <w:rsid w:val="00CC33C8"/>
    <w:rsid w:val="00CC33EF"/>
    <w:rsid w:val="00CC3517"/>
    <w:rsid w:val="00CC3672"/>
    <w:rsid w:val="00CC3711"/>
    <w:rsid w:val="00CC37B2"/>
    <w:rsid w:val="00CC37C8"/>
    <w:rsid w:val="00CC37E7"/>
    <w:rsid w:val="00CC38A8"/>
    <w:rsid w:val="00CC3933"/>
    <w:rsid w:val="00CC39ED"/>
    <w:rsid w:val="00CC3A09"/>
    <w:rsid w:val="00CC3A29"/>
    <w:rsid w:val="00CC3A45"/>
    <w:rsid w:val="00CC3A66"/>
    <w:rsid w:val="00CC3A81"/>
    <w:rsid w:val="00CC3AAC"/>
    <w:rsid w:val="00CC3AD8"/>
    <w:rsid w:val="00CC3AEC"/>
    <w:rsid w:val="00CC3BB9"/>
    <w:rsid w:val="00CC3C0C"/>
    <w:rsid w:val="00CC3C1A"/>
    <w:rsid w:val="00CC3F27"/>
    <w:rsid w:val="00CC4018"/>
    <w:rsid w:val="00CC4076"/>
    <w:rsid w:val="00CC40ED"/>
    <w:rsid w:val="00CC4115"/>
    <w:rsid w:val="00CC4204"/>
    <w:rsid w:val="00CC437C"/>
    <w:rsid w:val="00CC438D"/>
    <w:rsid w:val="00CC444F"/>
    <w:rsid w:val="00CC4462"/>
    <w:rsid w:val="00CC4518"/>
    <w:rsid w:val="00CC456C"/>
    <w:rsid w:val="00CC4664"/>
    <w:rsid w:val="00CC46BF"/>
    <w:rsid w:val="00CC47DA"/>
    <w:rsid w:val="00CC47DD"/>
    <w:rsid w:val="00CC482C"/>
    <w:rsid w:val="00CC4999"/>
    <w:rsid w:val="00CC49C1"/>
    <w:rsid w:val="00CC4A24"/>
    <w:rsid w:val="00CC4AAF"/>
    <w:rsid w:val="00CC4B4B"/>
    <w:rsid w:val="00CC4BD1"/>
    <w:rsid w:val="00CC4C07"/>
    <w:rsid w:val="00CC4CD2"/>
    <w:rsid w:val="00CC4D0A"/>
    <w:rsid w:val="00CC4D3C"/>
    <w:rsid w:val="00CC4E6D"/>
    <w:rsid w:val="00CC4FEF"/>
    <w:rsid w:val="00CC51E2"/>
    <w:rsid w:val="00CC5225"/>
    <w:rsid w:val="00CC5251"/>
    <w:rsid w:val="00CC5290"/>
    <w:rsid w:val="00CC52BB"/>
    <w:rsid w:val="00CC5323"/>
    <w:rsid w:val="00CC532D"/>
    <w:rsid w:val="00CC543D"/>
    <w:rsid w:val="00CC549D"/>
    <w:rsid w:val="00CC5546"/>
    <w:rsid w:val="00CC55A4"/>
    <w:rsid w:val="00CC55DF"/>
    <w:rsid w:val="00CC55E3"/>
    <w:rsid w:val="00CC567F"/>
    <w:rsid w:val="00CC5753"/>
    <w:rsid w:val="00CC57D0"/>
    <w:rsid w:val="00CC57E5"/>
    <w:rsid w:val="00CC5804"/>
    <w:rsid w:val="00CC580E"/>
    <w:rsid w:val="00CC5861"/>
    <w:rsid w:val="00CC5891"/>
    <w:rsid w:val="00CC5897"/>
    <w:rsid w:val="00CC58AA"/>
    <w:rsid w:val="00CC58F5"/>
    <w:rsid w:val="00CC5947"/>
    <w:rsid w:val="00CC5A07"/>
    <w:rsid w:val="00CC5A2A"/>
    <w:rsid w:val="00CC5A6E"/>
    <w:rsid w:val="00CC5ABC"/>
    <w:rsid w:val="00CC5D9F"/>
    <w:rsid w:val="00CC5EAC"/>
    <w:rsid w:val="00CC5EB8"/>
    <w:rsid w:val="00CC5EEB"/>
    <w:rsid w:val="00CC5FEC"/>
    <w:rsid w:val="00CC60C6"/>
    <w:rsid w:val="00CC6163"/>
    <w:rsid w:val="00CC6167"/>
    <w:rsid w:val="00CC6246"/>
    <w:rsid w:val="00CC6295"/>
    <w:rsid w:val="00CC6351"/>
    <w:rsid w:val="00CC6392"/>
    <w:rsid w:val="00CC6394"/>
    <w:rsid w:val="00CC6497"/>
    <w:rsid w:val="00CC6498"/>
    <w:rsid w:val="00CC6512"/>
    <w:rsid w:val="00CC6547"/>
    <w:rsid w:val="00CC654E"/>
    <w:rsid w:val="00CC65E6"/>
    <w:rsid w:val="00CC6682"/>
    <w:rsid w:val="00CC6790"/>
    <w:rsid w:val="00CC6813"/>
    <w:rsid w:val="00CC6882"/>
    <w:rsid w:val="00CC68CD"/>
    <w:rsid w:val="00CC68CF"/>
    <w:rsid w:val="00CC6949"/>
    <w:rsid w:val="00CC6A3C"/>
    <w:rsid w:val="00CC6B03"/>
    <w:rsid w:val="00CC6D09"/>
    <w:rsid w:val="00CC6E09"/>
    <w:rsid w:val="00CC6F36"/>
    <w:rsid w:val="00CC6F9B"/>
    <w:rsid w:val="00CC7091"/>
    <w:rsid w:val="00CC7188"/>
    <w:rsid w:val="00CC719D"/>
    <w:rsid w:val="00CC72A0"/>
    <w:rsid w:val="00CC730F"/>
    <w:rsid w:val="00CC7323"/>
    <w:rsid w:val="00CC73D1"/>
    <w:rsid w:val="00CC7513"/>
    <w:rsid w:val="00CC7535"/>
    <w:rsid w:val="00CC7638"/>
    <w:rsid w:val="00CC76F7"/>
    <w:rsid w:val="00CC774A"/>
    <w:rsid w:val="00CC7886"/>
    <w:rsid w:val="00CC78EB"/>
    <w:rsid w:val="00CC7A15"/>
    <w:rsid w:val="00CC7A61"/>
    <w:rsid w:val="00CC7BBE"/>
    <w:rsid w:val="00CC7BE9"/>
    <w:rsid w:val="00CC7C72"/>
    <w:rsid w:val="00CC7C75"/>
    <w:rsid w:val="00CC7D03"/>
    <w:rsid w:val="00CC7D07"/>
    <w:rsid w:val="00CC7D18"/>
    <w:rsid w:val="00CC7E94"/>
    <w:rsid w:val="00CC7F5D"/>
    <w:rsid w:val="00CC7F61"/>
    <w:rsid w:val="00CC7F7C"/>
    <w:rsid w:val="00CD00AB"/>
    <w:rsid w:val="00CD0124"/>
    <w:rsid w:val="00CD012A"/>
    <w:rsid w:val="00CD03A2"/>
    <w:rsid w:val="00CD0504"/>
    <w:rsid w:val="00CD0513"/>
    <w:rsid w:val="00CD06DA"/>
    <w:rsid w:val="00CD0935"/>
    <w:rsid w:val="00CD0958"/>
    <w:rsid w:val="00CD0A8E"/>
    <w:rsid w:val="00CD0AA7"/>
    <w:rsid w:val="00CD0B2D"/>
    <w:rsid w:val="00CD0B4E"/>
    <w:rsid w:val="00CD0BF9"/>
    <w:rsid w:val="00CD0C25"/>
    <w:rsid w:val="00CD0CC0"/>
    <w:rsid w:val="00CD0D61"/>
    <w:rsid w:val="00CD0D7F"/>
    <w:rsid w:val="00CD0DE6"/>
    <w:rsid w:val="00CD0EA9"/>
    <w:rsid w:val="00CD0F33"/>
    <w:rsid w:val="00CD0FE0"/>
    <w:rsid w:val="00CD1114"/>
    <w:rsid w:val="00CD111B"/>
    <w:rsid w:val="00CD1154"/>
    <w:rsid w:val="00CD11CA"/>
    <w:rsid w:val="00CD12B3"/>
    <w:rsid w:val="00CD12F1"/>
    <w:rsid w:val="00CD1350"/>
    <w:rsid w:val="00CD13ED"/>
    <w:rsid w:val="00CD1487"/>
    <w:rsid w:val="00CD14D3"/>
    <w:rsid w:val="00CD14EE"/>
    <w:rsid w:val="00CD15F4"/>
    <w:rsid w:val="00CD15FC"/>
    <w:rsid w:val="00CD1628"/>
    <w:rsid w:val="00CD162A"/>
    <w:rsid w:val="00CD16B9"/>
    <w:rsid w:val="00CD1774"/>
    <w:rsid w:val="00CD178E"/>
    <w:rsid w:val="00CD17F8"/>
    <w:rsid w:val="00CD18AE"/>
    <w:rsid w:val="00CD1A12"/>
    <w:rsid w:val="00CD1AE8"/>
    <w:rsid w:val="00CD1CF6"/>
    <w:rsid w:val="00CD1D56"/>
    <w:rsid w:val="00CD1EFC"/>
    <w:rsid w:val="00CD1F68"/>
    <w:rsid w:val="00CD1FC1"/>
    <w:rsid w:val="00CD2022"/>
    <w:rsid w:val="00CD2136"/>
    <w:rsid w:val="00CD213B"/>
    <w:rsid w:val="00CD21D6"/>
    <w:rsid w:val="00CD232F"/>
    <w:rsid w:val="00CD2355"/>
    <w:rsid w:val="00CD2368"/>
    <w:rsid w:val="00CD2394"/>
    <w:rsid w:val="00CD2436"/>
    <w:rsid w:val="00CD243E"/>
    <w:rsid w:val="00CD273D"/>
    <w:rsid w:val="00CD275A"/>
    <w:rsid w:val="00CD27EF"/>
    <w:rsid w:val="00CD28AA"/>
    <w:rsid w:val="00CD29CB"/>
    <w:rsid w:val="00CD2A18"/>
    <w:rsid w:val="00CD2AB0"/>
    <w:rsid w:val="00CD2AC0"/>
    <w:rsid w:val="00CD2B11"/>
    <w:rsid w:val="00CD2D32"/>
    <w:rsid w:val="00CD2E74"/>
    <w:rsid w:val="00CD2EAE"/>
    <w:rsid w:val="00CD302C"/>
    <w:rsid w:val="00CD302F"/>
    <w:rsid w:val="00CD3063"/>
    <w:rsid w:val="00CD3116"/>
    <w:rsid w:val="00CD316B"/>
    <w:rsid w:val="00CD325C"/>
    <w:rsid w:val="00CD3364"/>
    <w:rsid w:val="00CD33A6"/>
    <w:rsid w:val="00CD3589"/>
    <w:rsid w:val="00CD39C5"/>
    <w:rsid w:val="00CD3A79"/>
    <w:rsid w:val="00CD3B0A"/>
    <w:rsid w:val="00CD3B20"/>
    <w:rsid w:val="00CD3C11"/>
    <w:rsid w:val="00CD3D49"/>
    <w:rsid w:val="00CD3DF2"/>
    <w:rsid w:val="00CD3E07"/>
    <w:rsid w:val="00CD3EF2"/>
    <w:rsid w:val="00CD3FA2"/>
    <w:rsid w:val="00CD4081"/>
    <w:rsid w:val="00CD40CB"/>
    <w:rsid w:val="00CD40D1"/>
    <w:rsid w:val="00CD40F4"/>
    <w:rsid w:val="00CD416B"/>
    <w:rsid w:val="00CD4294"/>
    <w:rsid w:val="00CD4502"/>
    <w:rsid w:val="00CD4535"/>
    <w:rsid w:val="00CD45A0"/>
    <w:rsid w:val="00CD45F0"/>
    <w:rsid w:val="00CD45FC"/>
    <w:rsid w:val="00CD462E"/>
    <w:rsid w:val="00CD463C"/>
    <w:rsid w:val="00CD46CD"/>
    <w:rsid w:val="00CD47CB"/>
    <w:rsid w:val="00CD4801"/>
    <w:rsid w:val="00CD4980"/>
    <w:rsid w:val="00CD49FC"/>
    <w:rsid w:val="00CD49FE"/>
    <w:rsid w:val="00CD4A1D"/>
    <w:rsid w:val="00CD4A47"/>
    <w:rsid w:val="00CD4A63"/>
    <w:rsid w:val="00CD4D97"/>
    <w:rsid w:val="00CD4EB5"/>
    <w:rsid w:val="00CD4F00"/>
    <w:rsid w:val="00CD4F04"/>
    <w:rsid w:val="00CD4F12"/>
    <w:rsid w:val="00CD500B"/>
    <w:rsid w:val="00CD5075"/>
    <w:rsid w:val="00CD51E8"/>
    <w:rsid w:val="00CD521D"/>
    <w:rsid w:val="00CD5291"/>
    <w:rsid w:val="00CD529F"/>
    <w:rsid w:val="00CD5346"/>
    <w:rsid w:val="00CD5376"/>
    <w:rsid w:val="00CD5391"/>
    <w:rsid w:val="00CD53A5"/>
    <w:rsid w:val="00CD53CF"/>
    <w:rsid w:val="00CD5426"/>
    <w:rsid w:val="00CD5505"/>
    <w:rsid w:val="00CD578E"/>
    <w:rsid w:val="00CD5913"/>
    <w:rsid w:val="00CD5B67"/>
    <w:rsid w:val="00CD5B83"/>
    <w:rsid w:val="00CD5BFC"/>
    <w:rsid w:val="00CD5D1A"/>
    <w:rsid w:val="00CD5D3E"/>
    <w:rsid w:val="00CD5D76"/>
    <w:rsid w:val="00CD5DF6"/>
    <w:rsid w:val="00CD5F17"/>
    <w:rsid w:val="00CD5FEA"/>
    <w:rsid w:val="00CD60F1"/>
    <w:rsid w:val="00CD6101"/>
    <w:rsid w:val="00CD610B"/>
    <w:rsid w:val="00CD6115"/>
    <w:rsid w:val="00CD613F"/>
    <w:rsid w:val="00CD61F2"/>
    <w:rsid w:val="00CD622B"/>
    <w:rsid w:val="00CD627F"/>
    <w:rsid w:val="00CD6603"/>
    <w:rsid w:val="00CD6689"/>
    <w:rsid w:val="00CD66E7"/>
    <w:rsid w:val="00CD6774"/>
    <w:rsid w:val="00CD67D6"/>
    <w:rsid w:val="00CD682E"/>
    <w:rsid w:val="00CD68C2"/>
    <w:rsid w:val="00CD690E"/>
    <w:rsid w:val="00CD69F4"/>
    <w:rsid w:val="00CD6AA3"/>
    <w:rsid w:val="00CD6AF0"/>
    <w:rsid w:val="00CD6C73"/>
    <w:rsid w:val="00CD6CEF"/>
    <w:rsid w:val="00CD6DAB"/>
    <w:rsid w:val="00CD6DB1"/>
    <w:rsid w:val="00CD6EAD"/>
    <w:rsid w:val="00CD6EAF"/>
    <w:rsid w:val="00CD6EEE"/>
    <w:rsid w:val="00CD6FD5"/>
    <w:rsid w:val="00CD7099"/>
    <w:rsid w:val="00CD711D"/>
    <w:rsid w:val="00CD71B7"/>
    <w:rsid w:val="00CD7202"/>
    <w:rsid w:val="00CD7519"/>
    <w:rsid w:val="00CD7548"/>
    <w:rsid w:val="00CD755C"/>
    <w:rsid w:val="00CD757D"/>
    <w:rsid w:val="00CD7609"/>
    <w:rsid w:val="00CD767A"/>
    <w:rsid w:val="00CD7715"/>
    <w:rsid w:val="00CD77C8"/>
    <w:rsid w:val="00CD782D"/>
    <w:rsid w:val="00CD78C4"/>
    <w:rsid w:val="00CD7903"/>
    <w:rsid w:val="00CD7966"/>
    <w:rsid w:val="00CD79AC"/>
    <w:rsid w:val="00CD79D9"/>
    <w:rsid w:val="00CD7A03"/>
    <w:rsid w:val="00CD7A62"/>
    <w:rsid w:val="00CD7A9D"/>
    <w:rsid w:val="00CD7BB0"/>
    <w:rsid w:val="00CD7BD8"/>
    <w:rsid w:val="00CD7D8B"/>
    <w:rsid w:val="00CD7E93"/>
    <w:rsid w:val="00CE0130"/>
    <w:rsid w:val="00CE01F4"/>
    <w:rsid w:val="00CE0279"/>
    <w:rsid w:val="00CE02B6"/>
    <w:rsid w:val="00CE02E1"/>
    <w:rsid w:val="00CE02EE"/>
    <w:rsid w:val="00CE047E"/>
    <w:rsid w:val="00CE051C"/>
    <w:rsid w:val="00CE05C5"/>
    <w:rsid w:val="00CE0632"/>
    <w:rsid w:val="00CE06EF"/>
    <w:rsid w:val="00CE0782"/>
    <w:rsid w:val="00CE079A"/>
    <w:rsid w:val="00CE07F5"/>
    <w:rsid w:val="00CE086B"/>
    <w:rsid w:val="00CE09DF"/>
    <w:rsid w:val="00CE0A18"/>
    <w:rsid w:val="00CE0AEC"/>
    <w:rsid w:val="00CE0BF4"/>
    <w:rsid w:val="00CE0C3B"/>
    <w:rsid w:val="00CE0C8B"/>
    <w:rsid w:val="00CE0DEB"/>
    <w:rsid w:val="00CE0E96"/>
    <w:rsid w:val="00CE0EC7"/>
    <w:rsid w:val="00CE0F57"/>
    <w:rsid w:val="00CE0F73"/>
    <w:rsid w:val="00CE0FE9"/>
    <w:rsid w:val="00CE1018"/>
    <w:rsid w:val="00CE10CD"/>
    <w:rsid w:val="00CE125D"/>
    <w:rsid w:val="00CE1261"/>
    <w:rsid w:val="00CE13AE"/>
    <w:rsid w:val="00CE13B3"/>
    <w:rsid w:val="00CE1472"/>
    <w:rsid w:val="00CE1482"/>
    <w:rsid w:val="00CE14AD"/>
    <w:rsid w:val="00CE14E0"/>
    <w:rsid w:val="00CE1500"/>
    <w:rsid w:val="00CE161E"/>
    <w:rsid w:val="00CE16EB"/>
    <w:rsid w:val="00CE1805"/>
    <w:rsid w:val="00CE1855"/>
    <w:rsid w:val="00CE1B40"/>
    <w:rsid w:val="00CE1C41"/>
    <w:rsid w:val="00CE1D28"/>
    <w:rsid w:val="00CE1DFC"/>
    <w:rsid w:val="00CE1E2C"/>
    <w:rsid w:val="00CE1E5C"/>
    <w:rsid w:val="00CE1F3F"/>
    <w:rsid w:val="00CE1F68"/>
    <w:rsid w:val="00CE1FF0"/>
    <w:rsid w:val="00CE2010"/>
    <w:rsid w:val="00CE205E"/>
    <w:rsid w:val="00CE209F"/>
    <w:rsid w:val="00CE2170"/>
    <w:rsid w:val="00CE21DB"/>
    <w:rsid w:val="00CE220E"/>
    <w:rsid w:val="00CE22A7"/>
    <w:rsid w:val="00CE2306"/>
    <w:rsid w:val="00CE23AF"/>
    <w:rsid w:val="00CE23DC"/>
    <w:rsid w:val="00CE2475"/>
    <w:rsid w:val="00CE24BD"/>
    <w:rsid w:val="00CE2526"/>
    <w:rsid w:val="00CE252C"/>
    <w:rsid w:val="00CE25B5"/>
    <w:rsid w:val="00CE25DC"/>
    <w:rsid w:val="00CE25E9"/>
    <w:rsid w:val="00CE2624"/>
    <w:rsid w:val="00CE267B"/>
    <w:rsid w:val="00CE2744"/>
    <w:rsid w:val="00CE276D"/>
    <w:rsid w:val="00CE2796"/>
    <w:rsid w:val="00CE280E"/>
    <w:rsid w:val="00CE2922"/>
    <w:rsid w:val="00CE2A60"/>
    <w:rsid w:val="00CE2A8C"/>
    <w:rsid w:val="00CE2ADF"/>
    <w:rsid w:val="00CE2B01"/>
    <w:rsid w:val="00CE2B85"/>
    <w:rsid w:val="00CE2C1D"/>
    <w:rsid w:val="00CE2C50"/>
    <w:rsid w:val="00CE2C61"/>
    <w:rsid w:val="00CE2CE2"/>
    <w:rsid w:val="00CE2E1C"/>
    <w:rsid w:val="00CE2E50"/>
    <w:rsid w:val="00CE2EDB"/>
    <w:rsid w:val="00CE2FBA"/>
    <w:rsid w:val="00CE2FE4"/>
    <w:rsid w:val="00CE30C4"/>
    <w:rsid w:val="00CE3119"/>
    <w:rsid w:val="00CE31E5"/>
    <w:rsid w:val="00CE325B"/>
    <w:rsid w:val="00CE3314"/>
    <w:rsid w:val="00CE3341"/>
    <w:rsid w:val="00CE336B"/>
    <w:rsid w:val="00CE33A4"/>
    <w:rsid w:val="00CE3415"/>
    <w:rsid w:val="00CE3557"/>
    <w:rsid w:val="00CE365F"/>
    <w:rsid w:val="00CE370F"/>
    <w:rsid w:val="00CE37E8"/>
    <w:rsid w:val="00CE382C"/>
    <w:rsid w:val="00CE388F"/>
    <w:rsid w:val="00CE3A57"/>
    <w:rsid w:val="00CE3A59"/>
    <w:rsid w:val="00CE3A79"/>
    <w:rsid w:val="00CE3BB2"/>
    <w:rsid w:val="00CE3C8E"/>
    <w:rsid w:val="00CE3D01"/>
    <w:rsid w:val="00CE3DB8"/>
    <w:rsid w:val="00CE3E61"/>
    <w:rsid w:val="00CE3EEE"/>
    <w:rsid w:val="00CE3F01"/>
    <w:rsid w:val="00CE3F5F"/>
    <w:rsid w:val="00CE40F7"/>
    <w:rsid w:val="00CE4163"/>
    <w:rsid w:val="00CE41BC"/>
    <w:rsid w:val="00CE4303"/>
    <w:rsid w:val="00CE44AC"/>
    <w:rsid w:val="00CE44D2"/>
    <w:rsid w:val="00CE4505"/>
    <w:rsid w:val="00CE45C7"/>
    <w:rsid w:val="00CE4639"/>
    <w:rsid w:val="00CE46EA"/>
    <w:rsid w:val="00CE47BB"/>
    <w:rsid w:val="00CE48B6"/>
    <w:rsid w:val="00CE490F"/>
    <w:rsid w:val="00CE4A40"/>
    <w:rsid w:val="00CE4AE7"/>
    <w:rsid w:val="00CE4C68"/>
    <w:rsid w:val="00CE4C7F"/>
    <w:rsid w:val="00CE4DCE"/>
    <w:rsid w:val="00CE4FA2"/>
    <w:rsid w:val="00CE5016"/>
    <w:rsid w:val="00CE503B"/>
    <w:rsid w:val="00CE5046"/>
    <w:rsid w:val="00CE50AC"/>
    <w:rsid w:val="00CE523F"/>
    <w:rsid w:val="00CE5272"/>
    <w:rsid w:val="00CE52AF"/>
    <w:rsid w:val="00CE5437"/>
    <w:rsid w:val="00CE549B"/>
    <w:rsid w:val="00CE5510"/>
    <w:rsid w:val="00CE5661"/>
    <w:rsid w:val="00CE5761"/>
    <w:rsid w:val="00CE5783"/>
    <w:rsid w:val="00CE583B"/>
    <w:rsid w:val="00CE5841"/>
    <w:rsid w:val="00CE588A"/>
    <w:rsid w:val="00CE58A3"/>
    <w:rsid w:val="00CE5929"/>
    <w:rsid w:val="00CE5A9B"/>
    <w:rsid w:val="00CE5ABB"/>
    <w:rsid w:val="00CE5B5F"/>
    <w:rsid w:val="00CE5CE7"/>
    <w:rsid w:val="00CE5D1D"/>
    <w:rsid w:val="00CE5E5D"/>
    <w:rsid w:val="00CE5E6A"/>
    <w:rsid w:val="00CE5ED1"/>
    <w:rsid w:val="00CE5F25"/>
    <w:rsid w:val="00CE5F7B"/>
    <w:rsid w:val="00CE601F"/>
    <w:rsid w:val="00CE6132"/>
    <w:rsid w:val="00CE61E7"/>
    <w:rsid w:val="00CE61F9"/>
    <w:rsid w:val="00CE623C"/>
    <w:rsid w:val="00CE6260"/>
    <w:rsid w:val="00CE6322"/>
    <w:rsid w:val="00CE637D"/>
    <w:rsid w:val="00CE6381"/>
    <w:rsid w:val="00CE63C6"/>
    <w:rsid w:val="00CE64C6"/>
    <w:rsid w:val="00CE65CA"/>
    <w:rsid w:val="00CE65DF"/>
    <w:rsid w:val="00CE6665"/>
    <w:rsid w:val="00CE6686"/>
    <w:rsid w:val="00CE66A2"/>
    <w:rsid w:val="00CE675B"/>
    <w:rsid w:val="00CE6771"/>
    <w:rsid w:val="00CE67A3"/>
    <w:rsid w:val="00CE6958"/>
    <w:rsid w:val="00CE6A00"/>
    <w:rsid w:val="00CE6AA6"/>
    <w:rsid w:val="00CE6B8E"/>
    <w:rsid w:val="00CE6C57"/>
    <w:rsid w:val="00CE6F69"/>
    <w:rsid w:val="00CE7067"/>
    <w:rsid w:val="00CE70D2"/>
    <w:rsid w:val="00CE712B"/>
    <w:rsid w:val="00CE71C8"/>
    <w:rsid w:val="00CE73D2"/>
    <w:rsid w:val="00CE73ED"/>
    <w:rsid w:val="00CE7415"/>
    <w:rsid w:val="00CE74AA"/>
    <w:rsid w:val="00CE75FA"/>
    <w:rsid w:val="00CE7652"/>
    <w:rsid w:val="00CE7793"/>
    <w:rsid w:val="00CE798C"/>
    <w:rsid w:val="00CE79B1"/>
    <w:rsid w:val="00CE79D2"/>
    <w:rsid w:val="00CE7B29"/>
    <w:rsid w:val="00CE7B97"/>
    <w:rsid w:val="00CE7C20"/>
    <w:rsid w:val="00CE7C60"/>
    <w:rsid w:val="00CE7CF1"/>
    <w:rsid w:val="00CE7D9C"/>
    <w:rsid w:val="00CE7DF4"/>
    <w:rsid w:val="00CE7E35"/>
    <w:rsid w:val="00CE7EB2"/>
    <w:rsid w:val="00CE7FB2"/>
    <w:rsid w:val="00CF013E"/>
    <w:rsid w:val="00CF0320"/>
    <w:rsid w:val="00CF033A"/>
    <w:rsid w:val="00CF0485"/>
    <w:rsid w:val="00CF04C9"/>
    <w:rsid w:val="00CF058E"/>
    <w:rsid w:val="00CF0665"/>
    <w:rsid w:val="00CF06C3"/>
    <w:rsid w:val="00CF06CA"/>
    <w:rsid w:val="00CF06D1"/>
    <w:rsid w:val="00CF074A"/>
    <w:rsid w:val="00CF079E"/>
    <w:rsid w:val="00CF07D2"/>
    <w:rsid w:val="00CF0838"/>
    <w:rsid w:val="00CF0AE8"/>
    <w:rsid w:val="00CF0CBA"/>
    <w:rsid w:val="00CF0CBD"/>
    <w:rsid w:val="00CF0D12"/>
    <w:rsid w:val="00CF0DB6"/>
    <w:rsid w:val="00CF0DDD"/>
    <w:rsid w:val="00CF0DF7"/>
    <w:rsid w:val="00CF0E96"/>
    <w:rsid w:val="00CF0E9F"/>
    <w:rsid w:val="00CF0EFA"/>
    <w:rsid w:val="00CF0F1B"/>
    <w:rsid w:val="00CF0F44"/>
    <w:rsid w:val="00CF1045"/>
    <w:rsid w:val="00CF1194"/>
    <w:rsid w:val="00CF11C1"/>
    <w:rsid w:val="00CF11C5"/>
    <w:rsid w:val="00CF13F3"/>
    <w:rsid w:val="00CF1599"/>
    <w:rsid w:val="00CF15D4"/>
    <w:rsid w:val="00CF1629"/>
    <w:rsid w:val="00CF170D"/>
    <w:rsid w:val="00CF1717"/>
    <w:rsid w:val="00CF183D"/>
    <w:rsid w:val="00CF1888"/>
    <w:rsid w:val="00CF1AA5"/>
    <w:rsid w:val="00CF1AAB"/>
    <w:rsid w:val="00CF1B3C"/>
    <w:rsid w:val="00CF1C38"/>
    <w:rsid w:val="00CF1C45"/>
    <w:rsid w:val="00CF1C9D"/>
    <w:rsid w:val="00CF1F45"/>
    <w:rsid w:val="00CF20E0"/>
    <w:rsid w:val="00CF212D"/>
    <w:rsid w:val="00CF2149"/>
    <w:rsid w:val="00CF215E"/>
    <w:rsid w:val="00CF21A6"/>
    <w:rsid w:val="00CF225A"/>
    <w:rsid w:val="00CF232E"/>
    <w:rsid w:val="00CF2417"/>
    <w:rsid w:val="00CF2539"/>
    <w:rsid w:val="00CF257F"/>
    <w:rsid w:val="00CF2597"/>
    <w:rsid w:val="00CF259D"/>
    <w:rsid w:val="00CF263C"/>
    <w:rsid w:val="00CF2641"/>
    <w:rsid w:val="00CF265D"/>
    <w:rsid w:val="00CF2664"/>
    <w:rsid w:val="00CF266A"/>
    <w:rsid w:val="00CF266C"/>
    <w:rsid w:val="00CF26F8"/>
    <w:rsid w:val="00CF2710"/>
    <w:rsid w:val="00CF27F6"/>
    <w:rsid w:val="00CF288C"/>
    <w:rsid w:val="00CF288D"/>
    <w:rsid w:val="00CF2987"/>
    <w:rsid w:val="00CF2B01"/>
    <w:rsid w:val="00CF2B68"/>
    <w:rsid w:val="00CF2BAB"/>
    <w:rsid w:val="00CF2C8F"/>
    <w:rsid w:val="00CF2D24"/>
    <w:rsid w:val="00CF2E1E"/>
    <w:rsid w:val="00CF2F75"/>
    <w:rsid w:val="00CF31B4"/>
    <w:rsid w:val="00CF3211"/>
    <w:rsid w:val="00CF3261"/>
    <w:rsid w:val="00CF3282"/>
    <w:rsid w:val="00CF3296"/>
    <w:rsid w:val="00CF32D9"/>
    <w:rsid w:val="00CF3307"/>
    <w:rsid w:val="00CF3508"/>
    <w:rsid w:val="00CF3569"/>
    <w:rsid w:val="00CF35E6"/>
    <w:rsid w:val="00CF3601"/>
    <w:rsid w:val="00CF3685"/>
    <w:rsid w:val="00CF36B2"/>
    <w:rsid w:val="00CF36C8"/>
    <w:rsid w:val="00CF3721"/>
    <w:rsid w:val="00CF3739"/>
    <w:rsid w:val="00CF382D"/>
    <w:rsid w:val="00CF38AB"/>
    <w:rsid w:val="00CF391C"/>
    <w:rsid w:val="00CF3958"/>
    <w:rsid w:val="00CF3A35"/>
    <w:rsid w:val="00CF3B3C"/>
    <w:rsid w:val="00CF3B82"/>
    <w:rsid w:val="00CF3B9F"/>
    <w:rsid w:val="00CF3BA2"/>
    <w:rsid w:val="00CF3CDF"/>
    <w:rsid w:val="00CF3E1C"/>
    <w:rsid w:val="00CF3EA8"/>
    <w:rsid w:val="00CF3F1E"/>
    <w:rsid w:val="00CF3F78"/>
    <w:rsid w:val="00CF4000"/>
    <w:rsid w:val="00CF4236"/>
    <w:rsid w:val="00CF42EE"/>
    <w:rsid w:val="00CF432A"/>
    <w:rsid w:val="00CF4429"/>
    <w:rsid w:val="00CF46C8"/>
    <w:rsid w:val="00CF4730"/>
    <w:rsid w:val="00CF478A"/>
    <w:rsid w:val="00CF4793"/>
    <w:rsid w:val="00CF479F"/>
    <w:rsid w:val="00CF47FF"/>
    <w:rsid w:val="00CF4A16"/>
    <w:rsid w:val="00CF4A80"/>
    <w:rsid w:val="00CF4B7E"/>
    <w:rsid w:val="00CF4C06"/>
    <w:rsid w:val="00CF4CEA"/>
    <w:rsid w:val="00CF4CEE"/>
    <w:rsid w:val="00CF4E75"/>
    <w:rsid w:val="00CF4F13"/>
    <w:rsid w:val="00CF53D7"/>
    <w:rsid w:val="00CF545C"/>
    <w:rsid w:val="00CF5542"/>
    <w:rsid w:val="00CF5661"/>
    <w:rsid w:val="00CF5682"/>
    <w:rsid w:val="00CF5691"/>
    <w:rsid w:val="00CF5752"/>
    <w:rsid w:val="00CF57C7"/>
    <w:rsid w:val="00CF57E8"/>
    <w:rsid w:val="00CF584B"/>
    <w:rsid w:val="00CF58B7"/>
    <w:rsid w:val="00CF58D7"/>
    <w:rsid w:val="00CF5BEE"/>
    <w:rsid w:val="00CF5C52"/>
    <w:rsid w:val="00CF5D68"/>
    <w:rsid w:val="00CF5D85"/>
    <w:rsid w:val="00CF5DF3"/>
    <w:rsid w:val="00CF5E4B"/>
    <w:rsid w:val="00CF5EC7"/>
    <w:rsid w:val="00CF5ED9"/>
    <w:rsid w:val="00CF5EE6"/>
    <w:rsid w:val="00CF5F10"/>
    <w:rsid w:val="00CF5F27"/>
    <w:rsid w:val="00CF5FF9"/>
    <w:rsid w:val="00CF6104"/>
    <w:rsid w:val="00CF611D"/>
    <w:rsid w:val="00CF617F"/>
    <w:rsid w:val="00CF6248"/>
    <w:rsid w:val="00CF62D8"/>
    <w:rsid w:val="00CF63B8"/>
    <w:rsid w:val="00CF6400"/>
    <w:rsid w:val="00CF645E"/>
    <w:rsid w:val="00CF64AB"/>
    <w:rsid w:val="00CF655E"/>
    <w:rsid w:val="00CF656C"/>
    <w:rsid w:val="00CF668F"/>
    <w:rsid w:val="00CF66CC"/>
    <w:rsid w:val="00CF671E"/>
    <w:rsid w:val="00CF673F"/>
    <w:rsid w:val="00CF676D"/>
    <w:rsid w:val="00CF68C2"/>
    <w:rsid w:val="00CF6A8A"/>
    <w:rsid w:val="00CF6CA9"/>
    <w:rsid w:val="00CF6DE8"/>
    <w:rsid w:val="00CF6E78"/>
    <w:rsid w:val="00CF6F61"/>
    <w:rsid w:val="00CF6F6E"/>
    <w:rsid w:val="00CF6FA8"/>
    <w:rsid w:val="00CF6FD9"/>
    <w:rsid w:val="00CF708F"/>
    <w:rsid w:val="00CF70FA"/>
    <w:rsid w:val="00CF71CA"/>
    <w:rsid w:val="00CF71EB"/>
    <w:rsid w:val="00CF7277"/>
    <w:rsid w:val="00CF72E7"/>
    <w:rsid w:val="00CF72EB"/>
    <w:rsid w:val="00CF72F9"/>
    <w:rsid w:val="00CF732D"/>
    <w:rsid w:val="00CF734D"/>
    <w:rsid w:val="00CF735C"/>
    <w:rsid w:val="00CF7400"/>
    <w:rsid w:val="00CF7644"/>
    <w:rsid w:val="00CF77E7"/>
    <w:rsid w:val="00CF7906"/>
    <w:rsid w:val="00CF79D0"/>
    <w:rsid w:val="00CF7ACE"/>
    <w:rsid w:val="00CF7BB0"/>
    <w:rsid w:val="00CF7C9D"/>
    <w:rsid w:val="00CF7DAB"/>
    <w:rsid w:val="00CF7F5C"/>
    <w:rsid w:val="00CF7F8C"/>
    <w:rsid w:val="00CFC0D1"/>
    <w:rsid w:val="00D00192"/>
    <w:rsid w:val="00D00195"/>
    <w:rsid w:val="00D00212"/>
    <w:rsid w:val="00D00341"/>
    <w:rsid w:val="00D0049E"/>
    <w:rsid w:val="00D00519"/>
    <w:rsid w:val="00D006C9"/>
    <w:rsid w:val="00D006D0"/>
    <w:rsid w:val="00D00819"/>
    <w:rsid w:val="00D0081B"/>
    <w:rsid w:val="00D0094E"/>
    <w:rsid w:val="00D009A1"/>
    <w:rsid w:val="00D00B9B"/>
    <w:rsid w:val="00D00C80"/>
    <w:rsid w:val="00D00CE3"/>
    <w:rsid w:val="00D00DB6"/>
    <w:rsid w:val="00D00DE0"/>
    <w:rsid w:val="00D00E56"/>
    <w:rsid w:val="00D00ED6"/>
    <w:rsid w:val="00D00F5A"/>
    <w:rsid w:val="00D00F9D"/>
    <w:rsid w:val="00D00FFC"/>
    <w:rsid w:val="00D01143"/>
    <w:rsid w:val="00D01146"/>
    <w:rsid w:val="00D0114F"/>
    <w:rsid w:val="00D01190"/>
    <w:rsid w:val="00D011B0"/>
    <w:rsid w:val="00D01225"/>
    <w:rsid w:val="00D012BE"/>
    <w:rsid w:val="00D01323"/>
    <w:rsid w:val="00D01353"/>
    <w:rsid w:val="00D013B9"/>
    <w:rsid w:val="00D01418"/>
    <w:rsid w:val="00D01427"/>
    <w:rsid w:val="00D014B6"/>
    <w:rsid w:val="00D01544"/>
    <w:rsid w:val="00D0156F"/>
    <w:rsid w:val="00D015E1"/>
    <w:rsid w:val="00D0167E"/>
    <w:rsid w:val="00D016D9"/>
    <w:rsid w:val="00D0172B"/>
    <w:rsid w:val="00D0173A"/>
    <w:rsid w:val="00D017AD"/>
    <w:rsid w:val="00D01984"/>
    <w:rsid w:val="00D019B3"/>
    <w:rsid w:val="00D01B73"/>
    <w:rsid w:val="00D01B78"/>
    <w:rsid w:val="00D01C8D"/>
    <w:rsid w:val="00D01CD3"/>
    <w:rsid w:val="00D01D90"/>
    <w:rsid w:val="00D01F4B"/>
    <w:rsid w:val="00D01F54"/>
    <w:rsid w:val="00D02017"/>
    <w:rsid w:val="00D021C8"/>
    <w:rsid w:val="00D02281"/>
    <w:rsid w:val="00D02468"/>
    <w:rsid w:val="00D02565"/>
    <w:rsid w:val="00D026EA"/>
    <w:rsid w:val="00D0272B"/>
    <w:rsid w:val="00D0274E"/>
    <w:rsid w:val="00D0277C"/>
    <w:rsid w:val="00D028B9"/>
    <w:rsid w:val="00D02902"/>
    <w:rsid w:val="00D0297D"/>
    <w:rsid w:val="00D029E8"/>
    <w:rsid w:val="00D02ADB"/>
    <w:rsid w:val="00D02BBB"/>
    <w:rsid w:val="00D02BC1"/>
    <w:rsid w:val="00D02C1F"/>
    <w:rsid w:val="00D02DE1"/>
    <w:rsid w:val="00D02E69"/>
    <w:rsid w:val="00D02EAD"/>
    <w:rsid w:val="00D02ED5"/>
    <w:rsid w:val="00D03087"/>
    <w:rsid w:val="00D0308C"/>
    <w:rsid w:val="00D030C5"/>
    <w:rsid w:val="00D0313F"/>
    <w:rsid w:val="00D03140"/>
    <w:rsid w:val="00D0319E"/>
    <w:rsid w:val="00D031FE"/>
    <w:rsid w:val="00D03233"/>
    <w:rsid w:val="00D032F1"/>
    <w:rsid w:val="00D03329"/>
    <w:rsid w:val="00D03648"/>
    <w:rsid w:val="00D036AF"/>
    <w:rsid w:val="00D036FC"/>
    <w:rsid w:val="00D0378E"/>
    <w:rsid w:val="00D0385D"/>
    <w:rsid w:val="00D0387E"/>
    <w:rsid w:val="00D03A63"/>
    <w:rsid w:val="00D03A91"/>
    <w:rsid w:val="00D03AB6"/>
    <w:rsid w:val="00D03B19"/>
    <w:rsid w:val="00D03B38"/>
    <w:rsid w:val="00D03C17"/>
    <w:rsid w:val="00D03C1E"/>
    <w:rsid w:val="00D03CE4"/>
    <w:rsid w:val="00D03D63"/>
    <w:rsid w:val="00D03D83"/>
    <w:rsid w:val="00D03DA0"/>
    <w:rsid w:val="00D03DA5"/>
    <w:rsid w:val="00D03DC6"/>
    <w:rsid w:val="00D03EEF"/>
    <w:rsid w:val="00D040D2"/>
    <w:rsid w:val="00D040DC"/>
    <w:rsid w:val="00D040FE"/>
    <w:rsid w:val="00D04106"/>
    <w:rsid w:val="00D0415E"/>
    <w:rsid w:val="00D041EA"/>
    <w:rsid w:val="00D041FE"/>
    <w:rsid w:val="00D042E2"/>
    <w:rsid w:val="00D044F7"/>
    <w:rsid w:val="00D045A6"/>
    <w:rsid w:val="00D045D1"/>
    <w:rsid w:val="00D0460D"/>
    <w:rsid w:val="00D046B2"/>
    <w:rsid w:val="00D046D8"/>
    <w:rsid w:val="00D0482C"/>
    <w:rsid w:val="00D04919"/>
    <w:rsid w:val="00D0496E"/>
    <w:rsid w:val="00D049C1"/>
    <w:rsid w:val="00D04AFB"/>
    <w:rsid w:val="00D04B02"/>
    <w:rsid w:val="00D04C41"/>
    <w:rsid w:val="00D04C9A"/>
    <w:rsid w:val="00D04FB9"/>
    <w:rsid w:val="00D04FD5"/>
    <w:rsid w:val="00D0503F"/>
    <w:rsid w:val="00D05056"/>
    <w:rsid w:val="00D05064"/>
    <w:rsid w:val="00D05112"/>
    <w:rsid w:val="00D0517B"/>
    <w:rsid w:val="00D05474"/>
    <w:rsid w:val="00D054BD"/>
    <w:rsid w:val="00D0560A"/>
    <w:rsid w:val="00D056CE"/>
    <w:rsid w:val="00D057C8"/>
    <w:rsid w:val="00D057E9"/>
    <w:rsid w:val="00D05853"/>
    <w:rsid w:val="00D05856"/>
    <w:rsid w:val="00D05B1E"/>
    <w:rsid w:val="00D05B8A"/>
    <w:rsid w:val="00D05BC4"/>
    <w:rsid w:val="00D05CBD"/>
    <w:rsid w:val="00D05D67"/>
    <w:rsid w:val="00D05DD5"/>
    <w:rsid w:val="00D05EC9"/>
    <w:rsid w:val="00D05F52"/>
    <w:rsid w:val="00D05FA5"/>
    <w:rsid w:val="00D06055"/>
    <w:rsid w:val="00D060A5"/>
    <w:rsid w:val="00D060B7"/>
    <w:rsid w:val="00D062AE"/>
    <w:rsid w:val="00D065B8"/>
    <w:rsid w:val="00D06608"/>
    <w:rsid w:val="00D066AD"/>
    <w:rsid w:val="00D06768"/>
    <w:rsid w:val="00D067B5"/>
    <w:rsid w:val="00D067EF"/>
    <w:rsid w:val="00D0680C"/>
    <w:rsid w:val="00D0686F"/>
    <w:rsid w:val="00D06998"/>
    <w:rsid w:val="00D069F5"/>
    <w:rsid w:val="00D06B01"/>
    <w:rsid w:val="00D06B04"/>
    <w:rsid w:val="00D06B4E"/>
    <w:rsid w:val="00D06B9B"/>
    <w:rsid w:val="00D06C67"/>
    <w:rsid w:val="00D06C98"/>
    <w:rsid w:val="00D06E3B"/>
    <w:rsid w:val="00D06E74"/>
    <w:rsid w:val="00D0717C"/>
    <w:rsid w:val="00D071CF"/>
    <w:rsid w:val="00D071D2"/>
    <w:rsid w:val="00D07307"/>
    <w:rsid w:val="00D0740F"/>
    <w:rsid w:val="00D0745A"/>
    <w:rsid w:val="00D075E3"/>
    <w:rsid w:val="00D075FB"/>
    <w:rsid w:val="00D0771D"/>
    <w:rsid w:val="00D0779F"/>
    <w:rsid w:val="00D0784B"/>
    <w:rsid w:val="00D0792F"/>
    <w:rsid w:val="00D07A98"/>
    <w:rsid w:val="00D07B41"/>
    <w:rsid w:val="00D07C05"/>
    <w:rsid w:val="00D07C9A"/>
    <w:rsid w:val="00D07D23"/>
    <w:rsid w:val="00D07D50"/>
    <w:rsid w:val="00D07D89"/>
    <w:rsid w:val="00D07F05"/>
    <w:rsid w:val="00D07F2D"/>
    <w:rsid w:val="00D100F8"/>
    <w:rsid w:val="00D10124"/>
    <w:rsid w:val="00D10210"/>
    <w:rsid w:val="00D1027C"/>
    <w:rsid w:val="00D10293"/>
    <w:rsid w:val="00D10405"/>
    <w:rsid w:val="00D10480"/>
    <w:rsid w:val="00D1057C"/>
    <w:rsid w:val="00D10597"/>
    <w:rsid w:val="00D105CF"/>
    <w:rsid w:val="00D1061A"/>
    <w:rsid w:val="00D1064A"/>
    <w:rsid w:val="00D10688"/>
    <w:rsid w:val="00D106E7"/>
    <w:rsid w:val="00D10733"/>
    <w:rsid w:val="00D10843"/>
    <w:rsid w:val="00D108EA"/>
    <w:rsid w:val="00D1097A"/>
    <w:rsid w:val="00D109E5"/>
    <w:rsid w:val="00D10B20"/>
    <w:rsid w:val="00D10B52"/>
    <w:rsid w:val="00D10BE1"/>
    <w:rsid w:val="00D10C21"/>
    <w:rsid w:val="00D10C7E"/>
    <w:rsid w:val="00D10E2E"/>
    <w:rsid w:val="00D10E7E"/>
    <w:rsid w:val="00D10E84"/>
    <w:rsid w:val="00D10E98"/>
    <w:rsid w:val="00D10EEB"/>
    <w:rsid w:val="00D11375"/>
    <w:rsid w:val="00D1145D"/>
    <w:rsid w:val="00D11465"/>
    <w:rsid w:val="00D1146F"/>
    <w:rsid w:val="00D1148C"/>
    <w:rsid w:val="00D114E4"/>
    <w:rsid w:val="00D11552"/>
    <w:rsid w:val="00D11568"/>
    <w:rsid w:val="00D115D8"/>
    <w:rsid w:val="00D11611"/>
    <w:rsid w:val="00D1161A"/>
    <w:rsid w:val="00D116E0"/>
    <w:rsid w:val="00D11791"/>
    <w:rsid w:val="00D1188A"/>
    <w:rsid w:val="00D118AE"/>
    <w:rsid w:val="00D11AAE"/>
    <w:rsid w:val="00D11CA6"/>
    <w:rsid w:val="00D11D17"/>
    <w:rsid w:val="00D11D62"/>
    <w:rsid w:val="00D11D6D"/>
    <w:rsid w:val="00D11D98"/>
    <w:rsid w:val="00D11DF3"/>
    <w:rsid w:val="00D11E94"/>
    <w:rsid w:val="00D11EF9"/>
    <w:rsid w:val="00D121C4"/>
    <w:rsid w:val="00D121E8"/>
    <w:rsid w:val="00D1220C"/>
    <w:rsid w:val="00D1223E"/>
    <w:rsid w:val="00D12481"/>
    <w:rsid w:val="00D12515"/>
    <w:rsid w:val="00D127CC"/>
    <w:rsid w:val="00D127CF"/>
    <w:rsid w:val="00D12943"/>
    <w:rsid w:val="00D12982"/>
    <w:rsid w:val="00D129D4"/>
    <w:rsid w:val="00D12B83"/>
    <w:rsid w:val="00D12CB9"/>
    <w:rsid w:val="00D12CBB"/>
    <w:rsid w:val="00D12F7E"/>
    <w:rsid w:val="00D13166"/>
    <w:rsid w:val="00D131F2"/>
    <w:rsid w:val="00D132C9"/>
    <w:rsid w:val="00D13414"/>
    <w:rsid w:val="00D13617"/>
    <w:rsid w:val="00D1361C"/>
    <w:rsid w:val="00D13674"/>
    <w:rsid w:val="00D13702"/>
    <w:rsid w:val="00D138D5"/>
    <w:rsid w:val="00D13ADA"/>
    <w:rsid w:val="00D13CF0"/>
    <w:rsid w:val="00D13D2D"/>
    <w:rsid w:val="00D13E3B"/>
    <w:rsid w:val="00D13E78"/>
    <w:rsid w:val="00D13EA4"/>
    <w:rsid w:val="00D13F1C"/>
    <w:rsid w:val="00D13FA0"/>
    <w:rsid w:val="00D13FAC"/>
    <w:rsid w:val="00D14066"/>
    <w:rsid w:val="00D1406A"/>
    <w:rsid w:val="00D140C0"/>
    <w:rsid w:val="00D140FB"/>
    <w:rsid w:val="00D1411E"/>
    <w:rsid w:val="00D14248"/>
    <w:rsid w:val="00D1446E"/>
    <w:rsid w:val="00D14513"/>
    <w:rsid w:val="00D1456E"/>
    <w:rsid w:val="00D14594"/>
    <w:rsid w:val="00D145E4"/>
    <w:rsid w:val="00D1460A"/>
    <w:rsid w:val="00D14892"/>
    <w:rsid w:val="00D14966"/>
    <w:rsid w:val="00D14AD2"/>
    <w:rsid w:val="00D14BBF"/>
    <w:rsid w:val="00D14BF2"/>
    <w:rsid w:val="00D14CBC"/>
    <w:rsid w:val="00D14CDB"/>
    <w:rsid w:val="00D14DE3"/>
    <w:rsid w:val="00D14FD2"/>
    <w:rsid w:val="00D15246"/>
    <w:rsid w:val="00D15313"/>
    <w:rsid w:val="00D153BA"/>
    <w:rsid w:val="00D1542D"/>
    <w:rsid w:val="00D1546E"/>
    <w:rsid w:val="00D156B3"/>
    <w:rsid w:val="00D156BB"/>
    <w:rsid w:val="00D15832"/>
    <w:rsid w:val="00D15962"/>
    <w:rsid w:val="00D159AB"/>
    <w:rsid w:val="00D159F0"/>
    <w:rsid w:val="00D15A73"/>
    <w:rsid w:val="00D15AD1"/>
    <w:rsid w:val="00D15C82"/>
    <w:rsid w:val="00D15C97"/>
    <w:rsid w:val="00D15CC5"/>
    <w:rsid w:val="00D15DA3"/>
    <w:rsid w:val="00D15EEF"/>
    <w:rsid w:val="00D15F79"/>
    <w:rsid w:val="00D15FEF"/>
    <w:rsid w:val="00D161CA"/>
    <w:rsid w:val="00D1623C"/>
    <w:rsid w:val="00D162EC"/>
    <w:rsid w:val="00D163C1"/>
    <w:rsid w:val="00D164C2"/>
    <w:rsid w:val="00D164D7"/>
    <w:rsid w:val="00D164E9"/>
    <w:rsid w:val="00D1652F"/>
    <w:rsid w:val="00D16542"/>
    <w:rsid w:val="00D1666D"/>
    <w:rsid w:val="00D16825"/>
    <w:rsid w:val="00D16877"/>
    <w:rsid w:val="00D16882"/>
    <w:rsid w:val="00D16894"/>
    <w:rsid w:val="00D1690D"/>
    <w:rsid w:val="00D16A01"/>
    <w:rsid w:val="00D16A0A"/>
    <w:rsid w:val="00D16ADB"/>
    <w:rsid w:val="00D16BD4"/>
    <w:rsid w:val="00D16C29"/>
    <w:rsid w:val="00D16DE5"/>
    <w:rsid w:val="00D16FC9"/>
    <w:rsid w:val="00D1702F"/>
    <w:rsid w:val="00D17032"/>
    <w:rsid w:val="00D1705B"/>
    <w:rsid w:val="00D171AE"/>
    <w:rsid w:val="00D1724B"/>
    <w:rsid w:val="00D172D5"/>
    <w:rsid w:val="00D1734E"/>
    <w:rsid w:val="00D1739B"/>
    <w:rsid w:val="00D173E2"/>
    <w:rsid w:val="00D17416"/>
    <w:rsid w:val="00D17499"/>
    <w:rsid w:val="00D174AE"/>
    <w:rsid w:val="00D174D5"/>
    <w:rsid w:val="00D17502"/>
    <w:rsid w:val="00D175D5"/>
    <w:rsid w:val="00D1761A"/>
    <w:rsid w:val="00D1765B"/>
    <w:rsid w:val="00D1765E"/>
    <w:rsid w:val="00D176B5"/>
    <w:rsid w:val="00D177BA"/>
    <w:rsid w:val="00D1787E"/>
    <w:rsid w:val="00D17884"/>
    <w:rsid w:val="00D178B2"/>
    <w:rsid w:val="00D178B7"/>
    <w:rsid w:val="00D179F0"/>
    <w:rsid w:val="00D17A88"/>
    <w:rsid w:val="00D17BAA"/>
    <w:rsid w:val="00D17BF6"/>
    <w:rsid w:val="00D17C07"/>
    <w:rsid w:val="00D17C21"/>
    <w:rsid w:val="00D17CF6"/>
    <w:rsid w:val="00D17D54"/>
    <w:rsid w:val="00D17D96"/>
    <w:rsid w:val="00D17DDA"/>
    <w:rsid w:val="00D17DEB"/>
    <w:rsid w:val="00D17DF6"/>
    <w:rsid w:val="00D17E1B"/>
    <w:rsid w:val="00D17F40"/>
    <w:rsid w:val="00D202AD"/>
    <w:rsid w:val="00D202B1"/>
    <w:rsid w:val="00D20377"/>
    <w:rsid w:val="00D20412"/>
    <w:rsid w:val="00D20514"/>
    <w:rsid w:val="00D2062A"/>
    <w:rsid w:val="00D20688"/>
    <w:rsid w:val="00D206B2"/>
    <w:rsid w:val="00D206C7"/>
    <w:rsid w:val="00D206D2"/>
    <w:rsid w:val="00D20713"/>
    <w:rsid w:val="00D20986"/>
    <w:rsid w:val="00D20A2F"/>
    <w:rsid w:val="00D20B45"/>
    <w:rsid w:val="00D20B78"/>
    <w:rsid w:val="00D20B9D"/>
    <w:rsid w:val="00D20C24"/>
    <w:rsid w:val="00D20D83"/>
    <w:rsid w:val="00D20DAB"/>
    <w:rsid w:val="00D20EFF"/>
    <w:rsid w:val="00D20FD1"/>
    <w:rsid w:val="00D21012"/>
    <w:rsid w:val="00D2102A"/>
    <w:rsid w:val="00D21040"/>
    <w:rsid w:val="00D210CA"/>
    <w:rsid w:val="00D210F1"/>
    <w:rsid w:val="00D2119B"/>
    <w:rsid w:val="00D2127E"/>
    <w:rsid w:val="00D212C1"/>
    <w:rsid w:val="00D21442"/>
    <w:rsid w:val="00D21466"/>
    <w:rsid w:val="00D215E8"/>
    <w:rsid w:val="00D21627"/>
    <w:rsid w:val="00D216E4"/>
    <w:rsid w:val="00D2172F"/>
    <w:rsid w:val="00D21887"/>
    <w:rsid w:val="00D218F4"/>
    <w:rsid w:val="00D219E7"/>
    <w:rsid w:val="00D21A6E"/>
    <w:rsid w:val="00D21A72"/>
    <w:rsid w:val="00D21B5D"/>
    <w:rsid w:val="00D21DD8"/>
    <w:rsid w:val="00D220BB"/>
    <w:rsid w:val="00D22272"/>
    <w:rsid w:val="00D222C6"/>
    <w:rsid w:val="00D223D6"/>
    <w:rsid w:val="00D2244E"/>
    <w:rsid w:val="00D22457"/>
    <w:rsid w:val="00D224AC"/>
    <w:rsid w:val="00D2252C"/>
    <w:rsid w:val="00D22531"/>
    <w:rsid w:val="00D225F2"/>
    <w:rsid w:val="00D2271B"/>
    <w:rsid w:val="00D22736"/>
    <w:rsid w:val="00D22764"/>
    <w:rsid w:val="00D2277A"/>
    <w:rsid w:val="00D227A6"/>
    <w:rsid w:val="00D22808"/>
    <w:rsid w:val="00D229A9"/>
    <w:rsid w:val="00D229E4"/>
    <w:rsid w:val="00D22BBA"/>
    <w:rsid w:val="00D22C9B"/>
    <w:rsid w:val="00D22CBA"/>
    <w:rsid w:val="00D22E19"/>
    <w:rsid w:val="00D2306C"/>
    <w:rsid w:val="00D23120"/>
    <w:rsid w:val="00D23144"/>
    <w:rsid w:val="00D2318E"/>
    <w:rsid w:val="00D23208"/>
    <w:rsid w:val="00D23407"/>
    <w:rsid w:val="00D234BA"/>
    <w:rsid w:val="00D23518"/>
    <w:rsid w:val="00D2372A"/>
    <w:rsid w:val="00D23795"/>
    <w:rsid w:val="00D2381E"/>
    <w:rsid w:val="00D239CC"/>
    <w:rsid w:val="00D23AD1"/>
    <w:rsid w:val="00D23B31"/>
    <w:rsid w:val="00D23B83"/>
    <w:rsid w:val="00D23C51"/>
    <w:rsid w:val="00D23CF7"/>
    <w:rsid w:val="00D23D76"/>
    <w:rsid w:val="00D23D85"/>
    <w:rsid w:val="00D23DBC"/>
    <w:rsid w:val="00D23DD6"/>
    <w:rsid w:val="00D23DF6"/>
    <w:rsid w:val="00D23E78"/>
    <w:rsid w:val="00D23FA4"/>
    <w:rsid w:val="00D24086"/>
    <w:rsid w:val="00D240CC"/>
    <w:rsid w:val="00D242A0"/>
    <w:rsid w:val="00D242B3"/>
    <w:rsid w:val="00D243C2"/>
    <w:rsid w:val="00D24495"/>
    <w:rsid w:val="00D245CB"/>
    <w:rsid w:val="00D245DB"/>
    <w:rsid w:val="00D245DC"/>
    <w:rsid w:val="00D2463A"/>
    <w:rsid w:val="00D246E8"/>
    <w:rsid w:val="00D24776"/>
    <w:rsid w:val="00D24796"/>
    <w:rsid w:val="00D2482B"/>
    <w:rsid w:val="00D24A62"/>
    <w:rsid w:val="00D24B35"/>
    <w:rsid w:val="00D24C2C"/>
    <w:rsid w:val="00D24EC3"/>
    <w:rsid w:val="00D24FA6"/>
    <w:rsid w:val="00D24FA9"/>
    <w:rsid w:val="00D24FF9"/>
    <w:rsid w:val="00D25003"/>
    <w:rsid w:val="00D25010"/>
    <w:rsid w:val="00D25016"/>
    <w:rsid w:val="00D250A7"/>
    <w:rsid w:val="00D25103"/>
    <w:rsid w:val="00D2517A"/>
    <w:rsid w:val="00D2536D"/>
    <w:rsid w:val="00D253C8"/>
    <w:rsid w:val="00D2545A"/>
    <w:rsid w:val="00D25493"/>
    <w:rsid w:val="00D25607"/>
    <w:rsid w:val="00D25640"/>
    <w:rsid w:val="00D256BB"/>
    <w:rsid w:val="00D256BD"/>
    <w:rsid w:val="00D257E1"/>
    <w:rsid w:val="00D257E3"/>
    <w:rsid w:val="00D258F6"/>
    <w:rsid w:val="00D25988"/>
    <w:rsid w:val="00D259AE"/>
    <w:rsid w:val="00D25B77"/>
    <w:rsid w:val="00D25B79"/>
    <w:rsid w:val="00D25BC4"/>
    <w:rsid w:val="00D25BE4"/>
    <w:rsid w:val="00D25D1C"/>
    <w:rsid w:val="00D25D98"/>
    <w:rsid w:val="00D25E23"/>
    <w:rsid w:val="00D25E50"/>
    <w:rsid w:val="00D25E78"/>
    <w:rsid w:val="00D25E98"/>
    <w:rsid w:val="00D25EC8"/>
    <w:rsid w:val="00D26087"/>
    <w:rsid w:val="00D26114"/>
    <w:rsid w:val="00D26371"/>
    <w:rsid w:val="00D26394"/>
    <w:rsid w:val="00D26504"/>
    <w:rsid w:val="00D26571"/>
    <w:rsid w:val="00D265F6"/>
    <w:rsid w:val="00D26622"/>
    <w:rsid w:val="00D2664E"/>
    <w:rsid w:val="00D2666F"/>
    <w:rsid w:val="00D26699"/>
    <w:rsid w:val="00D26787"/>
    <w:rsid w:val="00D267E3"/>
    <w:rsid w:val="00D26944"/>
    <w:rsid w:val="00D26A0C"/>
    <w:rsid w:val="00D26BC1"/>
    <w:rsid w:val="00D26C5C"/>
    <w:rsid w:val="00D26C60"/>
    <w:rsid w:val="00D26E39"/>
    <w:rsid w:val="00D26EE2"/>
    <w:rsid w:val="00D26F0D"/>
    <w:rsid w:val="00D26F68"/>
    <w:rsid w:val="00D270DB"/>
    <w:rsid w:val="00D2713D"/>
    <w:rsid w:val="00D27275"/>
    <w:rsid w:val="00D272CD"/>
    <w:rsid w:val="00D2733E"/>
    <w:rsid w:val="00D27492"/>
    <w:rsid w:val="00D275FB"/>
    <w:rsid w:val="00D27629"/>
    <w:rsid w:val="00D276CE"/>
    <w:rsid w:val="00D27716"/>
    <w:rsid w:val="00D2771D"/>
    <w:rsid w:val="00D2789A"/>
    <w:rsid w:val="00D27B55"/>
    <w:rsid w:val="00D27BC9"/>
    <w:rsid w:val="00D27C50"/>
    <w:rsid w:val="00D27C6B"/>
    <w:rsid w:val="00D27C8B"/>
    <w:rsid w:val="00D27CD7"/>
    <w:rsid w:val="00D27E9F"/>
    <w:rsid w:val="00D27F54"/>
    <w:rsid w:val="00D30093"/>
    <w:rsid w:val="00D300F2"/>
    <w:rsid w:val="00D30258"/>
    <w:rsid w:val="00D30337"/>
    <w:rsid w:val="00D303B6"/>
    <w:rsid w:val="00D303E1"/>
    <w:rsid w:val="00D304A5"/>
    <w:rsid w:val="00D304C2"/>
    <w:rsid w:val="00D30528"/>
    <w:rsid w:val="00D3056A"/>
    <w:rsid w:val="00D305A2"/>
    <w:rsid w:val="00D305C5"/>
    <w:rsid w:val="00D30685"/>
    <w:rsid w:val="00D3073F"/>
    <w:rsid w:val="00D30830"/>
    <w:rsid w:val="00D3088A"/>
    <w:rsid w:val="00D308BC"/>
    <w:rsid w:val="00D30974"/>
    <w:rsid w:val="00D309E1"/>
    <w:rsid w:val="00D30BCC"/>
    <w:rsid w:val="00D30CE2"/>
    <w:rsid w:val="00D30D46"/>
    <w:rsid w:val="00D30D73"/>
    <w:rsid w:val="00D3107B"/>
    <w:rsid w:val="00D311B0"/>
    <w:rsid w:val="00D3122D"/>
    <w:rsid w:val="00D313CB"/>
    <w:rsid w:val="00D31500"/>
    <w:rsid w:val="00D31510"/>
    <w:rsid w:val="00D31515"/>
    <w:rsid w:val="00D31531"/>
    <w:rsid w:val="00D31588"/>
    <w:rsid w:val="00D31690"/>
    <w:rsid w:val="00D316A8"/>
    <w:rsid w:val="00D316DE"/>
    <w:rsid w:val="00D31720"/>
    <w:rsid w:val="00D3193A"/>
    <w:rsid w:val="00D3196B"/>
    <w:rsid w:val="00D3196C"/>
    <w:rsid w:val="00D3199B"/>
    <w:rsid w:val="00D31A36"/>
    <w:rsid w:val="00D31ABA"/>
    <w:rsid w:val="00D31AD7"/>
    <w:rsid w:val="00D31B65"/>
    <w:rsid w:val="00D31BFB"/>
    <w:rsid w:val="00D31CB6"/>
    <w:rsid w:val="00D31D12"/>
    <w:rsid w:val="00D31D7A"/>
    <w:rsid w:val="00D31D97"/>
    <w:rsid w:val="00D31DFD"/>
    <w:rsid w:val="00D31EC3"/>
    <w:rsid w:val="00D31F6E"/>
    <w:rsid w:val="00D31F7D"/>
    <w:rsid w:val="00D31F82"/>
    <w:rsid w:val="00D31F89"/>
    <w:rsid w:val="00D3216A"/>
    <w:rsid w:val="00D3223D"/>
    <w:rsid w:val="00D3234E"/>
    <w:rsid w:val="00D323FF"/>
    <w:rsid w:val="00D3245A"/>
    <w:rsid w:val="00D32491"/>
    <w:rsid w:val="00D32651"/>
    <w:rsid w:val="00D328AE"/>
    <w:rsid w:val="00D328B4"/>
    <w:rsid w:val="00D32B3E"/>
    <w:rsid w:val="00D32B75"/>
    <w:rsid w:val="00D32C9C"/>
    <w:rsid w:val="00D32D6E"/>
    <w:rsid w:val="00D32F40"/>
    <w:rsid w:val="00D33008"/>
    <w:rsid w:val="00D33038"/>
    <w:rsid w:val="00D3315B"/>
    <w:rsid w:val="00D331A8"/>
    <w:rsid w:val="00D33275"/>
    <w:rsid w:val="00D33280"/>
    <w:rsid w:val="00D33397"/>
    <w:rsid w:val="00D333A5"/>
    <w:rsid w:val="00D33434"/>
    <w:rsid w:val="00D334DE"/>
    <w:rsid w:val="00D334DF"/>
    <w:rsid w:val="00D3351B"/>
    <w:rsid w:val="00D3351C"/>
    <w:rsid w:val="00D335A1"/>
    <w:rsid w:val="00D3369F"/>
    <w:rsid w:val="00D336B4"/>
    <w:rsid w:val="00D33796"/>
    <w:rsid w:val="00D339A4"/>
    <w:rsid w:val="00D33A45"/>
    <w:rsid w:val="00D33A83"/>
    <w:rsid w:val="00D33A97"/>
    <w:rsid w:val="00D33B3F"/>
    <w:rsid w:val="00D33CBE"/>
    <w:rsid w:val="00D33DDC"/>
    <w:rsid w:val="00D33E33"/>
    <w:rsid w:val="00D33F0E"/>
    <w:rsid w:val="00D33F69"/>
    <w:rsid w:val="00D34152"/>
    <w:rsid w:val="00D341BE"/>
    <w:rsid w:val="00D34335"/>
    <w:rsid w:val="00D34411"/>
    <w:rsid w:val="00D34498"/>
    <w:rsid w:val="00D3466F"/>
    <w:rsid w:val="00D348EC"/>
    <w:rsid w:val="00D34930"/>
    <w:rsid w:val="00D349A7"/>
    <w:rsid w:val="00D34A5B"/>
    <w:rsid w:val="00D34C27"/>
    <w:rsid w:val="00D34C2F"/>
    <w:rsid w:val="00D34CD8"/>
    <w:rsid w:val="00D34D90"/>
    <w:rsid w:val="00D34DED"/>
    <w:rsid w:val="00D34E9F"/>
    <w:rsid w:val="00D34EFF"/>
    <w:rsid w:val="00D3508F"/>
    <w:rsid w:val="00D3513D"/>
    <w:rsid w:val="00D35310"/>
    <w:rsid w:val="00D35407"/>
    <w:rsid w:val="00D35444"/>
    <w:rsid w:val="00D35809"/>
    <w:rsid w:val="00D3580C"/>
    <w:rsid w:val="00D35874"/>
    <w:rsid w:val="00D3591F"/>
    <w:rsid w:val="00D35934"/>
    <w:rsid w:val="00D35A39"/>
    <w:rsid w:val="00D35ADB"/>
    <w:rsid w:val="00D35BA4"/>
    <w:rsid w:val="00D35BA7"/>
    <w:rsid w:val="00D35C32"/>
    <w:rsid w:val="00D35C3E"/>
    <w:rsid w:val="00D35C99"/>
    <w:rsid w:val="00D35CDB"/>
    <w:rsid w:val="00D35D1C"/>
    <w:rsid w:val="00D35E1A"/>
    <w:rsid w:val="00D35F33"/>
    <w:rsid w:val="00D36075"/>
    <w:rsid w:val="00D360E0"/>
    <w:rsid w:val="00D362D1"/>
    <w:rsid w:val="00D3639A"/>
    <w:rsid w:val="00D36503"/>
    <w:rsid w:val="00D3651B"/>
    <w:rsid w:val="00D366D4"/>
    <w:rsid w:val="00D36714"/>
    <w:rsid w:val="00D36756"/>
    <w:rsid w:val="00D3678F"/>
    <w:rsid w:val="00D36809"/>
    <w:rsid w:val="00D36825"/>
    <w:rsid w:val="00D368B0"/>
    <w:rsid w:val="00D36933"/>
    <w:rsid w:val="00D36A94"/>
    <w:rsid w:val="00D36D0B"/>
    <w:rsid w:val="00D36E98"/>
    <w:rsid w:val="00D36F3C"/>
    <w:rsid w:val="00D36FFC"/>
    <w:rsid w:val="00D3701A"/>
    <w:rsid w:val="00D3704F"/>
    <w:rsid w:val="00D3747A"/>
    <w:rsid w:val="00D37497"/>
    <w:rsid w:val="00D374B0"/>
    <w:rsid w:val="00D375B3"/>
    <w:rsid w:val="00D37636"/>
    <w:rsid w:val="00D3763E"/>
    <w:rsid w:val="00D37722"/>
    <w:rsid w:val="00D37777"/>
    <w:rsid w:val="00D37786"/>
    <w:rsid w:val="00D37870"/>
    <w:rsid w:val="00D3797F"/>
    <w:rsid w:val="00D37AAE"/>
    <w:rsid w:val="00D37AD0"/>
    <w:rsid w:val="00D37C74"/>
    <w:rsid w:val="00D37C9E"/>
    <w:rsid w:val="00D37D8F"/>
    <w:rsid w:val="00D37EC2"/>
    <w:rsid w:val="00D4001A"/>
    <w:rsid w:val="00D40056"/>
    <w:rsid w:val="00D401DE"/>
    <w:rsid w:val="00D4029D"/>
    <w:rsid w:val="00D40361"/>
    <w:rsid w:val="00D40378"/>
    <w:rsid w:val="00D403C4"/>
    <w:rsid w:val="00D403E6"/>
    <w:rsid w:val="00D40405"/>
    <w:rsid w:val="00D40430"/>
    <w:rsid w:val="00D40462"/>
    <w:rsid w:val="00D40547"/>
    <w:rsid w:val="00D40585"/>
    <w:rsid w:val="00D407EF"/>
    <w:rsid w:val="00D4081F"/>
    <w:rsid w:val="00D408CE"/>
    <w:rsid w:val="00D408D9"/>
    <w:rsid w:val="00D408FB"/>
    <w:rsid w:val="00D40978"/>
    <w:rsid w:val="00D409A6"/>
    <w:rsid w:val="00D40A5F"/>
    <w:rsid w:val="00D40ADA"/>
    <w:rsid w:val="00D40AE8"/>
    <w:rsid w:val="00D40D20"/>
    <w:rsid w:val="00D40E3F"/>
    <w:rsid w:val="00D41185"/>
    <w:rsid w:val="00D41262"/>
    <w:rsid w:val="00D412F2"/>
    <w:rsid w:val="00D41540"/>
    <w:rsid w:val="00D41612"/>
    <w:rsid w:val="00D4166B"/>
    <w:rsid w:val="00D416DA"/>
    <w:rsid w:val="00D41940"/>
    <w:rsid w:val="00D41955"/>
    <w:rsid w:val="00D41A30"/>
    <w:rsid w:val="00D41AB7"/>
    <w:rsid w:val="00D41B14"/>
    <w:rsid w:val="00D41C1B"/>
    <w:rsid w:val="00D41C88"/>
    <w:rsid w:val="00D41CFB"/>
    <w:rsid w:val="00D41D75"/>
    <w:rsid w:val="00D41DDF"/>
    <w:rsid w:val="00D41F28"/>
    <w:rsid w:val="00D41F29"/>
    <w:rsid w:val="00D4200E"/>
    <w:rsid w:val="00D42150"/>
    <w:rsid w:val="00D42185"/>
    <w:rsid w:val="00D42278"/>
    <w:rsid w:val="00D422B6"/>
    <w:rsid w:val="00D422FB"/>
    <w:rsid w:val="00D4233A"/>
    <w:rsid w:val="00D42359"/>
    <w:rsid w:val="00D4240E"/>
    <w:rsid w:val="00D4269D"/>
    <w:rsid w:val="00D42761"/>
    <w:rsid w:val="00D42900"/>
    <w:rsid w:val="00D4290F"/>
    <w:rsid w:val="00D4291A"/>
    <w:rsid w:val="00D429AD"/>
    <w:rsid w:val="00D42A63"/>
    <w:rsid w:val="00D42A75"/>
    <w:rsid w:val="00D42AA0"/>
    <w:rsid w:val="00D42B31"/>
    <w:rsid w:val="00D42B44"/>
    <w:rsid w:val="00D42B70"/>
    <w:rsid w:val="00D42BB0"/>
    <w:rsid w:val="00D42C85"/>
    <w:rsid w:val="00D42D5A"/>
    <w:rsid w:val="00D42EAA"/>
    <w:rsid w:val="00D42F28"/>
    <w:rsid w:val="00D4329C"/>
    <w:rsid w:val="00D4331D"/>
    <w:rsid w:val="00D4349F"/>
    <w:rsid w:val="00D43566"/>
    <w:rsid w:val="00D436BF"/>
    <w:rsid w:val="00D43721"/>
    <w:rsid w:val="00D43766"/>
    <w:rsid w:val="00D43807"/>
    <w:rsid w:val="00D4382D"/>
    <w:rsid w:val="00D43A07"/>
    <w:rsid w:val="00D43A8D"/>
    <w:rsid w:val="00D43BAC"/>
    <w:rsid w:val="00D43C89"/>
    <w:rsid w:val="00D43CCE"/>
    <w:rsid w:val="00D43D10"/>
    <w:rsid w:val="00D43DBB"/>
    <w:rsid w:val="00D43E05"/>
    <w:rsid w:val="00D43E49"/>
    <w:rsid w:val="00D43EC0"/>
    <w:rsid w:val="00D43F5E"/>
    <w:rsid w:val="00D43FF6"/>
    <w:rsid w:val="00D44001"/>
    <w:rsid w:val="00D4401F"/>
    <w:rsid w:val="00D44081"/>
    <w:rsid w:val="00D440A2"/>
    <w:rsid w:val="00D4428D"/>
    <w:rsid w:val="00D442E0"/>
    <w:rsid w:val="00D44323"/>
    <w:rsid w:val="00D4433B"/>
    <w:rsid w:val="00D4435C"/>
    <w:rsid w:val="00D443C9"/>
    <w:rsid w:val="00D443CB"/>
    <w:rsid w:val="00D44400"/>
    <w:rsid w:val="00D44492"/>
    <w:rsid w:val="00D444AC"/>
    <w:rsid w:val="00D444D0"/>
    <w:rsid w:val="00D445AF"/>
    <w:rsid w:val="00D4481C"/>
    <w:rsid w:val="00D44980"/>
    <w:rsid w:val="00D44998"/>
    <w:rsid w:val="00D44AB1"/>
    <w:rsid w:val="00D44B34"/>
    <w:rsid w:val="00D44B95"/>
    <w:rsid w:val="00D44C7D"/>
    <w:rsid w:val="00D44DA1"/>
    <w:rsid w:val="00D44F77"/>
    <w:rsid w:val="00D44FA1"/>
    <w:rsid w:val="00D45191"/>
    <w:rsid w:val="00D451B2"/>
    <w:rsid w:val="00D45324"/>
    <w:rsid w:val="00D45367"/>
    <w:rsid w:val="00D45430"/>
    <w:rsid w:val="00D45487"/>
    <w:rsid w:val="00D4556E"/>
    <w:rsid w:val="00D456F5"/>
    <w:rsid w:val="00D457B1"/>
    <w:rsid w:val="00D458E6"/>
    <w:rsid w:val="00D45994"/>
    <w:rsid w:val="00D45A97"/>
    <w:rsid w:val="00D45AFB"/>
    <w:rsid w:val="00D45AFC"/>
    <w:rsid w:val="00D45B3D"/>
    <w:rsid w:val="00D45BBF"/>
    <w:rsid w:val="00D45BFC"/>
    <w:rsid w:val="00D45DDD"/>
    <w:rsid w:val="00D45DE4"/>
    <w:rsid w:val="00D45DE6"/>
    <w:rsid w:val="00D45ED3"/>
    <w:rsid w:val="00D45FC7"/>
    <w:rsid w:val="00D4609B"/>
    <w:rsid w:val="00D461E9"/>
    <w:rsid w:val="00D4624B"/>
    <w:rsid w:val="00D4625E"/>
    <w:rsid w:val="00D46345"/>
    <w:rsid w:val="00D4642F"/>
    <w:rsid w:val="00D46476"/>
    <w:rsid w:val="00D4648E"/>
    <w:rsid w:val="00D464C2"/>
    <w:rsid w:val="00D4676A"/>
    <w:rsid w:val="00D467CA"/>
    <w:rsid w:val="00D4681F"/>
    <w:rsid w:val="00D468FA"/>
    <w:rsid w:val="00D4691D"/>
    <w:rsid w:val="00D4699F"/>
    <w:rsid w:val="00D46A20"/>
    <w:rsid w:val="00D46AA2"/>
    <w:rsid w:val="00D46AEE"/>
    <w:rsid w:val="00D46C27"/>
    <w:rsid w:val="00D46D2F"/>
    <w:rsid w:val="00D46D9F"/>
    <w:rsid w:val="00D46E49"/>
    <w:rsid w:val="00D46E72"/>
    <w:rsid w:val="00D47089"/>
    <w:rsid w:val="00D470C5"/>
    <w:rsid w:val="00D4715F"/>
    <w:rsid w:val="00D47320"/>
    <w:rsid w:val="00D473B5"/>
    <w:rsid w:val="00D4743B"/>
    <w:rsid w:val="00D47476"/>
    <w:rsid w:val="00D475D7"/>
    <w:rsid w:val="00D47689"/>
    <w:rsid w:val="00D47704"/>
    <w:rsid w:val="00D47772"/>
    <w:rsid w:val="00D477AD"/>
    <w:rsid w:val="00D478C3"/>
    <w:rsid w:val="00D479FD"/>
    <w:rsid w:val="00D47A5E"/>
    <w:rsid w:val="00D47AE7"/>
    <w:rsid w:val="00D47B3E"/>
    <w:rsid w:val="00D47B80"/>
    <w:rsid w:val="00D47B94"/>
    <w:rsid w:val="00D47C17"/>
    <w:rsid w:val="00D47D4C"/>
    <w:rsid w:val="00D47D73"/>
    <w:rsid w:val="00D47DC8"/>
    <w:rsid w:val="00D47F18"/>
    <w:rsid w:val="00D47F62"/>
    <w:rsid w:val="00D5008F"/>
    <w:rsid w:val="00D50091"/>
    <w:rsid w:val="00D500AC"/>
    <w:rsid w:val="00D500C2"/>
    <w:rsid w:val="00D501F1"/>
    <w:rsid w:val="00D50235"/>
    <w:rsid w:val="00D503C9"/>
    <w:rsid w:val="00D503EB"/>
    <w:rsid w:val="00D5046B"/>
    <w:rsid w:val="00D5050B"/>
    <w:rsid w:val="00D50515"/>
    <w:rsid w:val="00D50582"/>
    <w:rsid w:val="00D5061F"/>
    <w:rsid w:val="00D5066E"/>
    <w:rsid w:val="00D5076E"/>
    <w:rsid w:val="00D50787"/>
    <w:rsid w:val="00D508D1"/>
    <w:rsid w:val="00D50927"/>
    <w:rsid w:val="00D5095F"/>
    <w:rsid w:val="00D509CB"/>
    <w:rsid w:val="00D50ACC"/>
    <w:rsid w:val="00D50C4F"/>
    <w:rsid w:val="00D50CFF"/>
    <w:rsid w:val="00D50D2E"/>
    <w:rsid w:val="00D50E92"/>
    <w:rsid w:val="00D50EF5"/>
    <w:rsid w:val="00D50F97"/>
    <w:rsid w:val="00D5138B"/>
    <w:rsid w:val="00D51393"/>
    <w:rsid w:val="00D513DA"/>
    <w:rsid w:val="00D51539"/>
    <w:rsid w:val="00D5163F"/>
    <w:rsid w:val="00D5166F"/>
    <w:rsid w:val="00D51787"/>
    <w:rsid w:val="00D51938"/>
    <w:rsid w:val="00D5198E"/>
    <w:rsid w:val="00D51AD4"/>
    <w:rsid w:val="00D51C24"/>
    <w:rsid w:val="00D51CD3"/>
    <w:rsid w:val="00D51E96"/>
    <w:rsid w:val="00D51FFC"/>
    <w:rsid w:val="00D52065"/>
    <w:rsid w:val="00D52155"/>
    <w:rsid w:val="00D52273"/>
    <w:rsid w:val="00D5228B"/>
    <w:rsid w:val="00D52398"/>
    <w:rsid w:val="00D52857"/>
    <w:rsid w:val="00D52994"/>
    <w:rsid w:val="00D52A63"/>
    <w:rsid w:val="00D52A89"/>
    <w:rsid w:val="00D52A8D"/>
    <w:rsid w:val="00D52BD0"/>
    <w:rsid w:val="00D52C25"/>
    <w:rsid w:val="00D52D42"/>
    <w:rsid w:val="00D52D8F"/>
    <w:rsid w:val="00D52DEC"/>
    <w:rsid w:val="00D52EDD"/>
    <w:rsid w:val="00D52FFE"/>
    <w:rsid w:val="00D53024"/>
    <w:rsid w:val="00D53066"/>
    <w:rsid w:val="00D5306D"/>
    <w:rsid w:val="00D5319F"/>
    <w:rsid w:val="00D5324D"/>
    <w:rsid w:val="00D53305"/>
    <w:rsid w:val="00D533FD"/>
    <w:rsid w:val="00D53521"/>
    <w:rsid w:val="00D5354C"/>
    <w:rsid w:val="00D5360F"/>
    <w:rsid w:val="00D5365B"/>
    <w:rsid w:val="00D53666"/>
    <w:rsid w:val="00D536A6"/>
    <w:rsid w:val="00D536BB"/>
    <w:rsid w:val="00D536C5"/>
    <w:rsid w:val="00D53807"/>
    <w:rsid w:val="00D53860"/>
    <w:rsid w:val="00D538C7"/>
    <w:rsid w:val="00D53A4B"/>
    <w:rsid w:val="00D53B67"/>
    <w:rsid w:val="00D53B6C"/>
    <w:rsid w:val="00D53B9F"/>
    <w:rsid w:val="00D53CCF"/>
    <w:rsid w:val="00D53CD8"/>
    <w:rsid w:val="00D53E61"/>
    <w:rsid w:val="00D53E7A"/>
    <w:rsid w:val="00D53F3F"/>
    <w:rsid w:val="00D53F64"/>
    <w:rsid w:val="00D53FEE"/>
    <w:rsid w:val="00D5409E"/>
    <w:rsid w:val="00D5417D"/>
    <w:rsid w:val="00D54222"/>
    <w:rsid w:val="00D542CE"/>
    <w:rsid w:val="00D5431C"/>
    <w:rsid w:val="00D54358"/>
    <w:rsid w:val="00D543CF"/>
    <w:rsid w:val="00D5466D"/>
    <w:rsid w:val="00D54700"/>
    <w:rsid w:val="00D549B7"/>
    <w:rsid w:val="00D54AAB"/>
    <w:rsid w:val="00D54AB5"/>
    <w:rsid w:val="00D54AED"/>
    <w:rsid w:val="00D54C44"/>
    <w:rsid w:val="00D54DF0"/>
    <w:rsid w:val="00D54EB4"/>
    <w:rsid w:val="00D54EF1"/>
    <w:rsid w:val="00D54FA1"/>
    <w:rsid w:val="00D5501D"/>
    <w:rsid w:val="00D55100"/>
    <w:rsid w:val="00D5511F"/>
    <w:rsid w:val="00D55180"/>
    <w:rsid w:val="00D5520B"/>
    <w:rsid w:val="00D55414"/>
    <w:rsid w:val="00D55433"/>
    <w:rsid w:val="00D55585"/>
    <w:rsid w:val="00D5559B"/>
    <w:rsid w:val="00D555CB"/>
    <w:rsid w:val="00D5563B"/>
    <w:rsid w:val="00D5569D"/>
    <w:rsid w:val="00D556D9"/>
    <w:rsid w:val="00D55735"/>
    <w:rsid w:val="00D559B6"/>
    <w:rsid w:val="00D559D5"/>
    <w:rsid w:val="00D55A24"/>
    <w:rsid w:val="00D55A31"/>
    <w:rsid w:val="00D55B22"/>
    <w:rsid w:val="00D55BC2"/>
    <w:rsid w:val="00D55BDD"/>
    <w:rsid w:val="00D55CD8"/>
    <w:rsid w:val="00D55D37"/>
    <w:rsid w:val="00D55D5B"/>
    <w:rsid w:val="00D55D93"/>
    <w:rsid w:val="00D55E36"/>
    <w:rsid w:val="00D55F55"/>
    <w:rsid w:val="00D55FE0"/>
    <w:rsid w:val="00D56120"/>
    <w:rsid w:val="00D56238"/>
    <w:rsid w:val="00D562CD"/>
    <w:rsid w:val="00D565C5"/>
    <w:rsid w:val="00D56649"/>
    <w:rsid w:val="00D566A8"/>
    <w:rsid w:val="00D566AE"/>
    <w:rsid w:val="00D566B2"/>
    <w:rsid w:val="00D56736"/>
    <w:rsid w:val="00D56847"/>
    <w:rsid w:val="00D568C1"/>
    <w:rsid w:val="00D568C8"/>
    <w:rsid w:val="00D56B46"/>
    <w:rsid w:val="00D56BF6"/>
    <w:rsid w:val="00D56C6F"/>
    <w:rsid w:val="00D56CAC"/>
    <w:rsid w:val="00D56CDC"/>
    <w:rsid w:val="00D56CF4"/>
    <w:rsid w:val="00D56D3D"/>
    <w:rsid w:val="00D56DEA"/>
    <w:rsid w:val="00D56E3A"/>
    <w:rsid w:val="00D56ED0"/>
    <w:rsid w:val="00D56F1B"/>
    <w:rsid w:val="00D56F31"/>
    <w:rsid w:val="00D57057"/>
    <w:rsid w:val="00D570E0"/>
    <w:rsid w:val="00D57141"/>
    <w:rsid w:val="00D5725A"/>
    <w:rsid w:val="00D5726D"/>
    <w:rsid w:val="00D57279"/>
    <w:rsid w:val="00D5734E"/>
    <w:rsid w:val="00D5743C"/>
    <w:rsid w:val="00D5745F"/>
    <w:rsid w:val="00D574B9"/>
    <w:rsid w:val="00D575C8"/>
    <w:rsid w:val="00D576BB"/>
    <w:rsid w:val="00D576E3"/>
    <w:rsid w:val="00D57710"/>
    <w:rsid w:val="00D57762"/>
    <w:rsid w:val="00D57871"/>
    <w:rsid w:val="00D5788A"/>
    <w:rsid w:val="00D578BC"/>
    <w:rsid w:val="00D57953"/>
    <w:rsid w:val="00D57B1A"/>
    <w:rsid w:val="00D57B52"/>
    <w:rsid w:val="00D57C6E"/>
    <w:rsid w:val="00D57C72"/>
    <w:rsid w:val="00D57CAE"/>
    <w:rsid w:val="00D57CE5"/>
    <w:rsid w:val="00D57EBA"/>
    <w:rsid w:val="00D57EE7"/>
    <w:rsid w:val="00D57EEB"/>
    <w:rsid w:val="00D60200"/>
    <w:rsid w:val="00D60272"/>
    <w:rsid w:val="00D602C4"/>
    <w:rsid w:val="00D6030F"/>
    <w:rsid w:val="00D603F4"/>
    <w:rsid w:val="00D60857"/>
    <w:rsid w:val="00D608D5"/>
    <w:rsid w:val="00D60974"/>
    <w:rsid w:val="00D6097C"/>
    <w:rsid w:val="00D60AF4"/>
    <w:rsid w:val="00D60C4A"/>
    <w:rsid w:val="00D60C91"/>
    <w:rsid w:val="00D60D8D"/>
    <w:rsid w:val="00D60E19"/>
    <w:rsid w:val="00D60EC4"/>
    <w:rsid w:val="00D60F11"/>
    <w:rsid w:val="00D60FAE"/>
    <w:rsid w:val="00D60FC6"/>
    <w:rsid w:val="00D6107B"/>
    <w:rsid w:val="00D610CD"/>
    <w:rsid w:val="00D61154"/>
    <w:rsid w:val="00D61195"/>
    <w:rsid w:val="00D61199"/>
    <w:rsid w:val="00D611C9"/>
    <w:rsid w:val="00D6122F"/>
    <w:rsid w:val="00D61272"/>
    <w:rsid w:val="00D612B8"/>
    <w:rsid w:val="00D6130B"/>
    <w:rsid w:val="00D61371"/>
    <w:rsid w:val="00D61492"/>
    <w:rsid w:val="00D614AC"/>
    <w:rsid w:val="00D614F1"/>
    <w:rsid w:val="00D6158D"/>
    <w:rsid w:val="00D615A1"/>
    <w:rsid w:val="00D615A7"/>
    <w:rsid w:val="00D615CA"/>
    <w:rsid w:val="00D616C5"/>
    <w:rsid w:val="00D61743"/>
    <w:rsid w:val="00D61749"/>
    <w:rsid w:val="00D617A5"/>
    <w:rsid w:val="00D617F7"/>
    <w:rsid w:val="00D619B7"/>
    <w:rsid w:val="00D619DD"/>
    <w:rsid w:val="00D61A27"/>
    <w:rsid w:val="00D61A66"/>
    <w:rsid w:val="00D61AA7"/>
    <w:rsid w:val="00D61D05"/>
    <w:rsid w:val="00D61D82"/>
    <w:rsid w:val="00D61EE6"/>
    <w:rsid w:val="00D61EFE"/>
    <w:rsid w:val="00D61F63"/>
    <w:rsid w:val="00D6206B"/>
    <w:rsid w:val="00D620D0"/>
    <w:rsid w:val="00D62274"/>
    <w:rsid w:val="00D622DF"/>
    <w:rsid w:val="00D62375"/>
    <w:rsid w:val="00D62439"/>
    <w:rsid w:val="00D624FC"/>
    <w:rsid w:val="00D6254A"/>
    <w:rsid w:val="00D626DD"/>
    <w:rsid w:val="00D626E8"/>
    <w:rsid w:val="00D62705"/>
    <w:rsid w:val="00D62750"/>
    <w:rsid w:val="00D62771"/>
    <w:rsid w:val="00D627FD"/>
    <w:rsid w:val="00D62806"/>
    <w:rsid w:val="00D62A25"/>
    <w:rsid w:val="00D62B4D"/>
    <w:rsid w:val="00D62BF3"/>
    <w:rsid w:val="00D62CA5"/>
    <w:rsid w:val="00D62D90"/>
    <w:rsid w:val="00D62DB1"/>
    <w:rsid w:val="00D62DF2"/>
    <w:rsid w:val="00D62E28"/>
    <w:rsid w:val="00D62ED2"/>
    <w:rsid w:val="00D62ED7"/>
    <w:rsid w:val="00D62F3F"/>
    <w:rsid w:val="00D63015"/>
    <w:rsid w:val="00D631E8"/>
    <w:rsid w:val="00D63224"/>
    <w:rsid w:val="00D6327E"/>
    <w:rsid w:val="00D632D6"/>
    <w:rsid w:val="00D63307"/>
    <w:rsid w:val="00D63381"/>
    <w:rsid w:val="00D63385"/>
    <w:rsid w:val="00D633C7"/>
    <w:rsid w:val="00D6349C"/>
    <w:rsid w:val="00D634E7"/>
    <w:rsid w:val="00D635D0"/>
    <w:rsid w:val="00D63652"/>
    <w:rsid w:val="00D63681"/>
    <w:rsid w:val="00D637A7"/>
    <w:rsid w:val="00D6382C"/>
    <w:rsid w:val="00D63833"/>
    <w:rsid w:val="00D639FB"/>
    <w:rsid w:val="00D63A78"/>
    <w:rsid w:val="00D63A9D"/>
    <w:rsid w:val="00D63B6D"/>
    <w:rsid w:val="00D63CF0"/>
    <w:rsid w:val="00D63DB6"/>
    <w:rsid w:val="00D63E4C"/>
    <w:rsid w:val="00D63E5E"/>
    <w:rsid w:val="00D63FCC"/>
    <w:rsid w:val="00D63FCF"/>
    <w:rsid w:val="00D640BC"/>
    <w:rsid w:val="00D640C4"/>
    <w:rsid w:val="00D641BC"/>
    <w:rsid w:val="00D64385"/>
    <w:rsid w:val="00D6460B"/>
    <w:rsid w:val="00D64646"/>
    <w:rsid w:val="00D64656"/>
    <w:rsid w:val="00D6468B"/>
    <w:rsid w:val="00D646F5"/>
    <w:rsid w:val="00D647BA"/>
    <w:rsid w:val="00D648C1"/>
    <w:rsid w:val="00D648E1"/>
    <w:rsid w:val="00D6497A"/>
    <w:rsid w:val="00D64A08"/>
    <w:rsid w:val="00D64A9A"/>
    <w:rsid w:val="00D64B61"/>
    <w:rsid w:val="00D64B91"/>
    <w:rsid w:val="00D64C43"/>
    <w:rsid w:val="00D64CCA"/>
    <w:rsid w:val="00D64EE4"/>
    <w:rsid w:val="00D651C6"/>
    <w:rsid w:val="00D65280"/>
    <w:rsid w:val="00D652D0"/>
    <w:rsid w:val="00D652EE"/>
    <w:rsid w:val="00D65315"/>
    <w:rsid w:val="00D654BA"/>
    <w:rsid w:val="00D65558"/>
    <w:rsid w:val="00D6567B"/>
    <w:rsid w:val="00D656BF"/>
    <w:rsid w:val="00D65810"/>
    <w:rsid w:val="00D658D7"/>
    <w:rsid w:val="00D65967"/>
    <w:rsid w:val="00D65B97"/>
    <w:rsid w:val="00D65E87"/>
    <w:rsid w:val="00D6609F"/>
    <w:rsid w:val="00D660BA"/>
    <w:rsid w:val="00D6619C"/>
    <w:rsid w:val="00D661CA"/>
    <w:rsid w:val="00D66200"/>
    <w:rsid w:val="00D6632C"/>
    <w:rsid w:val="00D663BA"/>
    <w:rsid w:val="00D6646D"/>
    <w:rsid w:val="00D665E4"/>
    <w:rsid w:val="00D6662F"/>
    <w:rsid w:val="00D66659"/>
    <w:rsid w:val="00D66698"/>
    <w:rsid w:val="00D666DF"/>
    <w:rsid w:val="00D66933"/>
    <w:rsid w:val="00D66964"/>
    <w:rsid w:val="00D669A1"/>
    <w:rsid w:val="00D66C6D"/>
    <w:rsid w:val="00D66E7F"/>
    <w:rsid w:val="00D6705F"/>
    <w:rsid w:val="00D671AE"/>
    <w:rsid w:val="00D67300"/>
    <w:rsid w:val="00D6736B"/>
    <w:rsid w:val="00D6746C"/>
    <w:rsid w:val="00D67549"/>
    <w:rsid w:val="00D67583"/>
    <w:rsid w:val="00D675C5"/>
    <w:rsid w:val="00D675D7"/>
    <w:rsid w:val="00D675FE"/>
    <w:rsid w:val="00D6766D"/>
    <w:rsid w:val="00D677E2"/>
    <w:rsid w:val="00D67841"/>
    <w:rsid w:val="00D67A52"/>
    <w:rsid w:val="00D67A89"/>
    <w:rsid w:val="00D67AA5"/>
    <w:rsid w:val="00D67AC1"/>
    <w:rsid w:val="00D67AE4"/>
    <w:rsid w:val="00D67B02"/>
    <w:rsid w:val="00D67C15"/>
    <w:rsid w:val="00D67D24"/>
    <w:rsid w:val="00D67D8B"/>
    <w:rsid w:val="00D70143"/>
    <w:rsid w:val="00D7033A"/>
    <w:rsid w:val="00D7034E"/>
    <w:rsid w:val="00D7041E"/>
    <w:rsid w:val="00D70443"/>
    <w:rsid w:val="00D70464"/>
    <w:rsid w:val="00D70550"/>
    <w:rsid w:val="00D705CF"/>
    <w:rsid w:val="00D70685"/>
    <w:rsid w:val="00D706D2"/>
    <w:rsid w:val="00D70752"/>
    <w:rsid w:val="00D70843"/>
    <w:rsid w:val="00D70925"/>
    <w:rsid w:val="00D70989"/>
    <w:rsid w:val="00D709B4"/>
    <w:rsid w:val="00D70A1C"/>
    <w:rsid w:val="00D70B52"/>
    <w:rsid w:val="00D70B81"/>
    <w:rsid w:val="00D70B96"/>
    <w:rsid w:val="00D70C21"/>
    <w:rsid w:val="00D70C2A"/>
    <w:rsid w:val="00D70C3C"/>
    <w:rsid w:val="00D70CF4"/>
    <w:rsid w:val="00D70D3E"/>
    <w:rsid w:val="00D70E13"/>
    <w:rsid w:val="00D70E41"/>
    <w:rsid w:val="00D70EE7"/>
    <w:rsid w:val="00D71005"/>
    <w:rsid w:val="00D71053"/>
    <w:rsid w:val="00D71070"/>
    <w:rsid w:val="00D71326"/>
    <w:rsid w:val="00D7136E"/>
    <w:rsid w:val="00D7137E"/>
    <w:rsid w:val="00D713BB"/>
    <w:rsid w:val="00D7144D"/>
    <w:rsid w:val="00D715AB"/>
    <w:rsid w:val="00D71625"/>
    <w:rsid w:val="00D7162E"/>
    <w:rsid w:val="00D7164F"/>
    <w:rsid w:val="00D71AF0"/>
    <w:rsid w:val="00D71B79"/>
    <w:rsid w:val="00D71B82"/>
    <w:rsid w:val="00D71BCA"/>
    <w:rsid w:val="00D71C1B"/>
    <w:rsid w:val="00D71D6B"/>
    <w:rsid w:val="00D71F44"/>
    <w:rsid w:val="00D720D6"/>
    <w:rsid w:val="00D721BF"/>
    <w:rsid w:val="00D72262"/>
    <w:rsid w:val="00D723D3"/>
    <w:rsid w:val="00D725AD"/>
    <w:rsid w:val="00D72649"/>
    <w:rsid w:val="00D72656"/>
    <w:rsid w:val="00D726FE"/>
    <w:rsid w:val="00D727FB"/>
    <w:rsid w:val="00D727FC"/>
    <w:rsid w:val="00D7280A"/>
    <w:rsid w:val="00D72810"/>
    <w:rsid w:val="00D7285A"/>
    <w:rsid w:val="00D7286C"/>
    <w:rsid w:val="00D72A41"/>
    <w:rsid w:val="00D72A94"/>
    <w:rsid w:val="00D72AA8"/>
    <w:rsid w:val="00D72B47"/>
    <w:rsid w:val="00D72B49"/>
    <w:rsid w:val="00D72CB4"/>
    <w:rsid w:val="00D72DFE"/>
    <w:rsid w:val="00D72E06"/>
    <w:rsid w:val="00D72F30"/>
    <w:rsid w:val="00D72F3D"/>
    <w:rsid w:val="00D72FCD"/>
    <w:rsid w:val="00D72FF3"/>
    <w:rsid w:val="00D73004"/>
    <w:rsid w:val="00D7306A"/>
    <w:rsid w:val="00D7308F"/>
    <w:rsid w:val="00D73096"/>
    <w:rsid w:val="00D731BE"/>
    <w:rsid w:val="00D732BD"/>
    <w:rsid w:val="00D733AC"/>
    <w:rsid w:val="00D733B3"/>
    <w:rsid w:val="00D734CA"/>
    <w:rsid w:val="00D734E8"/>
    <w:rsid w:val="00D7350F"/>
    <w:rsid w:val="00D73635"/>
    <w:rsid w:val="00D73644"/>
    <w:rsid w:val="00D736D4"/>
    <w:rsid w:val="00D73716"/>
    <w:rsid w:val="00D738AF"/>
    <w:rsid w:val="00D73B53"/>
    <w:rsid w:val="00D73D54"/>
    <w:rsid w:val="00D73D7C"/>
    <w:rsid w:val="00D74059"/>
    <w:rsid w:val="00D7408E"/>
    <w:rsid w:val="00D7417E"/>
    <w:rsid w:val="00D7426D"/>
    <w:rsid w:val="00D74285"/>
    <w:rsid w:val="00D7438C"/>
    <w:rsid w:val="00D74494"/>
    <w:rsid w:val="00D744D4"/>
    <w:rsid w:val="00D74510"/>
    <w:rsid w:val="00D745D2"/>
    <w:rsid w:val="00D74676"/>
    <w:rsid w:val="00D74752"/>
    <w:rsid w:val="00D7477D"/>
    <w:rsid w:val="00D749F4"/>
    <w:rsid w:val="00D74A0E"/>
    <w:rsid w:val="00D74A6B"/>
    <w:rsid w:val="00D74A8B"/>
    <w:rsid w:val="00D74CA7"/>
    <w:rsid w:val="00D74CB2"/>
    <w:rsid w:val="00D74D23"/>
    <w:rsid w:val="00D74DE0"/>
    <w:rsid w:val="00D74E53"/>
    <w:rsid w:val="00D74FE4"/>
    <w:rsid w:val="00D74FED"/>
    <w:rsid w:val="00D75149"/>
    <w:rsid w:val="00D752C0"/>
    <w:rsid w:val="00D75342"/>
    <w:rsid w:val="00D7546C"/>
    <w:rsid w:val="00D754A8"/>
    <w:rsid w:val="00D75541"/>
    <w:rsid w:val="00D75576"/>
    <w:rsid w:val="00D7562E"/>
    <w:rsid w:val="00D756DC"/>
    <w:rsid w:val="00D7572F"/>
    <w:rsid w:val="00D758BC"/>
    <w:rsid w:val="00D75940"/>
    <w:rsid w:val="00D75998"/>
    <w:rsid w:val="00D75B31"/>
    <w:rsid w:val="00D75C9F"/>
    <w:rsid w:val="00D75CAC"/>
    <w:rsid w:val="00D75EFD"/>
    <w:rsid w:val="00D75FAA"/>
    <w:rsid w:val="00D76009"/>
    <w:rsid w:val="00D76037"/>
    <w:rsid w:val="00D7606E"/>
    <w:rsid w:val="00D761E0"/>
    <w:rsid w:val="00D7626D"/>
    <w:rsid w:val="00D76416"/>
    <w:rsid w:val="00D7656D"/>
    <w:rsid w:val="00D76666"/>
    <w:rsid w:val="00D766DB"/>
    <w:rsid w:val="00D767DC"/>
    <w:rsid w:val="00D769B3"/>
    <w:rsid w:val="00D769E3"/>
    <w:rsid w:val="00D76BC5"/>
    <w:rsid w:val="00D76E1B"/>
    <w:rsid w:val="00D76E73"/>
    <w:rsid w:val="00D76FC1"/>
    <w:rsid w:val="00D76FEC"/>
    <w:rsid w:val="00D770DD"/>
    <w:rsid w:val="00D771D2"/>
    <w:rsid w:val="00D77259"/>
    <w:rsid w:val="00D772DB"/>
    <w:rsid w:val="00D774CC"/>
    <w:rsid w:val="00D774D7"/>
    <w:rsid w:val="00D7750D"/>
    <w:rsid w:val="00D7752A"/>
    <w:rsid w:val="00D7768F"/>
    <w:rsid w:val="00D776FF"/>
    <w:rsid w:val="00D777C9"/>
    <w:rsid w:val="00D77903"/>
    <w:rsid w:val="00D77926"/>
    <w:rsid w:val="00D77938"/>
    <w:rsid w:val="00D77A62"/>
    <w:rsid w:val="00D77AE7"/>
    <w:rsid w:val="00D77B9D"/>
    <w:rsid w:val="00D77BED"/>
    <w:rsid w:val="00D77C18"/>
    <w:rsid w:val="00D77C30"/>
    <w:rsid w:val="00D77CC4"/>
    <w:rsid w:val="00D77E39"/>
    <w:rsid w:val="00D77E5B"/>
    <w:rsid w:val="00D7F6F1"/>
    <w:rsid w:val="00D801D9"/>
    <w:rsid w:val="00D801F2"/>
    <w:rsid w:val="00D802D3"/>
    <w:rsid w:val="00D80440"/>
    <w:rsid w:val="00D804EA"/>
    <w:rsid w:val="00D804F8"/>
    <w:rsid w:val="00D804FF"/>
    <w:rsid w:val="00D80529"/>
    <w:rsid w:val="00D8052F"/>
    <w:rsid w:val="00D8054A"/>
    <w:rsid w:val="00D8068F"/>
    <w:rsid w:val="00D806BE"/>
    <w:rsid w:val="00D8078A"/>
    <w:rsid w:val="00D807B1"/>
    <w:rsid w:val="00D8084A"/>
    <w:rsid w:val="00D80866"/>
    <w:rsid w:val="00D80968"/>
    <w:rsid w:val="00D809EA"/>
    <w:rsid w:val="00D80AC4"/>
    <w:rsid w:val="00D80BAC"/>
    <w:rsid w:val="00D80BD3"/>
    <w:rsid w:val="00D80CF2"/>
    <w:rsid w:val="00D80E48"/>
    <w:rsid w:val="00D80EC6"/>
    <w:rsid w:val="00D80FB1"/>
    <w:rsid w:val="00D81191"/>
    <w:rsid w:val="00D81273"/>
    <w:rsid w:val="00D812A7"/>
    <w:rsid w:val="00D8134C"/>
    <w:rsid w:val="00D81360"/>
    <w:rsid w:val="00D8141C"/>
    <w:rsid w:val="00D8154F"/>
    <w:rsid w:val="00D81681"/>
    <w:rsid w:val="00D8178B"/>
    <w:rsid w:val="00D8189C"/>
    <w:rsid w:val="00D81959"/>
    <w:rsid w:val="00D81976"/>
    <w:rsid w:val="00D81A86"/>
    <w:rsid w:val="00D81A8A"/>
    <w:rsid w:val="00D81B2E"/>
    <w:rsid w:val="00D81BB8"/>
    <w:rsid w:val="00D81BC4"/>
    <w:rsid w:val="00D81C67"/>
    <w:rsid w:val="00D81C85"/>
    <w:rsid w:val="00D81CBE"/>
    <w:rsid w:val="00D81CDD"/>
    <w:rsid w:val="00D81D75"/>
    <w:rsid w:val="00D81DF6"/>
    <w:rsid w:val="00D81EC4"/>
    <w:rsid w:val="00D81EF8"/>
    <w:rsid w:val="00D8207A"/>
    <w:rsid w:val="00D821DA"/>
    <w:rsid w:val="00D82212"/>
    <w:rsid w:val="00D8231B"/>
    <w:rsid w:val="00D8239A"/>
    <w:rsid w:val="00D82431"/>
    <w:rsid w:val="00D8243A"/>
    <w:rsid w:val="00D824B7"/>
    <w:rsid w:val="00D8258A"/>
    <w:rsid w:val="00D825A3"/>
    <w:rsid w:val="00D8282D"/>
    <w:rsid w:val="00D82839"/>
    <w:rsid w:val="00D82848"/>
    <w:rsid w:val="00D82889"/>
    <w:rsid w:val="00D828B8"/>
    <w:rsid w:val="00D828CD"/>
    <w:rsid w:val="00D82915"/>
    <w:rsid w:val="00D82A28"/>
    <w:rsid w:val="00D82A67"/>
    <w:rsid w:val="00D82B4F"/>
    <w:rsid w:val="00D82B8A"/>
    <w:rsid w:val="00D82C2D"/>
    <w:rsid w:val="00D82CF5"/>
    <w:rsid w:val="00D82ED3"/>
    <w:rsid w:val="00D82FD5"/>
    <w:rsid w:val="00D82FE8"/>
    <w:rsid w:val="00D8307F"/>
    <w:rsid w:val="00D830C5"/>
    <w:rsid w:val="00D830ED"/>
    <w:rsid w:val="00D83185"/>
    <w:rsid w:val="00D83226"/>
    <w:rsid w:val="00D8327D"/>
    <w:rsid w:val="00D832D9"/>
    <w:rsid w:val="00D8339C"/>
    <w:rsid w:val="00D83503"/>
    <w:rsid w:val="00D83509"/>
    <w:rsid w:val="00D83541"/>
    <w:rsid w:val="00D83606"/>
    <w:rsid w:val="00D8363D"/>
    <w:rsid w:val="00D83748"/>
    <w:rsid w:val="00D8386B"/>
    <w:rsid w:val="00D838DF"/>
    <w:rsid w:val="00D838F5"/>
    <w:rsid w:val="00D83CB0"/>
    <w:rsid w:val="00D83D2A"/>
    <w:rsid w:val="00D83D52"/>
    <w:rsid w:val="00D83EB5"/>
    <w:rsid w:val="00D83EE6"/>
    <w:rsid w:val="00D83FA4"/>
    <w:rsid w:val="00D840DB"/>
    <w:rsid w:val="00D84121"/>
    <w:rsid w:val="00D841E8"/>
    <w:rsid w:val="00D8422B"/>
    <w:rsid w:val="00D8423A"/>
    <w:rsid w:val="00D84364"/>
    <w:rsid w:val="00D843CB"/>
    <w:rsid w:val="00D84402"/>
    <w:rsid w:val="00D844B1"/>
    <w:rsid w:val="00D84569"/>
    <w:rsid w:val="00D845B7"/>
    <w:rsid w:val="00D84601"/>
    <w:rsid w:val="00D846CC"/>
    <w:rsid w:val="00D846ED"/>
    <w:rsid w:val="00D8473B"/>
    <w:rsid w:val="00D8491D"/>
    <w:rsid w:val="00D8493D"/>
    <w:rsid w:val="00D84974"/>
    <w:rsid w:val="00D8499E"/>
    <w:rsid w:val="00D849D9"/>
    <w:rsid w:val="00D84A0A"/>
    <w:rsid w:val="00D84B22"/>
    <w:rsid w:val="00D84BA7"/>
    <w:rsid w:val="00D84C4A"/>
    <w:rsid w:val="00D84CCD"/>
    <w:rsid w:val="00D84D3A"/>
    <w:rsid w:val="00D84DF2"/>
    <w:rsid w:val="00D850B2"/>
    <w:rsid w:val="00D8523A"/>
    <w:rsid w:val="00D852A6"/>
    <w:rsid w:val="00D852AF"/>
    <w:rsid w:val="00D8544B"/>
    <w:rsid w:val="00D85675"/>
    <w:rsid w:val="00D856FF"/>
    <w:rsid w:val="00D8572B"/>
    <w:rsid w:val="00D857DD"/>
    <w:rsid w:val="00D858D8"/>
    <w:rsid w:val="00D85B7D"/>
    <w:rsid w:val="00D85BBA"/>
    <w:rsid w:val="00D85BDB"/>
    <w:rsid w:val="00D85BE1"/>
    <w:rsid w:val="00D85C4E"/>
    <w:rsid w:val="00D85CF8"/>
    <w:rsid w:val="00D85CF9"/>
    <w:rsid w:val="00D85D3C"/>
    <w:rsid w:val="00D85DCA"/>
    <w:rsid w:val="00D85E4D"/>
    <w:rsid w:val="00D85E98"/>
    <w:rsid w:val="00D85ED2"/>
    <w:rsid w:val="00D8608F"/>
    <w:rsid w:val="00D861D1"/>
    <w:rsid w:val="00D86203"/>
    <w:rsid w:val="00D862B8"/>
    <w:rsid w:val="00D8636D"/>
    <w:rsid w:val="00D863EA"/>
    <w:rsid w:val="00D86507"/>
    <w:rsid w:val="00D865A1"/>
    <w:rsid w:val="00D866B5"/>
    <w:rsid w:val="00D86723"/>
    <w:rsid w:val="00D8683D"/>
    <w:rsid w:val="00D8686F"/>
    <w:rsid w:val="00D868CA"/>
    <w:rsid w:val="00D86A50"/>
    <w:rsid w:val="00D86A93"/>
    <w:rsid w:val="00D86B0E"/>
    <w:rsid w:val="00D86C12"/>
    <w:rsid w:val="00D86C21"/>
    <w:rsid w:val="00D86E32"/>
    <w:rsid w:val="00D86EEE"/>
    <w:rsid w:val="00D870D5"/>
    <w:rsid w:val="00D87117"/>
    <w:rsid w:val="00D871D0"/>
    <w:rsid w:val="00D87226"/>
    <w:rsid w:val="00D872A1"/>
    <w:rsid w:val="00D872FD"/>
    <w:rsid w:val="00D87300"/>
    <w:rsid w:val="00D873CE"/>
    <w:rsid w:val="00D875F0"/>
    <w:rsid w:val="00D87661"/>
    <w:rsid w:val="00D87698"/>
    <w:rsid w:val="00D87799"/>
    <w:rsid w:val="00D8782F"/>
    <w:rsid w:val="00D8784A"/>
    <w:rsid w:val="00D878BF"/>
    <w:rsid w:val="00D879FF"/>
    <w:rsid w:val="00D87B0C"/>
    <w:rsid w:val="00D87B70"/>
    <w:rsid w:val="00D87C28"/>
    <w:rsid w:val="00D87D58"/>
    <w:rsid w:val="00D87D74"/>
    <w:rsid w:val="00D87EEF"/>
    <w:rsid w:val="00D900B0"/>
    <w:rsid w:val="00D900B5"/>
    <w:rsid w:val="00D900FB"/>
    <w:rsid w:val="00D90290"/>
    <w:rsid w:val="00D9031D"/>
    <w:rsid w:val="00D903CC"/>
    <w:rsid w:val="00D903CF"/>
    <w:rsid w:val="00D90451"/>
    <w:rsid w:val="00D9051E"/>
    <w:rsid w:val="00D90628"/>
    <w:rsid w:val="00D906F3"/>
    <w:rsid w:val="00D9075D"/>
    <w:rsid w:val="00D907DF"/>
    <w:rsid w:val="00D90831"/>
    <w:rsid w:val="00D908DC"/>
    <w:rsid w:val="00D908EB"/>
    <w:rsid w:val="00D909F5"/>
    <w:rsid w:val="00D90B99"/>
    <w:rsid w:val="00D90D23"/>
    <w:rsid w:val="00D90D6A"/>
    <w:rsid w:val="00D90DC0"/>
    <w:rsid w:val="00D90EC0"/>
    <w:rsid w:val="00D90ED4"/>
    <w:rsid w:val="00D90F23"/>
    <w:rsid w:val="00D90F3F"/>
    <w:rsid w:val="00D90FD7"/>
    <w:rsid w:val="00D9102C"/>
    <w:rsid w:val="00D9118C"/>
    <w:rsid w:val="00D911CB"/>
    <w:rsid w:val="00D91328"/>
    <w:rsid w:val="00D913AF"/>
    <w:rsid w:val="00D9145B"/>
    <w:rsid w:val="00D915D1"/>
    <w:rsid w:val="00D91636"/>
    <w:rsid w:val="00D916F9"/>
    <w:rsid w:val="00D917BF"/>
    <w:rsid w:val="00D917FE"/>
    <w:rsid w:val="00D91851"/>
    <w:rsid w:val="00D91ACC"/>
    <w:rsid w:val="00D91B0E"/>
    <w:rsid w:val="00D91BDD"/>
    <w:rsid w:val="00D91C35"/>
    <w:rsid w:val="00D91D55"/>
    <w:rsid w:val="00D91FAD"/>
    <w:rsid w:val="00D91FB5"/>
    <w:rsid w:val="00D92083"/>
    <w:rsid w:val="00D9227D"/>
    <w:rsid w:val="00D922BC"/>
    <w:rsid w:val="00D92456"/>
    <w:rsid w:val="00D924E9"/>
    <w:rsid w:val="00D92651"/>
    <w:rsid w:val="00D926F6"/>
    <w:rsid w:val="00D927AB"/>
    <w:rsid w:val="00D9295A"/>
    <w:rsid w:val="00D929D2"/>
    <w:rsid w:val="00D92A21"/>
    <w:rsid w:val="00D92A48"/>
    <w:rsid w:val="00D92A5A"/>
    <w:rsid w:val="00D92A7A"/>
    <w:rsid w:val="00D92AA3"/>
    <w:rsid w:val="00D92B73"/>
    <w:rsid w:val="00D92B97"/>
    <w:rsid w:val="00D92CB2"/>
    <w:rsid w:val="00D92CEF"/>
    <w:rsid w:val="00D92CF2"/>
    <w:rsid w:val="00D92D72"/>
    <w:rsid w:val="00D92DD2"/>
    <w:rsid w:val="00D92E04"/>
    <w:rsid w:val="00D92EA0"/>
    <w:rsid w:val="00D92F60"/>
    <w:rsid w:val="00D9301D"/>
    <w:rsid w:val="00D930D9"/>
    <w:rsid w:val="00D93137"/>
    <w:rsid w:val="00D93170"/>
    <w:rsid w:val="00D93266"/>
    <w:rsid w:val="00D933BF"/>
    <w:rsid w:val="00D9344B"/>
    <w:rsid w:val="00D9345A"/>
    <w:rsid w:val="00D9351A"/>
    <w:rsid w:val="00D93527"/>
    <w:rsid w:val="00D9355A"/>
    <w:rsid w:val="00D935D8"/>
    <w:rsid w:val="00D93619"/>
    <w:rsid w:val="00D9362A"/>
    <w:rsid w:val="00D936F3"/>
    <w:rsid w:val="00D93876"/>
    <w:rsid w:val="00D938F2"/>
    <w:rsid w:val="00D93A30"/>
    <w:rsid w:val="00D93ABE"/>
    <w:rsid w:val="00D93B91"/>
    <w:rsid w:val="00D93B93"/>
    <w:rsid w:val="00D93C68"/>
    <w:rsid w:val="00D93CDD"/>
    <w:rsid w:val="00D93E23"/>
    <w:rsid w:val="00D93F80"/>
    <w:rsid w:val="00D940D6"/>
    <w:rsid w:val="00D94108"/>
    <w:rsid w:val="00D94134"/>
    <w:rsid w:val="00D94148"/>
    <w:rsid w:val="00D941BD"/>
    <w:rsid w:val="00D9432B"/>
    <w:rsid w:val="00D944F8"/>
    <w:rsid w:val="00D94568"/>
    <w:rsid w:val="00D9460C"/>
    <w:rsid w:val="00D9461F"/>
    <w:rsid w:val="00D94774"/>
    <w:rsid w:val="00D94785"/>
    <w:rsid w:val="00D947F1"/>
    <w:rsid w:val="00D94921"/>
    <w:rsid w:val="00D94AEC"/>
    <w:rsid w:val="00D94B88"/>
    <w:rsid w:val="00D94C30"/>
    <w:rsid w:val="00D94D1D"/>
    <w:rsid w:val="00D94EE0"/>
    <w:rsid w:val="00D94F68"/>
    <w:rsid w:val="00D950C2"/>
    <w:rsid w:val="00D95113"/>
    <w:rsid w:val="00D95338"/>
    <w:rsid w:val="00D95356"/>
    <w:rsid w:val="00D953BD"/>
    <w:rsid w:val="00D953D8"/>
    <w:rsid w:val="00D9548E"/>
    <w:rsid w:val="00D95586"/>
    <w:rsid w:val="00D9560E"/>
    <w:rsid w:val="00D9570F"/>
    <w:rsid w:val="00D957D8"/>
    <w:rsid w:val="00D95845"/>
    <w:rsid w:val="00D959EA"/>
    <w:rsid w:val="00D95A79"/>
    <w:rsid w:val="00D95A7D"/>
    <w:rsid w:val="00D95D07"/>
    <w:rsid w:val="00D95EC3"/>
    <w:rsid w:val="00D95FFC"/>
    <w:rsid w:val="00D9610E"/>
    <w:rsid w:val="00D9628E"/>
    <w:rsid w:val="00D96308"/>
    <w:rsid w:val="00D96322"/>
    <w:rsid w:val="00D96366"/>
    <w:rsid w:val="00D963C1"/>
    <w:rsid w:val="00D964E9"/>
    <w:rsid w:val="00D9656A"/>
    <w:rsid w:val="00D9663B"/>
    <w:rsid w:val="00D96773"/>
    <w:rsid w:val="00D96821"/>
    <w:rsid w:val="00D96872"/>
    <w:rsid w:val="00D96884"/>
    <w:rsid w:val="00D968CE"/>
    <w:rsid w:val="00D96999"/>
    <w:rsid w:val="00D96A1E"/>
    <w:rsid w:val="00D96C01"/>
    <w:rsid w:val="00D96C37"/>
    <w:rsid w:val="00D96D58"/>
    <w:rsid w:val="00D96D84"/>
    <w:rsid w:val="00D96E0F"/>
    <w:rsid w:val="00D96F83"/>
    <w:rsid w:val="00D97035"/>
    <w:rsid w:val="00D9735F"/>
    <w:rsid w:val="00D9739F"/>
    <w:rsid w:val="00D97435"/>
    <w:rsid w:val="00D9749D"/>
    <w:rsid w:val="00D975D2"/>
    <w:rsid w:val="00D97802"/>
    <w:rsid w:val="00D97863"/>
    <w:rsid w:val="00D97982"/>
    <w:rsid w:val="00D97993"/>
    <w:rsid w:val="00D979FB"/>
    <w:rsid w:val="00D97A49"/>
    <w:rsid w:val="00D97A50"/>
    <w:rsid w:val="00D97A77"/>
    <w:rsid w:val="00D97A7A"/>
    <w:rsid w:val="00D97C78"/>
    <w:rsid w:val="00D97C95"/>
    <w:rsid w:val="00D97CA7"/>
    <w:rsid w:val="00D97CF0"/>
    <w:rsid w:val="00D97D23"/>
    <w:rsid w:val="00D97DB4"/>
    <w:rsid w:val="00D97F9F"/>
    <w:rsid w:val="00D97FA5"/>
    <w:rsid w:val="00DA008F"/>
    <w:rsid w:val="00DA010C"/>
    <w:rsid w:val="00DA046D"/>
    <w:rsid w:val="00DA04C1"/>
    <w:rsid w:val="00DA05F7"/>
    <w:rsid w:val="00DA0624"/>
    <w:rsid w:val="00DA077E"/>
    <w:rsid w:val="00DA079B"/>
    <w:rsid w:val="00DA0826"/>
    <w:rsid w:val="00DA089F"/>
    <w:rsid w:val="00DA08A7"/>
    <w:rsid w:val="00DA0911"/>
    <w:rsid w:val="00DA0927"/>
    <w:rsid w:val="00DA09AF"/>
    <w:rsid w:val="00DA09C0"/>
    <w:rsid w:val="00DA09E2"/>
    <w:rsid w:val="00DA0A56"/>
    <w:rsid w:val="00DA0BCD"/>
    <w:rsid w:val="00DA0BE8"/>
    <w:rsid w:val="00DA0C5A"/>
    <w:rsid w:val="00DA0D59"/>
    <w:rsid w:val="00DA0DE3"/>
    <w:rsid w:val="00DA0EA7"/>
    <w:rsid w:val="00DA0FFE"/>
    <w:rsid w:val="00DA104E"/>
    <w:rsid w:val="00DA108D"/>
    <w:rsid w:val="00DA10F9"/>
    <w:rsid w:val="00DA1326"/>
    <w:rsid w:val="00DA136C"/>
    <w:rsid w:val="00DA13A7"/>
    <w:rsid w:val="00DA13D7"/>
    <w:rsid w:val="00DA1496"/>
    <w:rsid w:val="00DA15BA"/>
    <w:rsid w:val="00DA15CE"/>
    <w:rsid w:val="00DA16F1"/>
    <w:rsid w:val="00DA17EC"/>
    <w:rsid w:val="00DA18F2"/>
    <w:rsid w:val="00DA1971"/>
    <w:rsid w:val="00DA1988"/>
    <w:rsid w:val="00DA1AEC"/>
    <w:rsid w:val="00DA1B23"/>
    <w:rsid w:val="00DA1C4D"/>
    <w:rsid w:val="00DA1D21"/>
    <w:rsid w:val="00DA1F56"/>
    <w:rsid w:val="00DA2007"/>
    <w:rsid w:val="00DA210B"/>
    <w:rsid w:val="00DA21B2"/>
    <w:rsid w:val="00DA21CA"/>
    <w:rsid w:val="00DA21F4"/>
    <w:rsid w:val="00DA237F"/>
    <w:rsid w:val="00DA24AE"/>
    <w:rsid w:val="00DA2712"/>
    <w:rsid w:val="00DA2798"/>
    <w:rsid w:val="00DA28C7"/>
    <w:rsid w:val="00DA290F"/>
    <w:rsid w:val="00DA2948"/>
    <w:rsid w:val="00DA29B0"/>
    <w:rsid w:val="00DA2A1B"/>
    <w:rsid w:val="00DA2A56"/>
    <w:rsid w:val="00DA2AB4"/>
    <w:rsid w:val="00DA2D26"/>
    <w:rsid w:val="00DA2E88"/>
    <w:rsid w:val="00DA2EB6"/>
    <w:rsid w:val="00DA2F03"/>
    <w:rsid w:val="00DA3065"/>
    <w:rsid w:val="00DA3095"/>
    <w:rsid w:val="00DA30FF"/>
    <w:rsid w:val="00DA3171"/>
    <w:rsid w:val="00DA319C"/>
    <w:rsid w:val="00DA31C7"/>
    <w:rsid w:val="00DA3292"/>
    <w:rsid w:val="00DA32C6"/>
    <w:rsid w:val="00DA32D6"/>
    <w:rsid w:val="00DA3384"/>
    <w:rsid w:val="00DA33C5"/>
    <w:rsid w:val="00DA3402"/>
    <w:rsid w:val="00DA3450"/>
    <w:rsid w:val="00DA354A"/>
    <w:rsid w:val="00DA3599"/>
    <w:rsid w:val="00DA367D"/>
    <w:rsid w:val="00DA36FC"/>
    <w:rsid w:val="00DA3744"/>
    <w:rsid w:val="00DA3778"/>
    <w:rsid w:val="00DA390B"/>
    <w:rsid w:val="00DA39E7"/>
    <w:rsid w:val="00DA39F1"/>
    <w:rsid w:val="00DA3A5E"/>
    <w:rsid w:val="00DA3A73"/>
    <w:rsid w:val="00DA3B5F"/>
    <w:rsid w:val="00DA3BA0"/>
    <w:rsid w:val="00DA3CB2"/>
    <w:rsid w:val="00DA3D94"/>
    <w:rsid w:val="00DA3F1F"/>
    <w:rsid w:val="00DA3F8A"/>
    <w:rsid w:val="00DA3F8D"/>
    <w:rsid w:val="00DA3FD1"/>
    <w:rsid w:val="00DA3FD6"/>
    <w:rsid w:val="00DA406D"/>
    <w:rsid w:val="00DA4106"/>
    <w:rsid w:val="00DA41E3"/>
    <w:rsid w:val="00DA4338"/>
    <w:rsid w:val="00DA4344"/>
    <w:rsid w:val="00DA437A"/>
    <w:rsid w:val="00DA43E6"/>
    <w:rsid w:val="00DA45D5"/>
    <w:rsid w:val="00DA4695"/>
    <w:rsid w:val="00DA478B"/>
    <w:rsid w:val="00DA486B"/>
    <w:rsid w:val="00DA4A84"/>
    <w:rsid w:val="00DA4B5B"/>
    <w:rsid w:val="00DA4BB3"/>
    <w:rsid w:val="00DA4D5A"/>
    <w:rsid w:val="00DA4DBE"/>
    <w:rsid w:val="00DA4DFC"/>
    <w:rsid w:val="00DA4F2D"/>
    <w:rsid w:val="00DA4FF7"/>
    <w:rsid w:val="00DA5006"/>
    <w:rsid w:val="00DA5125"/>
    <w:rsid w:val="00DA519A"/>
    <w:rsid w:val="00DA51C6"/>
    <w:rsid w:val="00DA51E7"/>
    <w:rsid w:val="00DA51FE"/>
    <w:rsid w:val="00DA5211"/>
    <w:rsid w:val="00DA52B5"/>
    <w:rsid w:val="00DA52F1"/>
    <w:rsid w:val="00DA53DD"/>
    <w:rsid w:val="00DA5442"/>
    <w:rsid w:val="00DA57CC"/>
    <w:rsid w:val="00DA5864"/>
    <w:rsid w:val="00DA58BC"/>
    <w:rsid w:val="00DA5924"/>
    <w:rsid w:val="00DA5959"/>
    <w:rsid w:val="00DA59AA"/>
    <w:rsid w:val="00DA59AD"/>
    <w:rsid w:val="00DA5A39"/>
    <w:rsid w:val="00DA5AA7"/>
    <w:rsid w:val="00DA5B60"/>
    <w:rsid w:val="00DA5BE5"/>
    <w:rsid w:val="00DA5BF2"/>
    <w:rsid w:val="00DA5BFD"/>
    <w:rsid w:val="00DA5CA9"/>
    <w:rsid w:val="00DA5E07"/>
    <w:rsid w:val="00DA5E24"/>
    <w:rsid w:val="00DA5EBF"/>
    <w:rsid w:val="00DA5ECB"/>
    <w:rsid w:val="00DA5EFA"/>
    <w:rsid w:val="00DA5F2B"/>
    <w:rsid w:val="00DA5FC8"/>
    <w:rsid w:val="00DA6346"/>
    <w:rsid w:val="00DA638A"/>
    <w:rsid w:val="00DA63D3"/>
    <w:rsid w:val="00DA63EC"/>
    <w:rsid w:val="00DA6467"/>
    <w:rsid w:val="00DA6469"/>
    <w:rsid w:val="00DA6496"/>
    <w:rsid w:val="00DA64D4"/>
    <w:rsid w:val="00DA6521"/>
    <w:rsid w:val="00DA659E"/>
    <w:rsid w:val="00DA668A"/>
    <w:rsid w:val="00DA66D7"/>
    <w:rsid w:val="00DA67AF"/>
    <w:rsid w:val="00DA6859"/>
    <w:rsid w:val="00DA688E"/>
    <w:rsid w:val="00DA68D0"/>
    <w:rsid w:val="00DA68FD"/>
    <w:rsid w:val="00DA692D"/>
    <w:rsid w:val="00DA6936"/>
    <w:rsid w:val="00DA6BB4"/>
    <w:rsid w:val="00DA6C5B"/>
    <w:rsid w:val="00DA6D0A"/>
    <w:rsid w:val="00DA6DF3"/>
    <w:rsid w:val="00DA6E0C"/>
    <w:rsid w:val="00DA6E15"/>
    <w:rsid w:val="00DA6EFB"/>
    <w:rsid w:val="00DA6F09"/>
    <w:rsid w:val="00DA6FE2"/>
    <w:rsid w:val="00DA702C"/>
    <w:rsid w:val="00DA7039"/>
    <w:rsid w:val="00DA705C"/>
    <w:rsid w:val="00DA736D"/>
    <w:rsid w:val="00DA7401"/>
    <w:rsid w:val="00DA74B6"/>
    <w:rsid w:val="00DA751B"/>
    <w:rsid w:val="00DA7571"/>
    <w:rsid w:val="00DA75FA"/>
    <w:rsid w:val="00DA7810"/>
    <w:rsid w:val="00DA782D"/>
    <w:rsid w:val="00DA78C1"/>
    <w:rsid w:val="00DA7A7E"/>
    <w:rsid w:val="00DA7A80"/>
    <w:rsid w:val="00DA7AE8"/>
    <w:rsid w:val="00DA7B07"/>
    <w:rsid w:val="00DA7B38"/>
    <w:rsid w:val="00DA7BF0"/>
    <w:rsid w:val="00DA7C64"/>
    <w:rsid w:val="00DA7C6E"/>
    <w:rsid w:val="00DA7D53"/>
    <w:rsid w:val="00DA7D83"/>
    <w:rsid w:val="00DA7E30"/>
    <w:rsid w:val="00DB004D"/>
    <w:rsid w:val="00DB0213"/>
    <w:rsid w:val="00DB023E"/>
    <w:rsid w:val="00DB0280"/>
    <w:rsid w:val="00DB030A"/>
    <w:rsid w:val="00DB0396"/>
    <w:rsid w:val="00DB03AD"/>
    <w:rsid w:val="00DB064D"/>
    <w:rsid w:val="00DB0669"/>
    <w:rsid w:val="00DB0814"/>
    <w:rsid w:val="00DB0848"/>
    <w:rsid w:val="00DB088D"/>
    <w:rsid w:val="00DB0A7D"/>
    <w:rsid w:val="00DB0AF7"/>
    <w:rsid w:val="00DB0B06"/>
    <w:rsid w:val="00DB0B12"/>
    <w:rsid w:val="00DB0B2C"/>
    <w:rsid w:val="00DB0B84"/>
    <w:rsid w:val="00DB0BFB"/>
    <w:rsid w:val="00DB0D4F"/>
    <w:rsid w:val="00DB0DB8"/>
    <w:rsid w:val="00DB0DFC"/>
    <w:rsid w:val="00DB0E5B"/>
    <w:rsid w:val="00DB0E88"/>
    <w:rsid w:val="00DB0F14"/>
    <w:rsid w:val="00DB0F2C"/>
    <w:rsid w:val="00DB110A"/>
    <w:rsid w:val="00DB121A"/>
    <w:rsid w:val="00DB1227"/>
    <w:rsid w:val="00DB168A"/>
    <w:rsid w:val="00DB1752"/>
    <w:rsid w:val="00DB1758"/>
    <w:rsid w:val="00DB193F"/>
    <w:rsid w:val="00DB1A31"/>
    <w:rsid w:val="00DB1ABA"/>
    <w:rsid w:val="00DB1BBF"/>
    <w:rsid w:val="00DB1C7B"/>
    <w:rsid w:val="00DB1D08"/>
    <w:rsid w:val="00DB1D0D"/>
    <w:rsid w:val="00DB1D32"/>
    <w:rsid w:val="00DB1D87"/>
    <w:rsid w:val="00DB1E1B"/>
    <w:rsid w:val="00DB2083"/>
    <w:rsid w:val="00DB211D"/>
    <w:rsid w:val="00DB228F"/>
    <w:rsid w:val="00DB23D9"/>
    <w:rsid w:val="00DB242C"/>
    <w:rsid w:val="00DB2621"/>
    <w:rsid w:val="00DB2625"/>
    <w:rsid w:val="00DB2643"/>
    <w:rsid w:val="00DB268C"/>
    <w:rsid w:val="00DB26D5"/>
    <w:rsid w:val="00DB26F8"/>
    <w:rsid w:val="00DB27A7"/>
    <w:rsid w:val="00DB2869"/>
    <w:rsid w:val="00DB2AB0"/>
    <w:rsid w:val="00DB2B0A"/>
    <w:rsid w:val="00DB2BAC"/>
    <w:rsid w:val="00DB2BC3"/>
    <w:rsid w:val="00DB2CB7"/>
    <w:rsid w:val="00DB2CC6"/>
    <w:rsid w:val="00DB2CF6"/>
    <w:rsid w:val="00DB2DF5"/>
    <w:rsid w:val="00DB2E0E"/>
    <w:rsid w:val="00DB2ECB"/>
    <w:rsid w:val="00DB2F6A"/>
    <w:rsid w:val="00DB2FAE"/>
    <w:rsid w:val="00DB2FD0"/>
    <w:rsid w:val="00DB3018"/>
    <w:rsid w:val="00DB301E"/>
    <w:rsid w:val="00DB30C7"/>
    <w:rsid w:val="00DB31E2"/>
    <w:rsid w:val="00DB3205"/>
    <w:rsid w:val="00DB3207"/>
    <w:rsid w:val="00DB3214"/>
    <w:rsid w:val="00DB33F5"/>
    <w:rsid w:val="00DB33F8"/>
    <w:rsid w:val="00DB363F"/>
    <w:rsid w:val="00DB373E"/>
    <w:rsid w:val="00DB377B"/>
    <w:rsid w:val="00DB3786"/>
    <w:rsid w:val="00DB37B9"/>
    <w:rsid w:val="00DB3923"/>
    <w:rsid w:val="00DB39B6"/>
    <w:rsid w:val="00DB3A53"/>
    <w:rsid w:val="00DB3A7C"/>
    <w:rsid w:val="00DB3AEB"/>
    <w:rsid w:val="00DB3B88"/>
    <w:rsid w:val="00DB3CFA"/>
    <w:rsid w:val="00DB3CFB"/>
    <w:rsid w:val="00DB3D57"/>
    <w:rsid w:val="00DB3D8C"/>
    <w:rsid w:val="00DB3E1D"/>
    <w:rsid w:val="00DB404B"/>
    <w:rsid w:val="00DB40F5"/>
    <w:rsid w:val="00DB4120"/>
    <w:rsid w:val="00DB423E"/>
    <w:rsid w:val="00DB4276"/>
    <w:rsid w:val="00DB4327"/>
    <w:rsid w:val="00DB4694"/>
    <w:rsid w:val="00DB47DB"/>
    <w:rsid w:val="00DB4843"/>
    <w:rsid w:val="00DB488E"/>
    <w:rsid w:val="00DB48B4"/>
    <w:rsid w:val="00DB48CE"/>
    <w:rsid w:val="00DB4940"/>
    <w:rsid w:val="00DB4A39"/>
    <w:rsid w:val="00DB4B4A"/>
    <w:rsid w:val="00DB4B90"/>
    <w:rsid w:val="00DB4BE6"/>
    <w:rsid w:val="00DB4C05"/>
    <w:rsid w:val="00DB4CB4"/>
    <w:rsid w:val="00DB4F29"/>
    <w:rsid w:val="00DB4F3C"/>
    <w:rsid w:val="00DB4F76"/>
    <w:rsid w:val="00DB4FAE"/>
    <w:rsid w:val="00DB5013"/>
    <w:rsid w:val="00DB504F"/>
    <w:rsid w:val="00DB5196"/>
    <w:rsid w:val="00DB51CA"/>
    <w:rsid w:val="00DB5258"/>
    <w:rsid w:val="00DB52CB"/>
    <w:rsid w:val="00DB540E"/>
    <w:rsid w:val="00DB5490"/>
    <w:rsid w:val="00DB55C8"/>
    <w:rsid w:val="00DB562B"/>
    <w:rsid w:val="00DB56F3"/>
    <w:rsid w:val="00DB5720"/>
    <w:rsid w:val="00DB597E"/>
    <w:rsid w:val="00DB5A71"/>
    <w:rsid w:val="00DB5AA6"/>
    <w:rsid w:val="00DB5ABF"/>
    <w:rsid w:val="00DB5B2B"/>
    <w:rsid w:val="00DB5B38"/>
    <w:rsid w:val="00DB5C03"/>
    <w:rsid w:val="00DB5D40"/>
    <w:rsid w:val="00DB5E57"/>
    <w:rsid w:val="00DB5E70"/>
    <w:rsid w:val="00DB5F0B"/>
    <w:rsid w:val="00DB60BF"/>
    <w:rsid w:val="00DB6103"/>
    <w:rsid w:val="00DB611F"/>
    <w:rsid w:val="00DB6133"/>
    <w:rsid w:val="00DB6184"/>
    <w:rsid w:val="00DB643C"/>
    <w:rsid w:val="00DB6482"/>
    <w:rsid w:val="00DB6651"/>
    <w:rsid w:val="00DB665E"/>
    <w:rsid w:val="00DB6726"/>
    <w:rsid w:val="00DB689B"/>
    <w:rsid w:val="00DB6A8E"/>
    <w:rsid w:val="00DB6ABD"/>
    <w:rsid w:val="00DB6AFB"/>
    <w:rsid w:val="00DB6B66"/>
    <w:rsid w:val="00DB6B90"/>
    <w:rsid w:val="00DB6D2F"/>
    <w:rsid w:val="00DB6D7D"/>
    <w:rsid w:val="00DB6D7F"/>
    <w:rsid w:val="00DB6DFE"/>
    <w:rsid w:val="00DB6E35"/>
    <w:rsid w:val="00DB6E87"/>
    <w:rsid w:val="00DB6E8C"/>
    <w:rsid w:val="00DB6EDD"/>
    <w:rsid w:val="00DB7075"/>
    <w:rsid w:val="00DB7212"/>
    <w:rsid w:val="00DB7281"/>
    <w:rsid w:val="00DB72D8"/>
    <w:rsid w:val="00DB7464"/>
    <w:rsid w:val="00DB74CE"/>
    <w:rsid w:val="00DB7506"/>
    <w:rsid w:val="00DB7566"/>
    <w:rsid w:val="00DB7574"/>
    <w:rsid w:val="00DB75F7"/>
    <w:rsid w:val="00DB75FF"/>
    <w:rsid w:val="00DB78C1"/>
    <w:rsid w:val="00DB78DE"/>
    <w:rsid w:val="00DB78EB"/>
    <w:rsid w:val="00DB79AA"/>
    <w:rsid w:val="00DB7A05"/>
    <w:rsid w:val="00DB7BAC"/>
    <w:rsid w:val="00DB7BDF"/>
    <w:rsid w:val="00DB7C38"/>
    <w:rsid w:val="00DB7DC9"/>
    <w:rsid w:val="00DB7E62"/>
    <w:rsid w:val="00DB7EA7"/>
    <w:rsid w:val="00DB7EF5"/>
    <w:rsid w:val="00DB7FC5"/>
    <w:rsid w:val="00DC0003"/>
    <w:rsid w:val="00DC0086"/>
    <w:rsid w:val="00DC00E9"/>
    <w:rsid w:val="00DC0372"/>
    <w:rsid w:val="00DC0400"/>
    <w:rsid w:val="00DC062B"/>
    <w:rsid w:val="00DC06A0"/>
    <w:rsid w:val="00DC074A"/>
    <w:rsid w:val="00DC0959"/>
    <w:rsid w:val="00DC095B"/>
    <w:rsid w:val="00DC0997"/>
    <w:rsid w:val="00DC0AD1"/>
    <w:rsid w:val="00DC0C1E"/>
    <w:rsid w:val="00DC0C3E"/>
    <w:rsid w:val="00DC0C3F"/>
    <w:rsid w:val="00DC0E41"/>
    <w:rsid w:val="00DC0E6B"/>
    <w:rsid w:val="00DC0FD6"/>
    <w:rsid w:val="00DC0FE6"/>
    <w:rsid w:val="00DC106D"/>
    <w:rsid w:val="00DC10DE"/>
    <w:rsid w:val="00DC112E"/>
    <w:rsid w:val="00DC11B6"/>
    <w:rsid w:val="00DC11C7"/>
    <w:rsid w:val="00DC1439"/>
    <w:rsid w:val="00DC14A1"/>
    <w:rsid w:val="00DC15C8"/>
    <w:rsid w:val="00DC15DD"/>
    <w:rsid w:val="00DC167E"/>
    <w:rsid w:val="00DC1709"/>
    <w:rsid w:val="00DC1778"/>
    <w:rsid w:val="00DC180D"/>
    <w:rsid w:val="00DC18A1"/>
    <w:rsid w:val="00DC191D"/>
    <w:rsid w:val="00DC198D"/>
    <w:rsid w:val="00DC1A6E"/>
    <w:rsid w:val="00DC1AF0"/>
    <w:rsid w:val="00DC1DB3"/>
    <w:rsid w:val="00DC1E0D"/>
    <w:rsid w:val="00DC1EC5"/>
    <w:rsid w:val="00DC1F4D"/>
    <w:rsid w:val="00DC1FCD"/>
    <w:rsid w:val="00DC20C6"/>
    <w:rsid w:val="00DC2236"/>
    <w:rsid w:val="00DC2239"/>
    <w:rsid w:val="00DC2340"/>
    <w:rsid w:val="00DC25BC"/>
    <w:rsid w:val="00DC2602"/>
    <w:rsid w:val="00DC27A1"/>
    <w:rsid w:val="00DC27BC"/>
    <w:rsid w:val="00DC2848"/>
    <w:rsid w:val="00DC2859"/>
    <w:rsid w:val="00DC28B6"/>
    <w:rsid w:val="00DC28D9"/>
    <w:rsid w:val="00DC295E"/>
    <w:rsid w:val="00DC2985"/>
    <w:rsid w:val="00DC2AE1"/>
    <w:rsid w:val="00DC2AFC"/>
    <w:rsid w:val="00DC2B6C"/>
    <w:rsid w:val="00DC2C3F"/>
    <w:rsid w:val="00DC2CDE"/>
    <w:rsid w:val="00DC2D02"/>
    <w:rsid w:val="00DC2D1C"/>
    <w:rsid w:val="00DC2D22"/>
    <w:rsid w:val="00DC2E4E"/>
    <w:rsid w:val="00DC2E58"/>
    <w:rsid w:val="00DC2EF4"/>
    <w:rsid w:val="00DC2F43"/>
    <w:rsid w:val="00DC2F7E"/>
    <w:rsid w:val="00DC2F90"/>
    <w:rsid w:val="00DC3122"/>
    <w:rsid w:val="00DC3181"/>
    <w:rsid w:val="00DC3287"/>
    <w:rsid w:val="00DC32B8"/>
    <w:rsid w:val="00DC32F1"/>
    <w:rsid w:val="00DC332D"/>
    <w:rsid w:val="00DC3418"/>
    <w:rsid w:val="00DC342E"/>
    <w:rsid w:val="00DC3489"/>
    <w:rsid w:val="00DC350D"/>
    <w:rsid w:val="00DC3600"/>
    <w:rsid w:val="00DC360E"/>
    <w:rsid w:val="00DC3624"/>
    <w:rsid w:val="00DC3628"/>
    <w:rsid w:val="00DC368D"/>
    <w:rsid w:val="00DC3915"/>
    <w:rsid w:val="00DC3956"/>
    <w:rsid w:val="00DC3D3E"/>
    <w:rsid w:val="00DC3D6B"/>
    <w:rsid w:val="00DC3DA7"/>
    <w:rsid w:val="00DC3EA5"/>
    <w:rsid w:val="00DC3ECD"/>
    <w:rsid w:val="00DC3EE6"/>
    <w:rsid w:val="00DC416E"/>
    <w:rsid w:val="00DC425C"/>
    <w:rsid w:val="00DC44C8"/>
    <w:rsid w:val="00DC44F5"/>
    <w:rsid w:val="00DC44F8"/>
    <w:rsid w:val="00DC452A"/>
    <w:rsid w:val="00DC4537"/>
    <w:rsid w:val="00DC455F"/>
    <w:rsid w:val="00DC4584"/>
    <w:rsid w:val="00DC472E"/>
    <w:rsid w:val="00DC4764"/>
    <w:rsid w:val="00DC47BC"/>
    <w:rsid w:val="00DC47BD"/>
    <w:rsid w:val="00DC47CE"/>
    <w:rsid w:val="00DC47DE"/>
    <w:rsid w:val="00DC49B9"/>
    <w:rsid w:val="00DC4A23"/>
    <w:rsid w:val="00DC4A60"/>
    <w:rsid w:val="00DC4AE8"/>
    <w:rsid w:val="00DC4B05"/>
    <w:rsid w:val="00DC4B17"/>
    <w:rsid w:val="00DC4B1D"/>
    <w:rsid w:val="00DC4B9E"/>
    <w:rsid w:val="00DC4BC2"/>
    <w:rsid w:val="00DC4CB7"/>
    <w:rsid w:val="00DC4D1E"/>
    <w:rsid w:val="00DC4D30"/>
    <w:rsid w:val="00DC4D3A"/>
    <w:rsid w:val="00DC4E9A"/>
    <w:rsid w:val="00DC4EE5"/>
    <w:rsid w:val="00DC5003"/>
    <w:rsid w:val="00DC5179"/>
    <w:rsid w:val="00DC51D9"/>
    <w:rsid w:val="00DC5420"/>
    <w:rsid w:val="00DC5454"/>
    <w:rsid w:val="00DC5619"/>
    <w:rsid w:val="00DC57C5"/>
    <w:rsid w:val="00DC5821"/>
    <w:rsid w:val="00DC5883"/>
    <w:rsid w:val="00DC58D7"/>
    <w:rsid w:val="00DC58E0"/>
    <w:rsid w:val="00DC58FE"/>
    <w:rsid w:val="00DC598C"/>
    <w:rsid w:val="00DC5A13"/>
    <w:rsid w:val="00DC5A3D"/>
    <w:rsid w:val="00DC5A3F"/>
    <w:rsid w:val="00DC5A7A"/>
    <w:rsid w:val="00DC5B84"/>
    <w:rsid w:val="00DC5C4B"/>
    <w:rsid w:val="00DC5CCF"/>
    <w:rsid w:val="00DC5CE2"/>
    <w:rsid w:val="00DC5DC7"/>
    <w:rsid w:val="00DC5DFE"/>
    <w:rsid w:val="00DC5E00"/>
    <w:rsid w:val="00DC5EF4"/>
    <w:rsid w:val="00DC604C"/>
    <w:rsid w:val="00DC6089"/>
    <w:rsid w:val="00DC60FB"/>
    <w:rsid w:val="00DC629C"/>
    <w:rsid w:val="00DC6357"/>
    <w:rsid w:val="00DC636E"/>
    <w:rsid w:val="00DC640B"/>
    <w:rsid w:val="00DC64F7"/>
    <w:rsid w:val="00DC65E2"/>
    <w:rsid w:val="00DC6698"/>
    <w:rsid w:val="00DC66A9"/>
    <w:rsid w:val="00DC6745"/>
    <w:rsid w:val="00DC675F"/>
    <w:rsid w:val="00DC6818"/>
    <w:rsid w:val="00DC6893"/>
    <w:rsid w:val="00DC6B26"/>
    <w:rsid w:val="00DC6B8F"/>
    <w:rsid w:val="00DC6C7D"/>
    <w:rsid w:val="00DC6CBB"/>
    <w:rsid w:val="00DC6D51"/>
    <w:rsid w:val="00DC6E55"/>
    <w:rsid w:val="00DC6EB2"/>
    <w:rsid w:val="00DC6F2C"/>
    <w:rsid w:val="00DC6FEA"/>
    <w:rsid w:val="00DC707E"/>
    <w:rsid w:val="00DC70D8"/>
    <w:rsid w:val="00DC724E"/>
    <w:rsid w:val="00DC72A9"/>
    <w:rsid w:val="00DC72D3"/>
    <w:rsid w:val="00DC7316"/>
    <w:rsid w:val="00DC73D8"/>
    <w:rsid w:val="00DC758B"/>
    <w:rsid w:val="00DC76A0"/>
    <w:rsid w:val="00DC76CF"/>
    <w:rsid w:val="00DC76F2"/>
    <w:rsid w:val="00DC76F6"/>
    <w:rsid w:val="00DC772F"/>
    <w:rsid w:val="00DC7786"/>
    <w:rsid w:val="00DC77B1"/>
    <w:rsid w:val="00DC7863"/>
    <w:rsid w:val="00DC78A4"/>
    <w:rsid w:val="00DC7913"/>
    <w:rsid w:val="00DC7954"/>
    <w:rsid w:val="00DC7991"/>
    <w:rsid w:val="00DC79F8"/>
    <w:rsid w:val="00DC7B8D"/>
    <w:rsid w:val="00DC7BD6"/>
    <w:rsid w:val="00DC7BFF"/>
    <w:rsid w:val="00DC7E33"/>
    <w:rsid w:val="00DC7EB8"/>
    <w:rsid w:val="00DC7EF6"/>
    <w:rsid w:val="00DC7F49"/>
    <w:rsid w:val="00DC7F8D"/>
    <w:rsid w:val="00DD0073"/>
    <w:rsid w:val="00DD0075"/>
    <w:rsid w:val="00DD0077"/>
    <w:rsid w:val="00DD0369"/>
    <w:rsid w:val="00DD038C"/>
    <w:rsid w:val="00DD041B"/>
    <w:rsid w:val="00DD049D"/>
    <w:rsid w:val="00DD0596"/>
    <w:rsid w:val="00DD0602"/>
    <w:rsid w:val="00DD069E"/>
    <w:rsid w:val="00DD0703"/>
    <w:rsid w:val="00DD085B"/>
    <w:rsid w:val="00DD0868"/>
    <w:rsid w:val="00DD0879"/>
    <w:rsid w:val="00DD08C9"/>
    <w:rsid w:val="00DD0912"/>
    <w:rsid w:val="00DD091E"/>
    <w:rsid w:val="00DD095C"/>
    <w:rsid w:val="00DD0A16"/>
    <w:rsid w:val="00DD0A5A"/>
    <w:rsid w:val="00DD0CE5"/>
    <w:rsid w:val="00DD0CF2"/>
    <w:rsid w:val="00DD0FAE"/>
    <w:rsid w:val="00DD0FCD"/>
    <w:rsid w:val="00DD0FE4"/>
    <w:rsid w:val="00DD109C"/>
    <w:rsid w:val="00DD1194"/>
    <w:rsid w:val="00DD11A5"/>
    <w:rsid w:val="00DD11EF"/>
    <w:rsid w:val="00DD1219"/>
    <w:rsid w:val="00DD13C8"/>
    <w:rsid w:val="00DD1482"/>
    <w:rsid w:val="00DD14E6"/>
    <w:rsid w:val="00DD163C"/>
    <w:rsid w:val="00DD1A35"/>
    <w:rsid w:val="00DD1A58"/>
    <w:rsid w:val="00DD1AF4"/>
    <w:rsid w:val="00DD1B89"/>
    <w:rsid w:val="00DD1D49"/>
    <w:rsid w:val="00DD1DE7"/>
    <w:rsid w:val="00DD1E09"/>
    <w:rsid w:val="00DD1E23"/>
    <w:rsid w:val="00DD1E5D"/>
    <w:rsid w:val="00DD1ECD"/>
    <w:rsid w:val="00DD1F50"/>
    <w:rsid w:val="00DD2303"/>
    <w:rsid w:val="00DD23EB"/>
    <w:rsid w:val="00DD258F"/>
    <w:rsid w:val="00DD2698"/>
    <w:rsid w:val="00DD27D1"/>
    <w:rsid w:val="00DD27EF"/>
    <w:rsid w:val="00DD2855"/>
    <w:rsid w:val="00DD28E9"/>
    <w:rsid w:val="00DD2986"/>
    <w:rsid w:val="00DD2998"/>
    <w:rsid w:val="00DD2B04"/>
    <w:rsid w:val="00DD2B77"/>
    <w:rsid w:val="00DD2B8C"/>
    <w:rsid w:val="00DD2BA4"/>
    <w:rsid w:val="00DD2C1B"/>
    <w:rsid w:val="00DD2CF9"/>
    <w:rsid w:val="00DD2D83"/>
    <w:rsid w:val="00DD2DE2"/>
    <w:rsid w:val="00DD2E3E"/>
    <w:rsid w:val="00DD2E69"/>
    <w:rsid w:val="00DD2F3C"/>
    <w:rsid w:val="00DD2FB2"/>
    <w:rsid w:val="00DD3019"/>
    <w:rsid w:val="00DD30C8"/>
    <w:rsid w:val="00DD31D2"/>
    <w:rsid w:val="00DD32A3"/>
    <w:rsid w:val="00DD3313"/>
    <w:rsid w:val="00DD33D0"/>
    <w:rsid w:val="00DD34C3"/>
    <w:rsid w:val="00DD351C"/>
    <w:rsid w:val="00DD35C6"/>
    <w:rsid w:val="00DD3607"/>
    <w:rsid w:val="00DD368E"/>
    <w:rsid w:val="00DD36EE"/>
    <w:rsid w:val="00DD377E"/>
    <w:rsid w:val="00DD37A1"/>
    <w:rsid w:val="00DD3922"/>
    <w:rsid w:val="00DD39A2"/>
    <w:rsid w:val="00DD39EC"/>
    <w:rsid w:val="00DD3AA3"/>
    <w:rsid w:val="00DD3C75"/>
    <w:rsid w:val="00DD3D53"/>
    <w:rsid w:val="00DD3D6A"/>
    <w:rsid w:val="00DD3DB3"/>
    <w:rsid w:val="00DD3DB5"/>
    <w:rsid w:val="00DD3DFC"/>
    <w:rsid w:val="00DD3E20"/>
    <w:rsid w:val="00DD3E30"/>
    <w:rsid w:val="00DD3F02"/>
    <w:rsid w:val="00DD3F47"/>
    <w:rsid w:val="00DD3FDD"/>
    <w:rsid w:val="00DD3FE6"/>
    <w:rsid w:val="00DD4107"/>
    <w:rsid w:val="00DD415C"/>
    <w:rsid w:val="00DD416D"/>
    <w:rsid w:val="00DD43BD"/>
    <w:rsid w:val="00DD43C5"/>
    <w:rsid w:val="00DD4512"/>
    <w:rsid w:val="00DD454E"/>
    <w:rsid w:val="00DD4622"/>
    <w:rsid w:val="00DD467B"/>
    <w:rsid w:val="00DD46E2"/>
    <w:rsid w:val="00DD47B5"/>
    <w:rsid w:val="00DD4810"/>
    <w:rsid w:val="00DD484C"/>
    <w:rsid w:val="00DD48CD"/>
    <w:rsid w:val="00DD48E5"/>
    <w:rsid w:val="00DD4983"/>
    <w:rsid w:val="00DD4985"/>
    <w:rsid w:val="00DD49DB"/>
    <w:rsid w:val="00DD4C0B"/>
    <w:rsid w:val="00DD4CA1"/>
    <w:rsid w:val="00DD4DDC"/>
    <w:rsid w:val="00DD4E08"/>
    <w:rsid w:val="00DD4E59"/>
    <w:rsid w:val="00DD5090"/>
    <w:rsid w:val="00DD512D"/>
    <w:rsid w:val="00DD515B"/>
    <w:rsid w:val="00DD51E4"/>
    <w:rsid w:val="00DD5244"/>
    <w:rsid w:val="00DD53AA"/>
    <w:rsid w:val="00DD53AF"/>
    <w:rsid w:val="00DD53B0"/>
    <w:rsid w:val="00DD53BA"/>
    <w:rsid w:val="00DD5613"/>
    <w:rsid w:val="00DD56C3"/>
    <w:rsid w:val="00DD5889"/>
    <w:rsid w:val="00DD58DE"/>
    <w:rsid w:val="00DD5975"/>
    <w:rsid w:val="00DD5990"/>
    <w:rsid w:val="00DD5A1E"/>
    <w:rsid w:val="00DD5A3F"/>
    <w:rsid w:val="00DD5AE9"/>
    <w:rsid w:val="00DD5B05"/>
    <w:rsid w:val="00DD5B13"/>
    <w:rsid w:val="00DD5C00"/>
    <w:rsid w:val="00DD5C53"/>
    <w:rsid w:val="00DD5C89"/>
    <w:rsid w:val="00DD5D06"/>
    <w:rsid w:val="00DD5D25"/>
    <w:rsid w:val="00DD5E05"/>
    <w:rsid w:val="00DD5F23"/>
    <w:rsid w:val="00DD5FB0"/>
    <w:rsid w:val="00DD61B5"/>
    <w:rsid w:val="00DD621F"/>
    <w:rsid w:val="00DD6258"/>
    <w:rsid w:val="00DD62D0"/>
    <w:rsid w:val="00DD64A3"/>
    <w:rsid w:val="00DD6590"/>
    <w:rsid w:val="00DD6605"/>
    <w:rsid w:val="00DD68CA"/>
    <w:rsid w:val="00DD68DB"/>
    <w:rsid w:val="00DD691A"/>
    <w:rsid w:val="00DD69AD"/>
    <w:rsid w:val="00DD6B17"/>
    <w:rsid w:val="00DD6B1C"/>
    <w:rsid w:val="00DD6B55"/>
    <w:rsid w:val="00DD6B74"/>
    <w:rsid w:val="00DD6DF0"/>
    <w:rsid w:val="00DD7069"/>
    <w:rsid w:val="00DD73E8"/>
    <w:rsid w:val="00DD7424"/>
    <w:rsid w:val="00DD743D"/>
    <w:rsid w:val="00DD74ED"/>
    <w:rsid w:val="00DD7544"/>
    <w:rsid w:val="00DD76A9"/>
    <w:rsid w:val="00DD76E8"/>
    <w:rsid w:val="00DD771E"/>
    <w:rsid w:val="00DD7733"/>
    <w:rsid w:val="00DD7872"/>
    <w:rsid w:val="00DD7A51"/>
    <w:rsid w:val="00DD7A68"/>
    <w:rsid w:val="00DD7B19"/>
    <w:rsid w:val="00DD7D00"/>
    <w:rsid w:val="00DD7D46"/>
    <w:rsid w:val="00DD7E3A"/>
    <w:rsid w:val="00DD7F5C"/>
    <w:rsid w:val="00DE00E5"/>
    <w:rsid w:val="00DE0161"/>
    <w:rsid w:val="00DE0307"/>
    <w:rsid w:val="00DE03DC"/>
    <w:rsid w:val="00DE0433"/>
    <w:rsid w:val="00DE04CC"/>
    <w:rsid w:val="00DE0502"/>
    <w:rsid w:val="00DE053A"/>
    <w:rsid w:val="00DE060F"/>
    <w:rsid w:val="00DE0775"/>
    <w:rsid w:val="00DE088D"/>
    <w:rsid w:val="00DE0A85"/>
    <w:rsid w:val="00DE0A88"/>
    <w:rsid w:val="00DE0AA6"/>
    <w:rsid w:val="00DE0B23"/>
    <w:rsid w:val="00DE0B38"/>
    <w:rsid w:val="00DE0BD8"/>
    <w:rsid w:val="00DE0C0A"/>
    <w:rsid w:val="00DE0C76"/>
    <w:rsid w:val="00DE0C78"/>
    <w:rsid w:val="00DE0CE6"/>
    <w:rsid w:val="00DE0D3A"/>
    <w:rsid w:val="00DE0D6D"/>
    <w:rsid w:val="00DE0D87"/>
    <w:rsid w:val="00DE0DE5"/>
    <w:rsid w:val="00DE0F59"/>
    <w:rsid w:val="00DE0FFE"/>
    <w:rsid w:val="00DE1047"/>
    <w:rsid w:val="00DE1055"/>
    <w:rsid w:val="00DE112C"/>
    <w:rsid w:val="00DE1151"/>
    <w:rsid w:val="00DE11DB"/>
    <w:rsid w:val="00DE121C"/>
    <w:rsid w:val="00DE125D"/>
    <w:rsid w:val="00DE12F8"/>
    <w:rsid w:val="00DE1302"/>
    <w:rsid w:val="00DE1474"/>
    <w:rsid w:val="00DE14A3"/>
    <w:rsid w:val="00DE1575"/>
    <w:rsid w:val="00DE167B"/>
    <w:rsid w:val="00DE17E1"/>
    <w:rsid w:val="00DE1874"/>
    <w:rsid w:val="00DE18A7"/>
    <w:rsid w:val="00DE18D5"/>
    <w:rsid w:val="00DE1A2A"/>
    <w:rsid w:val="00DE1AE1"/>
    <w:rsid w:val="00DE1B6C"/>
    <w:rsid w:val="00DE1BEA"/>
    <w:rsid w:val="00DE1D2E"/>
    <w:rsid w:val="00DE1F56"/>
    <w:rsid w:val="00DE2163"/>
    <w:rsid w:val="00DE217C"/>
    <w:rsid w:val="00DE2221"/>
    <w:rsid w:val="00DE2263"/>
    <w:rsid w:val="00DE228E"/>
    <w:rsid w:val="00DE241B"/>
    <w:rsid w:val="00DE241C"/>
    <w:rsid w:val="00DE246A"/>
    <w:rsid w:val="00DE24DE"/>
    <w:rsid w:val="00DE258E"/>
    <w:rsid w:val="00DE2633"/>
    <w:rsid w:val="00DE2806"/>
    <w:rsid w:val="00DE2838"/>
    <w:rsid w:val="00DE289A"/>
    <w:rsid w:val="00DE2979"/>
    <w:rsid w:val="00DE297C"/>
    <w:rsid w:val="00DE2AE7"/>
    <w:rsid w:val="00DE2B81"/>
    <w:rsid w:val="00DE2B8B"/>
    <w:rsid w:val="00DE2BA4"/>
    <w:rsid w:val="00DE2C66"/>
    <w:rsid w:val="00DE2CF5"/>
    <w:rsid w:val="00DE2F17"/>
    <w:rsid w:val="00DE2F2D"/>
    <w:rsid w:val="00DE2FE8"/>
    <w:rsid w:val="00DE3155"/>
    <w:rsid w:val="00DE3279"/>
    <w:rsid w:val="00DE3328"/>
    <w:rsid w:val="00DE3330"/>
    <w:rsid w:val="00DE336F"/>
    <w:rsid w:val="00DE34AD"/>
    <w:rsid w:val="00DE34EC"/>
    <w:rsid w:val="00DE3554"/>
    <w:rsid w:val="00DE35CC"/>
    <w:rsid w:val="00DE35E4"/>
    <w:rsid w:val="00DE35E9"/>
    <w:rsid w:val="00DE360E"/>
    <w:rsid w:val="00DE36E1"/>
    <w:rsid w:val="00DE379D"/>
    <w:rsid w:val="00DE37CA"/>
    <w:rsid w:val="00DE38FE"/>
    <w:rsid w:val="00DE3902"/>
    <w:rsid w:val="00DE390A"/>
    <w:rsid w:val="00DE3B79"/>
    <w:rsid w:val="00DE3BA7"/>
    <w:rsid w:val="00DE3C8C"/>
    <w:rsid w:val="00DE3D03"/>
    <w:rsid w:val="00DE3DF3"/>
    <w:rsid w:val="00DE3EEE"/>
    <w:rsid w:val="00DE3FC0"/>
    <w:rsid w:val="00DE4017"/>
    <w:rsid w:val="00DE40CB"/>
    <w:rsid w:val="00DE410D"/>
    <w:rsid w:val="00DE42A3"/>
    <w:rsid w:val="00DE44F6"/>
    <w:rsid w:val="00DE45A8"/>
    <w:rsid w:val="00DE4618"/>
    <w:rsid w:val="00DE4671"/>
    <w:rsid w:val="00DE4695"/>
    <w:rsid w:val="00DE47BC"/>
    <w:rsid w:val="00DE4899"/>
    <w:rsid w:val="00DE4B48"/>
    <w:rsid w:val="00DE4C60"/>
    <w:rsid w:val="00DE4C74"/>
    <w:rsid w:val="00DE4D0A"/>
    <w:rsid w:val="00DE4D35"/>
    <w:rsid w:val="00DE4D94"/>
    <w:rsid w:val="00DE4E13"/>
    <w:rsid w:val="00DE4E94"/>
    <w:rsid w:val="00DE5227"/>
    <w:rsid w:val="00DE528C"/>
    <w:rsid w:val="00DE53E1"/>
    <w:rsid w:val="00DE5445"/>
    <w:rsid w:val="00DE544E"/>
    <w:rsid w:val="00DE54BF"/>
    <w:rsid w:val="00DE55BB"/>
    <w:rsid w:val="00DE55C9"/>
    <w:rsid w:val="00DE561F"/>
    <w:rsid w:val="00DE5636"/>
    <w:rsid w:val="00DE56A3"/>
    <w:rsid w:val="00DE56FD"/>
    <w:rsid w:val="00DE5735"/>
    <w:rsid w:val="00DE585B"/>
    <w:rsid w:val="00DE58AC"/>
    <w:rsid w:val="00DE5904"/>
    <w:rsid w:val="00DE5992"/>
    <w:rsid w:val="00DE59B3"/>
    <w:rsid w:val="00DE5AE7"/>
    <w:rsid w:val="00DE5AF8"/>
    <w:rsid w:val="00DE5CD1"/>
    <w:rsid w:val="00DE5DCD"/>
    <w:rsid w:val="00DE5F28"/>
    <w:rsid w:val="00DE5F6A"/>
    <w:rsid w:val="00DE6007"/>
    <w:rsid w:val="00DE604F"/>
    <w:rsid w:val="00DE60AB"/>
    <w:rsid w:val="00DE61FB"/>
    <w:rsid w:val="00DE6371"/>
    <w:rsid w:val="00DE63C4"/>
    <w:rsid w:val="00DE642E"/>
    <w:rsid w:val="00DE6481"/>
    <w:rsid w:val="00DE64A1"/>
    <w:rsid w:val="00DE6541"/>
    <w:rsid w:val="00DE65F8"/>
    <w:rsid w:val="00DE666C"/>
    <w:rsid w:val="00DE667A"/>
    <w:rsid w:val="00DE6710"/>
    <w:rsid w:val="00DE675A"/>
    <w:rsid w:val="00DE67FE"/>
    <w:rsid w:val="00DE680F"/>
    <w:rsid w:val="00DE6931"/>
    <w:rsid w:val="00DE6965"/>
    <w:rsid w:val="00DE6A50"/>
    <w:rsid w:val="00DE6B01"/>
    <w:rsid w:val="00DE6B0B"/>
    <w:rsid w:val="00DE6DC6"/>
    <w:rsid w:val="00DE6DEF"/>
    <w:rsid w:val="00DE6E1D"/>
    <w:rsid w:val="00DE6F12"/>
    <w:rsid w:val="00DE6FA6"/>
    <w:rsid w:val="00DE7023"/>
    <w:rsid w:val="00DE7089"/>
    <w:rsid w:val="00DE70B8"/>
    <w:rsid w:val="00DE70D9"/>
    <w:rsid w:val="00DE7101"/>
    <w:rsid w:val="00DE7197"/>
    <w:rsid w:val="00DE71AF"/>
    <w:rsid w:val="00DE71FD"/>
    <w:rsid w:val="00DE72AA"/>
    <w:rsid w:val="00DE7312"/>
    <w:rsid w:val="00DE7347"/>
    <w:rsid w:val="00DE739B"/>
    <w:rsid w:val="00DE7517"/>
    <w:rsid w:val="00DE7647"/>
    <w:rsid w:val="00DE76B7"/>
    <w:rsid w:val="00DE778C"/>
    <w:rsid w:val="00DE78F1"/>
    <w:rsid w:val="00DE7939"/>
    <w:rsid w:val="00DE79A4"/>
    <w:rsid w:val="00DE7A25"/>
    <w:rsid w:val="00DE7A4E"/>
    <w:rsid w:val="00DE7A9F"/>
    <w:rsid w:val="00DE7AFF"/>
    <w:rsid w:val="00DE7C28"/>
    <w:rsid w:val="00DE7FAB"/>
    <w:rsid w:val="00DF0000"/>
    <w:rsid w:val="00DF0003"/>
    <w:rsid w:val="00DF00BD"/>
    <w:rsid w:val="00DF00ED"/>
    <w:rsid w:val="00DF02BE"/>
    <w:rsid w:val="00DF036E"/>
    <w:rsid w:val="00DF05B5"/>
    <w:rsid w:val="00DF0608"/>
    <w:rsid w:val="00DF08FE"/>
    <w:rsid w:val="00DF093A"/>
    <w:rsid w:val="00DF0A31"/>
    <w:rsid w:val="00DF0AC3"/>
    <w:rsid w:val="00DF0AC9"/>
    <w:rsid w:val="00DF0B1E"/>
    <w:rsid w:val="00DF0B62"/>
    <w:rsid w:val="00DF0B7B"/>
    <w:rsid w:val="00DF0BCA"/>
    <w:rsid w:val="00DF0C0F"/>
    <w:rsid w:val="00DF0C9F"/>
    <w:rsid w:val="00DF0DDE"/>
    <w:rsid w:val="00DF0E50"/>
    <w:rsid w:val="00DF0E57"/>
    <w:rsid w:val="00DF0E61"/>
    <w:rsid w:val="00DF0E6B"/>
    <w:rsid w:val="00DF0EA8"/>
    <w:rsid w:val="00DF0EAE"/>
    <w:rsid w:val="00DF111E"/>
    <w:rsid w:val="00DF1203"/>
    <w:rsid w:val="00DF12C0"/>
    <w:rsid w:val="00DF12E3"/>
    <w:rsid w:val="00DF143C"/>
    <w:rsid w:val="00DF15FC"/>
    <w:rsid w:val="00DF161D"/>
    <w:rsid w:val="00DF174F"/>
    <w:rsid w:val="00DF17C1"/>
    <w:rsid w:val="00DF184C"/>
    <w:rsid w:val="00DF1874"/>
    <w:rsid w:val="00DF18F3"/>
    <w:rsid w:val="00DF1923"/>
    <w:rsid w:val="00DF1A2B"/>
    <w:rsid w:val="00DF1A8A"/>
    <w:rsid w:val="00DF1BCC"/>
    <w:rsid w:val="00DF1D30"/>
    <w:rsid w:val="00DF1DF2"/>
    <w:rsid w:val="00DF2045"/>
    <w:rsid w:val="00DF20D5"/>
    <w:rsid w:val="00DF2103"/>
    <w:rsid w:val="00DF2116"/>
    <w:rsid w:val="00DF219C"/>
    <w:rsid w:val="00DF2288"/>
    <w:rsid w:val="00DF23B3"/>
    <w:rsid w:val="00DF24A2"/>
    <w:rsid w:val="00DF27BE"/>
    <w:rsid w:val="00DF287C"/>
    <w:rsid w:val="00DF29D2"/>
    <w:rsid w:val="00DF2A04"/>
    <w:rsid w:val="00DF2BAF"/>
    <w:rsid w:val="00DF2BB8"/>
    <w:rsid w:val="00DF2D5B"/>
    <w:rsid w:val="00DF2E2C"/>
    <w:rsid w:val="00DF2E30"/>
    <w:rsid w:val="00DF2FD1"/>
    <w:rsid w:val="00DF306C"/>
    <w:rsid w:val="00DF3157"/>
    <w:rsid w:val="00DF3202"/>
    <w:rsid w:val="00DF3287"/>
    <w:rsid w:val="00DF32CF"/>
    <w:rsid w:val="00DF32FC"/>
    <w:rsid w:val="00DF3488"/>
    <w:rsid w:val="00DF34FA"/>
    <w:rsid w:val="00DF3526"/>
    <w:rsid w:val="00DF3687"/>
    <w:rsid w:val="00DF373C"/>
    <w:rsid w:val="00DF380B"/>
    <w:rsid w:val="00DF3841"/>
    <w:rsid w:val="00DF3848"/>
    <w:rsid w:val="00DF389D"/>
    <w:rsid w:val="00DF3934"/>
    <w:rsid w:val="00DF395D"/>
    <w:rsid w:val="00DF3A13"/>
    <w:rsid w:val="00DF3A4F"/>
    <w:rsid w:val="00DF3B1D"/>
    <w:rsid w:val="00DF3BF8"/>
    <w:rsid w:val="00DF3D0A"/>
    <w:rsid w:val="00DF3E8D"/>
    <w:rsid w:val="00DF3ED0"/>
    <w:rsid w:val="00DF400C"/>
    <w:rsid w:val="00DF403B"/>
    <w:rsid w:val="00DF4084"/>
    <w:rsid w:val="00DF40A3"/>
    <w:rsid w:val="00DF4123"/>
    <w:rsid w:val="00DF419E"/>
    <w:rsid w:val="00DF4217"/>
    <w:rsid w:val="00DF4288"/>
    <w:rsid w:val="00DF43BB"/>
    <w:rsid w:val="00DF43DF"/>
    <w:rsid w:val="00DF4425"/>
    <w:rsid w:val="00DF4433"/>
    <w:rsid w:val="00DF4594"/>
    <w:rsid w:val="00DF4608"/>
    <w:rsid w:val="00DF460A"/>
    <w:rsid w:val="00DF465F"/>
    <w:rsid w:val="00DF4674"/>
    <w:rsid w:val="00DF4693"/>
    <w:rsid w:val="00DF469F"/>
    <w:rsid w:val="00DF46E4"/>
    <w:rsid w:val="00DF47F7"/>
    <w:rsid w:val="00DF481D"/>
    <w:rsid w:val="00DF48D1"/>
    <w:rsid w:val="00DF48E1"/>
    <w:rsid w:val="00DF49B1"/>
    <w:rsid w:val="00DF4A67"/>
    <w:rsid w:val="00DF4DD5"/>
    <w:rsid w:val="00DF4F3C"/>
    <w:rsid w:val="00DF4F8D"/>
    <w:rsid w:val="00DF4FA4"/>
    <w:rsid w:val="00DF4FCE"/>
    <w:rsid w:val="00DF50AA"/>
    <w:rsid w:val="00DF50F2"/>
    <w:rsid w:val="00DF51FF"/>
    <w:rsid w:val="00DF5260"/>
    <w:rsid w:val="00DF526F"/>
    <w:rsid w:val="00DF55B8"/>
    <w:rsid w:val="00DF5617"/>
    <w:rsid w:val="00DF5765"/>
    <w:rsid w:val="00DF57C3"/>
    <w:rsid w:val="00DF5901"/>
    <w:rsid w:val="00DF5918"/>
    <w:rsid w:val="00DF5964"/>
    <w:rsid w:val="00DF5976"/>
    <w:rsid w:val="00DF5992"/>
    <w:rsid w:val="00DF59DC"/>
    <w:rsid w:val="00DF5AB5"/>
    <w:rsid w:val="00DF5B62"/>
    <w:rsid w:val="00DF5C9C"/>
    <w:rsid w:val="00DF5CA3"/>
    <w:rsid w:val="00DF5CF6"/>
    <w:rsid w:val="00DF5D40"/>
    <w:rsid w:val="00DF5DE7"/>
    <w:rsid w:val="00DF5E82"/>
    <w:rsid w:val="00DF5EA0"/>
    <w:rsid w:val="00DF5FA4"/>
    <w:rsid w:val="00DF6011"/>
    <w:rsid w:val="00DF60DE"/>
    <w:rsid w:val="00DF6161"/>
    <w:rsid w:val="00DF6255"/>
    <w:rsid w:val="00DF63D4"/>
    <w:rsid w:val="00DF63DD"/>
    <w:rsid w:val="00DF643A"/>
    <w:rsid w:val="00DF64A5"/>
    <w:rsid w:val="00DF64BB"/>
    <w:rsid w:val="00DF64EB"/>
    <w:rsid w:val="00DF6542"/>
    <w:rsid w:val="00DF65EB"/>
    <w:rsid w:val="00DF6614"/>
    <w:rsid w:val="00DF6820"/>
    <w:rsid w:val="00DF68DF"/>
    <w:rsid w:val="00DF699F"/>
    <w:rsid w:val="00DF6D3A"/>
    <w:rsid w:val="00DF6D5F"/>
    <w:rsid w:val="00DF6DBB"/>
    <w:rsid w:val="00DF6EA2"/>
    <w:rsid w:val="00DF6EFB"/>
    <w:rsid w:val="00DF6F54"/>
    <w:rsid w:val="00DF700E"/>
    <w:rsid w:val="00DF704C"/>
    <w:rsid w:val="00DF72AC"/>
    <w:rsid w:val="00DF72FE"/>
    <w:rsid w:val="00DF73A5"/>
    <w:rsid w:val="00DF73ED"/>
    <w:rsid w:val="00DF741F"/>
    <w:rsid w:val="00DF7596"/>
    <w:rsid w:val="00DF7783"/>
    <w:rsid w:val="00DF77DA"/>
    <w:rsid w:val="00DF786B"/>
    <w:rsid w:val="00DF7878"/>
    <w:rsid w:val="00DF78B3"/>
    <w:rsid w:val="00DF7993"/>
    <w:rsid w:val="00DF79FA"/>
    <w:rsid w:val="00DF7A04"/>
    <w:rsid w:val="00DF7ACD"/>
    <w:rsid w:val="00DF7B6D"/>
    <w:rsid w:val="00DF7BBE"/>
    <w:rsid w:val="00DF7C36"/>
    <w:rsid w:val="00DF7C4C"/>
    <w:rsid w:val="00DF7CA9"/>
    <w:rsid w:val="00DF7CB3"/>
    <w:rsid w:val="00DF7D08"/>
    <w:rsid w:val="00DF7D3D"/>
    <w:rsid w:val="00DF7DCA"/>
    <w:rsid w:val="00DF7DCF"/>
    <w:rsid w:val="00DF7E60"/>
    <w:rsid w:val="00DF7FEF"/>
    <w:rsid w:val="00DF7FFD"/>
    <w:rsid w:val="00E0029D"/>
    <w:rsid w:val="00E0035E"/>
    <w:rsid w:val="00E00496"/>
    <w:rsid w:val="00E00556"/>
    <w:rsid w:val="00E0056F"/>
    <w:rsid w:val="00E00668"/>
    <w:rsid w:val="00E00741"/>
    <w:rsid w:val="00E009CC"/>
    <w:rsid w:val="00E009CE"/>
    <w:rsid w:val="00E009F7"/>
    <w:rsid w:val="00E00A36"/>
    <w:rsid w:val="00E00C11"/>
    <w:rsid w:val="00E00C72"/>
    <w:rsid w:val="00E00CEE"/>
    <w:rsid w:val="00E00F40"/>
    <w:rsid w:val="00E00FC0"/>
    <w:rsid w:val="00E00FF5"/>
    <w:rsid w:val="00E010E9"/>
    <w:rsid w:val="00E0116B"/>
    <w:rsid w:val="00E01177"/>
    <w:rsid w:val="00E011C5"/>
    <w:rsid w:val="00E0124B"/>
    <w:rsid w:val="00E01266"/>
    <w:rsid w:val="00E01281"/>
    <w:rsid w:val="00E01293"/>
    <w:rsid w:val="00E0135B"/>
    <w:rsid w:val="00E01381"/>
    <w:rsid w:val="00E01455"/>
    <w:rsid w:val="00E014DC"/>
    <w:rsid w:val="00E014E3"/>
    <w:rsid w:val="00E01503"/>
    <w:rsid w:val="00E0150B"/>
    <w:rsid w:val="00E015A6"/>
    <w:rsid w:val="00E015B1"/>
    <w:rsid w:val="00E0167C"/>
    <w:rsid w:val="00E016A2"/>
    <w:rsid w:val="00E016F2"/>
    <w:rsid w:val="00E0170F"/>
    <w:rsid w:val="00E017F8"/>
    <w:rsid w:val="00E0181F"/>
    <w:rsid w:val="00E019F0"/>
    <w:rsid w:val="00E01B6D"/>
    <w:rsid w:val="00E01C43"/>
    <w:rsid w:val="00E01D80"/>
    <w:rsid w:val="00E01DC9"/>
    <w:rsid w:val="00E01E59"/>
    <w:rsid w:val="00E01F48"/>
    <w:rsid w:val="00E01FCA"/>
    <w:rsid w:val="00E01FF0"/>
    <w:rsid w:val="00E020E1"/>
    <w:rsid w:val="00E020FE"/>
    <w:rsid w:val="00E022D2"/>
    <w:rsid w:val="00E02385"/>
    <w:rsid w:val="00E023E3"/>
    <w:rsid w:val="00E023FD"/>
    <w:rsid w:val="00E02476"/>
    <w:rsid w:val="00E02495"/>
    <w:rsid w:val="00E024A4"/>
    <w:rsid w:val="00E02597"/>
    <w:rsid w:val="00E025DC"/>
    <w:rsid w:val="00E026A6"/>
    <w:rsid w:val="00E02797"/>
    <w:rsid w:val="00E027AE"/>
    <w:rsid w:val="00E027F7"/>
    <w:rsid w:val="00E02806"/>
    <w:rsid w:val="00E028A9"/>
    <w:rsid w:val="00E0290C"/>
    <w:rsid w:val="00E029E8"/>
    <w:rsid w:val="00E02A38"/>
    <w:rsid w:val="00E02A82"/>
    <w:rsid w:val="00E02AD4"/>
    <w:rsid w:val="00E02AF9"/>
    <w:rsid w:val="00E02B3C"/>
    <w:rsid w:val="00E02B60"/>
    <w:rsid w:val="00E02B69"/>
    <w:rsid w:val="00E02C42"/>
    <w:rsid w:val="00E02CFE"/>
    <w:rsid w:val="00E02D94"/>
    <w:rsid w:val="00E02DBD"/>
    <w:rsid w:val="00E02EA1"/>
    <w:rsid w:val="00E02F2A"/>
    <w:rsid w:val="00E02F3D"/>
    <w:rsid w:val="00E02F67"/>
    <w:rsid w:val="00E03161"/>
    <w:rsid w:val="00E031BB"/>
    <w:rsid w:val="00E0323D"/>
    <w:rsid w:val="00E0328B"/>
    <w:rsid w:val="00E032D4"/>
    <w:rsid w:val="00E03312"/>
    <w:rsid w:val="00E034B3"/>
    <w:rsid w:val="00E0354A"/>
    <w:rsid w:val="00E035FA"/>
    <w:rsid w:val="00E0373C"/>
    <w:rsid w:val="00E037B3"/>
    <w:rsid w:val="00E0390F"/>
    <w:rsid w:val="00E03A41"/>
    <w:rsid w:val="00E03B14"/>
    <w:rsid w:val="00E03B49"/>
    <w:rsid w:val="00E03B66"/>
    <w:rsid w:val="00E03B71"/>
    <w:rsid w:val="00E03CC3"/>
    <w:rsid w:val="00E03D29"/>
    <w:rsid w:val="00E03E17"/>
    <w:rsid w:val="00E03E79"/>
    <w:rsid w:val="00E03F0E"/>
    <w:rsid w:val="00E03F86"/>
    <w:rsid w:val="00E040D8"/>
    <w:rsid w:val="00E04108"/>
    <w:rsid w:val="00E041E0"/>
    <w:rsid w:val="00E042BA"/>
    <w:rsid w:val="00E04319"/>
    <w:rsid w:val="00E04387"/>
    <w:rsid w:val="00E043AC"/>
    <w:rsid w:val="00E04494"/>
    <w:rsid w:val="00E04517"/>
    <w:rsid w:val="00E0452C"/>
    <w:rsid w:val="00E0456A"/>
    <w:rsid w:val="00E0460C"/>
    <w:rsid w:val="00E0461D"/>
    <w:rsid w:val="00E0465C"/>
    <w:rsid w:val="00E04687"/>
    <w:rsid w:val="00E046DC"/>
    <w:rsid w:val="00E0475E"/>
    <w:rsid w:val="00E049E2"/>
    <w:rsid w:val="00E04AB2"/>
    <w:rsid w:val="00E04B5C"/>
    <w:rsid w:val="00E04BAC"/>
    <w:rsid w:val="00E04BD3"/>
    <w:rsid w:val="00E04C5C"/>
    <w:rsid w:val="00E04C61"/>
    <w:rsid w:val="00E04E51"/>
    <w:rsid w:val="00E04F1D"/>
    <w:rsid w:val="00E05001"/>
    <w:rsid w:val="00E05100"/>
    <w:rsid w:val="00E05139"/>
    <w:rsid w:val="00E05177"/>
    <w:rsid w:val="00E052F5"/>
    <w:rsid w:val="00E0531D"/>
    <w:rsid w:val="00E05327"/>
    <w:rsid w:val="00E0538A"/>
    <w:rsid w:val="00E0548B"/>
    <w:rsid w:val="00E055CD"/>
    <w:rsid w:val="00E055EB"/>
    <w:rsid w:val="00E05612"/>
    <w:rsid w:val="00E05663"/>
    <w:rsid w:val="00E0573F"/>
    <w:rsid w:val="00E058EA"/>
    <w:rsid w:val="00E05954"/>
    <w:rsid w:val="00E05991"/>
    <w:rsid w:val="00E059C4"/>
    <w:rsid w:val="00E059D4"/>
    <w:rsid w:val="00E05AAB"/>
    <w:rsid w:val="00E05C39"/>
    <w:rsid w:val="00E05CAE"/>
    <w:rsid w:val="00E05D9F"/>
    <w:rsid w:val="00E05EB6"/>
    <w:rsid w:val="00E05EFE"/>
    <w:rsid w:val="00E05F29"/>
    <w:rsid w:val="00E05F59"/>
    <w:rsid w:val="00E05F61"/>
    <w:rsid w:val="00E05F9E"/>
    <w:rsid w:val="00E05FC7"/>
    <w:rsid w:val="00E0607A"/>
    <w:rsid w:val="00E060A4"/>
    <w:rsid w:val="00E06138"/>
    <w:rsid w:val="00E0620E"/>
    <w:rsid w:val="00E0638C"/>
    <w:rsid w:val="00E0639B"/>
    <w:rsid w:val="00E063B0"/>
    <w:rsid w:val="00E06606"/>
    <w:rsid w:val="00E06657"/>
    <w:rsid w:val="00E0677F"/>
    <w:rsid w:val="00E06797"/>
    <w:rsid w:val="00E06A5E"/>
    <w:rsid w:val="00E06B62"/>
    <w:rsid w:val="00E06B7F"/>
    <w:rsid w:val="00E06C2B"/>
    <w:rsid w:val="00E06D06"/>
    <w:rsid w:val="00E06E32"/>
    <w:rsid w:val="00E06EEE"/>
    <w:rsid w:val="00E06EFA"/>
    <w:rsid w:val="00E06FBE"/>
    <w:rsid w:val="00E06FE9"/>
    <w:rsid w:val="00E07146"/>
    <w:rsid w:val="00E071E8"/>
    <w:rsid w:val="00E07253"/>
    <w:rsid w:val="00E0725A"/>
    <w:rsid w:val="00E0726C"/>
    <w:rsid w:val="00E072A7"/>
    <w:rsid w:val="00E072BC"/>
    <w:rsid w:val="00E0742E"/>
    <w:rsid w:val="00E07431"/>
    <w:rsid w:val="00E074C1"/>
    <w:rsid w:val="00E074DF"/>
    <w:rsid w:val="00E07658"/>
    <w:rsid w:val="00E076AF"/>
    <w:rsid w:val="00E07711"/>
    <w:rsid w:val="00E07923"/>
    <w:rsid w:val="00E079BA"/>
    <w:rsid w:val="00E07B7D"/>
    <w:rsid w:val="00E07BD6"/>
    <w:rsid w:val="00E07C44"/>
    <w:rsid w:val="00E07DB2"/>
    <w:rsid w:val="00E07DBF"/>
    <w:rsid w:val="00E07DEF"/>
    <w:rsid w:val="00E07E7D"/>
    <w:rsid w:val="00E07EC8"/>
    <w:rsid w:val="00E07F90"/>
    <w:rsid w:val="00E101F9"/>
    <w:rsid w:val="00E10248"/>
    <w:rsid w:val="00E103A3"/>
    <w:rsid w:val="00E10400"/>
    <w:rsid w:val="00E10639"/>
    <w:rsid w:val="00E10753"/>
    <w:rsid w:val="00E10808"/>
    <w:rsid w:val="00E1080C"/>
    <w:rsid w:val="00E10A3B"/>
    <w:rsid w:val="00E10AAC"/>
    <w:rsid w:val="00E10AAE"/>
    <w:rsid w:val="00E10CB3"/>
    <w:rsid w:val="00E10EFA"/>
    <w:rsid w:val="00E10F90"/>
    <w:rsid w:val="00E1108A"/>
    <w:rsid w:val="00E11126"/>
    <w:rsid w:val="00E112A8"/>
    <w:rsid w:val="00E113AF"/>
    <w:rsid w:val="00E1146A"/>
    <w:rsid w:val="00E114A5"/>
    <w:rsid w:val="00E114AE"/>
    <w:rsid w:val="00E11557"/>
    <w:rsid w:val="00E115D8"/>
    <w:rsid w:val="00E11725"/>
    <w:rsid w:val="00E1173B"/>
    <w:rsid w:val="00E11759"/>
    <w:rsid w:val="00E11A03"/>
    <w:rsid w:val="00E11AEF"/>
    <w:rsid w:val="00E11BC6"/>
    <w:rsid w:val="00E11BDF"/>
    <w:rsid w:val="00E11D25"/>
    <w:rsid w:val="00E11D30"/>
    <w:rsid w:val="00E11DC9"/>
    <w:rsid w:val="00E11E6B"/>
    <w:rsid w:val="00E11EEB"/>
    <w:rsid w:val="00E11F9B"/>
    <w:rsid w:val="00E11FB5"/>
    <w:rsid w:val="00E1200E"/>
    <w:rsid w:val="00E12038"/>
    <w:rsid w:val="00E12050"/>
    <w:rsid w:val="00E12203"/>
    <w:rsid w:val="00E1227C"/>
    <w:rsid w:val="00E122AC"/>
    <w:rsid w:val="00E122EE"/>
    <w:rsid w:val="00E123F8"/>
    <w:rsid w:val="00E124DF"/>
    <w:rsid w:val="00E1253C"/>
    <w:rsid w:val="00E1254F"/>
    <w:rsid w:val="00E125FE"/>
    <w:rsid w:val="00E12679"/>
    <w:rsid w:val="00E126DD"/>
    <w:rsid w:val="00E1276B"/>
    <w:rsid w:val="00E127C6"/>
    <w:rsid w:val="00E12850"/>
    <w:rsid w:val="00E12864"/>
    <w:rsid w:val="00E128A5"/>
    <w:rsid w:val="00E1298A"/>
    <w:rsid w:val="00E129E9"/>
    <w:rsid w:val="00E12A39"/>
    <w:rsid w:val="00E12B8D"/>
    <w:rsid w:val="00E12C39"/>
    <w:rsid w:val="00E12CDE"/>
    <w:rsid w:val="00E12D0D"/>
    <w:rsid w:val="00E12EA5"/>
    <w:rsid w:val="00E12EFB"/>
    <w:rsid w:val="00E132D1"/>
    <w:rsid w:val="00E1334A"/>
    <w:rsid w:val="00E133FA"/>
    <w:rsid w:val="00E1357C"/>
    <w:rsid w:val="00E136BE"/>
    <w:rsid w:val="00E136D9"/>
    <w:rsid w:val="00E136EB"/>
    <w:rsid w:val="00E137B5"/>
    <w:rsid w:val="00E13853"/>
    <w:rsid w:val="00E13925"/>
    <w:rsid w:val="00E13998"/>
    <w:rsid w:val="00E13A19"/>
    <w:rsid w:val="00E13AE3"/>
    <w:rsid w:val="00E13B89"/>
    <w:rsid w:val="00E13BA6"/>
    <w:rsid w:val="00E13BFC"/>
    <w:rsid w:val="00E13CD5"/>
    <w:rsid w:val="00E13CE2"/>
    <w:rsid w:val="00E13CEB"/>
    <w:rsid w:val="00E13D02"/>
    <w:rsid w:val="00E13D6B"/>
    <w:rsid w:val="00E13D81"/>
    <w:rsid w:val="00E13F46"/>
    <w:rsid w:val="00E13F90"/>
    <w:rsid w:val="00E13FC3"/>
    <w:rsid w:val="00E13FF4"/>
    <w:rsid w:val="00E14047"/>
    <w:rsid w:val="00E140F8"/>
    <w:rsid w:val="00E141BB"/>
    <w:rsid w:val="00E1432E"/>
    <w:rsid w:val="00E1441E"/>
    <w:rsid w:val="00E14555"/>
    <w:rsid w:val="00E1459A"/>
    <w:rsid w:val="00E145D5"/>
    <w:rsid w:val="00E14863"/>
    <w:rsid w:val="00E1487D"/>
    <w:rsid w:val="00E148ED"/>
    <w:rsid w:val="00E14905"/>
    <w:rsid w:val="00E14914"/>
    <w:rsid w:val="00E14A3C"/>
    <w:rsid w:val="00E14A98"/>
    <w:rsid w:val="00E14AB6"/>
    <w:rsid w:val="00E14AC2"/>
    <w:rsid w:val="00E14C5F"/>
    <w:rsid w:val="00E14DA3"/>
    <w:rsid w:val="00E14DC0"/>
    <w:rsid w:val="00E14F28"/>
    <w:rsid w:val="00E14FBA"/>
    <w:rsid w:val="00E1500D"/>
    <w:rsid w:val="00E151C1"/>
    <w:rsid w:val="00E15268"/>
    <w:rsid w:val="00E15305"/>
    <w:rsid w:val="00E15367"/>
    <w:rsid w:val="00E153FF"/>
    <w:rsid w:val="00E15443"/>
    <w:rsid w:val="00E1556B"/>
    <w:rsid w:val="00E15578"/>
    <w:rsid w:val="00E15605"/>
    <w:rsid w:val="00E1571A"/>
    <w:rsid w:val="00E157C7"/>
    <w:rsid w:val="00E158F0"/>
    <w:rsid w:val="00E15926"/>
    <w:rsid w:val="00E1592A"/>
    <w:rsid w:val="00E15A29"/>
    <w:rsid w:val="00E15AE0"/>
    <w:rsid w:val="00E15BF1"/>
    <w:rsid w:val="00E16014"/>
    <w:rsid w:val="00E160C4"/>
    <w:rsid w:val="00E160C8"/>
    <w:rsid w:val="00E160DD"/>
    <w:rsid w:val="00E16138"/>
    <w:rsid w:val="00E16257"/>
    <w:rsid w:val="00E16294"/>
    <w:rsid w:val="00E1636C"/>
    <w:rsid w:val="00E16526"/>
    <w:rsid w:val="00E166B6"/>
    <w:rsid w:val="00E166D5"/>
    <w:rsid w:val="00E1678D"/>
    <w:rsid w:val="00E167B2"/>
    <w:rsid w:val="00E167FE"/>
    <w:rsid w:val="00E168B2"/>
    <w:rsid w:val="00E168F6"/>
    <w:rsid w:val="00E168FA"/>
    <w:rsid w:val="00E16953"/>
    <w:rsid w:val="00E1699B"/>
    <w:rsid w:val="00E16A99"/>
    <w:rsid w:val="00E16B6E"/>
    <w:rsid w:val="00E16B80"/>
    <w:rsid w:val="00E16C61"/>
    <w:rsid w:val="00E16C97"/>
    <w:rsid w:val="00E16D60"/>
    <w:rsid w:val="00E16DB1"/>
    <w:rsid w:val="00E16F7D"/>
    <w:rsid w:val="00E17155"/>
    <w:rsid w:val="00E172CC"/>
    <w:rsid w:val="00E17371"/>
    <w:rsid w:val="00E1743D"/>
    <w:rsid w:val="00E17554"/>
    <w:rsid w:val="00E175F5"/>
    <w:rsid w:val="00E178CA"/>
    <w:rsid w:val="00E178D9"/>
    <w:rsid w:val="00E179B9"/>
    <w:rsid w:val="00E17A79"/>
    <w:rsid w:val="00E17C3A"/>
    <w:rsid w:val="00E17C54"/>
    <w:rsid w:val="00E17CAF"/>
    <w:rsid w:val="00E17CE0"/>
    <w:rsid w:val="00E17D40"/>
    <w:rsid w:val="00E17D69"/>
    <w:rsid w:val="00E17EE1"/>
    <w:rsid w:val="00E2006D"/>
    <w:rsid w:val="00E200BF"/>
    <w:rsid w:val="00E2015A"/>
    <w:rsid w:val="00E20179"/>
    <w:rsid w:val="00E20199"/>
    <w:rsid w:val="00E202CC"/>
    <w:rsid w:val="00E2031F"/>
    <w:rsid w:val="00E2039B"/>
    <w:rsid w:val="00E203A4"/>
    <w:rsid w:val="00E2047E"/>
    <w:rsid w:val="00E204F4"/>
    <w:rsid w:val="00E20639"/>
    <w:rsid w:val="00E2066C"/>
    <w:rsid w:val="00E20687"/>
    <w:rsid w:val="00E2068B"/>
    <w:rsid w:val="00E20693"/>
    <w:rsid w:val="00E206D4"/>
    <w:rsid w:val="00E206F9"/>
    <w:rsid w:val="00E206FB"/>
    <w:rsid w:val="00E208C0"/>
    <w:rsid w:val="00E208EC"/>
    <w:rsid w:val="00E2092A"/>
    <w:rsid w:val="00E209B0"/>
    <w:rsid w:val="00E20B0E"/>
    <w:rsid w:val="00E20D59"/>
    <w:rsid w:val="00E20DB3"/>
    <w:rsid w:val="00E20E7B"/>
    <w:rsid w:val="00E20E8E"/>
    <w:rsid w:val="00E2101A"/>
    <w:rsid w:val="00E210AE"/>
    <w:rsid w:val="00E211AF"/>
    <w:rsid w:val="00E211BA"/>
    <w:rsid w:val="00E21247"/>
    <w:rsid w:val="00E212DA"/>
    <w:rsid w:val="00E21421"/>
    <w:rsid w:val="00E214DA"/>
    <w:rsid w:val="00E2155D"/>
    <w:rsid w:val="00E215AA"/>
    <w:rsid w:val="00E2160B"/>
    <w:rsid w:val="00E21637"/>
    <w:rsid w:val="00E217B4"/>
    <w:rsid w:val="00E217E2"/>
    <w:rsid w:val="00E218A6"/>
    <w:rsid w:val="00E21951"/>
    <w:rsid w:val="00E219E0"/>
    <w:rsid w:val="00E21A3D"/>
    <w:rsid w:val="00E21A74"/>
    <w:rsid w:val="00E21B2B"/>
    <w:rsid w:val="00E21B60"/>
    <w:rsid w:val="00E21B75"/>
    <w:rsid w:val="00E21C3B"/>
    <w:rsid w:val="00E21C9B"/>
    <w:rsid w:val="00E21D9D"/>
    <w:rsid w:val="00E21DBF"/>
    <w:rsid w:val="00E21E4D"/>
    <w:rsid w:val="00E21E53"/>
    <w:rsid w:val="00E21E8E"/>
    <w:rsid w:val="00E21FD4"/>
    <w:rsid w:val="00E22192"/>
    <w:rsid w:val="00E2238C"/>
    <w:rsid w:val="00E2261D"/>
    <w:rsid w:val="00E2269C"/>
    <w:rsid w:val="00E2279D"/>
    <w:rsid w:val="00E229A0"/>
    <w:rsid w:val="00E22BE7"/>
    <w:rsid w:val="00E22BEA"/>
    <w:rsid w:val="00E22D6A"/>
    <w:rsid w:val="00E22E4B"/>
    <w:rsid w:val="00E22EC6"/>
    <w:rsid w:val="00E23001"/>
    <w:rsid w:val="00E2307B"/>
    <w:rsid w:val="00E23187"/>
    <w:rsid w:val="00E23269"/>
    <w:rsid w:val="00E232CB"/>
    <w:rsid w:val="00E23350"/>
    <w:rsid w:val="00E23414"/>
    <w:rsid w:val="00E23517"/>
    <w:rsid w:val="00E23533"/>
    <w:rsid w:val="00E23543"/>
    <w:rsid w:val="00E23565"/>
    <w:rsid w:val="00E23588"/>
    <w:rsid w:val="00E235E5"/>
    <w:rsid w:val="00E236B0"/>
    <w:rsid w:val="00E237A9"/>
    <w:rsid w:val="00E23861"/>
    <w:rsid w:val="00E23921"/>
    <w:rsid w:val="00E23997"/>
    <w:rsid w:val="00E23A95"/>
    <w:rsid w:val="00E23AE7"/>
    <w:rsid w:val="00E23B08"/>
    <w:rsid w:val="00E23BDC"/>
    <w:rsid w:val="00E23BE4"/>
    <w:rsid w:val="00E23C69"/>
    <w:rsid w:val="00E23CB6"/>
    <w:rsid w:val="00E23DBF"/>
    <w:rsid w:val="00E23DE9"/>
    <w:rsid w:val="00E23EA3"/>
    <w:rsid w:val="00E23FAD"/>
    <w:rsid w:val="00E2402B"/>
    <w:rsid w:val="00E24094"/>
    <w:rsid w:val="00E240AC"/>
    <w:rsid w:val="00E240CC"/>
    <w:rsid w:val="00E2413D"/>
    <w:rsid w:val="00E24197"/>
    <w:rsid w:val="00E24272"/>
    <w:rsid w:val="00E24281"/>
    <w:rsid w:val="00E24401"/>
    <w:rsid w:val="00E24425"/>
    <w:rsid w:val="00E24481"/>
    <w:rsid w:val="00E246E8"/>
    <w:rsid w:val="00E24710"/>
    <w:rsid w:val="00E2471A"/>
    <w:rsid w:val="00E249C1"/>
    <w:rsid w:val="00E24A20"/>
    <w:rsid w:val="00E24AB2"/>
    <w:rsid w:val="00E24AD2"/>
    <w:rsid w:val="00E24AF4"/>
    <w:rsid w:val="00E24CEB"/>
    <w:rsid w:val="00E24D8C"/>
    <w:rsid w:val="00E24DCC"/>
    <w:rsid w:val="00E24E4B"/>
    <w:rsid w:val="00E25088"/>
    <w:rsid w:val="00E250CB"/>
    <w:rsid w:val="00E250EE"/>
    <w:rsid w:val="00E25168"/>
    <w:rsid w:val="00E2517B"/>
    <w:rsid w:val="00E251D3"/>
    <w:rsid w:val="00E251FF"/>
    <w:rsid w:val="00E25481"/>
    <w:rsid w:val="00E25509"/>
    <w:rsid w:val="00E25524"/>
    <w:rsid w:val="00E25527"/>
    <w:rsid w:val="00E256A9"/>
    <w:rsid w:val="00E257E3"/>
    <w:rsid w:val="00E25842"/>
    <w:rsid w:val="00E2591F"/>
    <w:rsid w:val="00E259F1"/>
    <w:rsid w:val="00E25A01"/>
    <w:rsid w:val="00E25A82"/>
    <w:rsid w:val="00E25BBB"/>
    <w:rsid w:val="00E25CD9"/>
    <w:rsid w:val="00E25CEE"/>
    <w:rsid w:val="00E25D3E"/>
    <w:rsid w:val="00E25EE9"/>
    <w:rsid w:val="00E260C6"/>
    <w:rsid w:val="00E260E2"/>
    <w:rsid w:val="00E260E9"/>
    <w:rsid w:val="00E26118"/>
    <w:rsid w:val="00E26154"/>
    <w:rsid w:val="00E26157"/>
    <w:rsid w:val="00E26193"/>
    <w:rsid w:val="00E26340"/>
    <w:rsid w:val="00E2638D"/>
    <w:rsid w:val="00E2646F"/>
    <w:rsid w:val="00E26509"/>
    <w:rsid w:val="00E26525"/>
    <w:rsid w:val="00E265D2"/>
    <w:rsid w:val="00E265EF"/>
    <w:rsid w:val="00E26610"/>
    <w:rsid w:val="00E267FD"/>
    <w:rsid w:val="00E26959"/>
    <w:rsid w:val="00E269FA"/>
    <w:rsid w:val="00E26A6A"/>
    <w:rsid w:val="00E26C15"/>
    <w:rsid w:val="00E26C90"/>
    <w:rsid w:val="00E26CC1"/>
    <w:rsid w:val="00E26CCE"/>
    <w:rsid w:val="00E26EAD"/>
    <w:rsid w:val="00E26EEB"/>
    <w:rsid w:val="00E26FD0"/>
    <w:rsid w:val="00E271AD"/>
    <w:rsid w:val="00E271B2"/>
    <w:rsid w:val="00E271F1"/>
    <w:rsid w:val="00E272C7"/>
    <w:rsid w:val="00E272D7"/>
    <w:rsid w:val="00E27323"/>
    <w:rsid w:val="00E273B4"/>
    <w:rsid w:val="00E27469"/>
    <w:rsid w:val="00E27483"/>
    <w:rsid w:val="00E2748A"/>
    <w:rsid w:val="00E27572"/>
    <w:rsid w:val="00E27675"/>
    <w:rsid w:val="00E276AA"/>
    <w:rsid w:val="00E27773"/>
    <w:rsid w:val="00E279C1"/>
    <w:rsid w:val="00E279D0"/>
    <w:rsid w:val="00E27A95"/>
    <w:rsid w:val="00E27B07"/>
    <w:rsid w:val="00E27BF7"/>
    <w:rsid w:val="00E27C44"/>
    <w:rsid w:val="00E27D14"/>
    <w:rsid w:val="00E27D2E"/>
    <w:rsid w:val="00E27D48"/>
    <w:rsid w:val="00E27D56"/>
    <w:rsid w:val="00E27D9B"/>
    <w:rsid w:val="00E27E23"/>
    <w:rsid w:val="00E27FFD"/>
    <w:rsid w:val="00E301A1"/>
    <w:rsid w:val="00E30272"/>
    <w:rsid w:val="00E3029D"/>
    <w:rsid w:val="00E30361"/>
    <w:rsid w:val="00E303E1"/>
    <w:rsid w:val="00E303EF"/>
    <w:rsid w:val="00E3044B"/>
    <w:rsid w:val="00E30517"/>
    <w:rsid w:val="00E3052B"/>
    <w:rsid w:val="00E30551"/>
    <w:rsid w:val="00E30584"/>
    <w:rsid w:val="00E30699"/>
    <w:rsid w:val="00E306F2"/>
    <w:rsid w:val="00E3082D"/>
    <w:rsid w:val="00E30A08"/>
    <w:rsid w:val="00E30A1F"/>
    <w:rsid w:val="00E30AA5"/>
    <w:rsid w:val="00E30B4F"/>
    <w:rsid w:val="00E30BF4"/>
    <w:rsid w:val="00E30C51"/>
    <w:rsid w:val="00E30C71"/>
    <w:rsid w:val="00E30CCC"/>
    <w:rsid w:val="00E30DF2"/>
    <w:rsid w:val="00E30E09"/>
    <w:rsid w:val="00E30E5F"/>
    <w:rsid w:val="00E30E8A"/>
    <w:rsid w:val="00E30FB3"/>
    <w:rsid w:val="00E3121C"/>
    <w:rsid w:val="00E31264"/>
    <w:rsid w:val="00E3155C"/>
    <w:rsid w:val="00E3162F"/>
    <w:rsid w:val="00E31633"/>
    <w:rsid w:val="00E316D4"/>
    <w:rsid w:val="00E317BA"/>
    <w:rsid w:val="00E317C3"/>
    <w:rsid w:val="00E3181D"/>
    <w:rsid w:val="00E31867"/>
    <w:rsid w:val="00E31920"/>
    <w:rsid w:val="00E31ACA"/>
    <w:rsid w:val="00E31B04"/>
    <w:rsid w:val="00E31BFC"/>
    <w:rsid w:val="00E31C02"/>
    <w:rsid w:val="00E31C18"/>
    <w:rsid w:val="00E31D68"/>
    <w:rsid w:val="00E31D77"/>
    <w:rsid w:val="00E31E26"/>
    <w:rsid w:val="00E31E4C"/>
    <w:rsid w:val="00E31ECB"/>
    <w:rsid w:val="00E31ED2"/>
    <w:rsid w:val="00E320BD"/>
    <w:rsid w:val="00E320C7"/>
    <w:rsid w:val="00E3236E"/>
    <w:rsid w:val="00E32415"/>
    <w:rsid w:val="00E324CA"/>
    <w:rsid w:val="00E32547"/>
    <w:rsid w:val="00E325DD"/>
    <w:rsid w:val="00E32600"/>
    <w:rsid w:val="00E3268B"/>
    <w:rsid w:val="00E327F6"/>
    <w:rsid w:val="00E328FA"/>
    <w:rsid w:val="00E32927"/>
    <w:rsid w:val="00E32966"/>
    <w:rsid w:val="00E32981"/>
    <w:rsid w:val="00E32985"/>
    <w:rsid w:val="00E32AA0"/>
    <w:rsid w:val="00E32B44"/>
    <w:rsid w:val="00E32BF4"/>
    <w:rsid w:val="00E32C2F"/>
    <w:rsid w:val="00E32CB1"/>
    <w:rsid w:val="00E32E90"/>
    <w:rsid w:val="00E32EF1"/>
    <w:rsid w:val="00E32F86"/>
    <w:rsid w:val="00E3305A"/>
    <w:rsid w:val="00E330A0"/>
    <w:rsid w:val="00E3315B"/>
    <w:rsid w:val="00E3315D"/>
    <w:rsid w:val="00E332CD"/>
    <w:rsid w:val="00E333E1"/>
    <w:rsid w:val="00E33424"/>
    <w:rsid w:val="00E33444"/>
    <w:rsid w:val="00E3349F"/>
    <w:rsid w:val="00E33502"/>
    <w:rsid w:val="00E335E7"/>
    <w:rsid w:val="00E335EB"/>
    <w:rsid w:val="00E33669"/>
    <w:rsid w:val="00E336F5"/>
    <w:rsid w:val="00E33819"/>
    <w:rsid w:val="00E33957"/>
    <w:rsid w:val="00E33961"/>
    <w:rsid w:val="00E33A45"/>
    <w:rsid w:val="00E33A5A"/>
    <w:rsid w:val="00E33AA0"/>
    <w:rsid w:val="00E33CF1"/>
    <w:rsid w:val="00E33E88"/>
    <w:rsid w:val="00E33EC1"/>
    <w:rsid w:val="00E33F87"/>
    <w:rsid w:val="00E33F89"/>
    <w:rsid w:val="00E33FA0"/>
    <w:rsid w:val="00E33FAA"/>
    <w:rsid w:val="00E340C0"/>
    <w:rsid w:val="00E341D0"/>
    <w:rsid w:val="00E343BF"/>
    <w:rsid w:val="00E344A9"/>
    <w:rsid w:val="00E344DB"/>
    <w:rsid w:val="00E34510"/>
    <w:rsid w:val="00E346FE"/>
    <w:rsid w:val="00E34779"/>
    <w:rsid w:val="00E34839"/>
    <w:rsid w:val="00E34937"/>
    <w:rsid w:val="00E349AE"/>
    <w:rsid w:val="00E34A41"/>
    <w:rsid w:val="00E34A71"/>
    <w:rsid w:val="00E34A8C"/>
    <w:rsid w:val="00E34AEF"/>
    <w:rsid w:val="00E34C0C"/>
    <w:rsid w:val="00E34CFB"/>
    <w:rsid w:val="00E34D5F"/>
    <w:rsid w:val="00E34E70"/>
    <w:rsid w:val="00E34ED3"/>
    <w:rsid w:val="00E34EEB"/>
    <w:rsid w:val="00E34F3F"/>
    <w:rsid w:val="00E34F8B"/>
    <w:rsid w:val="00E35051"/>
    <w:rsid w:val="00E350D2"/>
    <w:rsid w:val="00E351F1"/>
    <w:rsid w:val="00E352C5"/>
    <w:rsid w:val="00E352DF"/>
    <w:rsid w:val="00E35500"/>
    <w:rsid w:val="00E35586"/>
    <w:rsid w:val="00E35590"/>
    <w:rsid w:val="00E355B3"/>
    <w:rsid w:val="00E355D9"/>
    <w:rsid w:val="00E35651"/>
    <w:rsid w:val="00E3567C"/>
    <w:rsid w:val="00E356C2"/>
    <w:rsid w:val="00E3575B"/>
    <w:rsid w:val="00E359D3"/>
    <w:rsid w:val="00E35AA7"/>
    <w:rsid w:val="00E35ADB"/>
    <w:rsid w:val="00E35B86"/>
    <w:rsid w:val="00E35BE5"/>
    <w:rsid w:val="00E35C2C"/>
    <w:rsid w:val="00E35C80"/>
    <w:rsid w:val="00E35C95"/>
    <w:rsid w:val="00E35D43"/>
    <w:rsid w:val="00E35E3C"/>
    <w:rsid w:val="00E35F13"/>
    <w:rsid w:val="00E35F16"/>
    <w:rsid w:val="00E35F1A"/>
    <w:rsid w:val="00E36038"/>
    <w:rsid w:val="00E36044"/>
    <w:rsid w:val="00E36046"/>
    <w:rsid w:val="00E36347"/>
    <w:rsid w:val="00E36383"/>
    <w:rsid w:val="00E36447"/>
    <w:rsid w:val="00E36487"/>
    <w:rsid w:val="00E364FF"/>
    <w:rsid w:val="00E36528"/>
    <w:rsid w:val="00E36559"/>
    <w:rsid w:val="00E36564"/>
    <w:rsid w:val="00E365D0"/>
    <w:rsid w:val="00E36612"/>
    <w:rsid w:val="00E36646"/>
    <w:rsid w:val="00E368D5"/>
    <w:rsid w:val="00E369AD"/>
    <w:rsid w:val="00E369BD"/>
    <w:rsid w:val="00E36A40"/>
    <w:rsid w:val="00E36AC7"/>
    <w:rsid w:val="00E36B48"/>
    <w:rsid w:val="00E36B4E"/>
    <w:rsid w:val="00E36BAB"/>
    <w:rsid w:val="00E36CBC"/>
    <w:rsid w:val="00E36CE9"/>
    <w:rsid w:val="00E36F4C"/>
    <w:rsid w:val="00E36FAA"/>
    <w:rsid w:val="00E36FE7"/>
    <w:rsid w:val="00E37070"/>
    <w:rsid w:val="00E370D6"/>
    <w:rsid w:val="00E37193"/>
    <w:rsid w:val="00E371B7"/>
    <w:rsid w:val="00E3734E"/>
    <w:rsid w:val="00E37498"/>
    <w:rsid w:val="00E375F5"/>
    <w:rsid w:val="00E37626"/>
    <w:rsid w:val="00E37688"/>
    <w:rsid w:val="00E37696"/>
    <w:rsid w:val="00E376DD"/>
    <w:rsid w:val="00E376EF"/>
    <w:rsid w:val="00E3782F"/>
    <w:rsid w:val="00E37A59"/>
    <w:rsid w:val="00E37B0F"/>
    <w:rsid w:val="00E37B55"/>
    <w:rsid w:val="00E37BF4"/>
    <w:rsid w:val="00E37D61"/>
    <w:rsid w:val="00E37DD9"/>
    <w:rsid w:val="00E37E25"/>
    <w:rsid w:val="00E37E4F"/>
    <w:rsid w:val="00E37ED2"/>
    <w:rsid w:val="00E37EDD"/>
    <w:rsid w:val="00E37F25"/>
    <w:rsid w:val="00E37FE1"/>
    <w:rsid w:val="00E400FD"/>
    <w:rsid w:val="00E40205"/>
    <w:rsid w:val="00E40239"/>
    <w:rsid w:val="00E402D4"/>
    <w:rsid w:val="00E40318"/>
    <w:rsid w:val="00E40322"/>
    <w:rsid w:val="00E4037E"/>
    <w:rsid w:val="00E40423"/>
    <w:rsid w:val="00E404A3"/>
    <w:rsid w:val="00E40540"/>
    <w:rsid w:val="00E40588"/>
    <w:rsid w:val="00E40678"/>
    <w:rsid w:val="00E4074E"/>
    <w:rsid w:val="00E40800"/>
    <w:rsid w:val="00E40A6B"/>
    <w:rsid w:val="00E40B9F"/>
    <w:rsid w:val="00E40BDB"/>
    <w:rsid w:val="00E40C75"/>
    <w:rsid w:val="00E40C77"/>
    <w:rsid w:val="00E40CE7"/>
    <w:rsid w:val="00E40D78"/>
    <w:rsid w:val="00E40DB7"/>
    <w:rsid w:val="00E40DE3"/>
    <w:rsid w:val="00E40E84"/>
    <w:rsid w:val="00E40E8B"/>
    <w:rsid w:val="00E40F34"/>
    <w:rsid w:val="00E40F41"/>
    <w:rsid w:val="00E41140"/>
    <w:rsid w:val="00E412A5"/>
    <w:rsid w:val="00E41559"/>
    <w:rsid w:val="00E416A5"/>
    <w:rsid w:val="00E416C3"/>
    <w:rsid w:val="00E41727"/>
    <w:rsid w:val="00E41774"/>
    <w:rsid w:val="00E41855"/>
    <w:rsid w:val="00E41983"/>
    <w:rsid w:val="00E41AB0"/>
    <w:rsid w:val="00E41B26"/>
    <w:rsid w:val="00E41B51"/>
    <w:rsid w:val="00E41C2D"/>
    <w:rsid w:val="00E41C56"/>
    <w:rsid w:val="00E41D0A"/>
    <w:rsid w:val="00E41D0D"/>
    <w:rsid w:val="00E41EA6"/>
    <w:rsid w:val="00E41F91"/>
    <w:rsid w:val="00E421D2"/>
    <w:rsid w:val="00E4221A"/>
    <w:rsid w:val="00E42247"/>
    <w:rsid w:val="00E422B4"/>
    <w:rsid w:val="00E422BF"/>
    <w:rsid w:val="00E42364"/>
    <w:rsid w:val="00E42369"/>
    <w:rsid w:val="00E42379"/>
    <w:rsid w:val="00E423A3"/>
    <w:rsid w:val="00E423EB"/>
    <w:rsid w:val="00E4247A"/>
    <w:rsid w:val="00E42519"/>
    <w:rsid w:val="00E425B1"/>
    <w:rsid w:val="00E4260D"/>
    <w:rsid w:val="00E42663"/>
    <w:rsid w:val="00E4267C"/>
    <w:rsid w:val="00E426BA"/>
    <w:rsid w:val="00E42737"/>
    <w:rsid w:val="00E42761"/>
    <w:rsid w:val="00E427D9"/>
    <w:rsid w:val="00E42995"/>
    <w:rsid w:val="00E42B51"/>
    <w:rsid w:val="00E42D46"/>
    <w:rsid w:val="00E42D6D"/>
    <w:rsid w:val="00E42DCD"/>
    <w:rsid w:val="00E42F05"/>
    <w:rsid w:val="00E42F17"/>
    <w:rsid w:val="00E42FC2"/>
    <w:rsid w:val="00E43030"/>
    <w:rsid w:val="00E430AE"/>
    <w:rsid w:val="00E430F5"/>
    <w:rsid w:val="00E4311D"/>
    <w:rsid w:val="00E432EA"/>
    <w:rsid w:val="00E434F7"/>
    <w:rsid w:val="00E4353D"/>
    <w:rsid w:val="00E435EA"/>
    <w:rsid w:val="00E436A7"/>
    <w:rsid w:val="00E436AB"/>
    <w:rsid w:val="00E437DD"/>
    <w:rsid w:val="00E4387C"/>
    <w:rsid w:val="00E43888"/>
    <w:rsid w:val="00E43A89"/>
    <w:rsid w:val="00E43BB4"/>
    <w:rsid w:val="00E43C77"/>
    <w:rsid w:val="00E43EB3"/>
    <w:rsid w:val="00E43FE6"/>
    <w:rsid w:val="00E44006"/>
    <w:rsid w:val="00E440BA"/>
    <w:rsid w:val="00E440D2"/>
    <w:rsid w:val="00E440DA"/>
    <w:rsid w:val="00E4410F"/>
    <w:rsid w:val="00E441A6"/>
    <w:rsid w:val="00E441D5"/>
    <w:rsid w:val="00E44202"/>
    <w:rsid w:val="00E442A3"/>
    <w:rsid w:val="00E44411"/>
    <w:rsid w:val="00E444C2"/>
    <w:rsid w:val="00E444C5"/>
    <w:rsid w:val="00E4463E"/>
    <w:rsid w:val="00E44645"/>
    <w:rsid w:val="00E4466F"/>
    <w:rsid w:val="00E44854"/>
    <w:rsid w:val="00E44894"/>
    <w:rsid w:val="00E44964"/>
    <w:rsid w:val="00E4499D"/>
    <w:rsid w:val="00E449F0"/>
    <w:rsid w:val="00E44A1E"/>
    <w:rsid w:val="00E44A73"/>
    <w:rsid w:val="00E44AF8"/>
    <w:rsid w:val="00E44B52"/>
    <w:rsid w:val="00E44D86"/>
    <w:rsid w:val="00E44DFD"/>
    <w:rsid w:val="00E44E47"/>
    <w:rsid w:val="00E44FD0"/>
    <w:rsid w:val="00E45128"/>
    <w:rsid w:val="00E45169"/>
    <w:rsid w:val="00E45297"/>
    <w:rsid w:val="00E452E8"/>
    <w:rsid w:val="00E452FD"/>
    <w:rsid w:val="00E45392"/>
    <w:rsid w:val="00E4556D"/>
    <w:rsid w:val="00E455F3"/>
    <w:rsid w:val="00E45631"/>
    <w:rsid w:val="00E45640"/>
    <w:rsid w:val="00E45695"/>
    <w:rsid w:val="00E456B5"/>
    <w:rsid w:val="00E45760"/>
    <w:rsid w:val="00E45961"/>
    <w:rsid w:val="00E459AA"/>
    <w:rsid w:val="00E459DE"/>
    <w:rsid w:val="00E45A81"/>
    <w:rsid w:val="00E45BF6"/>
    <w:rsid w:val="00E45C94"/>
    <w:rsid w:val="00E45D90"/>
    <w:rsid w:val="00E45D93"/>
    <w:rsid w:val="00E45E4A"/>
    <w:rsid w:val="00E45E54"/>
    <w:rsid w:val="00E45F56"/>
    <w:rsid w:val="00E46043"/>
    <w:rsid w:val="00E4608B"/>
    <w:rsid w:val="00E460AB"/>
    <w:rsid w:val="00E46144"/>
    <w:rsid w:val="00E4616F"/>
    <w:rsid w:val="00E4619E"/>
    <w:rsid w:val="00E462E6"/>
    <w:rsid w:val="00E46367"/>
    <w:rsid w:val="00E46411"/>
    <w:rsid w:val="00E465B5"/>
    <w:rsid w:val="00E465C3"/>
    <w:rsid w:val="00E46601"/>
    <w:rsid w:val="00E46665"/>
    <w:rsid w:val="00E4669F"/>
    <w:rsid w:val="00E4670D"/>
    <w:rsid w:val="00E46911"/>
    <w:rsid w:val="00E46931"/>
    <w:rsid w:val="00E46B3B"/>
    <w:rsid w:val="00E46BCB"/>
    <w:rsid w:val="00E46C93"/>
    <w:rsid w:val="00E46EB9"/>
    <w:rsid w:val="00E46FDD"/>
    <w:rsid w:val="00E4713B"/>
    <w:rsid w:val="00E4719C"/>
    <w:rsid w:val="00E471D1"/>
    <w:rsid w:val="00E47357"/>
    <w:rsid w:val="00E473D5"/>
    <w:rsid w:val="00E4745C"/>
    <w:rsid w:val="00E474BB"/>
    <w:rsid w:val="00E474BF"/>
    <w:rsid w:val="00E4757D"/>
    <w:rsid w:val="00E4765B"/>
    <w:rsid w:val="00E4775E"/>
    <w:rsid w:val="00E477A7"/>
    <w:rsid w:val="00E47841"/>
    <w:rsid w:val="00E479F7"/>
    <w:rsid w:val="00E47A20"/>
    <w:rsid w:val="00E47BE2"/>
    <w:rsid w:val="00E47C8B"/>
    <w:rsid w:val="00E47CD1"/>
    <w:rsid w:val="00E47D48"/>
    <w:rsid w:val="00E47E04"/>
    <w:rsid w:val="00E47E2F"/>
    <w:rsid w:val="00E5009B"/>
    <w:rsid w:val="00E50132"/>
    <w:rsid w:val="00E50186"/>
    <w:rsid w:val="00E50265"/>
    <w:rsid w:val="00E50383"/>
    <w:rsid w:val="00E503B6"/>
    <w:rsid w:val="00E504BD"/>
    <w:rsid w:val="00E5055B"/>
    <w:rsid w:val="00E505A8"/>
    <w:rsid w:val="00E50603"/>
    <w:rsid w:val="00E5066B"/>
    <w:rsid w:val="00E506CC"/>
    <w:rsid w:val="00E50725"/>
    <w:rsid w:val="00E507BC"/>
    <w:rsid w:val="00E507DF"/>
    <w:rsid w:val="00E5088C"/>
    <w:rsid w:val="00E508A0"/>
    <w:rsid w:val="00E5096A"/>
    <w:rsid w:val="00E509DC"/>
    <w:rsid w:val="00E509FB"/>
    <w:rsid w:val="00E50A2F"/>
    <w:rsid w:val="00E50AE2"/>
    <w:rsid w:val="00E50BC0"/>
    <w:rsid w:val="00E50BC9"/>
    <w:rsid w:val="00E50BDD"/>
    <w:rsid w:val="00E50D86"/>
    <w:rsid w:val="00E50E0B"/>
    <w:rsid w:val="00E50E77"/>
    <w:rsid w:val="00E50EC0"/>
    <w:rsid w:val="00E50F51"/>
    <w:rsid w:val="00E50FD9"/>
    <w:rsid w:val="00E51115"/>
    <w:rsid w:val="00E511AC"/>
    <w:rsid w:val="00E51287"/>
    <w:rsid w:val="00E51342"/>
    <w:rsid w:val="00E513F3"/>
    <w:rsid w:val="00E51471"/>
    <w:rsid w:val="00E51478"/>
    <w:rsid w:val="00E514A5"/>
    <w:rsid w:val="00E51601"/>
    <w:rsid w:val="00E51651"/>
    <w:rsid w:val="00E516B5"/>
    <w:rsid w:val="00E51785"/>
    <w:rsid w:val="00E518B4"/>
    <w:rsid w:val="00E518E7"/>
    <w:rsid w:val="00E519B0"/>
    <w:rsid w:val="00E51A58"/>
    <w:rsid w:val="00E51A59"/>
    <w:rsid w:val="00E51A8F"/>
    <w:rsid w:val="00E51BB9"/>
    <w:rsid w:val="00E51E9A"/>
    <w:rsid w:val="00E51FA7"/>
    <w:rsid w:val="00E522C7"/>
    <w:rsid w:val="00E52408"/>
    <w:rsid w:val="00E525DD"/>
    <w:rsid w:val="00E525EA"/>
    <w:rsid w:val="00E52692"/>
    <w:rsid w:val="00E52699"/>
    <w:rsid w:val="00E52742"/>
    <w:rsid w:val="00E527EB"/>
    <w:rsid w:val="00E528AB"/>
    <w:rsid w:val="00E5299E"/>
    <w:rsid w:val="00E52B08"/>
    <w:rsid w:val="00E52B76"/>
    <w:rsid w:val="00E52CCD"/>
    <w:rsid w:val="00E52D0A"/>
    <w:rsid w:val="00E52D57"/>
    <w:rsid w:val="00E52D9E"/>
    <w:rsid w:val="00E52E87"/>
    <w:rsid w:val="00E52FDD"/>
    <w:rsid w:val="00E53142"/>
    <w:rsid w:val="00E53182"/>
    <w:rsid w:val="00E53205"/>
    <w:rsid w:val="00E532CD"/>
    <w:rsid w:val="00E532E5"/>
    <w:rsid w:val="00E53309"/>
    <w:rsid w:val="00E53454"/>
    <w:rsid w:val="00E5354F"/>
    <w:rsid w:val="00E535E6"/>
    <w:rsid w:val="00E53655"/>
    <w:rsid w:val="00E53674"/>
    <w:rsid w:val="00E536B9"/>
    <w:rsid w:val="00E537A8"/>
    <w:rsid w:val="00E53857"/>
    <w:rsid w:val="00E53BC9"/>
    <w:rsid w:val="00E53E13"/>
    <w:rsid w:val="00E53E3F"/>
    <w:rsid w:val="00E53E97"/>
    <w:rsid w:val="00E53FBD"/>
    <w:rsid w:val="00E540E4"/>
    <w:rsid w:val="00E5417B"/>
    <w:rsid w:val="00E542EB"/>
    <w:rsid w:val="00E5437A"/>
    <w:rsid w:val="00E54408"/>
    <w:rsid w:val="00E54534"/>
    <w:rsid w:val="00E54550"/>
    <w:rsid w:val="00E545A4"/>
    <w:rsid w:val="00E545A7"/>
    <w:rsid w:val="00E54743"/>
    <w:rsid w:val="00E54A46"/>
    <w:rsid w:val="00E54B82"/>
    <w:rsid w:val="00E54B8C"/>
    <w:rsid w:val="00E54D2B"/>
    <w:rsid w:val="00E54D82"/>
    <w:rsid w:val="00E54D83"/>
    <w:rsid w:val="00E54DBF"/>
    <w:rsid w:val="00E54F03"/>
    <w:rsid w:val="00E5504D"/>
    <w:rsid w:val="00E550EF"/>
    <w:rsid w:val="00E55168"/>
    <w:rsid w:val="00E55174"/>
    <w:rsid w:val="00E551C3"/>
    <w:rsid w:val="00E5527F"/>
    <w:rsid w:val="00E553AE"/>
    <w:rsid w:val="00E553C7"/>
    <w:rsid w:val="00E55419"/>
    <w:rsid w:val="00E55455"/>
    <w:rsid w:val="00E5548B"/>
    <w:rsid w:val="00E5549F"/>
    <w:rsid w:val="00E554B4"/>
    <w:rsid w:val="00E55659"/>
    <w:rsid w:val="00E5568D"/>
    <w:rsid w:val="00E5571D"/>
    <w:rsid w:val="00E557B1"/>
    <w:rsid w:val="00E557DC"/>
    <w:rsid w:val="00E5590D"/>
    <w:rsid w:val="00E5591B"/>
    <w:rsid w:val="00E55B31"/>
    <w:rsid w:val="00E55CA6"/>
    <w:rsid w:val="00E55CAD"/>
    <w:rsid w:val="00E55D1B"/>
    <w:rsid w:val="00E55D2E"/>
    <w:rsid w:val="00E55DAD"/>
    <w:rsid w:val="00E55F67"/>
    <w:rsid w:val="00E55FEC"/>
    <w:rsid w:val="00E56030"/>
    <w:rsid w:val="00E56089"/>
    <w:rsid w:val="00E5608E"/>
    <w:rsid w:val="00E56098"/>
    <w:rsid w:val="00E5609E"/>
    <w:rsid w:val="00E562D0"/>
    <w:rsid w:val="00E563A8"/>
    <w:rsid w:val="00E563E9"/>
    <w:rsid w:val="00E56428"/>
    <w:rsid w:val="00E56433"/>
    <w:rsid w:val="00E5647E"/>
    <w:rsid w:val="00E565CF"/>
    <w:rsid w:val="00E56695"/>
    <w:rsid w:val="00E566FE"/>
    <w:rsid w:val="00E5677F"/>
    <w:rsid w:val="00E567B5"/>
    <w:rsid w:val="00E5684F"/>
    <w:rsid w:val="00E568CF"/>
    <w:rsid w:val="00E56954"/>
    <w:rsid w:val="00E56BDD"/>
    <w:rsid w:val="00E56E7B"/>
    <w:rsid w:val="00E56EE4"/>
    <w:rsid w:val="00E56F3D"/>
    <w:rsid w:val="00E56FD1"/>
    <w:rsid w:val="00E56FF3"/>
    <w:rsid w:val="00E57142"/>
    <w:rsid w:val="00E57160"/>
    <w:rsid w:val="00E572DC"/>
    <w:rsid w:val="00E573AC"/>
    <w:rsid w:val="00E5748B"/>
    <w:rsid w:val="00E574E3"/>
    <w:rsid w:val="00E57559"/>
    <w:rsid w:val="00E57608"/>
    <w:rsid w:val="00E57633"/>
    <w:rsid w:val="00E576EC"/>
    <w:rsid w:val="00E57827"/>
    <w:rsid w:val="00E578DF"/>
    <w:rsid w:val="00E5795B"/>
    <w:rsid w:val="00E57A24"/>
    <w:rsid w:val="00E57B51"/>
    <w:rsid w:val="00E57B9C"/>
    <w:rsid w:val="00E57BF1"/>
    <w:rsid w:val="00E57BFE"/>
    <w:rsid w:val="00E57C43"/>
    <w:rsid w:val="00E57C7B"/>
    <w:rsid w:val="00E57C88"/>
    <w:rsid w:val="00E57CA5"/>
    <w:rsid w:val="00E57CC2"/>
    <w:rsid w:val="00E57F6F"/>
    <w:rsid w:val="00E6015D"/>
    <w:rsid w:val="00E601C7"/>
    <w:rsid w:val="00E6024B"/>
    <w:rsid w:val="00E6026E"/>
    <w:rsid w:val="00E60270"/>
    <w:rsid w:val="00E6047A"/>
    <w:rsid w:val="00E604BD"/>
    <w:rsid w:val="00E604EC"/>
    <w:rsid w:val="00E60640"/>
    <w:rsid w:val="00E60691"/>
    <w:rsid w:val="00E60737"/>
    <w:rsid w:val="00E60953"/>
    <w:rsid w:val="00E6095A"/>
    <w:rsid w:val="00E609A6"/>
    <w:rsid w:val="00E609D8"/>
    <w:rsid w:val="00E60A42"/>
    <w:rsid w:val="00E60A69"/>
    <w:rsid w:val="00E60ACC"/>
    <w:rsid w:val="00E60B07"/>
    <w:rsid w:val="00E60B19"/>
    <w:rsid w:val="00E60BA1"/>
    <w:rsid w:val="00E60C4E"/>
    <w:rsid w:val="00E60C6A"/>
    <w:rsid w:val="00E60F70"/>
    <w:rsid w:val="00E6106C"/>
    <w:rsid w:val="00E610C2"/>
    <w:rsid w:val="00E610CA"/>
    <w:rsid w:val="00E61127"/>
    <w:rsid w:val="00E611E4"/>
    <w:rsid w:val="00E611ED"/>
    <w:rsid w:val="00E6142F"/>
    <w:rsid w:val="00E614C8"/>
    <w:rsid w:val="00E61544"/>
    <w:rsid w:val="00E615BB"/>
    <w:rsid w:val="00E6172D"/>
    <w:rsid w:val="00E61771"/>
    <w:rsid w:val="00E617AB"/>
    <w:rsid w:val="00E61831"/>
    <w:rsid w:val="00E618BB"/>
    <w:rsid w:val="00E618D4"/>
    <w:rsid w:val="00E618F7"/>
    <w:rsid w:val="00E619B4"/>
    <w:rsid w:val="00E619BC"/>
    <w:rsid w:val="00E619CE"/>
    <w:rsid w:val="00E619D2"/>
    <w:rsid w:val="00E619E5"/>
    <w:rsid w:val="00E61A11"/>
    <w:rsid w:val="00E61CBA"/>
    <w:rsid w:val="00E61DC7"/>
    <w:rsid w:val="00E61E89"/>
    <w:rsid w:val="00E61F14"/>
    <w:rsid w:val="00E61F9E"/>
    <w:rsid w:val="00E62024"/>
    <w:rsid w:val="00E620C1"/>
    <w:rsid w:val="00E620C8"/>
    <w:rsid w:val="00E62231"/>
    <w:rsid w:val="00E6223E"/>
    <w:rsid w:val="00E6236D"/>
    <w:rsid w:val="00E623D6"/>
    <w:rsid w:val="00E62563"/>
    <w:rsid w:val="00E62586"/>
    <w:rsid w:val="00E6258B"/>
    <w:rsid w:val="00E62633"/>
    <w:rsid w:val="00E627BF"/>
    <w:rsid w:val="00E627D6"/>
    <w:rsid w:val="00E62872"/>
    <w:rsid w:val="00E628B8"/>
    <w:rsid w:val="00E6292A"/>
    <w:rsid w:val="00E6295C"/>
    <w:rsid w:val="00E62989"/>
    <w:rsid w:val="00E629C6"/>
    <w:rsid w:val="00E62A55"/>
    <w:rsid w:val="00E62B06"/>
    <w:rsid w:val="00E62C3F"/>
    <w:rsid w:val="00E62C83"/>
    <w:rsid w:val="00E62CFD"/>
    <w:rsid w:val="00E62EA9"/>
    <w:rsid w:val="00E62FA2"/>
    <w:rsid w:val="00E62FDD"/>
    <w:rsid w:val="00E62FDE"/>
    <w:rsid w:val="00E63057"/>
    <w:rsid w:val="00E63076"/>
    <w:rsid w:val="00E63153"/>
    <w:rsid w:val="00E632D1"/>
    <w:rsid w:val="00E63393"/>
    <w:rsid w:val="00E6341D"/>
    <w:rsid w:val="00E63578"/>
    <w:rsid w:val="00E635DA"/>
    <w:rsid w:val="00E63662"/>
    <w:rsid w:val="00E636EE"/>
    <w:rsid w:val="00E6376E"/>
    <w:rsid w:val="00E637CE"/>
    <w:rsid w:val="00E63802"/>
    <w:rsid w:val="00E63849"/>
    <w:rsid w:val="00E638EB"/>
    <w:rsid w:val="00E638F2"/>
    <w:rsid w:val="00E63A02"/>
    <w:rsid w:val="00E63A35"/>
    <w:rsid w:val="00E63A74"/>
    <w:rsid w:val="00E63AB5"/>
    <w:rsid w:val="00E63AB7"/>
    <w:rsid w:val="00E63AC9"/>
    <w:rsid w:val="00E63ACF"/>
    <w:rsid w:val="00E63AE9"/>
    <w:rsid w:val="00E63B30"/>
    <w:rsid w:val="00E63BC5"/>
    <w:rsid w:val="00E63C23"/>
    <w:rsid w:val="00E63EC2"/>
    <w:rsid w:val="00E64245"/>
    <w:rsid w:val="00E643D0"/>
    <w:rsid w:val="00E644D1"/>
    <w:rsid w:val="00E646B7"/>
    <w:rsid w:val="00E646EF"/>
    <w:rsid w:val="00E64904"/>
    <w:rsid w:val="00E64905"/>
    <w:rsid w:val="00E64A22"/>
    <w:rsid w:val="00E64B92"/>
    <w:rsid w:val="00E64C5C"/>
    <w:rsid w:val="00E64CA2"/>
    <w:rsid w:val="00E64CCE"/>
    <w:rsid w:val="00E6511F"/>
    <w:rsid w:val="00E65173"/>
    <w:rsid w:val="00E651D5"/>
    <w:rsid w:val="00E652E9"/>
    <w:rsid w:val="00E65398"/>
    <w:rsid w:val="00E653AF"/>
    <w:rsid w:val="00E6542C"/>
    <w:rsid w:val="00E654D3"/>
    <w:rsid w:val="00E65572"/>
    <w:rsid w:val="00E656DC"/>
    <w:rsid w:val="00E65701"/>
    <w:rsid w:val="00E65749"/>
    <w:rsid w:val="00E65794"/>
    <w:rsid w:val="00E6579D"/>
    <w:rsid w:val="00E65802"/>
    <w:rsid w:val="00E658B2"/>
    <w:rsid w:val="00E658D5"/>
    <w:rsid w:val="00E659C2"/>
    <w:rsid w:val="00E65CB2"/>
    <w:rsid w:val="00E65D47"/>
    <w:rsid w:val="00E65D87"/>
    <w:rsid w:val="00E65E66"/>
    <w:rsid w:val="00E65EF3"/>
    <w:rsid w:val="00E65FC5"/>
    <w:rsid w:val="00E6613E"/>
    <w:rsid w:val="00E66142"/>
    <w:rsid w:val="00E6619D"/>
    <w:rsid w:val="00E66224"/>
    <w:rsid w:val="00E6627A"/>
    <w:rsid w:val="00E662BE"/>
    <w:rsid w:val="00E662FD"/>
    <w:rsid w:val="00E66392"/>
    <w:rsid w:val="00E6642C"/>
    <w:rsid w:val="00E66430"/>
    <w:rsid w:val="00E66442"/>
    <w:rsid w:val="00E6647F"/>
    <w:rsid w:val="00E664D9"/>
    <w:rsid w:val="00E66597"/>
    <w:rsid w:val="00E665C9"/>
    <w:rsid w:val="00E66747"/>
    <w:rsid w:val="00E66781"/>
    <w:rsid w:val="00E667D8"/>
    <w:rsid w:val="00E668C1"/>
    <w:rsid w:val="00E66942"/>
    <w:rsid w:val="00E669B9"/>
    <w:rsid w:val="00E66A1C"/>
    <w:rsid w:val="00E66AFC"/>
    <w:rsid w:val="00E66BF4"/>
    <w:rsid w:val="00E66C73"/>
    <w:rsid w:val="00E66F27"/>
    <w:rsid w:val="00E66F2B"/>
    <w:rsid w:val="00E6702C"/>
    <w:rsid w:val="00E670A0"/>
    <w:rsid w:val="00E670B8"/>
    <w:rsid w:val="00E670E0"/>
    <w:rsid w:val="00E6728C"/>
    <w:rsid w:val="00E67363"/>
    <w:rsid w:val="00E67386"/>
    <w:rsid w:val="00E673B4"/>
    <w:rsid w:val="00E67482"/>
    <w:rsid w:val="00E6775E"/>
    <w:rsid w:val="00E6781D"/>
    <w:rsid w:val="00E67889"/>
    <w:rsid w:val="00E678EC"/>
    <w:rsid w:val="00E67902"/>
    <w:rsid w:val="00E67A6B"/>
    <w:rsid w:val="00E67A94"/>
    <w:rsid w:val="00E67AFC"/>
    <w:rsid w:val="00E67B00"/>
    <w:rsid w:val="00E67B09"/>
    <w:rsid w:val="00E67B3D"/>
    <w:rsid w:val="00E67C63"/>
    <w:rsid w:val="00E67C67"/>
    <w:rsid w:val="00E67E33"/>
    <w:rsid w:val="00E67E42"/>
    <w:rsid w:val="00E67E86"/>
    <w:rsid w:val="00E67EE8"/>
    <w:rsid w:val="00E67F57"/>
    <w:rsid w:val="00E70055"/>
    <w:rsid w:val="00E70488"/>
    <w:rsid w:val="00E7057D"/>
    <w:rsid w:val="00E706FB"/>
    <w:rsid w:val="00E70763"/>
    <w:rsid w:val="00E707A2"/>
    <w:rsid w:val="00E707BE"/>
    <w:rsid w:val="00E70960"/>
    <w:rsid w:val="00E70AE2"/>
    <w:rsid w:val="00E70B13"/>
    <w:rsid w:val="00E70B63"/>
    <w:rsid w:val="00E70BA5"/>
    <w:rsid w:val="00E70BC8"/>
    <w:rsid w:val="00E70E2D"/>
    <w:rsid w:val="00E70E39"/>
    <w:rsid w:val="00E70E7A"/>
    <w:rsid w:val="00E71077"/>
    <w:rsid w:val="00E712F5"/>
    <w:rsid w:val="00E71348"/>
    <w:rsid w:val="00E71499"/>
    <w:rsid w:val="00E714A6"/>
    <w:rsid w:val="00E714EA"/>
    <w:rsid w:val="00E71804"/>
    <w:rsid w:val="00E718A9"/>
    <w:rsid w:val="00E718EF"/>
    <w:rsid w:val="00E7191C"/>
    <w:rsid w:val="00E71948"/>
    <w:rsid w:val="00E71957"/>
    <w:rsid w:val="00E71A05"/>
    <w:rsid w:val="00E71A9B"/>
    <w:rsid w:val="00E71B06"/>
    <w:rsid w:val="00E71C21"/>
    <w:rsid w:val="00E71CC2"/>
    <w:rsid w:val="00E71D14"/>
    <w:rsid w:val="00E71DC7"/>
    <w:rsid w:val="00E71E19"/>
    <w:rsid w:val="00E71E88"/>
    <w:rsid w:val="00E71ED1"/>
    <w:rsid w:val="00E71F26"/>
    <w:rsid w:val="00E72054"/>
    <w:rsid w:val="00E720E5"/>
    <w:rsid w:val="00E72100"/>
    <w:rsid w:val="00E72178"/>
    <w:rsid w:val="00E72192"/>
    <w:rsid w:val="00E7220D"/>
    <w:rsid w:val="00E72288"/>
    <w:rsid w:val="00E724FB"/>
    <w:rsid w:val="00E725A8"/>
    <w:rsid w:val="00E72630"/>
    <w:rsid w:val="00E726AF"/>
    <w:rsid w:val="00E72781"/>
    <w:rsid w:val="00E7288C"/>
    <w:rsid w:val="00E72899"/>
    <w:rsid w:val="00E72ABB"/>
    <w:rsid w:val="00E72AD1"/>
    <w:rsid w:val="00E72B8E"/>
    <w:rsid w:val="00E72D96"/>
    <w:rsid w:val="00E72E69"/>
    <w:rsid w:val="00E7307D"/>
    <w:rsid w:val="00E73092"/>
    <w:rsid w:val="00E731A9"/>
    <w:rsid w:val="00E731C4"/>
    <w:rsid w:val="00E731DE"/>
    <w:rsid w:val="00E732A7"/>
    <w:rsid w:val="00E7333D"/>
    <w:rsid w:val="00E7338A"/>
    <w:rsid w:val="00E7341B"/>
    <w:rsid w:val="00E7353B"/>
    <w:rsid w:val="00E7361B"/>
    <w:rsid w:val="00E7364A"/>
    <w:rsid w:val="00E736D5"/>
    <w:rsid w:val="00E73743"/>
    <w:rsid w:val="00E737DC"/>
    <w:rsid w:val="00E737F3"/>
    <w:rsid w:val="00E73852"/>
    <w:rsid w:val="00E7388D"/>
    <w:rsid w:val="00E73AA5"/>
    <w:rsid w:val="00E73BBA"/>
    <w:rsid w:val="00E73DC6"/>
    <w:rsid w:val="00E73EEA"/>
    <w:rsid w:val="00E73F26"/>
    <w:rsid w:val="00E73F84"/>
    <w:rsid w:val="00E7401A"/>
    <w:rsid w:val="00E740FF"/>
    <w:rsid w:val="00E74264"/>
    <w:rsid w:val="00E742BE"/>
    <w:rsid w:val="00E7434C"/>
    <w:rsid w:val="00E7436A"/>
    <w:rsid w:val="00E743CC"/>
    <w:rsid w:val="00E7441A"/>
    <w:rsid w:val="00E74474"/>
    <w:rsid w:val="00E7449A"/>
    <w:rsid w:val="00E74511"/>
    <w:rsid w:val="00E74516"/>
    <w:rsid w:val="00E74593"/>
    <w:rsid w:val="00E74607"/>
    <w:rsid w:val="00E747B3"/>
    <w:rsid w:val="00E74886"/>
    <w:rsid w:val="00E749F3"/>
    <w:rsid w:val="00E74AEE"/>
    <w:rsid w:val="00E74B09"/>
    <w:rsid w:val="00E74D5B"/>
    <w:rsid w:val="00E74D6E"/>
    <w:rsid w:val="00E74D9C"/>
    <w:rsid w:val="00E74E42"/>
    <w:rsid w:val="00E74E90"/>
    <w:rsid w:val="00E74F04"/>
    <w:rsid w:val="00E74F57"/>
    <w:rsid w:val="00E75187"/>
    <w:rsid w:val="00E75279"/>
    <w:rsid w:val="00E75505"/>
    <w:rsid w:val="00E75525"/>
    <w:rsid w:val="00E7553E"/>
    <w:rsid w:val="00E756AB"/>
    <w:rsid w:val="00E75852"/>
    <w:rsid w:val="00E758BE"/>
    <w:rsid w:val="00E75B10"/>
    <w:rsid w:val="00E75B61"/>
    <w:rsid w:val="00E75B97"/>
    <w:rsid w:val="00E75D7E"/>
    <w:rsid w:val="00E75DB9"/>
    <w:rsid w:val="00E75DEC"/>
    <w:rsid w:val="00E75DF2"/>
    <w:rsid w:val="00E75F43"/>
    <w:rsid w:val="00E75F52"/>
    <w:rsid w:val="00E76175"/>
    <w:rsid w:val="00E7623D"/>
    <w:rsid w:val="00E76299"/>
    <w:rsid w:val="00E762CF"/>
    <w:rsid w:val="00E76302"/>
    <w:rsid w:val="00E7646A"/>
    <w:rsid w:val="00E7649E"/>
    <w:rsid w:val="00E76578"/>
    <w:rsid w:val="00E7666C"/>
    <w:rsid w:val="00E767C6"/>
    <w:rsid w:val="00E76A08"/>
    <w:rsid w:val="00E76A59"/>
    <w:rsid w:val="00E76ACB"/>
    <w:rsid w:val="00E76C65"/>
    <w:rsid w:val="00E76C83"/>
    <w:rsid w:val="00E76D8E"/>
    <w:rsid w:val="00E76E44"/>
    <w:rsid w:val="00E7712A"/>
    <w:rsid w:val="00E771C5"/>
    <w:rsid w:val="00E7721E"/>
    <w:rsid w:val="00E77268"/>
    <w:rsid w:val="00E77298"/>
    <w:rsid w:val="00E7750C"/>
    <w:rsid w:val="00E775FD"/>
    <w:rsid w:val="00E77622"/>
    <w:rsid w:val="00E776AB"/>
    <w:rsid w:val="00E77736"/>
    <w:rsid w:val="00E77743"/>
    <w:rsid w:val="00E77753"/>
    <w:rsid w:val="00E7793F"/>
    <w:rsid w:val="00E779A8"/>
    <w:rsid w:val="00E779B3"/>
    <w:rsid w:val="00E779FD"/>
    <w:rsid w:val="00E77AA8"/>
    <w:rsid w:val="00E77C2C"/>
    <w:rsid w:val="00E77C47"/>
    <w:rsid w:val="00E77C77"/>
    <w:rsid w:val="00E77CE3"/>
    <w:rsid w:val="00E77D9E"/>
    <w:rsid w:val="00E77DAF"/>
    <w:rsid w:val="00E77DED"/>
    <w:rsid w:val="00E77E1D"/>
    <w:rsid w:val="00E77EA8"/>
    <w:rsid w:val="00E77EA9"/>
    <w:rsid w:val="00E77F04"/>
    <w:rsid w:val="00E77F41"/>
    <w:rsid w:val="00E77FE6"/>
    <w:rsid w:val="00E80001"/>
    <w:rsid w:val="00E80053"/>
    <w:rsid w:val="00E800F4"/>
    <w:rsid w:val="00E8015A"/>
    <w:rsid w:val="00E80194"/>
    <w:rsid w:val="00E80249"/>
    <w:rsid w:val="00E80339"/>
    <w:rsid w:val="00E80364"/>
    <w:rsid w:val="00E80410"/>
    <w:rsid w:val="00E80496"/>
    <w:rsid w:val="00E804B8"/>
    <w:rsid w:val="00E804E9"/>
    <w:rsid w:val="00E80545"/>
    <w:rsid w:val="00E80554"/>
    <w:rsid w:val="00E80666"/>
    <w:rsid w:val="00E807A5"/>
    <w:rsid w:val="00E807F0"/>
    <w:rsid w:val="00E80AA0"/>
    <w:rsid w:val="00E80B5D"/>
    <w:rsid w:val="00E80C06"/>
    <w:rsid w:val="00E80CAE"/>
    <w:rsid w:val="00E80E9E"/>
    <w:rsid w:val="00E80FD2"/>
    <w:rsid w:val="00E81006"/>
    <w:rsid w:val="00E81063"/>
    <w:rsid w:val="00E8106C"/>
    <w:rsid w:val="00E810AA"/>
    <w:rsid w:val="00E8131E"/>
    <w:rsid w:val="00E81389"/>
    <w:rsid w:val="00E8139B"/>
    <w:rsid w:val="00E814D9"/>
    <w:rsid w:val="00E81598"/>
    <w:rsid w:val="00E815F5"/>
    <w:rsid w:val="00E81689"/>
    <w:rsid w:val="00E816DA"/>
    <w:rsid w:val="00E816F5"/>
    <w:rsid w:val="00E81752"/>
    <w:rsid w:val="00E81778"/>
    <w:rsid w:val="00E81782"/>
    <w:rsid w:val="00E818BA"/>
    <w:rsid w:val="00E819BB"/>
    <w:rsid w:val="00E81AD5"/>
    <w:rsid w:val="00E81B5C"/>
    <w:rsid w:val="00E81C27"/>
    <w:rsid w:val="00E81C79"/>
    <w:rsid w:val="00E81D2B"/>
    <w:rsid w:val="00E81DE5"/>
    <w:rsid w:val="00E82022"/>
    <w:rsid w:val="00E8215D"/>
    <w:rsid w:val="00E82289"/>
    <w:rsid w:val="00E822B7"/>
    <w:rsid w:val="00E823AB"/>
    <w:rsid w:val="00E823B4"/>
    <w:rsid w:val="00E824B6"/>
    <w:rsid w:val="00E82517"/>
    <w:rsid w:val="00E8254D"/>
    <w:rsid w:val="00E826B1"/>
    <w:rsid w:val="00E82798"/>
    <w:rsid w:val="00E8282A"/>
    <w:rsid w:val="00E82848"/>
    <w:rsid w:val="00E82857"/>
    <w:rsid w:val="00E82919"/>
    <w:rsid w:val="00E8293B"/>
    <w:rsid w:val="00E82983"/>
    <w:rsid w:val="00E82A2E"/>
    <w:rsid w:val="00E82AB7"/>
    <w:rsid w:val="00E82AE8"/>
    <w:rsid w:val="00E82B11"/>
    <w:rsid w:val="00E82B78"/>
    <w:rsid w:val="00E82C73"/>
    <w:rsid w:val="00E82D51"/>
    <w:rsid w:val="00E82D57"/>
    <w:rsid w:val="00E82EA7"/>
    <w:rsid w:val="00E82EFD"/>
    <w:rsid w:val="00E82FF5"/>
    <w:rsid w:val="00E83087"/>
    <w:rsid w:val="00E8326D"/>
    <w:rsid w:val="00E83272"/>
    <w:rsid w:val="00E8336A"/>
    <w:rsid w:val="00E8338B"/>
    <w:rsid w:val="00E834A0"/>
    <w:rsid w:val="00E83522"/>
    <w:rsid w:val="00E83534"/>
    <w:rsid w:val="00E83749"/>
    <w:rsid w:val="00E837A3"/>
    <w:rsid w:val="00E83845"/>
    <w:rsid w:val="00E838B3"/>
    <w:rsid w:val="00E8390D"/>
    <w:rsid w:val="00E83958"/>
    <w:rsid w:val="00E83A0D"/>
    <w:rsid w:val="00E83C96"/>
    <w:rsid w:val="00E83CFC"/>
    <w:rsid w:val="00E83DCB"/>
    <w:rsid w:val="00E83E82"/>
    <w:rsid w:val="00E83EAB"/>
    <w:rsid w:val="00E83EEC"/>
    <w:rsid w:val="00E83EF9"/>
    <w:rsid w:val="00E83F1D"/>
    <w:rsid w:val="00E8401A"/>
    <w:rsid w:val="00E84057"/>
    <w:rsid w:val="00E840E4"/>
    <w:rsid w:val="00E8417A"/>
    <w:rsid w:val="00E84221"/>
    <w:rsid w:val="00E8427F"/>
    <w:rsid w:val="00E842BB"/>
    <w:rsid w:val="00E842FB"/>
    <w:rsid w:val="00E8430F"/>
    <w:rsid w:val="00E84348"/>
    <w:rsid w:val="00E8438E"/>
    <w:rsid w:val="00E84393"/>
    <w:rsid w:val="00E843BB"/>
    <w:rsid w:val="00E8447C"/>
    <w:rsid w:val="00E84487"/>
    <w:rsid w:val="00E8451C"/>
    <w:rsid w:val="00E84607"/>
    <w:rsid w:val="00E84742"/>
    <w:rsid w:val="00E847B4"/>
    <w:rsid w:val="00E84885"/>
    <w:rsid w:val="00E848C4"/>
    <w:rsid w:val="00E8497A"/>
    <w:rsid w:val="00E8498A"/>
    <w:rsid w:val="00E8499C"/>
    <w:rsid w:val="00E84A52"/>
    <w:rsid w:val="00E84AB9"/>
    <w:rsid w:val="00E84BF3"/>
    <w:rsid w:val="00E84C05"/>
    <w:rsid w:val="00E84CA9"/>
    <w:rsid w:val="00E84D2C"/>
    <w:rsid w:val="00E84DE8"/>
    <w:rsid w:val="00E84E03"/>
    <w:rsid w:val="00E84E34"/>
    <w:rsid w:val="00E84E83"/>
    <w:rsid w:val="00E851DD"/>
    <w:rsid w:val="00E852AA"/>
    <w:rsid w:val="00E853B8"/>
    <w:rsid w:val="00E854C5"/>
    <w:rsid w:val="00E8551C"/>
    <w:rsid w:val="00E8552D"/>
    <w:rsid w:val="00E855A9"/>
    <w:rsid w:val="00E855F2"/>
    <w:rsid w:val="00E855F9"/>
    <w:rsid w:val="00E8561A"/>
    <w:rsid w:val="00E85664"/>
    <w:rsid w:val="00E85826"/>
    <w:rsid w:val="00E85847"/>
    <w:rsid w:val="00E85A3A"/>
    <w:rsid w:val="00E85AA4"/>
    <w:rsid w:val="00E85B89"/>
    <w:rsid w:val="00E85C9A"/>
    <w:rsid w:val="00E85CA0"/>
    <w:rsid w:val="00E85D1B"/>
    <w:rsid w:val="00E85D85"/>
    <w:rsid w:val="00E85DFC"/>
    <w:rsid w:val="00E86126"/>
    <w:rsid w:val="00E86170"/>
    <w:rsid w:val="00E86212"/>
    <w:rsid w:val="00E8623D"/>
    <w:rsid w:val="00E86253"/>
    <w:rsid w:val="00E8625F"/>
    <w:rsid w:val="00E862AC"/>
    <w:rsid w:val="00E86434"/>
    <w:rsid w:val="00E86769"/>
    <w:rsid w:val="00E86801"/>
    <w:rsid w:val="00E86971"/>
    <w:rsid w:val="00E86ABC"/>
    <w:rsid w:val="00E86B7E"/>
    <w:rsid w:val="00E86BDB"/>
    <w:rsid w:val="00E86E24"/>
    <w:rsid w:val="00E86E43"/>
    <w:rsid w:val="00E86F6B"/>
    <w:rsid w:val="00E86FD0"/>
    <w:rsid w:val="00E870BC"/>
    <w:rsid w:val="00E870FF"/>
    <w:rsid w:val="00E8729B"/>
    <w:rsid w:val="00E87353"/>
    <w:rsid w:val="00E87374"/>
    <w:rsid w:val="00E8737A"/>
    <w:rsid w:val="00E87487"/>
    <w:rsid w:val="00E874D8"/>
    <w:rsid w:val="00E875A6"/>
    <w:rsid w:val="00E875DE"/>
    <w:rsid w:val="00E8760C"/>
    <w:rsid w:val="00E877CF"/>
    <w:rsid w:val="00E87840"/>
    <w:rsid w:val="00E8785F"/>
    <w:rsid w:val="00E87954"/>
    <w:rsid w:val="00E87A39"/>
    <w:rsid w:val="00E87ABC"/>
    <w:rsid w:val="00E87B21"/>
    <w:rsid w:val="00E87BD7"/>
    <w:rsid w:val="00E87BE7"/>
    <w:rsid w:val="00E87C25"/>
    <w:rsid w:val="00E87CBD"/>
    <w:rsid w:val="00E87DA0"/>
    <w:rsid w:val="00E87EA6"/>
    <w:rsid w:val="00E87EAD"/>
    <w:rsid w:val="00E87F0F"/>
    <w:rsid w:val="00E87F90"/>
    <w:rsid w:val="00E9004F"/>
    <w:rsid w:val="00E900B4"/>
    <w:rsid w:val="00E903C6"/>
    <w:rsid w:val="00E90437"/>
    <w:rsid w:val="00E90438"/>
    <w:rsid w:val="00E904A8"/>
    <w:rsid w:val="00E905DA"/>
    <w:rsid w:val="00E905DD"/>
    <w:rsid w:val="00E90789"/>
    <w:rsid w:val="00E9079B"/>
    <w:rsid w:val="00E90801"/>
    <w:rsid w:val="00E908AB"/>
    <w:rsid w:val="00E90918"/>
    <w:rsid w:val="00E909AE"/>
    <w:rsid w:val="00E909CF"/>
    <w:rsid w:val="00E90A1D"/>
    <w:rsid w:val="00E90ADB"/>
    <w:rsid w:val="00E90AE4"/>
    <w:rsid w:val="00E90B51"/>
    <w:rsid w:val="00E90BED"/>
    <w:rsid w:val="00E90C1F"/>
    <w:rsid w:val="00E90C51"/>
    <w:rsid w:val="00E90E13"/>
    <w:rsid w:val="00E90E2C"/>
    <w:rsid w:val="00E90E93"/>
    <w:rsid w:val="00E90EC9"/>
    <w:rsid w:val="00E90F46"/>
    <w:rsid w:val="00E90FD6"/>
    <w:rsid w:val="00E9104B"/>
    <w:rsid w:val="00E91143"/>
    <w:rsid w:val="00E9116C"/>
    <w:rsid w:val="00E911A1"/>
    <w:rsid w:val="00E91308"/>
    <w:rsid w:val="00E913B9"/>
    <w:rsid w:val="00E913D7"/>
    <w:rsid w:val="00E91508"/>
    <w:rsid w:val="00E91535"/>
    <w:rsid w:val="00E9153A"/>
    <w:rsid w:val="00E915A2"/>
    <w:rsid w:val="00E915F8"/>
    <w:rsid w:val="00E91662"/>
    <w:rsid w:val="00E91776"/>
    <w:rsid w:val="00E917D1"/>
    <w:rsid w:val="00E91814"/>
    <w:rsid w:val="00E918C6"/>
    <w:rsid w:val="00E919A9"/>
    <w:rsid w:val="00E919D3"/>
    <w:rsid w:val="00E91A90"/>
    <w:rsid w:val="00E91AAC"/>
    <w:rsid w:val="00E91DF4"/>
    <w:rsid w:val="00E91F26"/>
    <w:rsid w:val="00E92072"/>
    <w:rsid w:val="00E92123"/>
    <w:rsid w:val="00E92145"/>
    <w:rsid w:val="00E9215F"/>
    <w:rsid w:val="00E921C0"/>
    <w:rsid w:val="00E92201"/>
    <w:rsid w:val="00E92214"/>
    <w:rsid w:val="00E92318"/>
    <w:rsid w:val="00E92364"/>
    <w:rsid w:val="00E923DC"/>
    <w:rsid w:val="00E923FD"/>
    <w:rsid w:val="00E925CC"/>
    <w:rsid w:val="00E925E2"/>
    <w:rsid w:val="00E926C0"/>
    <w:rsid w:val="00E926FA"/>
    <w:rsid w:val="00E92708"/>
    <w:rsid w:val="00E9274A"/>
    <w:rsid w:val="00E92756"/>
    <w:rsid w:val="00E9279D"/>
    <w:rsid w:val="00E9289F"/>
    <w:rsid w:val="00E928CA"/>
    <w:rsid w:val="00E9295A"/>
    <w:rsid w:val="00E9297A"/>
    <w:rsid w:val="00E92B9E"/>
    <w:rsid w:val="00E92BBD"/>
    <w:rsid w:val="00E92C07"/>
    <w:rsid w:val="00E92C3B"/>
    <w:rsid w:val="00E92CBA"/>
    <w:rsid w:val="00E92D2B"/>
    <w:rsid w:val="00E92ED4"/>
    <w:rsid w:val="00E92F1E"/>
    <w:rsid w:val="00E92FA6"/>
    <w:rsid w:val="00E930E3"/>
    <w:rsid w:val="00E93180"/>
    <w:rsid w:val="00E93185"/>
    <w:rsid w:val="00E931A9"/>
    <w:rsid w:val="00E93202"/>
    <w:rsid w:val="00E933DB"/>
    <w:rsid w:val="00E93441"/>
    <w:rsid w:val="00E93471"/>
    <w:rsid w:val="00E93502"/>
    <w:rsid w:val="00E9353F"/>
    <w:rsid w:val="00E9385D"/>
    <w:rsid w:val="00E9386C"/>
    <w:rsid w:val="00E938ED"/>
    <w:rsid w:val="00E93902"/>
    <w:rsid w:val="00E9399B"/>
    <w:rsid w:val="00E93A2D"/>
    <w:rsid w:val="00E93A84"/>
    <w:rsid w:val="00E93C2C"/>
    <w:rsid w:val="00E93C6A"/>
    <w:rsid w:val="00E93CD1"/>
    <w:rsid w:val="00E93E40"/>
    <w:rsid w:val="00E93E48"/>
    <w:rsid w:val="00E93E59"/>
    <w:rsid w:val="00E94153"/>
    <w:rsid w:val="00E94244"/>
    <w:rsid w:val="00E943E4"/>
    <w:rsid w:val="00E943E9"/>
    <w:rsid w:val="00E94434"/>
    <w:rsid w:val="00E9446A"/>
    <w:rsid w:val="00E9463D"/>
    <w:rsid w:val="00E94689"/>
    <w:rsid w:val="00E94696"/>
    <w:rsid w:val="00E946B2"/>
    <w:rsid w:val="00E94737"/>
    <w:rsid w:val="00E94758"/>
    <w:rsid w:val="00E947E3"/>
    <w:rsid w:val="00E94852"/>
    <w:rsid w:val="00E948A3"/>
    <w:rsid w:val="00E94913"/>
    <w:rsid w:val="00E94957"/>
    <w:rsid w:val="00E94A9C"/>
    <w:rsid w:val="00E94B11"/>
    <w:rsid w:val="00E94C0B"/>
    <w:rsid w:val="00E94E31"/>
    <w:rsid w:val="00E94EB4"/>
    <w:rsid w:val="00E94EB9"/>
    <w:rsid w:val="00E94F69"/>
    <w:rsid w:val="00E94F6E"/>
    <w:rsid w:val="00E9507C"/>
    <w:rsid w:val="00E95132"/>
    <w:rsid w:val="00E951A2"/>
    <w:rsid w:val="00E951A3"/>
    <w:rsid w:val="00E951BE"/>
    <w:rsid w:val="00E95218"/>
    <w:rsid w:val="00E95303"/>
    <w:rsid w:val="00E95378"/>
    <w:rsid w:val="00E953A4"/>
    <w:rsid w:val="00E953BB"/>
    <w:rsid w:val="00E9552F"/>
    <w:rsid w:val="00E95545"/>
    <w:rsid w:val="00E9557D"/>
    <w:rsid w:val="00E95769"/>
    <w:rsid w:val="00E958BC"/>
    <w:rsid w:val="00E958CC"/>
    <w:rsid w:val="00E958DB"/>
    <w:rsid w:val="00E9590B"/>
    <w:rsid w:val="00E9596A"/>
    <w:rsid w:val="00E95A52"/>
    <w:rsid w:val="00E95B5E"/>
    <w:rsid w:val="00E95BEF"/>
    <w:rsid w:val="00E95C34"/>
    <w:rsid w:val="00E95C7A"/>
    <w:rsid w:val="00E95D7E"/>
    <w:rsid w:val="00E95E14"/>
    <w:rsid w:val="00E96018"/>
    <w:rsid w:val="00E9602E"/>
    <w:rsid w:val="00E9619B"/>
    <w:rsid w:val="00E96230"/>
    <w:rsid w:val="00E962CB"/>
    <w:rsid w:val="00E9639F"/>
    <w:rsid w:val="00E963E3"/>
    <w:rsid w:val="00E96417"/>
    <w:rsid w:val="00E96460"/>
    <w:rsid w:val="00E964CF"/>
    <w:rsid w:val="00E9653C"/>
    <w:rsid w:val="00E965AA"/>
    <w:rsid w:val="00E966A7"/>
    <w:rsid w:val="00E966D9"/>
    <w:rsid w:val="00E967C9"/>
    <w:rsid w:val="00E968F1"/>
    <w:rsid w:val="00E968FE"/>
    <w:rsid w:val="00E96ACA"/>
    <w:rsid w:val="00E96DB9"/>
    <w:rsid w:val="00E96E03"/>
    <w:rsid w:val="00E96F6E"/>
    <w:rsid w:val="00E97058"/>
    <w:rsid w:val="00E97184"/>
    <w:rsid w:val="00E9719D"/>
    <w:rsid w:val="00E971D5"/>
    <w:rsid w:val="00E971E7"/>
    <w:rsid w:val="00E971F2"/>
    <w:rsid w:val="00E97224"/>
    <w:rsid w:val="00E9727B"/>
    <w:rsid w:val="00E9729D"/>
    <w:rsid w:val="00E972E8"/>
    <w:rsid w:val="00E97318"/>
    <w:rsid w:val="00E97323"/>
    <w:rsid w:val="00E9751B"/>
    <w:rsid w:val="00E975A5"/>
    <w:rsid w:val="00E9760F"/>
    <w:rsid w:val="00E97612"/>
    <w:rsid w:val="00E97618"/>
    <w:rsid w:val="00E97621"/>
    <w:rsid w:val="00E9765B"/>
    <w:rsid w:val="00E97678"/>
    <w:rsid w:val="00E97684"/>
    <w:rsid w:val="00E9771F"/>
    <w:rsid w:val="00E97747"/>
    <w:rsid w:val="00E97821"/>
    <w:rsid w:val="00E97848"/>
    <w:rsid w:val="00E9785F"/>
    <w:rsid w:val="00E97A3D"/>
    <w:rsid w:val="00E97A3E"/>
    <w:rsid w:val="00E97A8E"/>
    <w:rsid w:val="00E97AB1"/>
    <w:rsid w:val="00E97AC2"/>
    <w:rsid w:val="00E97B02"/>
    <w:rsid w:val="00E97B97"/>
    <w:rsid w:val="00E97C55"/>
    <w:rsid w:val="00E97C92"/>
    <w:rsid w:val="00E97CC4"/>
    <w:rsid w:val="00E97D57"/>
    <w:rsid w:val="00E97D58"/>
    <w:rsid w:val="00E97E3C"/>
    <w:rsid w:val="00E97E40"/>
    <w:rsid w:val="00E97FB7"/>
    <w:rsid w:val="00EA000F"/>
    <w:rsid w:val="00EA0113"/>
    <w:rsid w:val="00EA0190"/>
    <w:rsid w:val="00EA01E3"/>
    <w:rsid w:val="00EA01FC"/>
    <w:rsid w:val="00EA033B"/>
    <w:rsid w:val="00EA0366"/>
    <w:rsid w:val="00EA03B5"/>
    <w:rsid w:val="00EA045D"/>
    <w:rsid w:val="00EA04B5"/>
    <w:rsid w:val="00EA0502"/>
    <w:rsid w:val="00EA05E8"/>
    <w:rsid w:val="00EA06B2"/>
    <w:rsid w:val="00EA06C3"/>
    <w:rsid w:val="00EA06E2"/>
    <w:rsid w:val="00EA07D0"/>
    <w:rsid w:val="00EA08AC"/>
    <w:rsid w:val="00EA09A8"/>
    <w:rsid w:val="00EA09BD"/>
    <w:rsid w:val="00EA0A5F"/>
    <w:rsid w:val="00EA0AA5"/>
    <w:rsid w:val="00EA0ADF"/>
    <w:rsid w:val="00EA0B12"/>
    <w:rsid w:val="00EA0BE8"/>
    <w:rsid w:val="00EA0C64"/>
    <w:rsid w:val="00EA0C82"/>
    <w:rsid w:val="00EA0D00"/>
    <w:rsid w:val="00EA0D08"/>
    <w:rsid w:val="00EA0D8D"/>
    <w:rsid w:val="00EA0EA7"/>
    <w:rsid w:val="00EA0EBB"/>
    <w:rsid w:val="00EA0F13"/>
    <w:rsid w:val="00EA1027"/>
    <w:rsid w:val="00EA10AA"/>
    <w:rsid w:val="00EA1105"/>
    <w:rsid w:val="00EA1317"/>
    <w:rsid w:val="00EA1361"/>
    <w:rsid w:val="00EA152D"/>
    <w:rsid w:val="00EA1537"/>
    <w:rsid w:val="00EA157D"/>
    <w:rsid w:val="00EA1588"/>
    <w:rsid w:val="00EA15DA"/>
    <w:rsid w:val="00EA163E"/>
    <w:rsid w:val="00EA16AF"/>
    <w:rsid w:val="00EA16BD"/>
    <w:rsid w:val="00EA1704"/>
    <w:rsid w:val="00EA1771"/>
    <w:rsid w:val="00EA177F"/>
    <w:rsid w:val="00EA1790"/>
    <w:rsid w:val="00EA17BB"/>
    <w:rsid w:val="00EA1882"/>
    <w:rsid w:val="00EA19A8"/>
    <w:rsid w:val="00EA1A12"/>
    <w:rsid w:val="00EA1AE5"/>
    <w:rsid w:val="00EA1B80"/>
    <w:rsid w:val="00EA1E64"/>
    <w:rsid w:val="00EA2087"/>
    <w:rsid w:val="00EA2123"/>
    <w:rsid w:val="00EA216C"/>
    <w:rsid w:val="00EA2210"/>
    <w:rsid w:val="00EA222B"/>
    <w:rsid w:val="00EA22B0"/>
    <w:rsid w:val="00EA22DA"/>
    <w:rsid w:val="00EA22F6"/>
    <w:rsid w:val="00EA234F"/>
    <w:rsid w:val="00EA23AE"/>
    <w:rsid w:val="00EA23AF"/>
    <w:rsid w:val="00EA240A"/>
    <w:rsid w:val="00EA2504"/>
    <w:rsid w:val="00EA2507"/>
    <w:rsid w:val="00EA25C4"/>
    <w:rsid w:val="00EA2796"/>
    <w:rsid w:val="00EA27C7"/>
    <w:rsid w:val="00EA28B3"/>
    <w:rsid w:val="00EA2956"/>
    <w:rsid w:val="00EA2AE4"/>
    <w:rsid w:val="00EA2B76"/>
    <w:rsid w:val="00EA2BA7"/>
    <w:rsid w:val="00EA2BBC"/>
    <w:rsid w:val="00EA2BBF"/>
    <w:rsid w:val="00EA2C75"/>
    <w:rsid w:val="00EA2C86"/>
    <w:rsid w:val="00EA2C95"/>
    <w:rsid w:val="00EA2CF1"/>
    <w:rsid w:val="00EA2D4A"/>
    <w:rsid w:val="00EA2E3B"/>
    <w:rsid w:val="00EA2E48"/>
    <w:rsid w:val="00EA2E7B"/>
    <w:rsid w:val="00EA2F94"/>
    <w:rsid w:val="00EA3062"/>
    <w:rsid w:val="00EA307A"/>
    <w:rsid w:val="00EA313F"/>
    <w:rsid w:val="00EA31EE"/>
    <w:rsid w:val="00EA321A"/>
    <w:rsid w:val="00EA3404"/>
    <w:rsid w:val="00EA345B"/>
    <w:rsid w:val="00EA34F3"/>
    <w:rsid w:val="00EA35C1"/>
    <w:rsid w:val="00EA3637"/>
    <w:rsid w:val="00EA367C"/>
    <w:rsid w:val="00EA37D1"/>
    <w:rsid w:val="00EA385F"/>
    <w:rsid w:val="00EA38D2"/>
    <w:rsid w:val="00EA3A5A"/>
    <w:rsid w:val="00EA3B33"/>
    <w:rsid w:val="00EA3BAD"/>
    <w:rsid w:val="00EA3D6E"/>
    <w:rsid w:val="00EA3E18"/>
    <w:rsid w:val="00EA3F80"/>
    <w:rsid w:val="00EA40EB"/>
    <w:rsid w:val="00EA4115"/>
    <w:rsid w:val="00EA41B4"/>
    <w:rsid w:val="00EA4209"/>
    <w:rsid w:val="00EA4228"/>
    <w:rsid w:val="00EA429B"/>
    <w:rsid w:val="00EA438F"/>
    <w:rsid w:val="00EA446A"/>
    <w:rsid w:val="00EA451C"/>
    <w:rsid w:val="00EA45E3"/>
    <w:rsid w:val="00EA4640"/>
    <w:rsid w:val="00EA4671"/>
    <w:rsid w:val="00EA4673"/>
    <w:rsid w:val="00EA489C"/>
    <w:rsid w:val="00EA4A08"/>
    <w:rsid w:val="00EA4A22"/>
    <w:rsid w:val="00EA4B6D"/>
    <w:rsid w:val="00EA4B85"/>
    <w:rsid w:val="00EA4C16"/>
    <w:rsid w:val="00EA4C50"/>
    <w:rsid w:val="00EA4CA7"/>
    <w:rsid w:val="00EA4CFC"/>
    <w:rsid w:val="00EA4DBA"/>
    <w:rsid w:val="00EA4E45"/>
    <w:rsid w:val="00EA4EA6"/>
    <w:rsid w:val="00EA4ECC"/>
    <w:rsid w:val="00EA4EDA"/>
    <w:rsid w:val="00EA4F4A"/>
    <w:rsid w:val="00EA4F95"/>
    <w:rsid w:val="00EA4FB1"/>
    <w:rsid w:val="00EA5020"/>
    <w:rsid w:val="00EA5060"/>
    <w:rsid w:val="00EA50C7"/>
    <w:rsid w:val="00EA5135"/>
    <w:rsid w:val="00EA523B"/>
    <w:rsid w:val="00EA5399"/>
    <w:rsid w:val="00EA53B4"/>
    <w:rsid w:val="00EA53C3"/>
    <w:rsid w:val="00EA5467"/>
    <w:rsid w:val="00EA55DB"/>
    <w:rsid w:val="00EA56C1"/>
    <w:rsid w:val="00EA56D3"/>
    <w:rsid w:val="00EA5738"/>
    <w:rsid w:val="00EA5835"/>
    <w:rsid w:val="00EA5913"/>
    <w:rsid w:val="00EA5932"/>
    <w:rsid w:val="00EA59DD"/>
    <w:rsid w:val="00EA5A89"/>
    <w:rsid w:val="00EA5B70"/>
    <w:rsid w:val="00EA5BD9"/>
    <w:rsid w:val="00EA5BEE"/>
    <w:rsid w:val="00EA5CFD"/>
    <w:rsid w:val="00EA5FB8"/>
    <w:rsid w:val="00EA6016"/>
    <w:rsid w:val="00EA60D4"/>
    <w:rsid w:val="00EA60DD"/>
    <w:rsid w:val="00EA612A"/>
    <w:rsid w:val="00EA6306"/>
    <w:rsid w:val="00EA6434"/>
    <w:rsid w:val="00EA678A"/>
    <w:rsid w:val="00EA68CF"/>
    <w:rsid w:val="00EA6930"/>
    <w:rsid w:val="00EA69DD"/>
    <w:rsid w:val="00EA6AF4"/>
    <w:rsid w:val="00EA6CEB"/>
    <w:rsid w:val="00EA6DBF"/>
    <w:rsid w:val="00EA6DF5"/>
    <w:rsid w:val="00EA6E23"/>
    <w:rsid w:val="00EA6E52"/>
    <w:rsid w:val="00EA6E81"/>
    <w:rsid w:val="00EA70CC"/>
    <w:rsid w:val="00EA70F4"/>
    <w:rsid w:val="00EA70F7"/>
    <w:rsid w:val="00EA716D"/>
    <w:rsid w:val="00EA71A1"/>
    <w:rsid w:val="00EA71B6"/>
    <w:rsid w:val="00EA71E9"/>
    <w:rsid w:val="00EA7365"/>
    <w:rsid w:val="00EA7393"/>
    <w:rsid w:val="00EA73C9"/>
    <w:rsid w:val="00EA744F"/>
    <w:rsid w:val="00EA74AC"/>
    <w:rsid w:val="00EA754F"/>
    <w:rsid w:val="00EA759E"/>
    <w:rsid w:val="00EA75E4"/>
    <w:rsid w:val="00EA77AC"/>
    <w:rsid w:val="00EA77AD"/>
    <w:rsid w:val="00EA786F"/>
    <w:rsid w:val="00EA7903"/>
    <w:rsid w:val="00EA795E"/>
    <w:rsid w:val="00EA795F"/>
    <w:rsid w:val="00EA79B9"/>
    <w:rsid w:val="00EA7AB0"/>
    <w:rsid w:val="00EA7ADA"/>
    <w:rsid w:val="00EA7B28"/>
    <w:rsid w:val="00EA7CB9"/>
    <w:rsid w:val="00EA7CDB"/>
    <w:rsid w:val="00EA7CF2"/>
    <w:rsid w:val="00EA7D4E"/>
    <w:rsid w:val="00EA7D9F"/>
    <w:rsid w:val="00EA7DD4"/>
    <w:rsid w:val="00EA7F7B"/>
    <w:rsid w:val="00EB0088"/>
    <w:rsid w:val="00EB0194"/>
    <w:rsid w:val="00EB01FE"/>
    <w:rsid w:val="00EB02D5"/>
    <w:rsid w:val="00EB0479"/>
    <w:rsid w:val="00EB04D8"/>
    <w:rsid w:val="00EB06A7"/>
    <w:rsid w:val="00EB06AE"/>
    <w:rsid w:val="00EB0711"/>
    <w:rsid w:val="00EB080C"/>
    <w:rsid w:val="00EB081B"/>
    <w:rsid w:val="00EB0844"/>
    <w:rsid w:val="00EB0848"/>
    <w:rsid w:val="00EB0BB6"/>
    <w:rsid w:val="00EB0BE1"/>
    <w:rsid w:val="00EB0C2C"/>
    <w:rsid w:val="00EB0CBC"/>
    <w:rsid w:val="00EB0D51"/>
    <w:rsid w:val="00EB0E11"/>
    <w:rsid w:val="00EB0E33"/>
    <w:rsid w:val="00EB0EDB"/>
    <w:rsid w:val="00EB0FA8"/>
    <w:rsid w:val="00EB1076"/>
    <w:rsid w:val="00EB112C"/>
    <w:rsid w:val="00EB118B"/>
    <w:rsid w:val="00EB11E3"/>
    <w:rsid w:val="00EB122C"/>
    <w:rsid w:val="00EB1362"/>
    <w:rsid w:val="00EB1396"/>
    <w:rsid w:val="00EB13CC"/>
    <w:rsid w:val="00EB1437"/>
    <w:rsid w:val="00EB14B3"/>
    <w:rsid w:val="00EB1519"/>
    <w:rsid w:val="00EB1555"/>
    <w:rsid w:val="00EB17CA"/>
    <w:rsid w:val="00EB1A1E"/>
    <w:rsid w:val="00EB1B5A"/>
    <w:rsid w:val="00EB1C93"/>
    <w:rsid w:val="00EB1CBB"/>
    <w:rsid w:val="00EB1CC3"/>
    <w:rsid w:val="00EB1D3B"/>
    <w:rsid w:val="00EB1DD0"/>
    <w:rsid w:val="00EB1E32"/>
    <w:rsid w:val="00EB1E35"/>
    <w:rsid w:val="00EB1E8C"/>
    <w:rsid w:val="00EB1E98"/>
    <w:rsid w:val="00EB2129"/>
    <w:rsid w:val="00EB2242"/>
    <w:rsid w:val="00EB2254"/>
    <w:rsid w:val="00EB22ED"/>
    <w:rsid w:val="00EB22FB"/>
    <w:rsid w:val="00EB2346"/>
    <w:rsid w:val="00EB2362"/>
    <w:rsid w:val="00EB2511"/>
    <w:rsid w:val="00EB25C3"/>
    <w:rsid w:val="00EB2640"/>
    <w:rsid w:val="00EB26D9"/>
    <w:rsid w:val="00EB2709"/>
    <w:rsid w:val="00EB2747"/>
    <w:rsid w:val="00EB27D0"/>
    <w:rsid w:val="00EB2853"/>
    <w:rsid w:val="00EB28A9"/>
    <w:rsid w:val="00EB28B7"/>
    <w:rsid w:val="00EB2A6E"/>
    <w:rsid w:val="00EB2D2F"/>
    <w:rsid w:val="00EB2D31"/>
    <w:rsid w:val="00EB2F00"/>
    <w:rsid w:val="00EB2F17"/>
    <w:rsid w:val="00EB302B"/>
    <w:rsid w:val="00EB3082"/>
    <w:rsid w:val="00EB308A"/>
    <w:rsid w:val="00EB30E6"/>
    <w:rsid w:val="00EB31C6"/>
    <w:rsid w:val="00EB3213"/>
    <w:rsid w:val="00EB3227"/>
    <w:rsid w:val="00EB324B"/>
    <w:rsid w:val="00EB3257"/>
    <w:rsid w:val="00EB3493"/>
    <w:rsid w:val="00EB349E"/>
    <w:rsid w:val="00EB34F8"/>
    <w:rsid w:val="00EB3527"/>
    <w:rsid w:val="00EB3569"/>
    <w:rsid w:val="00EB356C"/>
    <w:rsid w:val="00EB35CC"/>
    <w:rsid w:val="00EB37BA"/>
    <w:rsid w:val="00EB3819"/>
    <w:rsid w:val="00EB381B"/>
    <w:rsid w:val="00EB3830"/>
    <w:rsid w:val="00EB384C"/>
    <w:rsid w:val="00EB3946"/>
    <w:rsid w:val="00EB3967"/>
    <w:rsid w:val="00EB39E2"/>
    <w:rsid w:val="00EB3A5C"/>
    <w:rsid w:val="00EB3AAC"/>
    <w:rsid w:val="00EB3C4A"/>
    <w:rsid w:val="00EB3C9F"/>
    <w:rsid w:val="00EB3CA6"/>
    <w:rsid w:val="00EB3CCE"/>
    <w:rsid w:val="00EB3D5D"/>
    <w:rsid w:val="00EB3DCF"/>
    <w:rsid w:val="00EB3ED1"/>
    <w:rsid w:val="00EB40CB"/>
    <w:rsid w:val="00EB4137"/>
    <w:rsid w:val="00EB4174"/>
    <w:rsid w:val="00EB42B6"/>
    <w:rsid w:val="00EB42DB"/>
    <w:rsid w:val="00EB4642"/>
    <w:rsid w:val="00EB46DF"/>
    <w:rsid w:val="00EB47CA"/>
    <w:rsid w:val="00EB498F"/>
    <w:rsid w:val="00EB49FE"/>
    <w:rsid w:val="00EB4B90"/>
    <w:rsid w:val="00EB4BFC"/>
    <w:rsid w:val="00EB4C6D"/>
    <w:rsid w:val="00EB4C90"/>
    <w:rsid w:val="00EB4CC3"/>
    <w:rsid w:val="00EB4D44"/>
    <w:rsid w:val="00EB4D70"/>
    <w:rsid w:val="00EB4FFB"/>
    <w:rsid w:val="00EB5019"/>
    <w:rsid w:val="00EB5048"/>
    <w:rsid w:val="00EB50ED"/>
    <w:rsid w:val="00EB50F7"/>
    <w:rsid w:val="00EB517D"/>
    <w:rsid w:val="00EB5476"/>
    <w:rsid w:val="00EB5491"/>
    <w:rsid w:val="00EB54BA"/>
    <w:rsid w:val="00EB54E5"/>
    <w:rsid w:val="00EB5681"/>
    <w:rsid w:val="00EB571D"/>
    <w:rsid w:val="00EB5760"/>
    <w:rsid w:val="00EB584C"/>
    <w:rsid w:val="00EB5882"/>
    <w:rsid w:val="00EB58FD"/>
    <w:rsid w:val="00EB599E"/>
    <w:rsid w:val="00EB59AB"/>
    <w:rsid w:val="00EB5A52"/>
    <w:rsid w:val="00EB5BC7"/>
    <w:rsid w:val="00EB5C07"/>
    <w:rsid w:val="00EB5C29"/>
    <w:rsid w:val="00EB5D7F"/>
    <w:rsid w:val="00EB5D82"/>
    <w:rsid w:val="00EB5E6E"/>
    <w:rsid w:val="00EB5E77"/>
    <w:rsid w:val="00EB5F48"/>
    <w:rsid w:val="00EB60CC"/>
    <w:rsid w:val="00EB6104"/>
    <w:rsid w:val="00EB61FE"/>
    <w:rsid w:val="00EB62C4"/>
    <w:rsid w:val="00EB62D2"/>
    <w:rsid w:val="00EB638C"/>
    <w:rsid w:val="00EB63CF"/>
    <w:rsid w:val="00EB644F"/>
    <w:rsid w:val="00EB6462"/>
    <w:rsid w:val="00EB6524"/>
    <w:rsid w:val="00EB67BA"/>
    <w:rsid w:val="00EB6819"/>
    <w:rsid w:val="00EB6897"/>
    <w:rsid w:val="00EB6977"/>
    <w:rsid w:val="00EB6990"/>
    <w:rsid w:val="00EB69F7"/>
    <w:rsid w:val="00EB6A00"/>
    <w:rsid w:val="00EB6ABB"/>
    <w:rsid w:val="00EB6B5B"/>
    <w:rsid w:val="00EB6D37"/>
    <w:rsid w:val="00EB6E85"/>
    <w:rsid w:val="00EB7406"/>
    <w:rsid w:val="00EB743F"/>
    <w:rsid w:val="00EB74E2"/>
    <w:rsid w:val="00EB7589"/>
    <w:rsid w:val="00EB774C"/>
    <w:rsid w:val="00EB77E9"/>
    <w:rsid w:val="00EB7828"/>
    <w:rsid w:val="00EB7885"/>
    <w:rsid w:val="00EB78E1"/>
    <w:rsid w:val="00EB7950"/>
    <w:rsid w:val="00EB79A5"/>
    <w:rsid w:val="00EB7A75"/>
    <w:rsid w:val="00EB7AE7"/>
    <w:rsid w:val="00EB7C16"/>
    <w:rsid w:val="00EB7D53"/>
    <w:rsid w:val="00EB7DAF"/>
    <w:rsid w:val="00EB7E3E"/>
    <w:rsid w:val="00EB7F58"/>
    <w:rsid w:val="00EB7F6A"/>
    <w:rsid w:val="00EB7F85"/>
    <w:rsid w:val="00EC0007"/>
    <w:rsid w:val="00EC0139"/>
    <w:rsid w:val="00EC0161"/>
    <w:rsid w:val="00EC0182"/>
    <w:rsid w:val="00EC0185"/>
    <w:rsid w:val="00EC030B"/>
    <w:rsid w:val="00EC041A"/>
    <w:rsid w:val="00EC0458"/>
    <w:rsid w:val="00EC04CC"/>
    <w:rsid w:val="00EC0601"/>
    <w:rsid w:val="00EC0798"/>
    <w:rsid w:val="00EC0895"/>
    <w:rsid w:val="00EC08B7"/>
    <w:rsid w:val="00EC08D1"/>
    <w:rsid w:val="00EC0961"/>
    <w:rsid w:val="00EC09B3"/>
    <w:rsid w:val="00EC09DA"/>
    <w:rsid w:val="00EC0A21"/>
    <w:rsid w:val="00EC0ABB"/>
    <w:rsid w:val="00EC0AFD"/>
    <w:rsid w:val="00EC0CD6"/>
    <w:rsid w:val="00EC107D"/>
    <w:rsid w:val="00EC1113"/>
    <w:rsid w:val="00EC1157"/>
    <w:rsid w:val="00EC11A4"/>
    <w:rsid w:val="00EC11B2"/>
    <w:rsid w:val="00EC11DB"/>
    <w:rsid w:val="00EC1426"/>
    <w:rsid w:val="00EC16C1"/>
    <w:rsid w:val="00EC16C6"/>
    <w:rsid w:val="00EC195B"/>
    <w:rsid w:val="00EC1B0C"/>
    <w:rsid w:val="00EC1C5E"/>
    <w:rsid w:val="00EC1D73"/>
    <w:rsid w:val="00EC1DF0"/>
    <w:rsid w:val="00EC1EB7"/>
    <w:rsid w:val="00EC1FAE"/>
    <w:rsid w:val="00EC20B9"/>
    <w:rsid w:val="00EC20DD"/>
    <w:rsid w:val="00EC20E5"/>
    <w:rsid w:val="00EC2316"/>
    <w:rsid w:val="00EC2441"/>
    <w:rsid w:val="00EC24D8"/>
    <w:rsid w:val="00EC25E1"/>
    <w:rsid w:val="00EC26E2"/>
    <w:rsid w:val="00EC2817"/>
    <w:rsid w:val="00EC28CD"/>
    <w:rsid w:val="00EC2955"/>
    <w:rsid w:val="00EC2AAB"/>
    <w:rsid w:val="00EC2B36"/>
    <w:rsid w:val="00EC2B4F"/>
    <w:rsid w:val="00EC2BD4"/>
    <w:rsid w:val="00EC2DFC"/>
    <w:rsid w:val="00EC2EB9"/>
    <w:rsid w:val="00EC30AB"/>
    <w:rsid w:val="00EC3286"/>
    <w:rsid w:val="00EC32F0"/>
    <w:rsid w:val="00EC33D1"/>
    <w:rsid w:val="00EC33DE"/>
    <w:rsid w:val="00EC3485"/>
    <w:rsid w:val="00EC3544"/>
    <w:rsid w:val="00EC359F"/>
    <w:rsid w:val="00EC35F9"/>
    <w:rsid w:val="00EC369A"/>
    <w:rsid w:val="00EC3765"/>
    <w:rsid w:val="00EC391D"/>
    <w:rsid w:val="00EC3921"/>
    <w:rsid w:val="00EC3946"/>
    <w:rsid w:val="00EC3A31"/>
    <w:rsid w:val="00EC3A4E"/>
    <w:rsid w:val="00EC3A7C"/>
    <w:rsid w:val="00EC3AC9"/>
    <w:rsid w:val="00EC3BDA"/>
    <w:rsid w:val="00EC3C74"/>
    <w:rsid w:val="00EC3CF7"/>
    <w:rsid w:val="00EC3D59"/>
    <w:rsid w:val="00EC3DF1"/>
    <w:rsid w:val="00EC3DF2"/>
    <w:rsid w:val="00EC3E41"/>
    <w:rsid w:val="00EC3FE7"/>
    <w:rsid w:val="00EC3FED"/>
    <w:rsid w:val="00EC4086"/>
    <w:rsid w:val="00EC4301"/>
    <w:rsid w:val="00EC4319"/>
    <w:rsid w:val="00EC431F"/>
    <w:rsid w:val="00EC4442"/>
    <w:rsid w:val="00EC445C"/>
    <w:rsid w:val="00EC4484"/>
    <w:rsid w:val="00EC44A0"/>
    <w:rsid w:val="00EC44AA"/>
    <w:rsid w:val="00EC464F"/>
    <w:rsid w:val="00EC47F0"/>
    <w:rsid w:val="00EC487E"/>
    <w:rsid w:val="00EC48D8"/>
    <w:rsid w:val="00EC49EF"/>
    <w:rsid w:val="00EC4A30"/>
    <w:rsid w:val="00EC4B07"/>
    <w:rsid w:val="00EC4F33"/>
    <w:rsid w:val="00EC4FF4"/>
    <w:rsid w:val="00EC51BA"/>
    <w:rsid w:val="00EC5233"/>
    <w:rsid w:val="00EC5414"/>
    <w:rsid w:val="00EC5675"/>
    <w:rsid w:val="00EC56C1"/>
    <w:rsid w:val="00EC5747"/>
    <w:rsid w:val="00EC576D"/>
    <w:rsid w:val="00EC57AF"/>
    <w:rsid w:val="00EC589A"/>
    <w:rsid w:val="00EC59A2"/>
    <w:rsid w:val="00EC59AD"/>
    <w:rsid w:val="00EC5A38"/>
    <w:rsid w:val="00EC5AD5"/>
    <w:rsid w:val="00EC5C65"/>
    <w:rsid w:val="00EC5C83"/>
    <w:rsid w:val="00EC5CE1"/>
    <w:rsid w:val="00EC5CF7"/>
    <w:rsid w:val="00EC5D49"/>
    <w:rsid w:val="00EC5EAA"/>
    <w:rsid w:val="00EC5EDC"/>
    <w:rsid w:val="00EC6013"/>
    <w:rsid w:val="00EC60B1"/>
    <w:rsid w:val="00EC6138"/>
    <w:rsid w:val="00EC63C7"/>
    <w:rsid w:val="00EC6536"/>
    <w:rsid w:val="00EC65EB"/>
    <w:rsid w:val="00EC6607"/>
    <w:rsid w:val="00EC66C2"/>
    <w:rsid w:val="00EC6A77"/>
    <w:rsid w:val="00EC6AFD"/>
    <w:rsid w:val="00EC6C96"/>
    <w:rsid w:val="00EC6D12"/>
    <w:rsid w:val="00EC6D9E"/>
    <w:rsid w:val="00EC6D9F"/>
    <w:rsid w:val="00EC6DAB"/>
    <w:rsid w:val="00EC6DCA"/>
    <w:rsid w:val="00EC6E2D"/>
    <w:rsid w:val="00EC6E6C"/>
    <w:rsid w:val="00EC6F01"/>
    <w:rsid w:val="00EC6F07"/>
    <w:rsid w:val="00EC6F3A"/>
    <w:rsid w:val="00EC71C5"/>
    <w:rsid w:val="00EC724F"/>
    <w:rsid w:val="00EC7285"/>
    <w:rsid w:val="00EC7314"/>
    <w:rsid w:val="00EC732A"/>
    <w:rsid w:val="00EC7397"/>
    <w:rsid w:val="00EC73B6"/>
    <w:rsid w:val="00EC73CF"/>
    <w:rsid w:val="00EC73EF"/>
    <w:rsid w:val="00EC7458"/>
    <w:rsid w:val="00EC761B"/>
    <w:rsid w:val="00EC7673"/>
    <w:rsid w:val="00EC77A0"/>
    <w:rsid w:val="00EC781A"/>
    <w:rsid w:val="00EC786D"/>
    <w:rsid w:val="00EC78CF"/>
    <w:rsid w:val="00EC7925"/>
    <w:rsid w:val="00EC793E"/>
    <w:rsid w:val="00EC7A1D"/>
    <w:rsid w:val="00EC7A3F"/>
    <w:rsid w:val="00EC7C7B"/>
    <w:rsid w:val="00EC7EBC"/>
    <w:rsid w:val="00ED0022"/>
    <w:rsid w:val="00ED003A"/>
    <w:rsid w:val="00ED00E8"/>
    <w:rsid w:val="00ED0104"/>
    <w:rsid w:val="00ED0175"/>
    <w:rsid w:val="00ED02A4"/>
    <w:rsid w:val="00ED0405"/>
    <w:rsid w:val="00ED047F"/>
    <w:rsid w:val="00ED0590"/>
    <w:rsid w:val="00ED062D"/>
    <w:rsid w:val="00ED0687"/>
    <w:rsid w:val="00ED06F6"/>
    <w:rsid w:val="00ED070F"/>
    <w:rsid w:val="00ED078E"/>
    <w:rsid w:val="00ED08CA"/>
    <w:rsid w:val="00ED0972"/>
    <w:rsid w:val="00ED0A66"/>
    <w:rsid w:val="00ED0A8F"/>
    <w:rsid w:val="00ED0C04"/>
    <w:rsid w:val="00ED0D07"/>
    <w:rsid w:val="00ED0D2E"/>
    <w:rsid w:val="00ED0E3B"/>
    <w:rsid w:val="00ED0F2C"/>
    <w:rsid w:val="00ED1132"/>
    <w:rsid w:val="00ED1184"/>
    <w:rsid w:val="00ED1216"/>
    <w:rsid w:val="00ED13B3"/>
    <w:rsid w:val="00ED1446"/>
    <w:rsid w:val="00ED14D3"/>
    <w:rsid w:val="00ED15AB"/>
    <w:rsid w:val="00ED15DB"/>
    <w:rsid w:val="00ED164C"/>
    <w:rsid w:val="00ED16AB"/>
    <w:rsid w:val="00ED17DC"/>
    <w:rsid w:val="00ED17FD"/>
    <w:rsid w:val="00ED18BC"/>
    <w:rsid w:val="00ED18C9"/>
    <w:rsid w:val="00ED19AA"/>
    <w:rsid w:val="00ED1A2B"/>
    <w:rsid w:val="00ED1B20"/>
    <w:rsid w:val="00ED1B49"/>
    <w:rsid w:val="00ED1B7F"/>
    <w:rsid w:val="00ED1BEF"/>
    <w:rsid w:val="00ED1C35"/>
    <w:rsid w:val="00ED1CEF"/>
    <w:rsid w:val="00ED1D33"/>
    <w:rsid w:val="00ED1D64"/>
    <w:rsid w:val="00ED1EA6"/>
    <w:rsid w:val="00ED1ECB"/>
    <w:rsid w:val="00ED1F24"/>
    <w:rsid w:val="00ED1F91"/>
    <w:rsid w:val="00ED221B"/>
    <w:rsid w:val="00ED225C"/>
    <w:rsid w:val="00ED242A"/>
    <w:rsid w:val="00ED244E"/>
    <w:rsid w:val="00ED2504"/>
    <w:rsid w:val="00ED257C"/>
    <w:rsid w:val="00ED26B8"/>
    <w:rsid w:val="00ED2787"/>
    <w:rsid w:val="00ED281D"/>
    <w:rsid w:val="00ED2838"/>
    <w:rsid w:val="00ED294B"/>
    <w:rsid w:val="00ED2998"/>
    <w:rsid w:val="00ED2B02"/>
    <w:rsid w:val="00ED2BD3"/>
    <w:rsid w:val="00ED2C91"/>
    <w:rsid w:val="00ED2D98"/>
    <w:rsid w:val="00ED2E97"/>
    <w:rsid w:val="00ED2F15"/>
    <w:rsid w:val="00ED2F55"/>
    <w:rsid w:val="00ED304C"/>
    <w:rsid w:val="00ED30EF"/>
    <w:rsid w:val="00ED312E"/>
    <w:rsid w:val="00ED313C"/>
    <w:rsid w:val="00ED3150"/>
    <w:rsid w:val="00ED3153"/>
    <w:rsid w:val="00ED31DE"/>
    <w:rsid w:val="00ED3207"/>
    <w:rsid w:val="00ED3223"/>
    <w:rsid w:val="00ED3252"/>
    <w:rsid w:val="00ED32BC"/>
    <w:rsid w:val="00ED3371"/>
    <w:rsid w:val="00ED337E"/>
    <w:rsid w:val="00ED348E"/>
    <w:rsid w:val="00ED3494"/>
    <w:rsid w:val="00ED34C1"/>
    <w:rsid w:val="00ED3694"/>
    <w:rsid w:val="00ED36C6"/>
    <w:rsid w:val="00ED391E"/>
    <w:rsid w:val="00ED3920"/>
    <w:rsid w:val="00ED3A07"/>
    <w:rsid w:val="00ED3C34"/>
    <w:rsid w:val="00ED3C48"/>
    <w:rsid w:val="00ED3C68"/>
    <w:rsid w:val="00ED3C75"/>
    <w:rsid w:val="00ED3C94"/>
    <w:rsid w:val="00ED3CC1"/>
    <w:rsid w:val="00ED3DBD"/>
    <w:rsid w:val="00ED3DF0"/>
    <w:rsid w:val="00ED3F78"/>
    <w:rsid w:val="00ED3F7C"/>
    <w:rsid w:val="00ED3F8C"/>
    <w:rsid w:val="00ED4117"/>
    <w:rsid w:val="00ED431A"/>
    <w:rsid w:val="00ED432F"/>
    <w:rsid w:val="00ED4348"/>
    <w:rsid w:val="00ED453B"/>
    <w:rsid w:val="00ED45D2"/>
    <w:rsid w:val="00ED45EA"/>
    <w:rsid w:val="00ED46A4"/>
    <w:rsid w:val="00ED4754"/>
    <w:rsid w:val="00ED4820"/>
    <w:rsid w:val="00ED497B"/>
    <w:rsid w:val="00ED4A07"/>
    <w:rsid w:val="00ED4A54"/>
    <w:rsid w:val="00ED4B8F"/>
    <w:rsid w:val="00ED4D24"/>
    <w:rsid w:val="00ED4EC5"/>
    <w:rsid w:val="00ED4F80"/>
    <w:rsid w:val="00ED5055"/>
    <w:rsid w:val="00ED50BC"/>
    <w:rsid w:val="00ED50BE"/>
    <w:rsid w:val="00ED5116"/>
    <w:rsid w:val="00ED52FB"/>
    <w:rsid w:val="00ED5440"/>
    <w:rsid w:val="00ED55E4"/>
    <w:rsid w:val="00ED565A"/>
    <w:rsid w:val="00ED5A03"/>
    <w:rsid w:val="00ED5A56"/>
    <w:rsid w:val="00ED5A62"/>
    <w:rsid w:val="00ED5AF9"/>
    <w:rsid w:val="00ED5B53"/>
    <w:rsid w:val="00ED5B99"/>
    <w:rsid w:val="00ED5C97"/>
    <w:rsid w:val="00ED5D72"/>
    <w:rsid w:val="00ED5EB7"/>
    <w:rsid w:val="00ED5F15"/>
    <w:rsid w:val="00ED5F5D"/>
    <w:rsid w:val="00ED5F7D"/>
    <w:rsid w:val="00ED5F84"/>
    <w:rsid w:val="00ED6003"/>
    <w:rsid w:val="00ED6071"/>
    <w:rsid w:val="00ED6082"/>
    <w:rsid w:val="00ED60B3"/>
    <w:rsid w:val="00ED60C3"/>
    <w:rsid w:val="00ED6135"/>
    <w:rsid w:val="00ED62F5"/>
    <w:rsid w:val="00ED637C"/>
    <w:rsid w:val="00ED652D"/>
    <w:rsid w:val="00ED65AD"/>
    <w:rsid w:val="00ED65BF"/>
    <w:rsid w:val="00ED65EA"/>
    <w:rsid w:val="00ED6677"/>
    <w:rsid w:val="00ED677B"/>
    <w:rsid w:val="00ED69C1"/>
    <w:rsid w:val="00ED69DD"/>
    <w:rsid w:val="00ED6A32"/>
    <w:rsid w:val="00ED6B2F"/>
    <w:rsid w:val="00ED6BA9"/>
    <w:rsid w:val="00ED6E92"/>
    <w:rsid w:val="00ED6F20"/>
    <w:rsid w:val="00ED6FA5"/>
    <w:rsid w:val="00ED7069"/>
    <w:rsid w:val="00ED7178"/>
    <w:rsid w:val="00ED71E1"/>
    <w:rsid w:val="00ED7204"/>
    <w:rsid w:val="00ED7247"/>
    <w:rsid w:val="00ED7275"/>
    <w:rsid w:val="00ED7384"/>
    <w:rsid w:val="00ED7422"/>
    <w:rsid w:val="00ED7488"/>
    <w:rsid w:val="00ED75BB"/>
    <w:rsid w:val="00ED7603"/>
    <w:rsid w:val="00ED760A"/>
    <w:rsid w:val="00ED778B"/>
    <w:rsid w:val="00ED7829"/>
    <w:rsid w:val="00ED794F"/>
    <w:rsid w:val="00ED796C"/>
    <w:rsid w:val="00ED7C88"/>
    <w:rsid w:val="00ED7D7B"/>
    <w:rsid w:val="00ED7DFE"/>
    <w:rsid w:val="00ED7E11"/>
    <w:rsid w:val="00ED7ECF"/>
    <w:rsid w:val="00ED7F2B"/>
    <w:rsid w:val="00ED7F80"/>
    <w:rsid w:val="00ED96F3"/>
    <w:rsid w:val="00EE0008"/>
    <w:rsid w:val="00EE0045"/>
    <w:rsid w:val="00EE0078"/>
    <w:rsid w:val="00EE01D7"/>
    <w:rsid w:val="00EE02A2"/>
    <w:rsid w:val="00EE02D7"/>
    <w:rsid w:val="00EE04A3"/>
    <w:rsid w:val="00EE057D"/>
    <w:rsid w:val="00EE058D"/>
    <w:rsid w:val="00EE076D"/>
    <w:rsid w:val="00EE0871"/>
    <w:rsid w:val="00EE0B70"/>
    <w:rsid w:val="00EE0B77"/>
    <w:rsid w:val="00EE0CCD"/>
    <w:rsid w:val="00EE0D09"/>
    <w:rsid w:val="00EE0DE8"/>
    <w:rsid w:val="00EE0EE2"/>
    <w:rsid w:val="00EE1003"/>
    <w:rsid w:val="00EE1021"/>
    <w:rsid w:val="00EE1155"/>
    <w:rsid w:val="00EE1171"/>
    <w:rsid w:val="00EE12A2"/>
    <w:rsid w:val="00EE12E0"/>
    <w:rsid w:val="00EE1325"/>
    <w:rsid w:val="00EE1328"/>
    <w:rsid w:val="00EE1352"/>
    <w:rsid w:val="00EE1365"/>
    <w:rsid w:val="00EE1465"/>
    <w:rsid w:val="00EE14D0"/>
    <w:rsid w:val="00EE14E3"/>
    <w:rsid w:val="00EE15F6"/>
    <w:rsid w:val="00EE18CF"/>
    <w:rsid w:val="00EE192A"/>
    <w:rsid w:val="00EE19D4"/>
    <w:rsid w:val="00EE1A3E"/>
    <w:rsid w:val="00EE1A6A"/>
    <w:rsid w:val="00EE1AEE"/>
    <w:rsid w:val="00EE1B49"/>
    <w:rsid w:val="00EE1B77"/>
    <w:rsid w:val="00EE1C5F"/>
    <w:rsid w:val="00EE1D61"/>
    <w:rsid w:val="00EE1D89"/>
    <w:rsid w:val="00EE1DE6"/>
    <w:rsid w:val="00EE1EC2"/>
    <w:rsid w:val="00EE1F77"/>
    <w:rsid w:val="00EE1FD9"/>
    <w:rsid w:val="00EE203A"/>
    <w:rsid w:val="00EE2083"/>
    <w:rsid w:val="00EE2096"/>
    <w:rsid w:val="00EE219A"/>
    <w:rsid w:val="00EE21D0"/>
    <w:rsid w:val="00EE2212"/>
    <w:rsid w:val="00EE22F4"/>
    <w:rsid w:val="00EE23FC"/>
    <w:rsid w:val="00EE2405"/>
    <w:rsid w:val="00EE240F"/>
    <w:rsid w:val="00EE24EC"/>
    <w:rsid w:val="00EE2503"/>
    <w:rsid w:val="00EE251D"/>
    <w:rsid w:val="00EE252A"/>
    <w:rsid w:val="00EE25E6"/>
    <w:rsid w:val="00EE276D"/>
    <w:rsid w:val="00EE287E"/>
    <w:rsid w:val="00EE289D"/>
    <w:rsid w:val="00EE2912"/>
    <w:rsid w:val="00EE2936"/>
    <w:rsid w:val="00EE2940"/>
    <w:rsid w:val="00EE295B"/>
    <w:rsid w:val="00EE2B6A"/>
    <w:rsid w:val="00EE2C3D"/>
    <w:rsid w:val="00EE2C84"/>
    <w:rsid w:val="00EE2D2A"/>
    <w:rsid w:val="00EE2D82"/>
    <w:rsid w:val="00EE2D95"/>
    <w:rsid w:val="00EE2DE9"/>
    <w:rsid w:val="00EE2E56"/>
    <w:rsid w:val="00EE2E90"/>
    <w:rsid w:val="00EE2EA1"/>
    <w:rsid w:val="00EE2ED2"/>
    <w:rsid w:val="00EE3013"/>
    <w:rsid w:val="00EE321A"/>
    <w:rsid w:val="00EE323F"/>
    <w:rsid w:val="00EE3310"/>
    <w:rsid w:val="00EE331A"/>
    <w:rsid w:val="00EE3388"/>
    <w:rsid w:val="00EE339A"/>
    <w:rsid w:val="00EE340B"/>
    <w:rsid w:val="00EE346A"/>
    <w:rsid w:val="00EE3539"/>
    <w:rsid w:val="00EE353F"/>
    <w:rsid w:val="00EE3551"/>
    <w:rsid w:val="00EE35FA"/>
    <w:rsid w:val="00EE35FC"/>
    <w:rsid w:val="00EE3A10"/>
    <w:rsid w:val="00EE3A22"/>
    <w:rsid w:val="00EE3A27"/>
    <w:rsid w:val="00EE3B7E"/>
    <w:rsid w:val="00EE3C0F"/>
    <w:rsid w:val="00EE3C4B"/>
    <w:rsid w:val="00EE3D34"/>
    <w:rsid w:val="00EE3E2A"/>
    <w:rsid w:val="00EE3E35"/>
    <w:rsid w:val="00EE3EB5"/>
    <w:rsid w:val="00EE3EC7"/>
    <w:rsid w:val="00EE3EEA"/>
    <w:rsid w:val="00EE3FE6"/>
    <w:rsid w:val="00EE40CB"/>
    <w:rsid w:val="00EE4122"/>
    <w:rsid w:val="00EE41CB"/>
    <w:rsid w:val="00EE41E5"/>
    <w:rsid w:val="00EE421B"/>
    <w:rsid w:val="00EE425C"/>
    <w:rsid w:val="00EE426C"/>
    <w:rsid w:val="00EE429E"/>
    <w:rsid w:val="00EE441D"/>
    <w:rsid w:val="00EE4502"/>
    <w:rsid w:val="00EE45BC"/>
    <w:rsid w:val="00EE45C6"/>
    <w:rsid w:val="00EE468D"/>
    <w:rsid w:val="00EE46C1"/>
    <w:rsid w:val="00EE4725"/>
    <w:rsid w:val="00EE4752"/>
    <w:rsid w:val="00EE4762"/>
    <w:rsid w:val="00EE4786"/>
    <w:rsid w:val="00EE47E7"/>
    <w:rsid w:val="00EE4847"/>
    <w:rsid w:val="00EE48FB"/>
    <w:rsid w:val="00EE49EA"/>
    <w:rsid w:val="00EE4B7D"/>
    <w:rsid w:val="00EE4BC7"/>
    <w:rsid w:val="00EE4BD8"/>
    <w:rsid w:val="00EE4BF3"/>
    <w:rsid w:val="00EE4C1E"/>
    <w:rsid w:val="00EE4C52"/>
    <w:rsid w:val="00EE4C79"/>
    <w:rsid w:val="00EE4DA3"/>
    <w:rsid w:val="00EE4DB2"/>
    <w:rsid w:val="00EE4E48"/>
    <w:rsid w:val="00EE4EB9"/>
    <w:rsid w:val="00EE4EE2"/>
    <w:rsid w:val="00EE4FD0"/>
    <w:rsid w:val="00EE4FF9"/>
    <w:rsid w:val="00EE5031"/>
    <w:rsid w:val="00EE5115"/>
    <w:rsid w:val="00EE51A9"/>
    <w:rsid w:val="00EE51B9"/>
    <w:rsid w:val="00EE520E"/>
    <w:rsid w:val="00EE5242"/>
    <w:rsid w:val="00EE52A3"/>
    <w:rsid w:val="00EE5336"/>
    <w:rsid w:val="00EE53CA"/>
    <w:rsid w:val="00EE5482"/>
    <w:rsid w:val="00EE551E"/>
    <w:rsid w:val="00EE55B3"/>
    <w:rsid w:val="00EE564A"/>
    <w:rsid w:val="00EE5676"/>
    <w:rsid w:val="00EE56A8"/>
    <w:rsid w:val="00EE5722"/>
    <w:rsid w:val="00EE57BF"/>
    <w:rsid w:val="00EE57D9"/>
    <w:rsid w:val="00EE582B"/>
    <w:rsid w:val="00EE589B"/>
    <w:rsid w:val="00EE5963"/>
    <w:rsid w:val="00EE5B8B"/>
    <w:rsid w:val="00EE5BC6"/>
    <w:rsid w:val="00EE5C22"/>
    <w:rsid w:val="00EE5C36"/>
    <w:rsid w:val="00EE5D2A"/>
    <w:rsid w:val="00EE5D74"/>
    <w:rsid w:val="00EE5D75"/>
    <w:rsid w:val="00EE5F98"/>
    <w:rsid w:val="00EE5FA8"/>
    <w:rsid w:val="00EE6022"/>
    <w:rsid w:val="00EE6042"/>
    <w:rsid w:val="00EE60B7"/>
    <w:rsid w:val="00EE61B0"/>
    <w:rsid w:val="00EE62FD"/>
    <w:rsid w:val="00EE634F"/>
    <w:rsid w:val="00EE63A2"/>
    <w:rsid w:val="00EE649E"/>
    <w:rsid w:val="00EE64C5"/>
    <w:rsid w:val="00EE65D5"/>
    <w:rsid w:val="00EE65E8"/>
    <w:rsid w:val="00EE698A"/>
    <w:rsid w:val="00EE6996"/>
    <w:rsid w:val="00EE69D2"/>
    <w:rsid w:val="00EE6A25"/>
    <w:rsid w:val="00EE6AB6"/>
    <w:rsid w:val="00EE6B0D"/>
    <w:rsid w:val="00EE6B5E"/>
    <w:rsid w:val="00EE6BE0"/>
    <w:rsid w:val="00EE6E1C"/>
    <w:rsid w:val="00EE6E4E"/>
    <w:rsid w:val="00EE6E7A"/>
    <w:rsid w:val="00EE6E9A"/>
    <w:rsid w:val="00EE6F16"/>
    <w:rsid w:val="00EE6FE1"/>
    <w:rsid w:val="00EE6FE5"/>
    <w:rsid w:val="00EE7044"/>
    <w:rsid w:val="00EE7073"/>
    <w:rsid w:val="00EE72A1"/>
    <w:rsid w:val="00EE7318"/>
    <w:rsid w:val="00EE73E2"/>
    <w:rsid w:val="00EE7485"/>
    <w:rsid w:val="00EE74A4"/>
    <w:rsid w:val="00EE75C5"/>
    <w:rsid w:val="00EE7783"/>
    <w:rsid w:val="00EE7800"/>
    <w:rsid w:val="00EE7A91"/>
    <w:rsid w:val="00EE7AEE"/>
    <w:rsid w:val="00EE7B84"/>
    <w:rsid w:val="00EE7C25"/>
    <w:rsid w:val="00EE7D0E"/>
    <w:rsid w:val="00EE7D4F"/>
    <w:rsid w:val="00EF012B"/>
    <w:rsid w:val="00EF01F9"/>
    <w:rsid w:val="00EF0367"/>
    <w:rsid w:val="00EF03D8"/>
    <w:rsid w:val="00EF040C"/>
    <w:rsid w:val="00EF0431"/>
    <w:rsid w:val="00EF0551"/>
    <w:rsid w:val="00EF070B"/>
    <w:rsid w:val="00EF0720"/>
    <w:rsid w:val="00EF0727"/>
    <w:rsid w:val="00EF0734"/>
    <w:rsid w:val="00EF07BA"/>
    <w:rsid w:val="00EF07F4"/>
    <w:rsid w:val="00EF0855"/>
    <w:rsid w:val="00EF0858"/>
    <w:rsid w:val="00EF0A5D"/>
    <w:rsid w:val="00EF0AD3"/>
    <w:rsid w:val="00EF0ADE"/>
    <w:rsid w:val="00EF0AE2"/>
    <w:rsid w:val="00EF0AEB"/>
    <w:rsid w:val="00EF0C68"/>
    <w:rsid w:val="00EF0CF7"/>
    <w:rsid w:val="00EF0DCD"/>
    <w:rsid w:val="00EF0E25"/>
    <w:rsid w:val="00EF0E27"/>
    <w:rsid w:val="00EF0E79"/>
    <w:rsid w:val="00EF0F51"/>
    <w:rsid w:val="00EF0FE2"/>
    <w:rsid w:val="00EF101F"/>
    <w:rsid w:val="00EF1205"/>
    <w:rsid w:val="00EF122E"/>
    <w:rsid w:val="00EF1266"/>
    <w:rsid w:val="00EF12F4"/>
    <w:rsid w:val="00EF1416"/>
    <w:rsid w:val="00EF151B"/>
    <w:rsid w:val="00EF1557"/>
    <w:rsid w:val="00EF1609"/>
    <w:rsid w:val="00EF19CC"/>
    <w:rsid w:val="00EF19DB"/>
    <w:rsid w:val="00EF1A19"/>
    <w:rsid w:val="00EF1C5C"/>
    <w:rsid w:val="00EF1C61"/>
    <w:rsid w:val="00EF1CE6"/>
    <w:rsid w:val="00EF1CEA"/>
    <w:rsid w:val="00EF1D22"/>
    <w:rsid w:val="00EF1E0C"/>
    <w:rsid w:val="00EF1E75"/>
    <w:rsid w:val="00EF1F52"/>
    <w:rsid w:val="00EF1F7C"/>
    <w:rsid w:val="00EF2075"/>
    <w:rsid w:val="00EF209A"/>
    <w:rsid w:val="00EF2222"/>
    <w:rsid w:val="00EF2271"/>
    <w:rsid w:val="00EF243A"/>
    <w:rsid w:val="00EF2607"/>
    <w:rsid w:val="00EF2775"/>
    <w:rsid w:val="00EF27F9"/>
    <w:rsid w:val="00EF29B3"/>
    <w:rsid w:val="00EF29E7"/>
    <w:rsid w:val="00EF2AA8"/>
    <w:rsid w:val="00EF2B00"/>
    <w:rsid w:val="00EF2C01"/>
    <w:rsid w:val="00EF2C84"/>
    <w:rsid w:val="00EF2CC7"/>
    <w:rsid w:val="00EF2D9D"/>
    <w:rsid w:val="00EF2E0B"/>
    <w:rsid w:val="00EF2E84"/>
    <w:rsid w:val="00EF2F6B"/>
    <w:rsid w:val="00EF3066"/>
    <w:rsid w:val="00EF30AC"/>
    <w:rsid w:val="00EF3175"/>
    <w:rsid w:val="00EF31DA"/>
    <w:rsid w:val="00EF3284"/>
    <w:rsid w:val="00EF3453"/>
    <w:rsid w:val="00EF347E"/>
    <w:rsid w:val="00EF355A"/>
    <w:rsid w:val="00EF3562"/>
    <w:rsid w:val="00EF3587"/>
    <w:rsid w:val="00EF35B1"/>
    <w:rsid w:val="00EF35E0"/>
    <w:rsid w:val="00EF35F0"/>
    <w:rsid w:val="00EF3612"/>
    <w:rsid w:val="00EF3650"/>
    <w:rsid w:val="00EF3674"/>
    <w:rsid w:val="00EF3685"/>
    <w:rsid w:val="00EF3777"/>
    <w:rsid w:val="00EF3861"/>
    <w:rsid w:val="00EF38DE"/>
    <w:rsid w:val="00EF3901"/>
    <w:rsid w:val="00EF3943"/>
    <w:rsid w:val="00EF3AB2"/>
    <w:rsid w:val="00EF3AD5"/>
    <w:rsid w:val="00EF3E75"/>
    <w:rsid w:val="00EF3EAF"/>
    <w:rsid w:val="00EF3FCD"/>
    <w:rsid w:val="00EF4087"/>
    <w:rsid w:val="00EF40E9"/>
    <w:rsid w:val="00EF4165"/>
    <w:rsid w:val="00EF421E"/>
    <w:rsid w:val="00EF4299"/>
    <w:rsid w:val="00EF42EB"/>
    <w:rsid w:val="00EF4367"/>
    <w:rsid w:val="00EF4447"/>
    <w:rsid w:val="00EF45A5"/>
    <w:rsid w:val="00EF45CC"/>
    <w:rsid w:val="00EF45DC"/>
    <w:rsid w:val="00EF486A"/>
    <w:rsid w:val="00EF4943"/>
    <w:rsid w:val="00EF49D3"/>
    <w:rsid w:val="00EF4B7D"/>
    <w:rsid w:val="00EF4BA5"/>
    <w:rsid w:val="00EF4D20"/>
    <w:rsid w:val="00EF4FD3"/>
    <w:rsid w:val="00EF4FD7"/>
    <w:rsid w:val="00EF508C"/>
    <w:rsid w:val="00EF50CE"/>
    <w:rsid w:val="00EF513A"/>
    <w:rsid w:val="00EF5157"/>
    <w:rsid w:val="00EF517A"/>
    <w:rsid w:val="00EF51B8"/>
    <w:rsid w:val="00EF5200"/>
    <w:rsid w:val="00EF532F"/>
    <w:rsid w:val="00EF536E"/>
    <w:rsid w:val="00EF5371"/>
    <w:rsid w:val="00EF5434"/>
    <w:rsid w:val="00EF544E"/>
    <w:rsid w:val="00EF5497"/>
    <w:rsid w:val="00EF55CC"/>
    <w:rsid w:val="00EF56C0"/>
    <w:rsid w:val="00EF56F0"/>
    <w:rsid w:val="00EF5712"/>
    <w:rsid w:val="00EF58F3"/>
    <w:rsid w:val="00EF5BD0"/>
    <w:rsid w:val="00EF5BD1"/>
    <w:rsid w:val="00EF5C21"/>
    <w:rsid w:val="00EF5C69"/>
    <w:rsid w:val="00EF5C79"/>
    <w:rsid w:val="00EF5E05"/>
    <w:rsid w:val="00EF5F97"/>
    <w:rsid w:val="00EF6041"/>
    <w:rsid w:val="00EF6191"/>
    <w:rsid w:val="00EF644D"/>
    <w:rsid w:val="00EF6458"/>
    <w:rsid w:val="00EF6469"/>
    <w:rsid w:val="00EF64B6"/>
    <w:rsid w:val="00EF6651"/>
    <w:rsid w:val="00EF667D"/>
    <w:rsid w:val="00EF6681"/>
    <w:rsid w:val="00EF6739"/>
    <w:rsid w:val="00EF6743"/>
    <w:rsid w:val="00EF6776"/>
    <w:rsid w:val="00EF6980"/>
    <w:rsid w:val="00EF69D9"/>
    <w:rsid w:val="00EF69EA"/>
    <w:rsid w:val="00EF6F26"/>
    <w:rsid w:val="00EF6F64"/>
    <w:rsid w:val="00EF6F90"/>
    <w:rsid w:val="00EF70D9"/>
    <w:rsid w:val="00EF70FF"/>
    <w:rsid w:val="00EF737C"/>
    <w:rsid w:val="00EF73E4"/>
    <w:rsid w:val="00EF748D"/>
    <w:rsid w:val="00EF7646"/>
    <w:rsid w:val="00EF76D4"/>
    <w:rsid w:val="00EF76FD"/>
    <w:rsid w:val="00EF7729"/>
    <w:rsid w:val="00EF7749"/>
    <w:rsid w:val="00EF7819"/>
    <w:rsid w:val="00EF788F"/>
    <w:rsid w:val="00EF78BD"/>
    <w:rsid w:val="00EF78C2"/>
    <w:rsid w:val="00EF791E"/>
    <w:rsid w:val="00EF7942"/>
    <w:rsid w:val="00EF7A89"/>
    <w:rsid w:val="00EF7B3A"/>
    <w:rsid w:val="00EF7BF7"/>
    <w:rsid w:val="00EF7C02"/>
    <w:rsid w:val="00EF7D0F"/>
    <w:rsid w:val="00EF7DC7"/>
    <w:rsid w:val="00EF7DD7"/>
    <w:rsid w:val="00EF7F97"/>
    <w:rsid w:val="00F000C4"/>
    <w:rsid w:val="00F000C7"/>
    <w:rsid w:val="00F00102"/>
    <w:rsid w:val="00F0015D"/>
    <w:rsid w:val="00F00163"/>
    <w:rsid w:val="00F002FF"/>
    <w:rsid w:val="00F00336"/>
    <w:rsid w:val="00F00338"/>
    <w:rsid w:val="00F003BE"/>
    <w:rsid w:val="00F0041D"/>
    <w:rsid w:val="00F0042A"/>
    <w:rsid w:val="00F004F6"/>
    <w:rsid w:val="00F00750"/>
    <w:rsid w:val="00F007FE"/>
    <w:rsid w:val="00F008AB"/>
    <w:rsid w:val="00F008F0"/>
    <w:rsid w:val="00F009AB"/>
    <w:rsid w:val="00F009E1"/>
    <w:rsid w:val="00F00A54"/>
    <w:rsid w:val="00F00ACC"/>
    <w:rsid w:val="00F00B1A"/>
    <w:rsid w:val="00F00B29"/>
    <w:rsid w:val="00F00BA7"/>
    <w:rsid w:val="00F00C6A"/>
    <w:rsid w:val="00F00C98"/>
    <w:rsid w:val="00F00D09"/>
    <w:rsid w:val="00F00D2E"/>
    <w:rsid w:val="00F00D3C"/>
    <w:rsid w:val="00F00FA8"/>
    <w:rsid w:val="00F0101F"/>
    <w:rsid w:val="00F01039"/>
    <w:rsid w:val="00F0106C"/>
    <w:rsid w:val="00F0115E"/>
    <w:rsid w:val="00F01232"/>
    <w:rsid w:val="00F012FC"/>
    <w:rsid w:val="00F01317"/>
    <w:rsid w:val="00F01429"/>
    <w:rsid w:val="00F01485"/>
    <w:rsid w:val="00F01635"/>
    <w:rsid w:val="00F01649"/>
    <w:rsid w:val="00F01687"/>
    <w:rsid w:val="00F016AB"/>
    <w:rsid w:val="00F016C1"/>
    <w:rsid w:val="00F01762"/>
    <w:rsid w:val="00F017C4"/>
    <w:rsid w:val="00F0182C"/>
    <w:rsid w:val="00F01835"/>
    <w:rsid w:val="00F01959"/>
    <w:rsid w:val="00F01A41"/>
    <w:rsid w:val="00F01ACF"/>
    <w:rsid w:val="00F01B8D"/>
    <w:rsid w:val="00F01CE8"/>
    <w:rsid w:val="00F01DC4"/>
    <w:rsid w:val="00F01E20"/>
    <w:rsid w:val="00F01E7A"/>
    <w:rsid w:val="00F01E8A"/>
    <w:rsid w:val="00F01EBC"/>
    <w:rsid w:val="00F020BE"/>
    <w:rsid w:val="00F02139"/>
    <w:rsid w:val="00F021BC"/>
    <w:rsid w:val="00F02316"/>
    <w:rsid w:val="00F0234C"/>
    <w:rsid w:val="00F025BD"/>
    <w:rsid w:val="00F025C5"/>
    <w:rsid w:val="00F02694"/>
    <w:rsid w:val="00F02A8C"/>
    <w:rsid w:val="00F02ADE"/>
    <w:rsid w:val="00F02B2C"/>
    <w:rsid w:val="00F02C7E"/>
    <w:rsid w:val="00F02C94"/>
    <w:rsid w:val="00F02D6D"/>
    <w:rsid w:val="00F02EE4"/>
    <w:rsid w:val="00F02F3F"/>
    <w:rsid w:val="00F02F9D"/>
    <w:rsid w:val="00F02FAA"/>
    <w:rsid w:val="00F03170"/>
    <w:rsid w:val="00F03221"/>
    <w:rsid w:val="00F03369"/>
    <w:rsid w:val="00F0342A"/>
    <w:rsid w:val="00F0347E"/>
    <w:rsid w:val="00F034EE"/>
    <w:rsid w:val="00F0353D"/>
    <w:rsid w:val="00F036A6"/>
    <w:rsid w:val="00F036EC"/>
    <w:rsid w:val="00F0378B"/>
    <w:rsid w:val="00F03841"/>
    <w:rsid w:val="00F03A99"/>
    <w:rsid w:val="00F03B36"/>
    <w:rsid w:val="00F03B66"/>
    <w:rsid w:val="00F03B8E"/>
    <w:rsid w:val="00F03CBC"/>
    <w:rsid w:val="00F03D1B"/>
    <w:rsid w:val="00F03D6C"/>
    <w:rsid w:val="00F03EBB"/>
    <w:rsid w:val="00F03FD4"/>
    <w:rsid w:val="00F0401A"/>
    <w:rsid w:val="00F04072"/>
    <w:rsid w:val="00F0409F"/>
    <w:rsid w:val="00F040EB"/>
    <w:rsid w:val="00F041F8"/>
    <w:rsid w:val="00F04363"/>
    <w:rsid w:val="00F0453A"/>
    <w:rsid w:val="00F045BD"/>
    <w:rsid w:val="00F0464F"/>
    <w:rsid w:val="00F0487B"/>
    <w:rsid w:val="00F048DC"/>
    <w:rsid w:val="00F0494A"/>
    <w:rsid w:val="00F0495C"/>
    <w:rsid w:val="00F04C8B"/>
    <w:rsid w:val="00F04D2F"/>
    <w:rsid w:val="00F04D38"/>
    <w:rsid w:val="00F04D48"/>
    <w:rsid w:val="00F04D74"/>
    <w:rsid w:val="00F04E30"/>
    <w:rsid w:val="00F04E6C"/>
    <w:rsid w:val="00F04FDD"/>
    <w:rsid w:val="00F05260"/>
    <w:rsid w:val="00F052F0"/>
    <w:rsid w:val="00F053E7"/>
    <w:rsid w:val="00F053F1"/>
    <w:rsid w:val="00F05406"/>
    <w:rsid w:val="00F05414"/>
    <w:rsid w:val="00F055B0"/>
    <w:rsid w:val="00F055C3"/>
    <w:rsid w:val="00F05617"/>
    <w:rsid w:val="00F0565D"/>
    <w:rsid w:val="00F058F3"/>
    <w:rsid w:val="00F05A98"/>
    <w:rsid w:val="00F05C63"/>
    <w:rsid w:val="00F05E02"/>
    <w:rsid w:val="00F05E86"/>
    <w:rsid w:val="00F05F3B"/>
    <w:rsid w:val="00F06018"/>
    <w:rsid w:val="00F06099"/>
    <w:rsid w:val="00F0609D"/>
    <w:rsid w:val="00F06140"/>
    <w:rsid w:val="00F0614F"/>
    <w:rsid w:val="00F06392"/>
    <w:rsid w:val="00F064B2"/>
    <w:rsid w:val="00F06623"/>
    <w:rsid w:val="00F06685"/>
    <w:rsid w:val="00F066B3"/>
    <w:rsid w:val="00F066E8"/>
    <w:rsid w:val="00F06764"/>
    <w:rsid w:val="00F067CD"/>
    <w:rsid w:val="00F068A1"/>
    <w:rsid w:val="00F068DA"/>
    <w:rsid w:val="00F06916"/>
    <w:rsid w:val="00F069B8"/>
    <w:rsid w:val="00F06B7C"/>
    <w:rsid w:val="00F06D5C"/>
    <w:rsid w:val="00F06DF8"/>
    <w:rsid w:val="00F06E6B"/>
    <w:rsid w:val="00F06EC9"/>
    <w:rsid w:val="00F06F6F"/>
    <w:rsid w:val="00F07034"/>
    <w:rsid w:val="00F070E8"/>
    <w:rsid w:val="00F071AE"/>
    <w:rsid w:val="00F0734F"/>
    <w:rsid w:val="00F07351"/>
    <w:rsid w:val="00F0759C"/>
    <w:rsid w:val="00F075A4"/>
    <w:rsid w:val="00F07636"/>
    <w:rsid w:val="00F0765C"/>
    <w:rsid w:val="00F076DF"/>
    <w:rsid w:val="00F07823"/>
    <w:rsid w:val="00F0793A"/>
    <w:rsid w:val="00F07A0C"/>
    <w:rsid w:val="00F07A8C"/>
    <w:rsid w:val="00F07ACC"/>
    <w:rsid w:val="00F07ADB"/>
    <w:rsid w:val="00F07B6C"/>
    <w:rsid w:val="00F07B7B"/>
    <w:rsid w:val="00F07B7E"/>
    <w:rsid w:val="00F07B85"/>
    <w:rsid w:val="00F07BAD"/>
    <w:rsid w:val="00F07C09"/>
    <w:rsid w:val="00F07C5E"/>
    <w:rsid w:val="00F07C7C"/>
    <w:rsid w:val="00F07C85"/>
    <w:rsid w:val="00F07D31"/>
    <w:rsid w:val="00F07D34"/>
    <w:rsid w:val="00F07DB3"/>
    <w:rsid w:val="00F07E37"/>
    <w:rsid w:val="00F07E8A"/>
    <w:rsid w:val="00F07F2A"/>
    <w:rsid w:val="00F07F5D"/>
    <w:rsid w:val="00F1033B"/>
    <w:rsid w:val="00F10361"/>
    <w:rsid w:val="00F103A4"/>
    <w:rsid w:val="00F103B0"/>
    <w:rsid w:val="00F1051E"/>
    <w:rsid w:val="00F10619"/>
    <w:rsid w:val="00F106A3"/>
    <w:rsid w:val="00F1076A"/>
    <w:rsid w:val="00F10A60"/>
    <w:rsid w:val="00F10ABF"/>
    <w:rsid w:val="00F10B1F"/>
    <w:rsid w:val="00F10BAC"/>
    <w:rsid w:val="00F10DE9"/>
    <w:rsid w:val="00F10E8D"/>
    <w:rsid w:val="00F10FE4"/>
    <w:rsid w:val="00F10FF6"/>
    <w:rsid w:val="00F11025"/>
    <w:rsid w:val="00F111CA"/>
    <w:rsid w:val="00F111ED"/>
    <w:rsid w:val="00F11284"/>
    <w:rsid w:val="00F1152C"/>
    <w:rsid w:val="00F1157E"/>
    <w:rsid w:val="00F1162E"/>
    <w:rsid w:val="00F1170D"/>
    <w:rsid w:val="00F1178E"/>
    <w:rsid w:val="00F117D4"/>
    <w:rsid w:val="00F118D0"/>
    <w:rsid w:val="00F11945"/>
    <w:rsid w:val="00F11A1A"/>
    <w:rsid w:val="00F11A1D"/>
    <w:rsid w:val="00F11A83"/>
    <w:rsid w:val="00F11B15"/>
    <w:rsid w:val="00F11B96"/>
    <w:rsid w:val="00F11BB0"/>
    <w:rsid w:val="00F11C20"/>
    <w:rsid w:val="00F11D4C"/>
    <w:rsid w:val="00F11DC0"/>
    <w:rsid w:val="00F1225F"/>
    <w:rsid w:val="00F123A5"/>
    <w:rsid w:val="00F1243B"/>
    <w:rsid w:val="00F1247B"/>
    <w:rsid w:val="00F12480"/>
    <w:rsid w:val="00F12518"/>
    <w:rsid w:val="00F12549"/>
    <w:rsid w:val="00F12681"/>
    <w:rsid w:val="00F12763"/>
    <w:rsid w:val="00F12859"/>
    <w:rsid w:val="00F128FF"/>
    <w:rsid w:val="00F12A2E"/>
    <w:rsid w:val="00F12A7E"/>
    <w:rsid w:val="00F12B83"/>
    <w:rsid w:val="00F12C5D"/>
    <w:rsid w:val="00F12CEE"/>
    <w:rsid w:val="00F12D03"/>
    <w:rsid w:val="00F12D3D"/>
    <w:rsid w:val="00F12D8A"/>
    <w:rsid w:val="00F12EEB"/>
    <w:rsid w:val="00F13119"/>
    <w:rsid w:val="00F131DA"/>
    <w:rsid w:val="00F131F8"/>
    <w:rsid w:val="00F132B4"/>
    <w:rsid w:val="00F133A5"/>
    <w:rsid w:val="00F1366E"/>
    <w:rsid w:val="00F136EE"/>
    <w:rsid w:val="00F13709"/>
    <w:rsid w:val="00F1378D"/>
    <w:rsid w:val="00F13790"/>
    <w:rsid w:val="00F137AA"/>
    <w:rsid w:val="00F13828"/>
    <w:rsid w:val="00F13918"/>
    <w:rsid w:val="00F1398B"/>
    <w:rsid w:val="00F139EA"/>
    <w:rsid w:val="00F13A91"/>
    <w:rsid w:val="00F13C5E"/>
    <w:rsid w:val="00F13C94"/>
    <w:rsid w:val="00F13D0D"/>
    <w:rsid w:val="00F13F80"/>
    <w:rsid w:val="00F14068"/>
    <w:rsid w:val="00F140F7"/>
    <w:rsid w:val="00F141C1"/>
    <w:rsid w:val="00F141D2"/>
    <w:rsid w:val="00F14215"/>
    <w:rsid w:val="00F142EA"/>
    <w:rsid w:val="00F1438A"/>
    <w:rsid w:val="00F143AC"/>
    <w:rsid w:val="00F143E0"/>
    <w:rsid w:val="00F145F7"/>
    <w:rsid w:val="00F14611"/>
    <w:rsid w:val="00F14820"/>
    <w:rsid w:val="00F1483E"/>
    <w:rsid w:val="00F14889"/>
    <w:rsid w:val="00F1495D"/>
    <w:rsid w:val="00F149D7"/>
    <w:rsid w:val="00F14A8D"/>
    <w:rsid w:val="00F14AB3"/>
    <w:rsid w:val="00F14B83"/>
    <w:rsid w:val="00F14BE8"/>
    <w:rsid w:val="00F14C53"/>
    <w:rsid w:val="00F14CCA"/>
    <w:rsid w:val="00F14CE7"/>
    <w:rsid w:val="00F14D62"/>
    <w:rsid w:val="00F14E6F"/>
    <w:rsid w:val="00F14F7F"/>
    <w:rsid w:val="00F14F80"/>
    <w:rsid w:val="00F15327"/>
    <w:rsid w:val="00F15476"/>
    <w:rsid w:val="00F15484"/>
    <w:rsid w:val="00F1551E"/>
    <w:rsid w:val="00F15523"/>
    <w:rsid w:val="00F1558C"/>
    <w:rsid w:val="00F155A9"/>
    <w:rsid w:val="00F15645"/>
    <w:rsid w:val="00F15980"/>
    <w:rsid w:val="00F1598C"/>
    <w:rsid w:val="00F159E3"/>
    <w:rsid w:val="00F15A68"/>
    <w:rsid w:val="00F15B26"/>
    <w:rsid w:val="00F15BAB"/>
    <w:rsid w:val="00F15C50"/>
    <w:rsid w:val="00F15C7F"/>
    <w:rsid w:val="00F15CD5"/>
    <w:rsid w:val="00F15DD0"/>
    <w:rsid w:val="00F15E27"/>
    <w:rsid w:val="00F15E48"/>
    <w:rsid w:val="00F15E84"/>
    <w:rsid w:val="00F15FCB"/>
    <w:rsid w:val="00F16230"/>
    <w:rsid w:val="00F163E8"/>
    <w:rsid w:val="00F16624"/>
    <w:rsid w:val="00F16641"/>
    <w:rsid w:val="00F166C6"/>
    <w:rsid w:val="00F166D3"/>
    <w:rsid w:val="00F16806"/>
    <w:rsid w:val="00F16827"/>
    <w:rsid w:val="00F16864"/>
    <w:rsid w:val="00F16B58"/>
    <w:rsid w:val="00F16B65"/>
    <w:rsid w:val="00F16B6E"/>
    <w:rsid w:val="00F16BB9"/>
    <w:rsid w:val="00F16C6C"/>
    <w:rsid w:val="00F16CE4"/>
    <w:rsid w:val="00F16D20"/>
    <w:rsid w:val="00F16D24"/>
    <w:rsid w:val="00F16DB9"/>
    <w:rsid w:val="00F16DD2"/>
    <w:rsid w:val="00F16E4A"/>
    <w:rsid w:val="00F16E79"/>
    <w:rsid w:val="00F16E87"/>
    <w:rsid w:val="00F16F79"/>
    <w:rsid w:val="00F16FD9"/>
    <w:rsid w:val="00F17188"/>
    <w:rsid w:val="00F171A1"/>
    <w:rsid w:val="00F171FB"/>
    <w:rsid w:val="00F17210"/>
    <w:rsid w:val="00F174D1"/>
    <w:rsid w:val="00F1755B"/>
    <w:rsid w:val="00F175BF"/>
    <w:rsid w:val="00F17643"/>
    <w:rsid w:val="00F17875"/>
    <w:rsid w:val="00F1788B"/>
    <w:rsid w:val="00F17A54"/>
    <w:rsid w:val="00F17A6D"/>
    <w:rsid w:val="00F17B3F"/>
    <w:rsid w:val="00F17B93"/>
    <w:rsid w:val="00F17BCE"/>
    <w:rsid w:val="00F17C58"/>
    <w:rsid w:val="00F17CFB"/>
    <w:rsid w:val="00F17EFA"/>
    <w:rsid w:val="00F20050"/>
    <w:rsid w:val="00F200CC"/>
    <w:rsid w:val="00F201F7"/>
    <w:rsid w:val="00F2028F"/>
    <w:rsid w:val="00F202CA"/>
    <w:rsid w:val="00F20360"/>
    <w:rsid w:val="00F20388"/>
    <w:rsid w:val="00F203B4"/>
    <w:rsid w:val="00F203FB"/>
    <w:rsid w:val="00F204CA"/>
    <w:rsid w:val="00F204F8"/>
    <w:rsid w:val="00F2056C"/>
    <w:rsid w:val="00F205AD"/>
    <w:rsid w:val="00F20618"/>
    <w:rsid w:val="00F20625"/>
    <w:rsid w:val="00F20687"/>
    <w:rsid w:val="00F20815"/>
    <w:rsid w:val="00F209B4"/>
    <w:rsid w:val="00F20A81"/>
    <w:rsid w:val="00F20B28"/>
    <w:rsid w:val="00F20CA3"/>
    <w:rsid w:val="00F20D32"/>
    <w:rsid w:val="00F20DEB"/>
    <w:rsid w:val="00F20F03"/>
    <w:rsid w:val="00F20F10"/>
    <w:rsid w:val="00F20F44"/>
    <w:rsid w:val="00F21014"/>
    <w:rsid w:val="00F2107A"/>
    <w:rsid w:val="00F210A8"/>
    <w:rsid w:val="00F210D3"/>
    <w:rsid w:val="00F211B7"/>
    <w:rsid w:val="00F21212"/>
    <w:rsid w:val="00F212C7"/>
    <w:rsid w:val="00F214DE"/>
    <w:rsid w:val="00F21544"/>
    <w:rsid w:val="00F215F1"/>
    <w:rsid w:val="00F2162D"/>
    <w:rsid w:val="00F217DD"/>
    <w:rsid w:val="00F217FD"/>
    <w:rsid w:val="00F21834"/>
    <w:rsid w:val="00F218D6"/>
    <w:rsid w:val="00F21A08"/>
    <w:rsid w:val="00F21A09"/>
    <w:rsid w:val="00F21CC0"/>
    <w:rsid w:val="00F21D57"/>
    <w:rsid w:val="00F21DC1"/>
    <w:rsid w:val="00F21EA8"/>
    <w:rsid w:val="00F21FC0"/>
    <w:rsid w:val="00F221BD"/>
    <w:rsid w:val="00F22269"/>
    <w:rsid w:val="00F22289"/>
    <w:rsid w:val="00F2236E"/>
    <w:rsid w:val="00F22404"/>
    <w:rsid w:val="00F2245B"/>
    <w:rsid w:val="00F22675"/>
    <w:rsid w:val="00F226CA"/>
    <w:rsid w:val="00F2286E"/>
    <w:rsid w:val="00F22885"/>
    <w:rsid w:val="00F22A8D"/>
    <w:rsid w:val="00F22C1A"/>
    <w:rsid w:val="00F22C94"/>
    <w:rsid w:val="00F22CCF"/>
    <w:rsid w:val="00F22D33"/>
    <w:rsid w:val="00F22D45"/>
    <w:rsid w:val="00F22F18"/>
    <w:rsid w:val="00F22FEF"/>
    <w:rsid w:val="00F23057"/>
    <w:rsid w:val="00F231BD"/>
    <w:rsid w:val="00F2350C"/>
    <w:rsid w:val="00F235D7"/>
    <w:rsid w:val="00F235EF"/>
    <w:rsid w:val="00F23671"/>
    <w:rsid w:val="00F236DB"/>
    <w:rsid w:val="00F23770"/>
    <w:rsid w:val="00F237A9"/>
    <w:rsid w:val="00F237CE"/>
    <w:rsid w:val="00F239E6"/>
    <w:rsid w:val="00F23BE1"/>
    <w:rsid w:val="00F23C0C"/>
    <w:rsid w:val="00F23C22"/>
    <w:rsid w:val="00F23C4D"/>
    <w:rsid w:val="00F23EB3"/>
    <w:rsid w:val="00F2404C"/>
    <w:rsid w:val="00F240CE"/>
    <w:rsid w:val="00F2414B"/>
    <w:rsid w:val="00F241A6"/>
    <w:rsid w:val="00F241C8"/>
    <w:rsid w:val="00F24221"/>
    <w:rsid w:val="00F24401"/>
    <w:rsid w:val="00F24438"/>
    <w:rsid w:val="00F24620"/>
    <w:rsid w:val="00F246A0"/>
    <w:rsid w:val="00F2488C"/>
    <w:rsid w:val="00F24A3E"/>
    <w:rsid w:val="00F24A44"/>
    <w:rsid w:val="00F24A58"/>
    <w:rsid w:val="00F24A8B"/>
    <w:rsid w:val="00F24A8D"/>
    <w:rsid w:val="00F24C48"/>
    <w:rsid w:val="00F24D18"/>
    <w:rsid w:val="00F24DA9"/>
    <w:rsid w:val="00F24E1E"/>
    <w:rsid w:val="00F2510F"/>
    <w:rsid w:val="00F251AD"/>
    <w:rsid w:val="00F25383"/>
    <w:rsid w:val="00F2554A"/>
    <w:rsid w:val="00F2558C"/>
    <w:rsid w:val="00F255DF"/>
    <w:rsid w:val="00F2566D"/>
    <w:rsid w:val="00F256AA"/>
    <w:rsid w:val="00F25725"/>
    <w:rsid w:val="00F25735"/>
    <w:rsid w:val="00F258F7"/>
    <w:rsid w:val="00F2595D"/>
    <w:rsid w:val="00F25BA0"/>
    <w:rsid w:val="00F25C52"/>
    <w:rsid w:val="00F25CC5"/>
    <w:rsid w:val="00F25DBD"/>
    <w:rsid w:val="00F25E5E"/>
    <w:rsid w:val="00F2602C"/>
    <w:rsid w:val="00F26080"/>
    <w:rsid w:val="00F260D4"/>
    <w:rsid w:val="00F26149"/>
    <w:rsid w:val="00F2617C"/>
    <w:rsid w:val="00F261A5"/>
    <w:rsid w:val="00F262D0"/>
    <w:rsid w:val="00F262FC"/>
    <w:rsid w:val="00F2639F"/>
    <w:rsid w:val="00F263BE"/>
    <w:rsid w:val="00F263D0"/>
    <w:rsid w:val="00F26464"/>
    <w:rsid w:val="00F265F5"/>
    <w:rsid w:val="00F2661C"/>
    <w:rsid w:val="00F26880"/>
    <w:rsid w:val="00F2688C"/>
    <w:rsid w:val="00F268C7"/>
    <w:rsid w:val="00F26937"/>
    <w:rsid w:val="00F26983"/>
    <w:rsid w:val="00F26A32"/>
    <w:rsid w:val="00F26BBF"/>
    <w:rsid w:val="00F26C02"/>
    <w:rsid w:val="00F26C40"/>
    <w:rsid w:val="00F26C9B"/>
    <w:rsid w:val="00F26DA0"/>
    <w:rsid w:val="00F26E0E"/>
    <w:rsid w:val="00F26E12"/>
    <w:rsid w:val="00F26E1E"/>
    <w:rsid w:val="00F26E70"/>
    <w:rsid w:val="00F2701E"/>
    <w:rsid w:val="00F2705E"/>
    <w:rsid w:val="00F2712F"/>
    <w:rsid w:val="00F271E4"/>
    <w:rsid w:val="00F27278"/>
    <w:rsid w:val="00F272A9"/>
    <w:rsid w:val="00F273B1"/>
    <w:rsid w:val="00F273B9"/>
    <w:rsid w:val="00F274C4"/>
    <w:rsid w:val="00F27519"/>
    <w:rsid w:val="00F27523"/>
    <w:rsid w:val="00F275DC"/>
    <w:rsid w:val="00F27600"/>
    <w:rsid w:val="00F27609"/>
    <w:rsid w:val="00F2770A"/>
    <w:rsid w:val="00F27901"/>
    <w:rsid w:val="00F27991"/>
    <w:rsid w:val="00F27A06"/>
    <w:rsid w:val="00F27A13"/>
    <w:rsid w:val="00F27A45"/>
    <w:rsid w:val="00F27B19"/>
    <w:rsid w:val="00F27B21"/>
    <w:rsid w:val="00F27CA6"/>
    <w:rsid w:val="00F27D4C"/>
    <w:rsid w:val="00F27D7A"/>
    <w:rsid w:val="00F27E62"/>
    <w:rsid w:val="00F27EC8"/>
    <w:rsid w:val="00F27EF3"/>
    <w:rsid w:val="00F27F7A"/>
    <w:rsid w:val="00F30019"/>
    <w:rsid w:val="00F300F9"/>
    <w:rsid w:val="00F3013E"/>
    <w:rsid w:val="00F3014D"/>
    <w:rsid w:val="00F30162"/>
    <w:rsid w:val="00F301C4"/>
    <w:rsid w:val="00F3024C"/>
    <w:rsid w:val="00F3028C"/>
    <w:rsid w:val="00F302F2"/>
    <w:rsid w:val="00F30502"/>
    <w:rsid w:val="00F3061E"/>
    <w:rsid w:val="00F3078B"/>
    <w:rsid w:val="00F308E4"/>
    <w:rsid w:val="00F30B29"/>
    <w:rsid w:val="00F30B3A"/>
    <w:rsid w:val="00F30C27"/>
    <w:rsid w:val="00F30DB2"/>
    <w:rsid w:val="00F30E0C"/>
    <w:rsid w:val="00F30F24"/>
    <w:rsid w:val="00F30F54"/>
    <w:rsid w:val="00F30F79"/>
    <w:rsid w:val="00F30F92"/>
    <w:rsid w:val="00F31020"/>
    <w:rsid w:val="00F31051"/>
    <w:rsid w:val="00F31057"/>
    <w:rsid w:val="00F31189"/>
    <w:rsid w:val="00F311F2"/>
    <w:rsid w:val="00F313C1"/>
    <w:rsid w:val="00F313EB"/>
    <w:rsid w:val="00F314F1"/>
    <w:rsid w:val="00F31593"/>
    <w:rsid w:val="00F315A6"/>
    <w:rsid w:val="00F31670"/>
    <w:rsid w:val="00F316B2"/>
    <w:rsid w:val="00F317A0"/>
    <w:rsid w:val="00F31867"/>
    <w:rsid w:val="00F318B0"/>
    <w:rsid w:val="00F318B8"/>
    <w:rsid w:val="00F31C27"/>
    <w:rsid w:val="00F31C84"/>
    <w:rsid w:val="00F31D34"/>
    <w:rsid w:val="00F31E68"/>
    <w:rsid w:val="00F31FD5"/>
    <w:rsid w:val="00F31FFD"/>
    <w:rsid w:val="00F32097"/>
    <w:rsid w:val="00F320BF"/>
    <w:rsid w:val="00F320CD"/>
    <w:rsid w:val="00F321CB"/>
    <w:rsid w:val="00F321F2"/>
    <w:rsid w:val="00F32230"/>
    <w:rsid w:val="00F322BE"/>
    <w:rsid w:val="00F32327"/>
    <w:rsid w:val="00F3237E"/>
    <w:rsid w:val="00F3238F"/>
    <w:rsid w:val="00F324B4"/>
    <w:rsid w:val="00F32698"/>
    <w:rsid w:val="00F326DC"/>
    <w:rsid w:val="00F32714"/>
    <w:rsid w:val="00F3275D"/>
    <w:rsid w:val="00F3282C"/>
    <w:rsid w:val="00F32838"/>
    <w:rsid w:val="00F32999"/>
    <w:rsid w:val="00F32A53"/>
    <w:rsid w:val="00F32ABF"/>
    <w:rsid w:val="00F32C30"/>
    <w:rsid w:val="00F32E98"/>
    <w:rsid w:val="00F32F09"/>
    <w:rsid w:val="00F32F35"/>
    <w:rsid w:val="00F3307E"/>
    <w:rsid w:val="00F331CC"/>
    <w:rsid w:val="00F332A3"/>
    <w:rsid w:val="00F333C6"/>
    <w:rsid w:val="00F333D1"/>
    <w:rsid w:val="00F33553"/>
    <w:rsid w:val="00F33584"/>
    <w:rsid w:val="00F33592"/>
    <w:rsid w:val="00F337A2"/>
    <w:rsid w:val="00F337AF"/>
    <w:rsid w:val="00F33925"/>
    <w:rsid w:val="00F339D9"/>
    <w:rsid w:val="00F33A21"/>
    <w:rsid w:val="00F33BF8"/>
    <w:rsid w:val="00F33BFF"/>
    <w:rsid w:val="00F33C1B"/>
    <w:rsid w:val="00F33C74"/>
    <w:rsid w:val="00F33CF6"/>
    <w:rsid w:val="00F33DF5"/>
    <w:rsid w:val="00F33EE8"/>
    <w:rsid w:val="00F33EF5"/>
    <w:rsid w:val="00F33F2A"/>
    <w:rsid w:val="00F3406B"/>
    <w:rsid w:val="00F340B1"/>
    <w:rsid w:val="00F341A5"/>
    <w:rsid w:val="00F341D8"/>
    <w:rsid w:val="00F34204"/>
    <w:rsid w:val="00F34336"/>
    <w:rsid w:val="00F343D1"/>
    <w:rsid w:val="00F3441D"/>
    <w:rsid w:val="00F344AB"/>
    <w:rsid w:val="00F344E8"/>
    <w:rsid w:val="00F34525"/>
    <w:rsid w:val="00F3458B"/>
    <w:rsid w:val="00F345FB"/>
    <w:rsid w:val="00F3464D"/>
    <w:rsid w:val="00F346A5"/>
    <w:rsid w:val="00F34721"/>
    <w:rsid w:val="00F34747"/>
    <w:rsid w:val="00F3475B"/>
    <w:rsid w:val="00F347D7"/>
    <w:rsid w:val="00F34803"/>
    <w:rsid w:val="00F34A01"/>
    <w:rsid w:val="00F34A47"/>
    <w:rsid w:val="00F34AE2"/>
    <w:rsid w:val="00F34B02"/>
    <w:rsid w:val="00F34B18"/>
    <w:rsid w:val="00F34B4A"/>
    <w:rsid w:val="00F34C60"/>
    <w:rsid w:val="00F34C7B"/>
    <w:rsid w:val="00F34CD3"/>
    <w:rsid w:val="00F34D63"/>
    <w:rsid w:val="00F34D91"/>
    <w:rsid w:val="00F34DE9"/>
    <w:rsid w:val="00F34EAF"/>
    <w:rsid w:val="00F34EFE"/>
    <w:rsid w:val="00F35046"/>
    <w:rsid w:val="00F350B2"/>
    <w:rsid w:val="00F3514F"/>
    <w:rsid w:val="00F3516E"/>
    <w:rsid w:val="00F352E8"/>
    <w:rsid w:val="00F353E0"/>
    <w:rsid w:val="00F354C5"/>
    <w:rsid w:val="00F354EF"/>
    <w:rsid w:val="00F354FC"/>
    <w:rsid w:val="00F3569A"/>
    <w:rsid w:val="00F35772"/>
    <w:rsid w:val="00F357EE"/>
    <w:rsid w:val="00F358AC"/>
    <w:rsid w:val="00F358C7"/>
    <w:rsid w:val="00F3593D"/>
    <w:rsid w:val="00F35944"/>
    <w:rsid w:val="00F3596B"/>
    <w:rsid w:val="00F359F7"/>
    <w:rsid w:val="00F35A0F"/>
    <w:rsid w:val="00F35A3C"/>
    <w:rsid w:val="00F35A8F"/>
    <w:rsid w:val="00F35ABA"/>
    <w:rsid w:val="00F35B98"/>
    <w:rsid w:val="00F35D0A"/>
    <w:rsid w:val="00F35D61"/>
    <w:rsid w:val="00F35D62"/>
    <w:rsid w:val="00F35DAD"/>
    <w:rsid w:val="00F35F63"/>
    <w:rsid w:val="00F35FF6"/>
    <w:rsid w:val="00F36141"/>
    <w:rsid w:val="00F361B7"/>
    <w:rsid w:val="00F36206"/>
    <w:rsid w:val="00F36211"/>
    <w:rsid w:val="00F363A8"/>
    <w:rsid w:val="00F364BD"/>
    <w:rsid w:val="00F364C9"/>
    <w:rsid w:val="00F3662E"/>
    <w:rsid w:val="00F36640"/>
    <w:rsid w:val="00F36647"/>
    <w:rsid w:val="00F36697"/>
    <w:rsid w:val="00F366C4"/>
    <w:rsid w:val="00F366D1"/>
    <w:rsid w:val="00F368D0"/>
    <w:rsid w:val="00F3693A"/>
    <w:rsid w:val="00F36977"/>
    <w:rsid w:val="00F36CA2"/>
    <w:rsid w:val="00F36D74"/>
    <w:rsid w:val="00F36D9C"/>
    <w:rsid w:val="00F36F60"/>
    <w:rsid w:val="00F36F99"/>
    <w:rsid w:val="00F374CA"/>
    <w:rsid w:val="00F374EA"/>
    <w:rsid w:val="00F37529"/>
    <w:rsid w:val="00F37634"/>
    <w:rsid w:val="00F37688"/>
    <w:rsid w:val="00F37699"/>
    <w:rsid w:val="00F376A8"/>
    <w:rsid w:val="00F376B9"/>
    <w:rsid w:val="00F376C3"/>
    <w:rsid w:val="00F376E6"/>
    <w:rsid w:val="00F376F1"/>
    <w:rsid w:val="00F3776D"/>
    <w:rsid w:val="00F37809"/>
    <w:rsid w:val="00F378C7"/>
    <w:rsid w:val="00F37946"/>
    <w:rsid w:val="00F379B3"/>
    <w:rsid w:val="00F379EA"/>
    <w:rsid w:val="00F37A15"/>
    <w:rsid w:val="00F37BDE"/>
    <w:rsid w:val="00F37D41"/>
    <w:rsid w:val="00F37DE4"/>
    <w:rsid w:val="00F37E22"/>
    <w:rsid w:val="00F37E77"/>
    <w:rsid w:val="00F40006"/>
    <w:rsid w:val="00F4022E"/>
    <w:rsid w:val="00F4024F"/>
    <w:rsid w:val="00F4037B"/>
    <w:rsid w:val="00F403CC"/>
    <w:rsid w:val="00F403E5"/>
    <w:rsid w:val="00F40445"/>
    <w:rsid w:val="00F4049B"/>
    <w:rsid w:val="00F40523"/>
    <w:rsid w:val="00F40644"/>
    <w:rsid w:val="00F40661"/>
    <w:rsid w:val="00F40887"/>
    <w:rsid w:val="00F40A31"/>
    <w:rsid w:val="00F40BD0"/>
    <w:rsid w:val="00F40BD2"/>
    <w:rsid w:val="00F40CDB"/>
    <w:rsid w:val="00F40D27"/>
    <w:rsid w:val="00F40E07"/>
    <w:rsid w:val="00F40F69"/>
    <w:rsid w:val="00F40FD1"/>
    <w:rsid w:val="00F410B4"/>
    <w:rsid w:val="00F41147"/>
    <w:rsid w:val="00F41271"/>
    <w:rsid w:val="00F413BA"/>
    <w:rsid w:val="00F41575"/>
    <w:rsid w:val="00F416BA"/>
    <w:rsid w:val="00F41703"/>
    <w:rsid w:val="00F418BD"/>
    <w:rsid w:val="00F41923"/>
    <w:rsid w:val="00F4196D"/>
    <w:rsid w:val="00F419F6"/>
    <w:rsid w:val="00F41A3A"/>
    <w:rsid w:val="00F41AD6"/>
    <w:rsid w:val="00F41C49"/>
    <w:rsid w:val="00F41C78"/>
    <w:rsid w:val="00F41DFB"/>
    <w:rsid w:val="00F41F7B"/>
    <w:rsid w:val="00F42010"/>
    <w:rsid w:val="00F4209E"/>
    <w:rsid w:val="00F420BD"/>
    <w:rsid w:val="00F423E1"/>
    <w:rsid w:val="00F42494"/>
    <w:rsid w:val="00F42497"/>
    <w:rsid w:val="00F424BF"/>
    <w:rsid w:val="00F424FB"/>
    <w:rsid w:val="00F4251A"/>
    <w:rsid w:val="00F42565"/>
    <w:rsid w:val="00F425E8"/>
    <w:rsid w:val="00F425F0"/>
    <w:rsid w:val="00F426A0"/>
    <w:rsid w:val="00F426D3"/>
    <w:rsid w:val="00F426E5"/>
    <w:rsid w:val="00F4277E"/>
    <w:rsid w:val="00F427FC"/>
    <w:rsid w:val="00F42863"/>
    <w:rsid w:val="00F429CB"/>
    <w:rsid w:val="00F42A23"/>
    <w:rsid w:val="00F42A8B"/>
    <w:rsid w:val="00F42B6D"/>
    <w:rsid w:val="00F42D0F"/>
    <w:rsid w:val="00F42E29"/>
    <w:rsid w:val="00F430C0"/>
    <w:rsid w:val="00F43188"/>
    <w:rsid w:val="00F4318E"/>
    <w:rsid w:val="00F4327F"/>
    <w:rsid w:val="00F43488"/>
    <w:rsid w:val="00F4364D"/>
    <w:rsid w:val="00F4374F"/>
    <w:rsid w:val="00F43802"/>
    <w:rsid w:val="00F43850"/>
    <w:rsid w:val="00F43949"/>
    <w:rsid w:val="00F43A46"/>
    <w:rsid w:val="00F43A9C"/>
    <w:rsid w:val="00F43B7B"/>
    <w:rsid w:val="00F43B89"/>
    <w:rsid w:val="00F43CB1"/>
    <w:rsid w:val="00F43D22"/>
    <w:rsid w:val="00F43D5A"/>
    <w:rsid w:val="00F43E70"/>
    <w:rsid w:val="00F43ED4"/>
    <w:rsid w:val="00F43FEC"/>
    <w:rsid w:val="00F4406F"/>
    <w:rsid w:val="00F4416A"/>
    <w:rsid w:val="00F44219"/>
    <w:rsid w:val="00F442BE"/>
    <w:rsid w:val="00F442D0"/>
    <w:rsid w:val="00F442D9"/>
    <w:rsid w:val="00F4431C"/>
    <w:rsid w:val="00F44613"/>
    <w:rsid w:val="00F4469B"/>
    <w:rsid w:val="00F44749"/>
    <w:rsid w:val="00F44817"/>
    <w:rsid w:val="00F44959"/>
    <w:rsid w:val="00F449E6"/>
    <w:rsid w:val="00F449F6"/>
    <w:rsid w:val="00F44A37"/>
    <w:rsid w:val="00F44AAC"/>
    <w:rsid w:val="00F44ABC"/>
    <w:rsid w:val="00F44C2D"/>
    <w:rsid w:val="00F44C7A"/>
    <w:rsid w:val="00F44CC7"/>
    <w:rsid w:val="00F44DA0"/>
    <w:rsid w:val="00F44E4A"/>
    <w:rsid w:val="00F44F84"/>
    <w:rsid w:val="00F44FA6"/>
    <w:rsid w:val="00F450DC"/>
    <w:rsid w:val="00F4518F"/>
    <w:rsid w:val="00F45199"/>
    <w:rsid w:val="00F451D4"/>
    <w:rsid w:val="00F452F6"/>
    <w:rsid w:val="00F4532A"/>
    <w:rsid w:val="00F453CD"/>
    <w:rsid w:val="00F4544C"/>
    <w:rsid w:val="00F45515"/>
    <w:rsid w:val="00F45619"/>
    <w:rsid w:val="00F4571F"/>
    <w:rsid w:val="00F458CD"/>
    <w:rsid w:val="00F458DF"/>
    <w:rsid w:val="00F45A92"/>
    <w:rsid w:val="00F45BC3"/>
    <w:rsid w:val="00F45C49"/>
    <w:rsid w:val="00F45C81"/>
    <w:rsid w:val="00F45C8D"/>
    <w:rsid w:val="00F45D40"/>
    <w:rsid w:val="00F45DF2"/>
    <w:rsid w:val="00F45EA8"/>
    <w:rsid w:val="00F45EF0"/>
    <w:rsid w:val="00F45F25"/>
    <w:rsid w:val="00F45FD7"/>
    <w:rsid w:val="00F46035"/>
    <w:rsid w:val="00F46182"/>
    <w:rsid w:val="00F46227"/>
    <w:rsid w:val="00F4630A"/>
    <w:rsid w:val="00F4644B"/>
    <w:rsid w:val="00F4646C"/>
    <w:rsid w:val="00F46511"/>
    <w:rsid w:val="00F46537"/>
    <w:rsid w:val="00F465E6"/>
    <w:rsid w:val="00F467C9"/>
    <w:rsid w:val="00F467EE"/>
    <w:rsid w:val="00F467F9"/>
    <w:rsid w:val="00F469D9"/>
    <w:rsid w:val="00F46B1D"/>
    <w:rsid w:val="00F46B5D"/>
    <w:rsid w:val="00F46BA7"/>
    <w:rsid w:val="00F46C22"/>
    <w:rsid w:val="00F46C83"/>
    <w:rsid w:val="00F46D14"/>
    <w:rsid w:val="00F46DAA"/>
    <w:rsid w:val="00F46E0C"/>
    <w:rsid w:val="00F46E35"/>
    <w:rsid w:val="00F46F06"/>
    <w:rsid w:val="00F46F4D"/>
    <w:rsid w:val="00F4700A"/>
    <w:rsid w:val="00F4719B"/>
    <w:rsid w:val="00F4724A"/>
    <w:rsid w:val="00F47253"/>
    <w:rsid w:val="00F4736C"/>
    <w:rsid w:val="00F4738E"/>
    <w:rsid w:val="00F473DE"/>
    <w:rsid w:val="00F473F6"/>
    <w:rsid w:val="00F473F7"/>
    <w:rsid w:val="00F47413"/>
    <w:rsid w:val="00F4743E"/>
    <w:rsid w:val="00F47465"/>
    <w:rsid w:val="00F47549"/>
    <w:rsid w:val="00F475BB"/>
    <w:rsid w:val="00F475D0"/>
    <w:rsid w:val="00F475E8"/>
    <w:rsid w:val="00F4764C"/>
    <w:rsid w:val="00F4764F"/>
    <w:rsid w:val="00F47708"/>
    <w:rsid w:val="00F47778"/>
    <w:rsid w:val="00F478A0"/>
    <w:rsid w:val="00F478D1"/>
    <w:rsid w:val="00F4792D"/>
    <w:rsid w:val="00F47AAC"/>
    <w:rsid w:val="00F47D51"/>
    <w:rsid w:val="00F47D6F"/>
    <w:rsid w:val="00F500B1"/>
    <w:rsid w:val="00F500FD"/>
    <w:rsid w:val="00F502C2"/>
    <w:rsid w:val="00F50320"/>
    <w:rsid w:val="00F50407"/>
    <w:rsid w:val="00F50421"/>
    <w:rsid w:val="00F5045A"/>
    <w:rsid w:val="00F5045C"/>
    <w:rsid w:val="00F504B9"/>
    <w:rsid w:val="00F504F5"/>
    <w:rsid w:val="00F50582"/>
    <w:rsid w:val="00F505B7"/>
    <w:rsid w:val="00F50644"/>
    <w:rsid w:val="00F506B8"/>
    <w:rsid w:val="00F506FE"/>
    <w:rsid w:val="00F50704"/>
    <w:rsid w:val="00F50774"/>
    <w:rsid w:val="00F509B2"/>
    <w:rsid w:val="00F50A07"/>
    <w:rsid w:val="00F50A8E"/>
    <w:rsid w:val="00F50AE4"/>
    <w:rsid w:val="00F50B6B"/>
    <w:rsid w:val="00F50C5A"/>
    <w:rsid w:val="00F50D01"/>
    <w:rsid w:val="00F50FE0"/>
    <w:rsid w:val="00F51078"/>
    <w:rsid w:val="00F51085"/>
    <w:rsid w:val="00F510F0"/>
    <w:rsid w:val="00F51129"/>
    <w:rsid w:val="00F51132"/>
    <w:rsid w:val="00F511AC"/>
    <w:rsid w:val="00F5134A"/>
    <w:rsid w:val="00F513F7"/>
    <w:rsid w:val="00F514A2"/>
    <w:rsid w:val="00F514B4"/>
    <w:rsid w:val="00F514DB"/>
    <w:rsid w:val="00F517B4"/>
    <w:rsid w:val="00F5183C"/>
    <w:rsid w:val="00F51955"/>
    <w:rsid w:val="00F51BCC"/>
    <w:rsid w:val="00F51CB0"/>
    <w:rsid w:val="00F51D0B"/>
    <w:rsid w:val="00F51D63"/>
    <w:rsid w:val="00F51F44"/>
    <w:rsid w:val="00F51F6E"/>
    <w:rsid w:val="00F51FA0"/>
    <w:rsid w:val="00F52111"/>
    <w:rsid w:val="00F52117"/>
    <w:rsid w:val="00F5216F"/>
    <w:rsid w:val="00F5219F"/>
    <w:rsid w:val="00F521BC"/>
    <w:rsid w:val="00F52205"/>
    <w:rsid w:val="00F522A1"/>
    <w:rsid w:val="00F522CC"/>
    <w:rsid w:val="00F5244F"/>
    <w:rsid w:val="00F52459"/>
    <w:rsid w:val="00F524A6"/>
    <w:rsid w:val="00F524FA"/>
    <w:rsid w:val="00F52545"/>
    <w:rsid w:val="00F525FD"/>
    <w:rsid w:val="00F52667"/>
    <w:rsid w:val="00F526DF"/>
    <w:rsid w:val="00F526E2"/>
    <w:rsid w:val="00F5274B"/>
    <w:rsid w:val="00F527A2"/>
    <w:rsid w:val="00F527E6"/>
    <w:rsid w:val="00F52835"/>
    <w:rsid w:val="00F52839"/>
    <w:rsid w:val="00F52872"/>
    <w:rsid w:val="00F528E1"/>
    <w:rsid w:val="00F5292E"/>
    <w:rsid w:val="00F52B2D"/>
    <w:rsid w:val="00F52BD3"/>
    <w:rsid w:val="00F52CA8"/>
    <w:rsid w:val="00F52D3F"/>
    <w:rsid w:val="00F52D53"/>
    <w:rsid w:val="00F52DDF"/>
    <w:rsid w:val="00F52E3C"/>
    <w:rsid w:val="00F52EE6"/>
    <w:rsid w:val="00F52F8E"/>
    <w:rsid w:val="00F52FD4"/>
    <w:rsid w:val="00F53102"/>
    <w:rsid w:val="00F531E9"/>
    <w:rsid w:val="00F531FE"/>
    <w:rsid w:val="00F53251"/>
    <w:rsid w:val="00F532E9"/>
    <w:rsid w:val="00F53368"/>
    <w:rsid w:val="00F533A5"/>
    <w:rsid w:val="00F5345E"/>
    <w:rsid w:val="00F53621"/>
    <w:rsid w:val="00F53715"/>
    <w:rsid w:val="00F53793"/>
    <w:rsid w:val="00F53864"/>
    <w:rsid w:val="00F5387F"/>
    <w:rsid w:val="00F53929"/>
    <w:rsid w:val="00F53934"/>
    <w:rsid w:val="00F53975"/>
    <w:rsid w:val="00F539EF"/>
    <w:rsid w:val="00F53B34"/>
    <w:rsid w:val="00F53B6F"/>
    <w:rsid w:val="00F53B74"/>
    <w:rsid w:val="00F53C41"/>
    <w:rsid w:val="00F53E14"/>
    <w:rsid w:val="00F53E64"/>
    <w:rsid w:val="00F53FAE"/>
    <w:rsid w:val="00F54081"/>
    <w:rsid w:val="00F540DD"/>
    <w:rsid w:val="00F54105"/>
    <w:rsid w:val="00F54191"/>
    <w:rsid w:val="00F54294"/>
    <w:rsid w:val="00F5430A"/>
    <w:rsid w:val="00F543F2"/>
    <w:rsid w:val="00F54523"/>
    <w:rsid w:val="00F54552"/>
    <w:rsid w:val="00F545EF"/>
    <w:rsid w:val="00F54812"/>
    <w:rsid w:val="00F54848"/>
    <w:rsid w:val="00F54862"/>
    <w:rsid w:val="00F5488D"/>
    <w:rsid w:val="00F548FB"/>
    <w:rsid w:val="00F5495B"/>
    <w:rsid w:val="00F54998"/>
    <w:rsid w:val="00F549BA"/>
    <w:rsid w:val="00F54A56"/>
    <w:rsid w:val="00F54B0E"/>
    <w:rsid w:val="00F54B11"/>
    <w:rsid w:val="00F54CD6"/>
    <w:rsid w:val="00F54CDF"/>
    <w:rsid w:val="00F54D01"/>
    <w:rsid w:val="00F54E4D"/>
    <w:rsid w:val="00F54E91"/>
    <w:rsid w:val="00F54F2C"/>
    <w:rsid w:val="00F54F5D"/>
    <w:rsid w:val="00F55179"/>
    <w:rsid w:val="00F551BE"/>
    <w:rsid w:val="00F554F4"/>
    <w:rsid w:val="00F55586"/>
    <w:rsid w:val="00F556DD"/>
    <w:rsid w:val="00F5578E"/>
    <w:rsid w:val="00F5579F"/>
    <w:rsid w:val="00F557C3"/>
    <w:rsid w:val="00F557C7"/>
    <w:rsid w:val="00F55809"/>
    <w:rsid w:val="00F55861"/>
    <w:rsid w:val="00F558EA"/>
    <w:rsid w:val="00F5590F"/>
    <w:rsid w:val="00F5597E"/>
    <w:rsid w:val="00F559C2"/>
    <w:rsid w:val="00F559E1"/>
    <w:rsid w:val="00F55A85"/>
    <w:rsid w:val="00F55AD1"/>
    <w:rsid w:val="00F55AE5"/>
    <w:rsid w:val="00F55B76"/>
    <w:rsid w:val="00F55C42"/>
    <w:rsid w:val="00F55DC5"/>
    <w:rsid w:val="00F55DED"/>
    <w:rsid w:val="00F55DFA"/>
    <w:rsid w:val="00F55E21"/>
    <w:rsid w:val="00F55EBB"/>
    <w:rsid w:val="00F55F3D"/>
    <w:rsid w:val="00F55F9D"/>
    <w:rsid w:val="00F55FB9"/>
    <w:rsid w:val="00F55FC0"/>
    <w:rsid w:val="00F560F2"/>
    <w:rsid w:val="00F56142"/>
    <w:rsid w:val="00F561E5"/>
    <w:rsid w:val="00F5625D"/>
    <w:rsid w:val="00F562A4"/>
    <w:rsid w:val="00F562BD"/>
    <w:rsid w:val="00F56395"/>
    <w:rsid w:val="00F56398"/>
    <w:rsid w:val="00F5645F"/>
    <w:rsid w:val="00F564F6"/>
    <w:rsid w:val="00F567E2"/>
    <w:rsid w:val="00F5697D"/>
    <w:rsid w:val="00F569C1"/>
    <w:rsid w:val="00F56A3E"/>
    <w:rsid w:val="00F56B9B"/>
    <w:rsid w:val="00F56D54"/>
    <w:rsid w:val="00F56DDF"/>
    <w:rsid w:val="00F57024"/>
    <w:rsid w:val="00F570BF"/>
    <w:rsid w:val="00F5716E"/>
    <w:rsid w:val="00F5722C"/>
    <w:rsid w:val="00F5729F"/>
    <w:rsid w:val="00F572D8"/>
    <w:rsid w:val="00F57307"/>
    <w:rsid w:val="00F5739C"/>
    <w:rsid w:val="00F573CE"/>
    <w:rsid w:val="00F573FF"/>
    <w:rsid w:val="00F57413"/>
    <w:rsid w:val="00F5754D"/>
    <w:rsid w:val="00F57565"/>
    <w:rsid w:val="00F575F1"/>
    <w:rsid w:val="00F5762A"/>
    <w:rsid w:val="00F57697"/>
    <w:rsid w:val="00F577B1"/>
    <w:rsid w:val="00F577C7"/>
    <w:rsid w:val="00F57887"/>
    <w:rsid w:val="00F578E7"/>
    <w:rsid w:val="00F57D29"/>
    <w:rsid w:val="00F57DE7"/>
    <w:rsid w:val="00F5FDBA"/>
    <w:rsid w:val="00F600A6"/>
    <w:rsid w:val="00F600DF"/>
    <w:rsid w:val="00F60135"/>
    <w:rsid w:val="00F60137"/>
    <w:rsid w:val="00F60170"/>
    <w:rsid w:val="00F6029A"/>
    <w:rsid w:val="00F6037E"/>
    <w:rsid w:val="00F60386"/>
    <w:rsid w:val="00F6040E"/>
    <w:rsid w:val="00F604F3"/>
    <w:rsid w:val="00F6056A"/>
    <w:rsid w:val="00F60620"/>
    <w:rsid w:val="00F6062D"/>
    <w:rsid w:val="00F60691"/>
    <w:rsid w:val="00F606CA"/>
    <w:rsid w:val="00F6070B"/>
    <w:rsid w:val="00F60879"/>
    <w:rsid w:val="00F60900"/>
    <w:rsid w:val="00F609A5"/>
    <w:rsid w:val="00F60A01"/>
    <w:rsid w:val="00F60A49"/>
    <w:rsid w:val="00F60A6A"/>
    <w:rsid w:val="00F60C7A"/>
    <w:rsid w:val="00F60D6A"/>
    <w:rsid w:val="00F60D8C"/>
    <w:rsid w:val="00F60E29"/>
    <w:rsid w:val="00F60E49"/>
    <w:rsid w:val="00F60EAB"/>
    <w:rsid w:val="00F60EE9"/>
    <w:rsid w:val="00F60EF6"/>
    <w:rsid w:val="00F60F1A"/>
    <w:rsid w:val="00F60F5F"/>
    <w:rsid w:val="00F60F71"/>
    <w:rsid w:val="00F60F72"/>
    <w:rsid w:val="00F60FBE"/>
    <w:rsid w:val="00F61174"/>
    <w:rsid w:val="00F61243"/>
    <w:rsid w:val="00F6126E"/>
    <w:rsid w:val="00F61364"/>
    <w:rsid w:val="00F613D0"/>
    <w:rsid w:val="00F613F0"/>
    <w:rsid w:val="00F614C4"/>
    <w:rsid w:val="00F61616"/>
    <w:rsid w:val="00F61658"/>
    <w:rsid w:val="00F616DD"/>
    <w:rsid w:val="00F617E2"/>
    <w:rsid w:val="00F6181A"/>
    <w:rsid w:val="00F61877"/>
    <w:rsid w:val="00F618CC"/>
    <w:rsid w:val="00F61970"/>
    <w:rsid w:val="00F61A1F"/>
    <w:rsid w:val="00F61BBD"/>
    <w:rsid w:val="00F61BCE"/>
    <w:rsid w:val="00F61D18"/>
    <w:rsid w:val="00F61D56"/>
    <w:rsid w:val="00F61DA9"/>
    <w:rsid w:val="00F61DF5"/>
    <w:rsid w:val="00F61E10"/>
    <w:rsid w:val="00F61E99"/>
    <w:rsid w:val="00F61F32"/>
    <w:rsid w:val="00F62029"/>
    <w:rsid w:val="00F62052"/>
    <w:rsid w:val="00F62112"/>
    <w:rsid w:val="00F62113"/>
    <w:rsid w:val="00F62187"/>
    <w:rsid w:val="00F623FC"/>
    <w:rsid w:val="00F62409"/>
    <w:rsid w:val="00F6249C"/>
    <w:rsid w:val="00F6263A"/>
    <w:rsid w:val="00F626B6"/>
    <w:rsid w:val="00F6271F"/>
    <w:rsid w:val="00F6284A"/>
    <w:rsid w:val="00F62873"/>
    <w:rsid w:val="00F62898"/>
    <w:rsid w:val="00F62909"/>
    <w:rsid w:val="00F62ACB"/>
    <w:rsid w:val="00F62B88"/>
    <w:rsid w:val="00F62CA4"/>
    <w:rsid w:val="00F62D0A"/>
    <w:rsid w:val="00F62D0C"/>
    <w:rsid w:val="00F62D7B"/>
    <w:rsid w:val="00F62FBE"/>
    <w:rsid w:val="00F62FD2"/>
    <w:rsid w:val="00F63053"/>
    <w:rsid w:val="00F63069"/>
    <w:rsid w:val="00F6309A"/>
    <w:rsid w:val="00F6312B"/>
    <w:rsid w:val="00F63229"/>
    <w:rsid w:val="00F6333C"/>
    <w:rsid w:val="00F6343D"/>
    <w:rsid w:val="00F63466"/>
    <w:rsid w:val="00F6348C"/>
    <w:rsid w:val="00F6352F"/>
    <w:rsid w:val="00F636C6"/>
    <w:rsid w:val="00F63702"/>
    <w:rsid w:val="00F637B9"/>
    <w:rsid w:val="00F6393A"/>
    <w:rsid w:val="00F63A05"/>
    <w:rsid w:val="00F63B20"/>
    <w:rsid w:val="00F63BE2"/>
    <w:rsid w:val="00F63BF2"/>
    <w:rsid w:val="00F63C6D"/>
    <w:rsid w:val="00F63CF0"/>
    <w:rsid w:val="00F63DE0"/>
    <w:rsid w:val="00F63E8B"/>
    <w:rsid w:val="00F63F05"/>
    <w:rsid w:val="00F63FBF"/>
    <w:rsid w:val="00F64043"/>
    <w:rsid w:val="00F64063"/>
    <w:rsid w:val="00F640F0"/>
    <w:rsid w:val="00F64107"/>
    <w:rsid w:val="00F641AD"/>
    <w:rsid w:val="00F643EF"/>
    <w:rsid w:val="00F643F4"/>
    <w:rsid w:val="00F644C9"/>
    <w:rsid w:val="00F64592"/>
    <w:rsid w:val="00F6469F"/>
    <w:rsid w:val="00F6478D"/>
    <w:rsid w:val="00F648AB"/>
    <w:rsid w:val="00F64982"/>
    <w:rsid w:val="00F649D5"/>
    <w:rsid w:val="00F64A75"/>
    <w:rsid w:val="00F64B29"/>
    <w:rsid w:val="00F64B7F"/>
    <w:rsid w:val="00F64BE7"/>
    <w:rsid w:val="00F64CFF"/>
    <w:rsid w:val="00F64D3D"/>
    <w:rsid w:val="00F64E39"/>
    <w:rsid w:val="00F64E90"/>
    <w:rsid w:val="00F64EC8"/>
    <w:rsid w:val="00F650F8"/>
    <w:rsid w:val="00F651AA"/>
    <w:rsid w:val="00F6521E"/>
    <w:rsid w:val="00F65370"/>
    <w:rsid w:val="00F6541B"/>
    <w:rsid w:val="00F655D2"/>
    <w:rsid w:val="00F65667"/>
    <w:rsid w:val="00F65678"/>
    <w:rsid w:val="00F65690"/>
    <w:rsid w:val="00F656D5"/>
    <w:rsid w:val="00F6573B"/>
    <w:rsid w:val="00F65743"/>
    <w:rsid w:val="00F65782"/>
    <w:rsid w:val="00F6592D"/>
    <w:rsid w:val="00F659E5"/>
    <w:rsid w:val="00F65ABA"/>
    <w:rsid w:val="00F65B1B"/>
    <w:rsid w:val="00F65C09"/>
    <w:rsid w:val="00F65C29"/>
    <w:rsid w:val="00F65CDF"/>
    <w:rsid w:val="00F65CFF"/>
    <w:rsid w:val="00F65D39"/>
    <w:rsid w:val="00F65D3E"/>
    <w:rsid w:val="00F65E3F"/>
    <w:rsid w:val="00F65E4D"/>
    <w:rsid w:val="00F65E5D"/>
    <w:rsid w:val="00F65ED5"/>
    <w:rsid w:val="00F66190"/>
    <w:rsid w:val="00F66204"/>
    <w:rsid w:val="00F66243"/>
    <w:rsid w:val="00F6630C"/>
    <w:rsid w:val="00F663FE"/>
    <w:rsid w:val="00F66482"/>
    <w:rsid w:val="00F665A6"/>
    <w:rsid w:val="00F6668F"/>
    <w:rsid w:val="00F666DD"/>
    <w:rsid w:val="00F66784"/>
    <w:rsid w:val="00F6678C"/>
    <w:rsid w:val="00F668A2"/>
    <w:rsid w:val="00F66902"/>
    <w:rsid w:val="00F6698E"/>
    <w:rsid w:val="00F669C3"/>
    <w:rsid w:val="00F669DD"/>
    <w:rsid w:val="00F66A38"/>
    <w:rsid w:val="00F66AAC"/>
    <w:rsid w:val="00F66B6D"/>
    <w:rsid w:val="00F66C19"/>
    <w:rsid w:val="00F66CA3"/>
    <w:rsid w:val="00F66D16"/>
    <w:rsid w:val="00F66D6D"/>
    <w:rsid w:val="00F66E76"/>
    <w:rsid w:val="00F66FEC"/>
    <w:rsid w:val="00F6706C"/>
    <w:rsid w:val="00F67099"/>
    <w:rsid w:val="00F670CF"/>
    <w:rsid w:val="00F6719D"/>
    <w:rsid w:val="00F671F4"/>
    <w:rsid w:val="00F67215"/>
    <w:rsid w:val="00F67285"/>
    <w:rsid w:val="00F672B3"/>
    <w:rsid w:val="00F67490"/>
    <w:rsid w:val="00F674F6"/>
    <w:rsid w:val="00F67500"/>
    <w:rsid w:val="00F6751D"/>
    <w:rsid w:val="00F675CF"/>
    <w:rsid w:val="00F6762E"/>
    <w:rsid w:val="00F67993"/>
    <w:rsid w:val="00F67AB9"/>
    <w:rsid w:val="00F67BBD"/>
    <w:rsid w:val="00F67C91"/>
    <w:rsid w:val="00F67C9E"/>
    <w:rsid w:val="00F67CE6"/>
    <w:rsid w:val="00F67E6F"/>
    <w:rsid w:val="00F67FE7"/>
    <w:rsid w:val="00F67FFB"/>
    <w:rsid w:val="00F701E9"/>
    <w:rsid w:val="00F70309"/>
    <w:rsid w:val="00F70347"/>
    <w:rsid w:val="00F70418"/>
    <w:rsid w:val="00F7062C"/>
    <w:rsid w:val="00F70737"/>
    <w:rsid w:val="00F70764"/>
    <w:rsid w:val="00F707BF"/>
    <w:rsid w:val="00F7080F"/>
    <w:rsid w:val="00F70870"/>
    <w:rsid w:val="00F7090C"/>
    <w:rsid w:val="00F709DD"/>
    <w:rsid w:val="00F70A3A"/>
    <w:rsid w:val="00F70A60"/>
    <w:rsid w:val="00F70AA8"/>
    <w:rsid w:val="00F70AF4"/>
    <w:rsid w:val="00F70C9D"/>
    <w:rsid w:val="00F70DDF"/>
    <w:rsid w:val="00F70E2B"/>
    <w:rsid w:val="00F70EB4"/>
    <w:rsid w:val="00F70F7F"/>
    <w:rsid w:val="00F70F84"/>
    <w:rsid w:val="00F70FD6"/>
    <w:rsid w:val="00F71049"/>
    <w:rsid w:val="00F710B3"/>
    <w:rsid w:val="00F710C2"/>
    <w:rsid w:val="00F71111"/>
    <w:rsid w:val="00F711F3"/>
    <w:rsid w:val="00F714E6"/>
    <w:rsid w:val="00F716BF"/>
    <w:rsid w:val="00F71711"/>
    <w:rsid w:val="00F71805"/>
    <w:rsid w:val="00F71826"/>
    <w:rsid w:val="00F7198D"/>
    <w:rsid w:val="00F71A09"/>
    <w:rsid w:val="00F71C17"/>
    <w:rsid w:val="00F71C31"/>
    <w:rsid w:val="00F71CFC"/>
    <w:rsid w:val="00F71EDC"/>
    <w:rsid w:val="00F71EEE"/>
    <w:rsid w:val="00F71FE6"/>
    <w:rsid w:val="00F72083"/>
    <w:rsid w:val="00F7213B"/>
    <w:rsid w:val="00F72172"/>
    <w:rsid w:val="00F7225E"/>
    <w:rsid w:val="00F722D1"/>
    <w:rsid w:val="00F723A0"/>
    <w:rsid w:val="00F72480"/>
    <w:rsid w:val="00F72516"/>
    <w:rsid w:val="00F72600"/>
    <w:rsid w:val="00F726DC"/>
    <w:rsid w:val="00F726E3"/>
    <w:rsid w:val="00F7274D"/>
    <w:rsid w:val="00F729CF"/>
    <w:rsid w:val="00F72A30"/>
    <w:rsid w:val="00F72AC6"/>
    <w:rsid w:val="00F72AE2"/>
    <w:rsid w:val="00F72B5C"/>
    <w:rsid w:val="00F72BD3"/>
    <w:rsid w:val="00F72D87"/>
    <w:rsid w:val="00F72EE2"/>
    <w:rsid w:val="00F72F9A"/>
    <w:rsid w:val="00F72FA4"/>
    <w:rsid w:val="00F72FCA"/>
    <w:rsid w:val="00F730AF"/>
    <w:rsid w:val="00F73165"/>
    <w:rsid w:val="00F73253"/>
    <w:rsid w:val="00F73260"/>
    <w:rsid w:val="00F733FB"/>
    <w:rsid w:val="00F7350B"/>
    <w:rsid w:val="00F73583"/>
    <w:rsid w:val="00F73589"/>
    <w:rsid w:val="00F735B3"/>
    <w:rsid w:val="00F736CA"/>
    <w:rsid w:val="00F73837"/>
    <w:rsid w:val="00F73899"/>
    <w:rsid w:val="00F738D7"/>
    <w:rsid w:val="00F739D3"/>
    <w:rsid w:val="00F739E3"/>
    <w:rsid w:val="00F73A60"/>
    <w:rsid w:val="00F73A99"/>
    <w:rsid w:val="00F73A9F"/>
    <w:rsid w:val="00F73BF3"/>
    <w:rsid w:val="00F73C4B"/>
    <w:rsid w:val="00F73FD2"/>
    <w:rsid w:val="00F74017"/>
    <w:rsid w:val="00F7417B"/>
    <w:rsid w:val="00F74233"/>
    <w:rsid w:val="00F744EA"/>
    <w:rsid w:val="00F74742"/>
    <w:rsid w:val="00F74764"/>
    <w:rsid w:val="00F74776"/>
    <w:rsid w:val="00F747EB"/>
    <w:rsid w:val="00F7499A"/>
    <w:rsid w:val="00F74B2E"/>
    <w:rsid w:val="00F74C2B"/>
    <w:rsid w:val="00F74C8A"/>
    <w:rsid w:val="00F74CEB"/>
    <w:rsid w:val="00F74F2C"/>
    <w:rsid w:val="00F74F67"/>
    <w:rsid w:val="00F75024"/>
    <w:rsid w:val="00F750A6"/>
    <w:rsid w:val="00F750B2"/>
    <w:rsid w:val="00F75102"/>
    <w:rsid w:val="00F751E8"/>
    <w:rsid w:val="00F7532D"/>
    <w:rsid w:val="00F75457"/>
    <w:rsid w:val="00F756C3"/>
    <w:rsid w:val="00F75752"/>
    <w:rsid w:val="00F758C2"/>
    <w:rsid w:val="00F758FF"/>
    <w:rsid w:val="00F7595B"/>
    <w:rsid w:val="00F75A36"/>
    <w:rsid w:val="00F75A67"/>
    <w:rsid w:val="00F75B9F"/>
    <w:rsid w:val="00F75C26"/>
    <w:rsid w:val="00F75C28"/>
    <w:rsid w:val="00F75EC9"/>
    <w:rsid w:val="00F75F0E"/>
    <w:rsid w:val="00F75F45"/>
    <w:rsid w:val="00F76054"/>
    <w:rsid w:val="00F76077"/>
    <w:rsid w:val="00F76086"/>
    <w:rsid w:val="00F76242"/>
    <w:rsid w:val="00F7624C"/>
    <w:rsid w:val="00F76271"/>
    <w:rsid w:val="00F762BA"/>
    <w:rsid w:val="00F762BF"/>
    <w:rsid w:val="00F76329"/>
    <w:rsid w:val="00F76348"/>
    <w:rsid w:val="00F7639E"/>
    <w:rsid w:val="00F763C1"/>
    <w:rsid w:val="00F763F6"/>
    <w:rsid w:val="00F76440"/>
    <w:rsid w:val="00F7646D"/>
    <w:rsid w:val="00F764E5"/>
    <w:rsid w:val="00F7659C"/>
    <w:rsid w:val="00F765B8"/>
    <w:rsid w:val="00F76699"/>
    <w:rsid w:val="00F766EC"/>
    <w:rsid w:val="00F76710"/>
    <w:rsid w:val="00F767AB"/>
    <w:rsid w:val="00F76814"/>
    <w:rsid w:val="00F76841"/>
    <w:rsid w:val="00F76951"/>
    <w:rsid w:val="00F769CC"/>
    <w:rsid w:val="00F76ADE"/>
    <w:rsid w:val="00F76D21"/>
    <w:rsid w:val="00F76DEB"/>
    <w:rsid w:val="00F76E83"/>
    <w:rsid w:val="00F76EA4"/>
    <w:rsid w:val="00F76F2E"/>
    <w:rsid w:val="00F76F43"/>
    <w:rsid w:val="00F76F7A"/>
    <w:rsid w:val="00F77053"/>
    <w:rsid w:val="00F770F9"/>
    <w:rsid w:val="00F77103"/>
    <w:rsid w:val="00F7736E"/>
    <w:rsid w:val="00F77476"/>
    <w:rsid w:val="00F7754E"/>
    <w:rsid w:val="00F77632"/>
    <w:rsid w:val="00F77654"/>
    <w:rsid w:val="00F77892"/>
    <w:rsid w:val="00F77924"/>
    <w:rsid w:val="00F77933"/>
    <w:rsid w:val="00F77A17"/>
    <w:rsid w:val="00F77A40"/>
    <w:rsid w:val="00F77A49"/>
    <w:rsid w:val="00F77B6B"/>
    <w:rsid w:val="00F77C78"/>
    <w:rsid w:val="00F77C81"/>
    <w:rsid w:val="00F77D68"/>
    <w:rsid w:val="00F77DA7"/>
    <w:rsid w:val="00F77F2B"/>
    <w:rsid w:val="00F77F46"/>
    <w:rsid w:val="00F77F52"/>
    <w:rsid w:val="00F77FF1"/>
    <w:rsid w:val="00F7B862"/>
    <w:rsid w:val="00F80019"/>
    <w:rsid w:val="00F800E1"/>
    <w:rsid w:val="00F80163"/>
    <w:rsid w:val="00F80178"/>
    <w:rsid w:val="00F801D4"/>
    <w:rsid w:val="00F801E1"/>
    <w:rsid w:val="00F80257"/>
    <w:rsid w:val="00F803CA"/>
    <w:rsid w:val="00F8046B"/>
    <w:rsid w:val="00F806A4"/>
    <w:rsid w:val="00F80708"/>
    <w:rsid w:val="00F8095F"/>
    <w:rsid w:val="00F80999"/>
    <w:rsid w:val="00F809CE"/>
    <w:rsid w:val="00F80A8A"/>
    <w:rsid w:val="00F80A9E"/>
    <w:rsid w:val="00F80B83"/>
    <w:rsid w:val="00F80C0A"/>
    <w:rsid w:val="00F80CDC"/>
    <w:rsid w:val="00F80CF4"/>
    <w:rsid w:val="00F80D59"/>
    <w:rsid w:val="00F80D65"/>
    <w:rsid w:val="00F80DAC"/>
    <w:rsid w:val="00F80DCF"/>
    <w:rsid w:val="00F80F21"/>
    <w:rsid w:val="00F80F24"/>
    <w:rsid w:val="00F811D9"/>
    <w:rsid w:val="00F81402"/>
    <w:rsid w:val="00F81553"/>
    <w:rsid w:val="00F81603"/>
    <w:rsid w:val="00F81664"/>
    <w:rsid w:val="00F817B3"/>
    <w:rsid w:val="00F8188A"/>
    <w:rsid w:val="00F818CD"/>
    <w:rsid w:val="00F818E5"/>
    <w:rsid w:val="00F8196E"/>
    <w:rsid w:val="00F81998"/>
    <w:rsid w:val="00F81A32"/>
    <w:rsid w:val="00F81B41"/>
    <w:rsid w:val="00F81C71"/>
    <w:rsid w:val="00F81C8B"/>
    <w:rsid w:val="00F81C98"/>
    <w:rsid w:val="00F81CDA"/>
    <w:rsid w:val="00F81DF9"/>
    <w:rsid w:val="00F81EFA"/>
    <w:rsid w:val="00F81F86"/>
    <w:rsid w:val="00F81FDA"/>
    <w:rsid w:val="00F8206F"/>
    <w:rsid w:val="00F820FE"/>
    <w:rsid w:val="00F82110"/>
    <w:rsid w:val="00F82168"/>
    <w:rsid w:val="00F8219E"/>
    <w:rsid w:val="00F82205"/>
    <w:rsid w:val="00F8226A"/>
    <w:rsid w:val="00F82347"/>
    <w:rsid w:val="00F82442"/>
    <w:rsid w:val="00F824A3"/>
    <w:rsid w:val="00F8252D"/>
    <w:rsid w:val="00F8253A"/>
    <w:rsid w:val="00F825DC"/>
    <w:rsid w:val="00F826B9"/>
    <w:rsid w:val="00F8272C"/>
    <w:rsid w:val="00F8281D"/>
    <w:rsid w:val="00F8287E"/>
    <w:rsid w:val="00F82890"/>
    <w:rsid w:val="00F828AE"/>
    <w:rsid w:val="00F82ABA"/>
    <w:rsid w:val="00F82B36"/>
    <w:rsid w:val="00F82B85"/>
    <w:rsid w:val="00F82CB1"/>
    <w:rsid w:val="00F82D16"/>
    <w:rsid w:val="00F82D67"/>
    <w:rsid w:val="00F82D96"/>
    <w:rsid w:val="00F82F5E"/>
    <w:rsid w:val="00F82F9F"/>
    <w:rsid w:val="00F83123"/>
    <w:rsid w:val="00F83221"/>
    <w:rsid w:val="00F83292"/>
    <w:rsid w:val="00F832E5"/>
    <w:rsid w:val="00F8332D"/>
    <w:rsid w:val="00F833C7"/>
    <w:rsid w:val="00F8346C"/>
    <w:rsid w:val="00F83473"/>
    <w:rsid w:val="00F835BA"/>
    <w:rsid w:val="00F83615"/>
    <w:rsid w:val="00F8367A"/>
    <w:rsid w:val="00F83716"/>
    <w:rsid w:val="00F838D1"/>
    <w:rsid w:val="00F838F0"/>
    <w:rsid w:val="00F8395B"/>
    <w:rsid w:val="00F83A6D"/>
    <w:rsid w:val="00F83B6E"/>
    <w:rsid w:val="00F83C1D"/>
    <w:rsid w:val="00F83C42"/>
    <w:rsid w:val="00F83C97"/>
    <w:rsid w:val="00F83CD2"/>
    <w:rsid w:val="00F83D5F"/>
    <w:rsid w:val="00F83F68"/>
    <w:rsid w:val="00F84111"/>
    <w:rsid w:val="00F84394"/>
    <w:rsid w:val="00F843CF"/>
    <w:rsid w:val="00F84432"/>
    <w:rsid w:val="00F84479"/>
    <w:rsid w:val="00F844DC"/>
    <w:rsid w:val="00F845A9"/>
    <w:rsid w:val="00F84634"/>
    <w:rsid w:val="00F8464B"/>
    <w:rsid w:val="00F846B4"/>
    <w:rsid w:val="00F848DA"/>
    <w:rsid w:val="00F84A0C"/>
    <w:rsid w:val="00F84A41"/>
    <w:rsid w:val="00F84A77"/>
    <w:rsid w:val="00F84C3E"/>
    <w:rsid w:val="00F84C5F"/>
    <w:rsid w:val="00F84CE5"/>
    <w:rsid w:val="00F84D38"/>
    <w:rsid w:val="00F84DAB"/>
    <w:rsid w:val="00F84F7A"/>
    <w:rsid w:val="00F84F81"/>
    <w:rsid w:val="00F8505C"/>
    <w:rsid w:val="00F85106"/>
    <w:rsid w:val="00F85125"/>
    <w:rsid w:val="00F85147"/>
    <w:rsid w:val="00F8519E"/>
    <w:rsid w:val="00F85269"/>
    <w:rsid w:val="00F852C8"/>
    <w:rsid w:val="00F852CC"/>
    <w:rsid w:val="00F852F1"/>
    <w:rsid w:val="00F854F6"/>
    <w:rsid w:val="00F8561C"/>
    <w:rsid w:val="00F85674"/>
    <w:rsid w:val="00F856DE"/>
    <w:rsid w:val="00F857D2"/>
    <w:rsid w:val="00F85886"/>
    <w:rsid w:val="00F85894"/>
    <w:rsid w:val="00F859A8"/>
    <w:rsid w:val="00F859F5"/>
    <w:rsid w:val="00F85A09"/>
    <w:rsid w:val="00F85A27"/>
    <w:rsid w:val="00F85A9A"/>
    <w:rsid w:val="00F85B50"/>
    <w:rsid w:val="00F85B69"/>
    <w:rsid w:val="00F85C26"/>
    <w:rsid w:val="00F85E7D"/>
    <w:rsid w:val="00F86037"/>
    <w:rsid w:val="00F8607A"/>
    <w:rsid w:val="00F8616E"/>
    <w:rsid w:val="00F861C6"/>
    <w:rsid w:val="00F8621D"/>
    <w:rsid w:val="00F86261"/>
    <w:rsid w:val="00F86267"/>
    <w:rsid w:val="00F862AE"/>
    <w:rsid w:val="00F8648E"/>
    <w:rsid w:val="00F8651A"/>
    <w:rsid w:val="00F8655D"/>
    <w:rsid w:val="00F8660C"/>
    <w:rsid w:val="00F86726"/>
    <w:rsid w:val="00F86734"/>
    <w:rsid w:val="00F86766"/>
    <w:rsid w:val="00F86829"/>
    <w:rsid w:val="00F86BFB"/>
    <w:rsid w:val="00F86CF8"/>
    <w:rsid w:val="00F86D60"/>
    <w:rsid w:val="00F86D62"/>
    <w:rsid w:val="00F86E6D"/>
    <w:rsid w:val="00F870D3"/>
    <w:rsid w:val="00F8717F"/>
    <w:rsid w:val="00F871B3"/>
    <w:rsid w:val="00F872DE"/>
    <w:rsid w:val="00F872F1"/>
    <w:rsid w:val="00F87382"/>
    <w:rsid w:val="00F87503"/>
    <w:rsid w:val="00F8758E"/>
    <w:rsid w:val="00F875A6"/>
    <w:rsid w:val="00F875F5"/>
    <w:rsid w:val="00F8760E"/>
    <w:rsid w:val="00F87852"/>
    <w:rsid w:val="00F87901"/>
    <w:rsid w:val="00F87909"/>
    <w:rsid w:val="00F8796E"/>
    <w:rsid w:val="00F8797E"/>
    <w:rsid w:val="00F879A1"/>
    <w:rsid w:val="00F87BF3"/>
    <w:rsid w:val="00F87D26"/>
    <w:rsid w:val="00F87D89"/>
    <w:rsid w:val="00F87D97"/>
    <w:rsid w:val="00F87DB2"/>
    <w:rsid w:val="00F87F3C"/>
    <w:rsid w:val="00F87F61"/>
    <w:rsid w:val="00F87FA3"/>
    <w:rsid w:val="00F87FBF"/>
    <w:rsid w:val="00F900FC"/>
    <w:rsid w:val="00F90108"/>
    <w:rsid w:val="00F9014A"/>
    <w:rsid w:val="00F90170"/>
    <w:rsid w:val="00F90240"/>
    <w:rsid w:val="00F90323"/>
    <w:rsid w:val="00F90345"/>
    <w:rsid w:val="00F90450"/>
    <w:rsid w:val="00F905C0"/>
    <w:rsid w:val="00F90680"/>
    <w:rsid w:val="00F90708"/>
    <w:rsid w:val="00F90793"/>
    <w:rsid w:val="00F907AB"/>
    <w:rsid w:val="00F907D9"/>
    <w:rsid w:val="00F907FF"/>
    <w:rsid w:val="00F908A0"/>
    <w:rsid w:val="00F908C4"/>
    <w:rsid w:val="00F9096B"/>
    <w:rsid w:val="00F909FC"/>
    <w:rsid w:val="00F90BBA"/>
    <w:rsid w:val="00F90BDC"/>
    <w:rsid w:val="00F90D16"/>
    <w:rsid w:val="00F90EBF"/>
    <w:rsid w:val="00F90F00"/>
    <w:rsid w:val="00F90F17"/>
    <w:rsid w:val="00F90F5D"/>
    <w:rsid w:val="00F90FFD"/>
    <w:rsid w:val="00F910DA"/>
    <w:rsid w:val="00F91146"/>
    <w:rsid w:val="00F911BF"/>
    <w:rsid w:val="00F91263"/>
    <w:rsid w:val="00F91313"/>
    <w:rsid w:val="00F914DF"/>
    <w:rsid w:val="00F91519"/>
    <w:rsid w:val="00F9158D"/>
    <w:rsid w:val="00F915FC"/>
    <w:rsid w:val="00F9163C"/>
    <w:rsid w:val="00F91654"/>
    <w:rsid w:val="00F91725"/>
    <w:rsid w:val="00F9187D"/>
    <w:rsid w:val="00F918EF"/>
    <w:rsid w:val="00F9197F"/>
    <w:rsid w:val="00F91AB6"/>
    <w:rsid w:val="00F91AE4"/>
    <w:rsid w:val="00F91AF1"/>
    <w:rsid w:val="00F91B1A"/>
    <w:rsid w:val="00F91B2F"/>
    <w:rsid w:val="00F91C57"/>
    <w:rsid w:val="00F91C8A"/>
    <w:rsid w:val="00F91D52"/>
    <w:rsid w:val="00F91D59"/>
    <w:rsid w:val="00F91E1E"/>
    <w:rsid w:val="00F91EE7"/>
    <w:rsid w:val="00F91FC2"/>
    <w:rsid w:val="00F92184"/>
    <w:rsid w:val="00F92231"/>
    <w:rsid w:val="00F9229E"/>
    <w:rsid w:val="00F92434"/>
    <w:rsid w:val="00F92444"/>
    <w:rsid w:val="00F92578"/>
    <w:rsid w:val="00F92616"/>
    <w:rsid w:val="00F92888"/>
    <w:rsid w:val="00F928C0"/>
    <w:rsid w:val="00F92A01"/>
    <w:rsid w:val="00F92A30"/>
    <w:rsid w:val="00F92BC1"/>
    <w:rsid w:val="00F92C19"/>
    <w:rsid w:val="00F92CB3"/>
    <w:rsid w:val="00F92EAE"/>
    <w:rsid w:val="00F930F3"/>
    <w:rsid w:val="00F931F4"/>
    <w:rsid w:val="00F93380"/>
    <w:rsid w:val="00F934AC"/>
    <w:rsid w:val="00F9355B"/>
    <w:rsid w:val="00F93572"/>
    <w:rsid w:val="00F935BC"/>
    <w:rsid w:val="00F935E4"/>
    <w:rsid w:val="00F935F0"/>
    <w:rsid w:val="00F9379E"/>
    <w:rsid w:val="00F937AD"/>
    <w:rsid w:val="00F937DA"/>
    <w:rsid w:val="00F938A8"/>
    <w:rsid w:val="00F93AFF"/>
    <w:rsid w:val="00F93C1A"/>
    <w:rsid w:val="00F93D6A"/>
    <w:rsid w:val="00F93DC8"/>
    <w:rsid w:val="00F93E80"/>
    <w:rsid w:val="00F93F84"/>
    <w:rsid w:val="00F940B8"/>
    <w:rsid w:val="00F940EB"/>
    <w:rsid w:val="00F9412E"/>
    <w:rsid w:val="00F94216"/>
    <w:rsid w:val="00F9426E"/>
    <w:rsid w:val="00F943B2"/>
    <w:rsid w:val="00F943F7"/>
    <w:rsid w:val="00F94411"/>
    <w:rsid w:val="00F94456"/>
    <w:rsid w:val="00F944AC"/>
    <w:rsid w:val="00F945EF"/>
    <w:rsid w:val="00F94623"/>
    <w:rsid w:val="00F9470A"/>
    <w:rsid w:val="00F947EC"/>
    <w:rsid w:val="00F947ED"/>
    <w:rsid w:val="00F9487F"/>
    <w:rsid w:val="00F949D2"/>
    <w:rsid w:val="00F94A19"/>
    <w:rsid w:val="00F94A70"/>
    <w:rsid w:val="00F94ADA"/>
    <w:rsid w:val="00F94B8D"/>
    <w:rsid w:val="00F94BA1"/>
    <w:rsid w:val="00F94E0F"/>
    <w:rsid w:val="00F94E7B"/>
    <w:rsid w:val="00F94F44"/>
    <w:rsid w:val="00F94F51"/>
    <w:rsid w:val="00F950A8"/>
    <w:rsid w:val="00F950D8"/>
    <w:rsid w:val="00F95244"/>
    <w:rsid w:val="00F95279"/>
    <w:rsid w:val="00F9529B"/>
    <w:rsid w:val="00F9530F"/>
    <w:rsid w:val="00F95327"/>
    <w:rsid w:val="00F95535"/>
    <w:rsid w:val="00F95784"/>
    <w:rsid w:val="00F9578C"/>
    <w:rsid w:val="00F957EA"/>
    <w:rsid w:val="00F9591E"/>
    <w:rsid w:val="00F95974"/>
    <w:rsid w:val="00F95997"/>
    <w:rsid w:val="00F95AE0"/>
    <w:rsid w:val="00F95B5B"/>
    <w:rsid w:val="00F95BA8"/>
    <w:rsid w:val="00F95C15"/>
    <w:rsid w:val="00F95CEA"/>
    <w:rsid w:val="00F95DBC"/>
    <w:rsid w:val="00F95E12"/>
    <w:rsid w:val="00F95E75"/>
    <w:rsid w:val="00F95F64"/>
    <w:rsid w:val="00F96016"/>
    <w:rsid w:val="00F9603C"/>
    <w:rsid w:val="00F960DA"/>
    <w:rsid w:val="00F962F8"/>
    <w:rsid w:val="00F96342"/>
    <w:rsid w:val="00F963EC"/>
    <w:rsid w:val="00F964F0"/>
    <w:rsid w:val="00F96522"/>
    <w:rsid w:val="00F96664"/>
    <w:rsid w:val="00F96766"/>
    <w:rsid w:val="00F96A02"/>
    <w:rsid w:val="00F96B0A"/>
    <w:rsid w:val="00F96B1B"/>
    <w:rsid w:val="00F96B48"/>
    <w:rsid w:val="00F96B93"/>
    <w:rsid w:val="00F96D52"/>
    <w:rsid w:val="00F96DAF"/>
    <w:rsid w:val="00F96DCB"/>
    <w:rsid w:val="00F96E2A"/>
    <w:rsid w:val="00F96E73"/>
    <w:rsid w:val="00F96F3E"/>
    <w:rsid w:val="00F97082"/>
    <w:rsid w:val="00F97092"/>
    <w:rsid w:val="00F97142"/>
    <w:rsid w:val="00F971CC"/>
    <w:rsid w:val="00F971FD"/>
    <w:rsid w:val="00F972AF"/>
    <w:rsid w:val="00F976CF"/>
    <w:rsid w:val="00F977CB"/>
    <w:rsid w:val="00F977EC"/>
    <w:rsid w:val="00F97824"/>
    <w:rsid w:val="00F9791F"/>
    <w:rsid w:val="00F9793E"/>
    <w:rsid w:val="00F979ED"/>
    <w:rsid w:val="00F97A13"/>
    <w:rsid w:val="00F97A98"/>
    <w:rsid w:val="00F97B58"/>
    <w:rsid w:val="00F97C3C"/>
    <w:rsid w:val="00F97CE3"/>
    <w:rsid w:val="00F97D3A"/>
    <w:rsid w:val="00F97F68"/>
    <w:rsid w:val="00F97F9D"/>
    <w:rsid w:val="00FA0128"/>
    <w:rsid w:val="00FA0130"/>
    <w:rsid w:val="00FA015B"/>
    <w:rsid w:val="00FA0167"/>
    <w:rsid w:val="00FA01A5"/>
    <w:rsid w:val="00FA01D8"/>
    <w:rsid w:val="00FA0286"/>
    <w:rsid w:val="00FA032F"/>
    <w:rsid w:val="00FA038E"/>
    <w:rsid w:val="00FA03AC"/>
    <w:rsid w:val="00FA0521"/>
    <w:rsid w:val="00FA054F"/>
    <w:rsid w:val="00FA056F"/>
    <w:rsid w:val="00FA05DC"/>
    <w:rsid w:val="00FA0616"/>
    <w:rsid w:val="00FA07E0"/>
    <w:rsid w:val="00FA088E"/>
    <w:rsid w:val="00FA08E7"/>
    <w:rsid w:val="00FA0A5B"/>
    <w:rsid w:val="00FA0AA2"/>
    <w:rsid w:val="00FA0B85"/>
    <w:rsid w:val="00FA0C6C"/>
    <w:rsid w:val="00FA0D11"/>
    <w:rsid w:val="00FA0DEB"/>
    <w:rsid w:val="00FA0E33"/>
    <w:rsid w:val="00FA0E53"/>
    <w:rsid w:val="00FA0EF9"/>
    <w:rsid w:val="00FA0F2E"/>
    <w:rsid w:val="00FA118E"/>
    <w:rsid w:val="00FA11BC"/>
    <w:rsid w:val="00FA11F2"/>
    <w:rsid w:val="00FA123C"/>
    <w:rsid w:val="00FA1256"/>
    <w:rsid w:val="00FA128F"/>
    <w:rsid w:val="00FA12D2"/>
    <w:rsid w:val="00FA1368"/>
    <w:rsid w:val="00FA1391"/>
    <w:rsid w:val="00FA13EA"/>
    <w:rsid w:val="00FA1426"/>
    <w:rsid w:val="00FA1530"/>
    <w:rsid w:val="00FA1556"/>
    <w:rsid w:val="00FA164E"/>
    <w:rsid w:val="00FA167F"/>
    <w:rsid w:val="00FA16D4"/>
    <w:rsid w:val="00FA175C"/>
    <w:rsid w:val="00FA1786"/>
    <w:rsid w:val="00FA17A3"/>
    <w:rsid w:val="00FA17F1"/>
    <w:rsid w:val="00FA18A3"/>
    <w:rsid w:val="00FA18C2"/>
    <w:rsid w:val="00FA1915"/>
    <w:rsid w:val="00FA1990"/>
    <w:rsid w:val="00FA1A8F"/>
    <w:rsid w:val="00FA1AB6"/>
    <w:rsid w:val="00FA1B92"/>
    <w:rsid w:val="00FA1BA7"/>
    <w:rsid w:val="00FA1C47"/>
    <w:rsid w:val="00FA1C6B"/>
    <w:rsid w:val="00FA1CAD"/>
    <w:rsid w:val="00FA1CC2"/>
    <w:rsid w:val="00FA1D1D"/>
    <w:rsid w:val="00FA1E30"/>
    <w:rsid w:val="00FA1F8C"/>
    <w:rsid w:val="00FA1FDF"/>
    <w:rsid w:val="00FA2126"/>
    <w:rsid w:val="00FA21F2"/>
    <w:rsid w:val="00FA22B6"/>
    <w:rsid w:val="00FA22C3"/>
    <w:rsid w:val="00FA22D4"/>
    <w:rsid w:val="00FA2633"/>
    <w:rsid w:val="00FA2752"/>
    <w:rsid w:val="00FA281E"/>
    <w:rsid w:val="00FA28EE"/>
    <w:rsid w:val="00FA2954"/>
    <w:rsid w:val="00FA2B88"/>
    <w:rsid w:val="00FA2C7B"/>
    <w:rsid w:val="00FA2CB2"/>
    <w:rsid w:val="00FA2CE4"/>
    <w:rsid w:val="00FA2D1C"/>
    <w:rsid w:val="00FA2D4D"/>
    <w:rsid w:val="00FA2F27"/>
    <w:rsid w:val="00FA302F"/>
    <w:rsid w:val="00FA308E"/>
    <w:rsid w:val="00FA3141"/>
    <w:rsid w:val="00FA31FE"/>
    <w:rsid w:val="00FA3202"/>
    <w:rsid w:val="00FA32CA"/>
    <w:rsid w:val="00FA351F"/>
    <w:rsid w:val="00FA3567"/>
    <w:rsid w:val="00FA36F0"/>
    <w:rsid w:val="00FA3725"/>
    <w:rsid w:val="00FA37A7"/>
    <w:rsid w:val="00FA3884"/>
    <w:rsid w:val="00FA3967"/>
    <w:rsid w:val="00FA397A"/>
    <w:rsid w:val="00FA39FE"/>
    <w:rsid w:val="00FA3A8B"/>
    <w:rsid w:val="00FA3AEB"/>
    <w:rsid w:val="00FA3B32"/>
    <w:rsid w:val="00FA3CE8"/>
    <w:rsid w:val="00FA3D77"/>
    <w:rsid w:val="00FA3E8A"/>
    <w:rsid w:val="00FA3E95"/>
    <w:rsid w:val="00FA3F7D"/>
    <w:rsid w:val="00FA3F88"/>
    <w:rsid w:val="00FA3FD2"/>
    <w:rsid w:val="00FA3FF9"/>
    <w:rsid w:val="00FA4027"/>
    <w:rsid w:val="00FA42F2"/>
    <w:rsid w:val="00FA43BC"/>
    <w:rsid w:val="00FA4559"/>
    <w:rsid w:val="00FA45C1"/>
    <w:rsid w:val="00FA4725"/>
    <w:rsid w:val="00FA4945"/>
    <w:rsid w:val="00FA4A4D"/>
    <w:rsid w:val="00FA4B35"/>
    <w:rsid w:val="00FA4C46"/>
    <w:rsid w:val="00FA4C4A"/>
    <w:rsid w:val="00FA4E4F"/>
    <w:rsid w:val="00FA4E8A"/>
    <w:rsid w:val="00FA4EB1"/>
    <w:rsid w:val="00FA4F65"/>
    <w:rsid w:val="00FA50B4"/>
    <w:rsid w:val="00FA52F1"/>
    <w:rsid w:val="00FA5303"/>
    <w:rsid w:val="00FA531D"/>
    <w:rsid w:val="00FA5365"/>
    <w:rsid w:val="00FA53BE"/>
    <w:rsid w:val="00FA5412"/>
    <w:rsid w:val="00FA5421"/>
    <w:rsid w:val="00FA5489"/>
    <w:rsid w:val="00FA55B8"/>
    <w:rsid w:val="00FA5629"/>
    <w:rsid w:val="00FA56D5"/>
    <w:rsid w:val="00FA56F9"/>
    <w:rsid w:val="00FA5782"/>
    <w:rsid w:val="00FA5870"/>
    <w:rsid w:val="00FA58FC"/>
    <w:rsid w:val="00FA5964"/>
    <w:rsid w:val="00FA5A02"/>
    <w:rsid w:val="00FA5AEB"/>
    <w:rsid w:val="00FA5AF7"/>
    <w:rsid w:val="00FA5BB3"/>
    <w:rsid w:val="00FA5C57"/>
    <w:rsid w:val="00FA5D8E"/>
    <w:rsid w:val="00FA5E33"/>
    <w:rsid w:val="00FA5E7E"/>
    <w:rsid w:val="00FA5EB6"/>
    <w:rsid w:val="00FA5EE9"/>
    <w:rsid w:val="00FA5F40"/>
    <w:rsid w:val="00FA5F64"/>
    <w:rsid w:val="00FA5FCF"/>
    <w:rsid w:val="00FA60BE"/>
    <w:rsid w:val="00FA612F"/>
    <w:rsid w:val="00FA6265"/>
    <w:rsid w:val="00FA62A5"/>
    <w:rsid w:val="00FA641C"/>
    <w:rsid w:val="00FA6499"/>
    <w:rsid w:val="00FA64C9"/>
    <w:rsid w:val="00FA6533"/>
    <w:rsid w:val="00FA6682"/>
    <w:rsid w:val="00FA6683"/>
    <w:rsid w:val="00FA66E7"/>
    <w:rsid w:val="00FA685E"/>
    <w:rsid w:val="00FA68DB"/>
    <w:rsid w:val="00FA6AAD"/>
    <w:rsid w:val="00FA6B0A"/>
    <w:rsid w:val="00FA6C78"/>
    <w:rsid w:val="00FA6DAD"/>
    <w:rsid w:val="00FA6F20"/>
    <w:rsid w:val="00FA6FB0"/>
    <w:rsid w:val="00FA71ED"/>
    <w:rsid w:val="00FA71F8"/>
    <w:rsid w:val="00FA72AB"/>
    <w:rsid w:val="00FA7455"/>
    <w:rsid w:val="00FA7504"/>
    <w:rsid w:val="00FA7539"/>
    <w:rsid w:val="00FA7562"/>
    <w:rsid w:val="00FA777F"/>
    <w:rsid w:val="00FA77CE"/>
    <w:rsid w:val="00FA77F8"/>
    <w:rsid w:val="00FA7895"/>
    <w:rsid w:val="00FA78DD"/>
    <w:rsid w:val="00FA78E0"/>
    <w:rsid w:val="00FA78FD"/>
    <w:rsid w:val="00FA79E7"/>
    <w:rsid w:val="00FA7B10"/>
    <w:rsid w:val="00FA7B34"/>
    <w:rsid w:val="00FA7D8D"/>
    <w:rsid w:val="00FAA231"/>
    <w:rsid w:val="00FB007D"/>
    <w:rsid w:val="00FB0096"/>
    <w:rsid w:val="00FB009F"/>
    <w:rsid w:val="00FB00D1"/>
    <w:rsid w:val="00FB015E"/>
    <w:rsid w:val="00FB01DC"/>
    <w:rsid w:val="00FB02CD"/>
    <w:rsid w:val="00FB02FF"/>
    <w:rsid w:val="00FB033E"/>
    <w:rsid w:val="00FB047B"/>
    <w:rsid w:val="00FB0492"/>
    <w:rsid w:val="00FB04ED"/>
    <w:rsid w:val="00FB0502"/>
    <w:rsid w:val="00FB0543"/>
    <w:rsid w:val="00FB05A8"/>
    <w:rsid w:val="00FB06A7"/>
    <w:rsid w:val="00FB0732"/>
    <w:rsid w:val="00FB0820"/>
    <w:rsid w:val="00FB0881"/>
    <w:rsid w:val="00FB08D8"/>
    <w:rsid w:val="00FB0A6A"/>
    <w:rsid w:val="00FB0A93"/>
    <w:rsid w:val="00FB0C06"/>
    <w:rsid w:val="00FB0C1B"/>
    <w:rsid w:val="00FB0C81"/>
    <w:rsid w:val="00FB0D0E"/>
    <w:rsid w:val="00FB0D46"/>
    <w:rsid w:val="00FB0D73"/>
    <w:rsid w:val="00FB0D97"/>
    <w:rsid w:val="00FB0D9D"/>
    <w:rsid w:val="00FB0DCC"/>
    <w:rsid w:val="00FB0E66"/>
    <w:rsid w:val="00FB0FD4"/>
    <w:rsid w:val="00FB107B"/>
    <w:rsid w:val="00FB11B7"/>
    <w:rsid w:val="00FB122A"/>
    <w:rsid w:val="00FB1294"/>
    <w:rsid w:val="00FB12B4"/>
    <w:rsid w:val="00FB12F6"/>
    <w:rsid w:val="00FB1308"/>
    <w:rsid w:val="00FB1311"/>
    <w:rsid w:val="00FB1607"/>
    <w:rsid w:val="00FB1627"/>
    <w:rsid w:val="00FB163A"/>
    <w:rsid w:val="00FB1652"/>
    <w:rsid w:val="00FB1757"/>
    <w:rsid w:val="00FB1776"/>
    <w:rsid w:val="00FB17F4"/>
    <w:rsid w:val="00FB185F"/>
    <w:rsid w:val="00FB1869"/>
    <w:rsid w:val="00FB1909"/>
    <w:rsid w:val="00FB1934"/>
    <w:rsid w:val="00FB1991"/>
    <w:rsid w:val="00FB1AC3"/>
    <w:rsid w:val="00FB1B0D"/>
    <w:rsid w:val="00FB1BCA"/>
    <w:rsid w:val="00FB1BF6"/>
    <w:rsid w:val="00FB1C21"/>
    <w:rsid w:val="00FB1CE1"/>
    <w:rsid w:val="00FB1D75"/>
    <w:rsid w:val="00FB1DF1"/>
    <w:rsid w:val="00FB1EDE"/>
    <w:rsid w:val="00FB1F17"/>
    <w:rsid w:val="00FB2058"/>
    <w:rsid w:val="00FB2092"/>
    <w:rsid w:val="00FB20BB"/>
    <w:rsid w:val="00FB21B2"/>
    <w:rsid w:val="00FB23D3"/>
    <w:rsid w:val="00FB23D4"/>
    <w:rsid w:val="00FB2479"/>
    <w:rsid w:val="00FB24B1"/>
    <w:rsid w:val="00FB250B"/>
    <w:rsid w:val="00FB25DD"/>
    <w:rsid w:val="00FB2603"/>
    <w:rsid w:val="00FB261C"/>
    <w:rsid w:val="00FB2624"/>
    <w:rsid w:val="00FB26DF"/>
    <w:rsid w:val="00FB2748"/>
    <w:rsid w:val="00FB280D"/>
    <w:rsid w:val="00FB2958"/>
    <w:rsid w:val="00FB2B24"/>
    <w:rsid w:val="00FB2D3E"/>
    <w:rsid w:val="00FB2E82"/>
    <w:rsid w:val="00FB312B"/>
    <w:rsid w:val="00FB320F"/>
    <w:rsid w:val="00FB3423"/>
    <w:rsid w:val="00FB34EF"/>
    <w:rsid w:val="00FB355D"/>
    <w:rsid w:val="00FB356C"/>
    <w:rsid w:val="00FB35C2"/>
    <w:rsid w:val="00FB35F1"/>
    <w:rsid w:val="00FB372F"/>
    <w:rsid w:val="00FB374F"/>
    <w:rsid w:val="00FB37A7"/>
    <w:rsid w:val="00FB3850"/>
    <w:rsid w:val="00FB3888"/>
    <w:rsid w:val="00FB38AA"/>
    <w:rsid w:val="00FB3934"/>
    <w:rsid w:val="00FB397C"/>
    <w:rsid w:val="00FB39E3"/>
    <w:rsid w:val="00FB39F0"/>
    <w:rsid w:val="00FB3A66"/>
    <w:rsid w:val="00FB3A81"/>
    <w:rsid w:val="00FB3ADA"/>
    <w:rsid w:val="00FB3BFF"/>
    <w:rsid w:val="00FB3CC3"/>
    <w:rsid w:val="00FB3D83"/>
    <w:rsid w:val="00FB408F"/>
    <w:rsid w:val="00FB413A"/>
    <w:rsid w:val="00FB4243"/>
    <w:rsid w:val="00FB42B9"/>
    <w:rsid w:val="00FB4406"/>
    <w:rsid w:val="00FB444B"/>
    <w:rsid w:val="00FB44BA"/>
    <w:rsid w:val="00FB4524"/>
    <w:rsid w:val="00FB4610"/>
    <w:rsid w:val="00FB4627"/>
    <w:rsid w:val="00FB4777"/>
    <w:rsid w:val="00FB4839"/>
    <w:rsid w:val="00FB49B3"/>
    <w:rsid w:val="00FB4A01"/>
    <w:rsid w:val="00FB4AEB"/>
    <w:rsid w:val="00FB4CBC"/>
    <w:rsid w:val="00FB4CD5"/>
    <w:rsid w:val="00FB4EA3"/>
    <w:rsid w:val="00FB4EFE"/>
    <w:rsid w:val="00FB4F15"/>
    <w:rsid w:val="00FB4F68"/>
    <w:rsid w:val="00FB4FFE"/>
    <w:rsid w:val="00FB5014"/>
    <w:rsid w:val="00FB5030"/>
    <w:rsid w:val="00FB50E0"/>
    <w:rsid w:val="00FB510E"/>
    <w:rsid w:val="00FB5268"/>
    <w:rsid w:val="00FB526E"/>
    <w:rsid w:val="00FB52CD"/>
    <w:rsid w:val="00FB52DA"/>
    <w:rsid w:val="00FB537B"/>
    <w:rsid w:val="00FB5504"/>
    <w:rsid w:val="00FB555B"/>
    <w:rsid w:val="00FB5564"/>
    <w:rsid w:val="00FB55E7"/>
    <w:rsid w:val="00FB5704"/>
    <w:rsid w:val="00FB576E"/>
    <w:rsid w:val="00FB59B7"/>
    <w:rsid w:val="00FB5A57"/>
    <w:rsid w:val="00FB5C13"/>
    <w:rsid w:val="00FB5C42"/>
    <w:rsid w:val="00FB5C61"/>
    <w:rsid w:val="00FB5DB1"/>
    <w:rsid w:val="00FB5DB9"/>
    <w:rsid w:val="00FB5E02"/>
    <w:rsid w:val="00FB5E6C"/>
    <w:rsid w:val="00FB5F46"/>
    <w:rsid w:val="00FB5F49"/>
    <w:rsid w:val="00FB5F4F"/>
    <w:rsid w:val="00FB60E2"/>
    <w:rsid w:val="00FB61C8"/>
    <w:rsid w:val="00FB62B7"/>
    <w:rsid w:val="00FB6314"/>
    <w:rsid w:val="00FB63DF"/>
    <w:rsid w:val="00FB6477"/>
    <w:rsid w:val="00FB6490"/>
    <w:rsid w:val="00FB6529"/>
    <w:rsid w:val="00FB65EF"/>
    <w:rsid w:val="00FB660C"/>
    <w:rsid w:val="00FB676E"/>
    <w:rsid w:val="00FB67D0"/>
    <w:rsid w:val="00FB67F8"/>
    <w:rsid w:val="00FB6860"/>
    <w:rsid w:val="00FB68D1"/>
    <w:rsid w:val="00FB690A"/>
    <w:rsid w:val="00FB6931"/>
    <w:rsid w:val="00FB6947"/>
    <w:rsid w:val="00FB69B7"/>
    <w:rsid w:val="00FB6A20"/>
    <w:rsid w:val="00FB6AF7"/>
    <w:rsid w:val="00FB6B2F"/>
    <w:rsid w:val="00FB6B3C"/>
    <w:rsid w:val="00FB6BEC"/>
    <w:rsid w:val="00FB6C36"/>
    <w:rsid w:val="00FB6C73"/>
    <w:rsid w:val="00FB6E95"/>
    <w:rsid w:val="00FB6E9A"/>
    <w:rsid w:val="00FB6FBB"/>
    <w:rsid w:val="00FB6FBC"/>
    <w:rsid w:val="00FB6FF8"/>
    <w:rsid w:val="00FB7014"/>
    <w:rsid w:val="00FB7033"/>
    <w:rsid w:val="00FB70FD"/>
    <w:rsid w:val="00FB711A"/>
    <w:rsid w:val="00FB7180"/>
    <w:rsid w:val="00FB7206"/>
    <w:rsid w:val="00FB7221"/>
    <w:rsid w:val="00FB72BF"/>
    <w:rsid w:val="00FB72C3"/>
    <w:rsid w:val="00FB751F"/>
    <w:rsid w:val="00FB76AF"/>
    <w:rsid w:val="00FB76CC"/>
    <w:rsid w:val="00FB7749"/>
    <w:rsid w:val="00FB77F9"/>
    <w:rsid w:val="00FB7802"/>
    <w:rsid w:val="00FB7857"/>
    <w:rsid w:val="00FB787D"/>
    <w:rsid w:val="00FB789F"/>
    <w:rsid w:val="00FB7929"/>
    <w:rsid w:val="00FB7952"/>
    <w:rsid w:val="00FB7987"/>
    <w:rsid w:val="00FB7A11"/>
    <w:rsid w:val="00FB7A8F"/>
    <w:rsid w:val="00FB7BD0"/>
    <w:rsid w:val="00FB7C04"/>
    <w:rsid w:val="00FB7C35"/>
    <w:rsid w:val="00FB7C83"/>
    <w:rsid w:val="00FB7CD3"/>
    <w:rsid w:val="00FB7D53"/>
    <w:rsid w:val="00FB7D5C"/>
    <w:rsid w:val="00FB7D72"/>
    <w:rsid w:val="00FB7E19"/>
    <w:rsid w:val="00FB7E1F"/>
    <w:rsid w:val="00FB7F4E"/>
    <w:rsid w:val="00FB7F83"/>
    <w:rsid w:val="00FBC368"/>
    <w:rsid w:val="00FC00F1"/>
    <w:rsid w:val="00FC0133"/>
    <w:rsid w:val="00FC01BB"/>
    <w:rsid w:val="00FC027C"/>
    <w:rsid w:val="00FC02EA"/>
    <w:rsid w:val="00FC0424"/>
    <w:rsid w:val="00FC04D0"/>
    <w:rsid w:val="00FC04ED"/>
    <w:rsid w:val="00FC0687"/>
    <w:rsid w:val="00FC0746"/>
    <w:rsid w:val="00FC07A0"/>
    <w:rsid w:val="00FC07C3"/>
    <w:rsid w:val="00FC07E1"/>
    <w:rsid w:val="00FC0846"/>
    <w:rsid w:val="00FC086B"/>
    <w:rsid w:val="00FC093D"/>
    <w:rsid w:val="00FC0971"/>
    <w:rsid w:val="00FC0A61"/>
    <w:rsid w:val="00FC0ABA"/>
    <w:rsid w:val="00FC0B65"/>
    <w:rsid w:val="00FC0CD0"/>
    <w:rsid w:val="00FC0DB4"/>
    <w:rsid w:val="00FC0EDF"/>
    <w:rsid w:val="00FC0F43"/>
    <w:rsid w:val="00FC0F68"/>
    <w:rsid w:val="00FC1064"/>
    <w:rsid w:val="00FC1090"/>
    <w:rsid w:val="00FC10BB"/>
    <w:rsid w:val="00FC1145"/>
    <w:rsid w:val="00FC132F"/>
    <w:rsid w:val="00FC1541"/>
    <w:rsid w:val="00FC163C"/>
    <w:rsid w:val="00FC1648"/>
    <w:rsid w:val="00FC184E"/>
    <w:rsid w:val="00FC1A37"/>
    <w:rsid w:val="00FC1C28"/>
    <w:rsid w:val="00FC1CFD"/>
    <w:rsid w:val="00FC1D17"/>
    <w:rsid w:val="00FC1DA8"/>
    <w:rsid w:val="00FC1F24"/>
    <w:rsid w:val="00FC1F90"/>
    <w:rsid w:val="00FC2099"/>
    <w:rsid w:val="00FC2166"/>
    <w:rsid w:val="00FC21E8"/>
    <w:rsid w:val="00FC2205"/>
    <w:rsid w:val="00FC2270"/>
    <w:rsid w:val="00FC2292"/>
    <w:rsid w:val="00FC23C7"/>
    <w:rsid w:val="00FC246E"/>
    <w:rsid w:val="00FC248A"/>
    <w:rsid w:val="00FC248D"/>
    <w:rsid w:val="00FC2490"/>
    <w:rsid w:val="00FC2636"/>
    <w:rsid w:val="00FC264E"/>
    <w:rsid w:val="00FC2729"/>
    <w:rsid w:val="00FC2847"/>
    <w:rsid w:val="00FC28A6"/>
    <w:rsid w:val="00FC2A7C"/>
    <w:rsid w:val="00FC2BAE"/>
    <w:rsid w:val="00FC2C32"/>
    <w:rsid w:val="00FC2C33"/>
    <w:rsid w:val="00FC2D6A"/>
    <w:rsid w:val="00FC2D6B"/>
    <w:rsid w:val="00FC2E66"/>
    <w:rsid w:val="00FC2EDA"/>
    <w:rsid w:val="00FC2FF2"/>
    <w:rsid w:val="00FC3043"/>
    <w:rsid w:val="00FC3061"/>
    <w:rsid w:val="00FC3169"/>
    <w:rsid w:val="00FC332C"/>
    <w:rsid w:val="00FC3459"/>
    <w:rsid w:val="00FC3673"/>
    <w:rsid w:val="00FC3693"/>
    <w:rsid w:val="00FC36FC"/>
    <w:rsid w:val="00FC3869"/>
    <w:rsid w:val="00FC38A5"/>
    <w:rsid w:val="00FC3972"/>
    <w:rsid w:val="00FC39EA"/>
    <w:rsid w:val="00FC3B6F"/>
    <w:rsid w:val="00FC3C62"/>
    <w:rsid w:val="00FC3D14"/>
    <w:rsid w:val="00FC3D15"/>
    <w:rsid w:val="00FC3EBF"/>
    <w:rsid w:val="00FC3ECB"/>
    <w:rsid w:val="00FC3EE1"/>
    <w:rsid w:val="00FC3F1E"/>
    <w:rsid w:val="00FC3F3A"/>
    <w:rsid w:val="00FC402B"/>
    <w:rsid w:val="00FC40E2"/>
    <w:rsid w:val="00FC41D5"/>
    <w:rsid w:val="00FC43BC"/>
    <w:rsid w:val="00FC447A"/>
    <w:rsid w:val="00FC453D"/>
    <w:rsid w:val="00FC455F"/>
    <w:rsid w:val="00FC463F"/>
    <w:rsid w:val="00FC46BB"/>
    <w:rsid w:val="00FC46CD"/>
    <w:rsid w:val="00FC4708"/>
    <w:rsid w:val="00FC4761"/>
    <w:rsid w:val="00FC48FF"/>
    <w:rsid w:val="00FC4B8A"/>
    <w:rsid w:val="00FC4BCA"/>
    <w:rsid w:val="00FC4BDB"/>
    <w:rsid w:val="00FC4C4C"/>
    <w:rsid w:val="00FC4DE7"/>
    <w:rsid w:val="00FC4E2B"/>
    <w:rsid w:val="00FC4E71"/>
    <w:rsid w:val="00FC4EA9"/>
    <w:rsid w:val="00FC4EE0"/>
    <w:rsid w:val="00FC4F95"/>
    <w:rsid w:val="00FC4FC9"/>
    <w:rsid w:val="00FC5200"/>
    <w:rsid w:val="00FC526E"/>
    <w:rsid w:val="00FC52D9"/>
    <w:rsid w:val="00FC5301"/>
    <w:rsid w:val="00FC530B"/>
    <w:rsid w:val="00FC5473"/>
    <w:rsid w:val="00FC55A0"/>
    <w:rsid w:val="00FC55DA"/>
    <w:rsid w:val="00FC5723"/>
    <w:rsid w:val="00FC5775"/>
    <w:rsid w:val="00FC58B1"/>
    <w:rsid w:val="00FC59E3"/>
    <w:rsid w:val="00FC5A19"/>
    <w:rsid w:val="00FC5A49"/>
    <w:rsid w:val="00FC5B54"/>
    <w:rsid w:val="00FC5D37"/>
    <w:rsid w:val="00FC5D51"/>
    <w:rsid w:val="00FC5D63"/>
    <w:rsid w:val="00FC5E43"/>
    <w:rsid w:val="00FC5EF9"/>
    <w:rsid w:val="00FC5F41"/>
    <w:rsid w:val="00FC5F5D"/>
    <w:rsid w:val="00FC5F9E"/>
    <w:rsid w:val="00FC5FFB"/>
    <w:rsid w:val="00FC626C"/>
    <w:rsid w:val="00FC64B0"/>
    <w:rsid w:val="00FC65BA"/>
    <w:rsid w:val="00FC65D4"/>
    <w:rsid w:val="00FC65F4"/>
    <w:rsid w:val="00FC6623"/>
    <w:rsid w:val="00FC6662"/>
    <w:rsid w:val="00FC66C8"/>
    <w:rsid w:val="00FC6765"/>
    <w:rsid w:val="00FC682E"/>
    <w:rsid w:val="00FC6841"/>
    <w:rsid w:val="00FC69EE"/>
    <w:rsid w:val="00FC6A20"/>
    <w:rsid w:val="00FC6A41"/>
    <w:rsid w:val="00FC6AA5"/>
    <w:rsid w:val="00FC6B7D"/>
    <w:rsid w:val="00FC6B8A"/>
    <w:rsid w:val="00FC6DC0"/>
    <w:rsid w:val="00FC6E06"/>
    <w:rsid w:val="00FC6EAF"/>
    <w:rsid w:val="00FC6F57"/>
    <w:rsid w:val="00FC6FA3"/>
    <w:rsid w:val="00FC6FAF"/>
    <w:rsid w:val="00FC6FC7"/>
    <w:rsid w:val="00FC6FEC"/>
    <w:rsid w:val="00FC700B"/>
    <w:rsid w:val="00FC7076"/>
    <w:rsid w:val="00FC73CD"/>
    <w:rsid w:val="00FC76BD"/>
    <w:rsid w:val="00FC771F"/>
    <w:rsid w:val="00FC78E5"/>
    <w:rsid w:val="00FC79A7"/>
    <w:rsid w:val="00FC7A2E"/>
    <w:rsid w:val="00FC7A37"/>
    <w:rsid w:val="00FC7A8F"/>
    <w:rsid w:val="00FC7B73"/>
    <w:rsid w:val="00FC7BB1"/>
    <w:rsid w:val="00FC7C4A"/>
    <w:rsid w:val="00FC7C67"/>
    <w:rsid w:val="00FC7C79"/>
    <w:rsid w:val="00FC7D92"/>
    <w:rsid w:val="00FC7DC7"/>
    <w:rsid w:val="00FC7F1A"/>
    <w:rsid w:val="00FC7F58"/>
    <w:rsid w:val="00FC7FC9"/>
    <w:rsid w:val="00FD0018"/>
    <w:rsid w:val="00FD008A"/>
    <w:rsid w:val="00FD00F8"/>
    <w:rsid w:val="00FD01E6"/>
    <w:rsid w:val="00FD034F"/>
    <w:rsid w:val="00FD0358"/>
    <w:rsid w:val="00FD037F"/>
    <w:rsid w:val="00FD0399"/>
    <w:rsid w:val="00FD03ED"/>
    <w:rsid w:val="00FD04A9"/>
    <w:rsid w:val="00FD0671"/>
    <w:rsid w:val="00FD068C"/>
    <w:rsid w:val="00FD0704"/>
    <w:rsid w:val="00FD07C1"/>
    <w:rsid w:val="00FD094F"/>
    <w:rsid w:val="00FD0973"/>
    <w:rsid w:val="00FD09C8"/>
    <w:rsid w:val="00FD09D4"/>
    <w:rsid w:val="00FD09E9"/>
    <w:rsid w:val="00FD0A07"/>
    <w:rsid w:val="00FD0C16"/>
    <w:rsid w:val="00FD0C45"/>
    <w:rsid w:val="00FD0CA7"/>
    <w:rsid w:val="00FD0D89"/>
    <w:rsid w:val="00FD0E7F"/>
    <w:rsid w:val="00FD1034"/>
    <w:rsid w:val="00FD1159"/>
    <w:rsid w:val="00FD1161"/>
    <w:rsid w:val="00FD1175"/>
    <w:rsid w:val="00FD1176"/>
    <w:rsid w:val="00FD117A"/>
    <w:rsid w:val="00FD12E3"/>
    <w:rsid w:val="00FD1458"/>
    <w:rsid w:val="00FD1488"/>
    <w:rsid w:val="00FD14A7"/>
    <w:rsid w:val="00FD14CC"/>
    <w:rsid w:val="00FD1512"/>
    <w:rsid w:val="00FD153E"/>
    <w:rsid w:val="00FD1608"/>
    <w:rsid w:val="00FD1626"/>
    <w:rsid w:val="00FD1687"/>
    <w:rsid w:val="00FD169E"/>
    <w:rsid w:val="00FD1803"/>
    <w:rsid w:val="00FD18AA"/>
    <w:rsid w:val="00FD18C8"/>
    <w:rsid w:val="00FD1A5A"/>
    <w:rsid w:val="00FD1A61"/>
    <w:rsid w:val="00FD1CFE"/>
    <w:rsid w:val="00FD1E74"/>
    <w:rsid w:val="00FD1EBE"/>
    <w:rsid w:val="00FD1FFA"/>
    <w:rsid w:val="00FD1FFD"/>
    <w:rsid w:val="00FD218A"/>
    <w:rsid w:val="00FD2190"/>
    <w:rsid w:val="00FD21B4"/>
    <w:rsid w:val="00FD2244"/>
    <w:rsid w:val="00FD2400"/>
    <w:rsid w:val="00FD2403"/>
    <w:rsid w:val="00FD24A7"/>
    <w:rsid w:val="00FD24B5"/>
    <w:rsid w:val="00FD2508"/>
    <w:rsid w:val="00FD25D2"/>
    <w:rsid w:val="00FD265D"/>
    <w:rsid w:val="00FD27EE"/>
    <w:rsid w:val="00FD285A"/>
    <w:rsid w:val="00FD2862"/>
    <w:rsid w:val="00FD2965"/>
    <w:rsid w:val="00FD299A"/>
    <w:rsid w:val="00FD29DC"/>
    <w:rsid w:val="00FD2A8D"/>
    <w:rsid w:val="00FD2A97"/>
    <w:rsid w:val="00FD2A9F"/>
    <w:rsid w:val="00FD2CBD"/>
    <w:rsid w:val="00FD2D13"/>
    <w:rsid w:val="00FD2D3B"/>
    <w:rsid w:val="00FD2D76"/>
    <w:rsid w:val="00FD2EC8"/>
    <w:rsid w:val="00FD2EDB"/>
    <w:rsid w:val="00FD2EED"/>
    <w:rsid w:val="00FD31A9"/>
    <w:rsid w:val="00FD337F"/>
    <w:rsid w:val="00FD346C"/>
    <w:rsid w:val="00FD347E"/>
    <w:rsid w:val="00FD35E8"/>
    <w:rsid w:val="00FD35F5"/>
    <w:rsid w:val="00FD36FD"/>
    <w:rsid w:val="00FD36FF"/>
    <w:rsid w:val="00FD3711"/>
    <w:rsid w:val="00FD38FC"/>
    <w:rsid w:val="00FD3907"/>
    <w:rsid w:val="00FD3A11"/>
    <w:rsid w:val="00FD3AEF"/>
    <w:rsid w:val="00FD3B53"/>
    <w:rsid w:val="00FD3C15"/>
    <w:rsid w:val="00FD3D20"/>
    <w:rsid w:val="00FD3D71"/>
    <w:rsid w:val="00FD3E3E"/>
    <w:rsid w:val="00FD3FA4"/>
    <w:rsid w:val="00FD3FC1"/>
    <w:rsid w:val="00FD4192"/>
    <w:rsid w:val="00FD4402"/>
    <w:rsid w:val="00FD4587"/>
    <w:rsid w:val="00FD45B2"/>
    <w:rsid w:val="00FD45CD"/>
    <w:rsid w:val="00FD45FA"/>
    <w:rsid w:val="00FD464D"/>
    <w:rsid w:val="00FD4927"/>
    <w:rsid w:val="00FD4B11"/>
    <w:rsid w:val="00FD4CEE"/>
    <w:rsid w:val="00FD4D3E"/>
    <w:rsid w:val="00FD4DC5"/>
    <w:rsid w:val="00FD4E92"/>
    <w:rsid w:val="00FD4F0A"/>
    <w:rsid w:val="00FD4F22"/>
    <w:rsid w:val="00FD4F4F"/>
    <w:rsid w:val="00FD50B1"/>
    <w:rsid w:val="00FD50B2"/>
    <w:rsid w:val="00FD50BA"/>
    <w:rsid w:val="00FD5140"/>
    <w:rsid w:val="00FD5169"/>
    <w:rsid w:val="00FD51A9"/>
    <w:rsid w:val="00FD51C0"/>
    <w:rsid w:val="00FD5269"/>
    <w:rsid w:val="00FD52B2"/>
    <w:rsid w:val="00FD52F7"/>
    <w:rsid w:val="00FD53D5"/>
    <w:rsid w:val="00FD53F8"/>
    <w:rsid w:val="00FD5436"/>
    <w:rsid w:val="00FD5450"/>
    <w:rsid w:val="00FD548F"/>
    <w:rsid w:val="00FD550B"/>
    <w:rsid w:val="00FD554B"/>
    <w:rsid w:val="00FD55E4"/>
    <w:rsid w:val="00FD560A"/>
    <w:rsid w:val="00FD5618"/>
    <w:rsid w:val="00FD5702"/>
    <w:rsid w:val="00FD5706"/>
    <w:rsid w:val="00FD578D"/>
    <w:rsid w:val="00FD5866"/>
    <w:rsid w:val="00FD5878"/>
    <w:rsid w:val="00FD59CE"/>
    <w:rsid w:val="00FD5A47"/>
    <w:rsid w:val="00FD5C71"/>
    <w:rsid w:val="00FD5C9D"/>
    <w:rsid w:val="00FD5E68"/>
    <w:rsid w:val="00FD5E73"/>
    <w:rsid w:val="00FD614B"/>
    <w:rsid w:val="00FD61A3"/>
    <w:rsid w:val="00FD623C"/>
    <w:rsid w:val="00FD63B5"/>
    <w:rsid w:val="00FD649C"/>
    <w:rsid w:val="00FD681C"/>
    <w:rsid w:val="00FD688C"/>
    <w:rsid w:val="00FD68AA"/>
    <w:rsid w:val="00FD6941"/>
    <w:rsid w:val="00FD6ADF"/>
    <w:rsid w:val="00FD6BEE"/>
    <w:rsid w:val="00FD6CDB"/>
    <w:rsid w:val="00FD6D08"/>
    <w:rsid w:val="00FD6D28"/>
    <w:rsid w:val="00FD6E0F"/>
    <w:rsid w:val="00FD7019"/>
    <w:rsid w:val="00FD70F5"/>
    <w:rsid w:val="00FD7145"/>
    <w:rsid w:val="00FD72EE"/>
    <w:rsid w:val="00FD73E5"/>
    <w:rsid w:val="00FD7448"/>
    <w:rsid w:val="00FD7635"/>
    <w:rsid w:val="00FD76C5"/>
    <w:rsid w:val="00FD77E4"/>
    <w:rsid w:val="00FD783E"/>
    <w:rsid w:val="00FD7848"/>
    <w:rsid w:val="00FD7888"/>
    <w:rsid w:val="00FD7889"/>
    <w:rsid w:val="00FD78D1"/>
    <w:rsid w:val="00FD7A48"/>
    <w:rsid w:val="00FD7C38"/>
    <w:rsid w:val="00FD7C71"/>
    <w:rsid w:val="00FD7E1D"/>
    <w:rsid w:val="00FD7EFD"/>
    <w:rsid w:val="00FD7F95"/>
    <w:rsid w:val="00FD7FD9"/>
    <w:rsid w:val="00FE0041"/>
    <w:rsid w:val="00FE01EE"/>
    <w:rsid w:val="00FE0408"/>
    <w:rsid w:val="00FE0505"/>
    <w:rsid w:val="00FE054E"/>
    <w:rsid w:val="00FE057A"/>
    <w:rsid w:val="00FE057C"/>
    <w:rsid w:val="00FE058C"/>
    <w:rsid w:val="00FE07AF"/>
    <w:rsid w:val="00FE0879"/>
    <w:rsid w:val="00FE08BE"/>
    <w:rsid w:val="00FE09E7"/>
    <w:rsid w:val="00FE0AA7"/>
    <w:rsid w:val="00FE0B79"/>
    <w:rsid w:val="00FE0BDD"/>
    <w:rsid w:val="00FE0BFF"/>
    <w:rsid w:val="00FE0E7F"/>
    <w:rsid w:val="00FE0ED3"/>
    <w:rsid w:val="00FE0F0D"/>
    <w:rsid w:val="00FE112E"/>
    <w:rsid w:val="00FE12B2"/>
    <w:rsid w:val="00FE13A8"/>
    <w:rsid w:val="00FE140A"/>
    <w:rsid w:val="00FE14CC"/>
    <w:rsid w:val="00FE14F9"/>
    <w:rsid w:val="00FE15F5"/>
    <w:rsid w:val="00FE16EF"/>
    <w:rsid w:val="00FE1730"/>
    <w:rsid w:val="00FE1822"/>
    <w:rsid w:val="00FE18F1"/>
    <w:rsid w:val="00FE19F0"/>
    <w:rsid w:val="00FE19F9"/>
    <w:rsid w:val="00FE1A6B"/>
    <w:rsid w:val="00FE1A8E"/>
    <w:rsid w:val="00FE1AFB"/>
    <w:rsid w:val="00FE1B9D"/>
    <w:rsid w:val="00FE1BA1"/>
    <w:rsid w:val="00FE1BEE"/>
    <w:rsid w:val="00FE1C07"/>
    <w:rsid w:val="00FE1C7E"/>
    <w:rsid w:val="00FE1F12"/>
    <w:rsid w:val="00FE202C"/>
    <w:rsid w:val="00FE2035"/>
    <w:rsid w:val="00FE21C4"/>
    <w:rsid w:val="00FE21FB"/>
    <w:rsid w:val="00FE21FD"/>
    <w:rsid w:val="00FE2259"/>
    <w:rsid w:val="00FE22E3"/>
    <w:rsid w:val="00FE2387"/>
    <w:rsid w:val="00FE2414"/>
    <w:rsid w:val="00FE243C"/>
    <w:rsid w:val="00FE2597"/>
    <w:rsid w:val="00FE25D3"/>
    <w:rsid w:val="00FE2659"/>
    <w:rsid w:val="00FE2700"/>
    <w:rsid w:val="00FE2706"/>
    <w:rsid w:val="00FE2745"/>
    <w:rsid w:val="00FE281E"/>
    <w:rsid w:val="00FE284E"/>
    <w:rsid w:val="00FE28B5"/>
    <w:rsid w:val="00FE2975"/>
    <w:rsid w:val="00FE2B0C"/>
    <w:rsid w:val="00FE2BED"/>
    <w:rsid w:val="00FE2C80"/>
    <w:rsid w:val="00FE2D0C"/>
    <w:rsid w:val="00FE30B9"/>
    <w:rsid w:val="00FE30C4"/>
    <w:rsid w:val="00FE31A6"/>
    <w:rsid w:val="00FE3200"/>
    <w:rsid w:val="00FE3254"/>
    <w:rsid w:val="00FE32AA"/>
    <w:rsid w:val="00FE346E"/>
    <w:rsid w:val="00FE351D"/>
    <w:rsid w:val="00FE35DC"/>
    <w:rsid w:val="00FE37BA"/>
    <w:rsid w:val="00FE3989"/>
    <w:rsid w:val="00FE39C0"/>
    <w:rsid w:val="00FE3BBB"/>
    <w:rsid w:val="00FE3D03"/>
    <w:rsid w:val="00FE3D76"/>
    <w:rsid w:val="00FE3D89"/>
    <w:rsid w:val="00FE3E27"/>
    <w:rsid w:val="00FE3E68"/>
    <w:rsid w:val="00FE3EBA"/>
    <w:rsid w:val="00FE3EE3"/>
    <w:rsid w:val="00FE3F24"/>
    <w:rsid w:val="00FE3F89"/>
    <w:rsid w:val="00FE4054"/>
    <w:rsid w:val="00FE40F2"/>
    <w:rsid w:val="00FE425B"/>
    <w:rsid w:val="00FE4347"/>
    <w:rsid w:val="00FE4446"/>
    <w:rsid w:val="00FE44C9"/>
    <w:rsid w:val="00FE457A"/>
    <w:rsid w:val="00FE4590"/>
    <w:rsid w:val="00FE46E4"/>
    <w:rsid w:val="00FE47BE"/>
    <w:rsid w:val="00FE49A9"/>
    <w:rsid w:val="00FE49B9"/>
    <w:rsid w:val="00FE4B5C"/>
    <w:rsid w:val="00FE4BD2"/>
    <w:rsid w:val="00FE4D9C"/>
    <w:rsid w:val="00FE4E34"/>
    <w:rsid w:val="00FE4E67"/>
    <w:rsid w:val="00FE4EA6"/>
    <w:rsid w:val="00FE4F24"/>
    <w:rsid w:val="00FE4F92"/>
    <w:rsid w:val="00FE4FFC"/>
    <w:rsid w:val="00FE51A1"/>
    <w:rsid w:val="00FE51C4"/>
    <w:rsid w:val="00FE51C6"/>
    <w:rsid w:val="00FE5330"/>
    <w:rsid w:val="00FE534C"/>
    <w:rsid w:val="00FE540B"/>
    <w:rsid w:val="00FE5446"/>
    <w:rsid w:val="00FE5560"/>
    <w:rsid w:val="00FE57DD"/>
    <w:rsid w:val="00FE58BC"/>
    <w:rsid w:val="00FE5ABE"/>
    <w:rsid w:val="00FE5B47"/>
    <w:rsid w:val="00FE5D06"/>
    <w:rsid w:val="00FE5D40"/>
    <w:rsid w:val="00FE5DD2"/>
    <w:rsid w:val="00FE5E0C"/>
    <w:rsid w:val="00FE5ECA"/>
    <w:rsid w:val="00FE60B4"/>
    <w:rsid w:val="00FE6173"/>
    <w:rsid w:val="00FE6281"/>
    <w:rsid w:val="00FE68AD"/>
    <w:rsid w:val="00FE6951"/>
    <w:rsid w:val="00FE6966"/>
    <w:rsid w:val="00FE69EC"/>
    <w:rsid w:val="00FE6B52"/>
    <w:rsid w:val="00FE6B83"/>
    <w:rsid w:val="00FE6BA5"/>
    <w:rsid w:val="00FE6C98"/>
    <w:rsid w:val="00FE6C9A"/>
    <w:rsid w:val="00FE6D37"/>
    <w:rsid w:val="00FE6DED"/>
    <w:rsid w:val="00FE6E3A"/>
    <w:rsid w:val="00FE6F33"/>
    <w:rsid w:val="00FE6F99"/>
    <w:rsid w:val="00FE6FAD"/>
    <w:rsid w:val="00FE6FC5"/>
    <w:rsid w:val="00FE700B"/>
    <w:rsid w:val="00FE707B"/>
    <w:rsid w:val="00FE71E9"/>
    <w:rsid w:val="00FE737A"/>
    <w:rsid w:val="00FE73D4"/>
    <w:rsid w:val="00FE743A"/>
    <w:rsid w:val="00FE756B"/>
    <w:rsid w:val="00FE76C6"/>
    <w:rsid w:val="00FE776C"/>
    <w:rsid w:val="00FE788C"/>
    <w:rsid w:val="00FE7A29"/>
    <w:rsid w:val="00FE7B9C"/>
    <w:rsid w:val="00FE7C23"/>
    <w:rsid w:val="00FE7C56"/>
    <w:rsid w:val="00FE7CFF"/>
    <w:rsid w:val="00FE7E25"/>
    <w:rsid w:val="00FF000D"/>
    <w:rsid w:val="00FF000F"/>
    <w:rsid w:val="00FF0034"/>
    <w:rsid w:val="00FF0076"/>
    <w:rsid w:val="00FF00C9"/>
    <w:rsid w:val="00FF00CE"/>
    <w:rsid w:val="00FF022A"/>
    <w:rsid w:val="00FF0271"/>
    <w:rsid w:val="00FF02A9"/>
    <w:rsid w:val="00FF08AE"/>
    <w:rsid w:val="00FF08B7"/>
    <w:rsid w:val="00FF0A01"/>
    <w:rsid w:val="00FF0A26"/>
    <w:rsid w:val="00FF0B9B"/>
    <w:rsid w:val="00FF0C9B"/>
    <w:rsid w:val="00FF0D4C"/>
    <w:rsid w:val="00FF0D5F"/>
    <w:rsid w:val="00FF0D72"/>
    <w:rsid w:val="00FF0E4E"/>
    <w:rsid w:val="00FF0F2D"/>
    <w:rsid w:val="00FF1039"/>
    <w:rsid w:val="00FF124B"/>
    <w:rsid w:val="00FF1409"/>
    <w:rsid w:val="00FF1412"/>
    <w:rsid w:val="00FF1487"/>
    <w:rsid w:val="00FF14F7"/>
    <w:rsid w:val="00FF15CB"/>
    <w:rsid w:val="00FF1730"/>
    <w:rsid w:val="00FF184C"/>
    <w:rsid w:val="00FF18CB"/>
    <w:rsid w:val="00FF18F3"/>
    <w:rsid w:val="00FF19D8"/>
    <w:rsid w:val="00FF1A50"/>
    <w:rsid w:val="00FF1A7D"/>
    <w:rsid w:val="00FF1BF5"/>
    <w:rsid w:val="00FF1C11"/>
    <w:rsid w:val="00FF1CB2"/>
    <w:rsid w:val="00FF1DCB"/>
    <w:rsid w:val="00FF1F1F"/>
    <w:rsid w:val="00FF2093"/>
    <w:rsid w:val="00FF20FD"/>
    <w:rsid w:val="00FF214D"/>
    <w:rsid w:val="00FF227D"/>
    <w:rsid w:val="00FF22F7"/>
    <w:rsid w:val="00FF2369"/>
    <w:rsid w:val="00FF2400"/>
    <w:rsid w:val="00FF255A"/>
    <w:rsid w:val="00FF2800"/>
    <w:rsid w:val="00FF28B2"/>
    <w:rsid w:val="00FF2912"/>
    <w:rsid w:val="00FF2915"/>
    <w:rsid w:val="00FF2935"/>
    <w:rsid w:val="00FF2A12"/>
    <w:rsid w:val="00FF2C53"/>
    <w:rsid w:val="00FF2C74"/>
    <w:rsid w:val="00FF2C77"/>
    <w:rsid w:val="00FF2C8C"/>
    <w:rsid w:val="00FF2CFE"/>
    <w:rsid w:val="00FF2D50"/>
    <w:rsid w:val="00FF2E3C"/>
    <w:rsid w:val="00FF2F16"/>
    <w:rsid w:val="00FF2F7E"/>
    <w:rsid w:val="00FF3120"/>
    <w:rsid w:val="00FF3197"/>
    <w:rsid w:val="00FF3258"/>
    <w:rsid w:val="00FF3344"/>
    <w:rsid w:val="00FF3455"/>
    <w:rsid w:val="00FF3491"/>
    <w:rsid w:val="00FF354F"/>
    <w:rsid w:val="00FF3564"/>
    <w:rsid w:val="00FF3615"/>
    <w:rsid w:val="00FF3648"/>
    <w:rsid w:val="00FF36CA"/>
    <w:rsid w:val="00FF38F9"/>
    <w:rsid w:val="00FF3935"/>
    <w:rsid w:val="00FF3B2A"/>
    <w:rsid w:val="00FF3B2B"/>
    <w:rsid w:val="00FF3B70"/>
    <w:rsid w:val="00FF3BFB"/>
    <w:rsid w:val="00FF3C18"/>
    <w:rsid w:val="00FF3C73"/>
    <w:rsid w:val="00FF3CA8"/>
    <w:rsid w:val="00FF3DA9"/>
    <w:rsid w:val="00FF3E7C"/>
    <w:rsid w:val="00FF3ED4"/>
    <w:rsid w:val="00FF40F0"/>
    <w:rsid w:val="00FF4229"/>
    <w:rsid w:val="00FF425E"/>
    <w:rsid w:val="00FF438C"/>
    <w:rsid w:val="00FF44CA"/>
    <w:rsid w:val="00FF4510"/>
    <w:rsid w:val="00FF4677"/>
    <w:rsid w:val="00FF4777"/>
    <w:rsid w:val="00FF4A76"/>
    <w:rsid w:val="00FF4AEC"/>
    <w:rsid w:val="00FF4AF4"/>
    <w:rsid w:val="00FF4C53"/>
    <w:rsid w:val="00FF4D00"/>
    <w:rsid w:val="00FF4D03"/>
    <w:rsid w:val="00FF4D9E"/>
    <w:rsid w:val="00FF50F6"/>
    <w:rsid w:val="00FF5181"/>
    <w:rsid w:val="00FF5187"/>
    <w:rsid w:val="00FF5248"/>
    <w:rsid w:val="00FF52F3"/>
    <w:rsid w:val="00FF539B"/>
    <w:rsid w:val="00FF552A"/>
    <w:rsid w:val="00FF569B"/>
    <w:rsid w:val="00FF5715"/>
    <w:rsid w:val="00FF586F"/>
    <w:rsid w:val="00FF5978"/>
    <w:rsid w:val="00FF597B"/>
    <w:rsid w:val="00FF5BB2"/>
    <w:rsid w:val="00FF5BD3"/>
    <w:rsid w:val="00FF5BE3"/>
    <w:rsid w:val="00FF5C09"/>
    <w:rsid w:val="00FF5C9A"/>
    <w:rsid w:val="00FF5CBA"/>
    <w:rsid w:val="00FF5DDD"/>
    <w:rsid w:val="00FF5F56"/>
    <w:rsid w:val="00FF5FF7"/>
    <w:rsid w:val="00FF6089"/>
    <w:rsid w:val="00FF60B7"/>
    <w:rsid w:val="00FF60C9"/>
    <w:rsid w:val="00FF6120"/>
    <w:rsid w:val="00FF61F0"/>
    <w:rsid w:val="00FF628E"/>
    <w:rsid w:val="00FF62B5"/>
    <w:rsid w:val="00FF62DE"/>
    <w:rsid w:val="00FF6370"/>
    <w:rsid w:val="00FF637D"/>
    <w:rsid w:val="00FF63DD"/>
    <w:rsid w:val="00FF6493"/>
    <w:rsid w:val="00FF655A"/>
    <w:rsid w:val="00FF6783"/>
    <w:rsid w:val="00FF68ED"/>
    <w:rsid w:val="00FF6BE4"/>
    <w:rsid w:val="00FF6C04"/>
    <w:rsid w:val="00FF6C42"/>
    <w:rsid w:val="00FF6D22"/>
    <w:rsid w:val="00FF6DE7"/>
    <w:rsid w:val="00FF6E16"/>
    <w:rsid w:val="00FF6E1B"/>
    <w:rsid w:val="00FF6E30"/>
    <w:rsid w:val="00FF6F44"/>
    <w:rsid w:val="00FF6FF8"/>
    <w:rsid w:val="00FF70A8"/>
    <w:rsid w:val="00FF7131"/>
    <w:rsid w:val="00FF7137"/>
    <w:rsid w:val="00FF71EA"/>
    <w:rsid w:val="00FF7237"/>
    <w:rsid w:val="00FF723E"/>
    <w:rsid w:val="00FF72EA"/>
    <w:rsid w:val="00FF7517"/>
    <w:rsid w:val="00FF7538"/>
    <w:rsid w:val="00FF7551"/>
    <w:rsid w:val="00FF756F"/>
    <w:rsid w:val="00FF75D8"/>
    <w:rsid w:val="00FF75D9"/>
    <w:rsid w:val="00FF7769"/>
    <w:rsid w:val="00FF78AA"/>
    <w:rsid w:val="00FF7961"/>
    <w:rsid w:val="00FF7A0A"/>
    <w:rsid w:val="00FF7A1A"/>
    <w:rsid w:val="00FF7ADD"/>
    <w:rsid w:val="00FF7AF9"/>
    <w:rsid w:val="00FF7AFE"/>
    <w:rsid w:val="00FF7C8F"/>
    <w:rsid w:val="00FF7CD9"/>
    <w:rsid w:val="00FF7D46"/>
    <w:rsid w:val="00FF7DDB"/>
    <w:rsid w:val="00FF7E4E"/>
    <w:rsid w:val="00FF7F2F"/>
    <w:rsid w:val="0102BA19"/>
    <w:rsid w:val="0103637E"/>
    <w:rsid w:val="0109C669"/>
    <w:rsid w:val="010EED8B"/>
    <w:rsid w:val="01163249"/>
    <w:rsid w:val="01185D11"/>
    <w:rsid w:val="011A516B"/>
    <w:rsid w:val="011DE1F4"/>
    <w:rsid w:val="011F27B1"/>
    <w:rsid w:val="0120839D"/>
    <w:rsid w:val="01247620"/>
    <w:rsid w:val="012A134A"/>
    <w:rsid w:val="012C00F6"/>
    <w:rsid w:val="012F6345"/>
    <w:rsid w:val="012FF6F4"/>
    <w:rsid w:val="0130736C"/>
    <w:rsid w:val="013471DA"/>
    <w:rsid w:val="013E7372"/>
    <w:rsid w:val="01513295"/>
    <w:rsid w:val="01543460"/>
    <w:rsid w:val="01575665"/>
    <w:rsid w:val="015D6653"/>
    <w:rsid w:val="016AC616"/>
    <w:rsid w:val="016B89E9"/>
    <w:rsid w:val="01796E95"/>
    <w:rsid w:val="017ACAFB"/>
    <w:rsid w:val="017CC3E9"/>
    <w:rsid w:val="017CD866"/>
    <w:rsid w:val="017DAB4C"/>
    <w:rsid w:val="0180D225"/>
    <w:rsid w:val="018B0D9F"/>
    <w:rsid w:val="018B1E82"/>
    <w:rsid w:val="018D401F"/>
    <w:rsid w:val="0190C10A"/>
    <w:rsid w:val="0195FDFC"/>
    <w:rsid w:val="019B353C"/>
    <w:rsid w:val="01A14447"/>
    <w:rsid w:val="01A95EA0"/>
    <w:rsid w:val="01AAC007"/>
    <w:rsid w:val="01ACE3D5"/>
    <w:rsid w:val="01AE19C9"/>
    <w:rsid w:val="01B2496A"/>
    <w:rsid w:val="01B2E4FC"/>
    <w:rsid w:val="01B57DA9"/>
    <w:rsid w:val="01B907EC"/>
    <w:rsid w:val="01BC0FDB"/>
    <w:rsid w:val="01BEC10F"/>
    <w:rsid w:val="01C12467"/>
    <w:rsid w:val="01C5B7A7"/>
    <w:rsid w:val="01C5FD9C"/>
    <w:rsid w:val="01C7B30F"/>
    <w:rsid w:val="01C9BA8B"/>
    <w:rsid w:val="01CA600D"/>
    <w:rsid w:val="01CAB0EE"/>
    <w:rsid w:val="01CF2B66"/>
    <w:rsid w:val="01D0B88D"/>
    <w:rsid w:val="01D5DCA3"/>
    <w:rsid w:val="01D7043E"/>
    <w:rsid w:val="01D8D35E"/>
    <w:rsid w:val="01DA102B"/>
    <w:rsid w:val="01DC02BE"/>
    <w:rsid w:val="01DE532A"/>
    <w:rsid w:val="01DF737B"/>
    <w:rsid w:val="01DFC808"/>
    <w:rsid w:val="01E76E5E"/>
    <w:rsid w:val="01EA11A9"/>
    <w:rsid w:val="01F0B0C3"/>
    <w:rsid w:val="01F17411"/>
    <w:rsid w:val="01F28FB3"/>
    <w:rsid w:val="01F2CD13"/>
    <w:rsid w:val="01F3C847"/>
    <w:rsid w:val="01F9D95D"/>
    <w:rsid w:val="01FC3837"/>
    <w:rsid w:val="02001727"/>
    <w:rsid w:val="0202EDD8"/>
    <w:rsid w:val="0204F7AB"/>
    <w:rsid w:val="020CE6D5"/>
    <w:rsid w:val="020D7A24"/>
    <w:rsid w:val="020EF9DE"/>
    <w:rsid w:val="021225A5"/>
    <w:rsid w:val="02138809"/>
    <w:rsid w:val="0213B65C"/>
    <w:rsid w:val="02195EE3"/>
    <w:rsid w:val="021CF3EF"/>
    <w:rsid w:val="021D2F8B"/>
    <w:rsid w:val="022112C5"/>
    <w:rsid w:val="02244D02"/>
    <w:rsid w:val="02253477"/>
    <w:rsid w:val="02262838"/>
    <w:rsid w:val="02279562"/>
    <w:rsid w:val="02287C21"/>
    <w:rsid w:val="022A8AAE"/>
    <w:rsid w:val="02339A70"/>
    <w:rsid w:val="023A2575"/>
    <w:rsid w:val="023ABED1"/>
    <w:rsid w:val="023DF995"/>
    <w:rsid w:val="023E803C"/>
    <w:rsid w:val="023E9144"/>
    <w:rsid w:val="02414D6C"/>
    <w:rsid w:val="02415619"/>
    <w:rsid w:val="02437C67"/>
    <w:rsid w:val="0246B111"/>
    <w:rsid w:val="0248F887"/>
    <w:rsid w:val="024E309F"/>
    <w:rsid w:val="024E4F55"/>
    <w:rsid w:val="02540ABE"/>
    <w:rsid w:val="02565469"/>
    <w:rsid w:val="02580292"/>
    <w:rsid w:val="025AA7F5"/>
    <w:rsid w:val="0264C815"/>
    <w:rsid w:val="0265784B"/>
    <w:rsid w:val="02693559"/>
    <w:rsid w:val="026C37A5"/>
    <w:rsid w:val="02741D69"/>
    <w:rsid w:val="02781B0A"/>
    <w:rsid w:val="02795267"/>
    <w:rsid w:val="0279EBC1"/>
    <w:rsid w:val="0288E680"/>
    <w:rsid w:val="0288E89D"/>
    <w:rsid w:val="028A114E"/>
    <w:rsid w:val="0290A047"/>
    <w:rsid w:val="029313D6"/>
    <w:rsid w:val="029630A1"/>
    <w:rsid w:val="02990F08"/>
    <w:rsid w:val="029AA553"/>
    <w:rsid w:val="029C6ADD"/>
    <w:rsid w:val="029D1C4D"/>
    <w:rsid w:val="029D7A8B"/>
    <w:rsid w:val="02A01D17"/>
    <w:rsid w:val="02A1D547"/>
    <w:rsid w:val="02A2D578"/>
    <w:rsid w:val="02A31700"/>
    <w:rsid w:val="02A47343"/>
    <w:rsid w:val="02A7828E"/>
    <w:rsid w:val="02AB266E"/>
    <w:rsid w:val="02AF970F"/>
    <w:rsid w:val="02B2C85D"/>
    <w:rsid w:val="02B2F7B6"/>
    <w:rsid w:val="02B60C74"/>
    <w:rsid w:val="02B76896"/>
    <w:rsid w:val="02B96883"/>
    <w:rsid w:val="02BC802E"/>
    <w:rsid w:val="02BCBF88"/>
    <w:rsid w:val="02BFD7A8"/>
    <w:rsid w:val="02C1A9EC"/>
    <w:rsid w:val="02C2C2F3"/>
    <w:rsid w:val="02C6A064"/>
    <w:rsid w:val="02C6C796"/>
    <w:rsid w:val="02C98D0B"/>
    <w:rsid w:val="02D26E69"/>
    <w:rsid w:val="02D34644"/>
    <w:rsid w:val="02D40E99"/>
    <w:rsid w:val="02D58375"/>
    <w:rsid w:val="02D99EA3"/>
    <w:rsid w:val="02DDACF0"/>
    <w:rsid w:val="02E2E1BD"/>
    <w:rsid w:val="02E38A47"/>
    <w:rsid w:val="02E45262"/>
    <w:rsid w:val="02E57726"/>
    <w:rsid w:val="02E5ED97"/>
    <w:rsid w:val="02E7C31B"/>
    <w:rsid w:val="02E9E1E6"/>
    <w:rsid w:val="02EB21ED"/>
    <w:rsid w:val="02EDB572"/>
    <w:rsid w:val="02EE218D"/>
    <w:rsid w:val="02EF1B87"/>
    <w:rsid w:val="02F1A216"/>
    <w:rsid w:val="02F26FE0"/>
    <w:rsid w:val="02F55F5E"/>
    <w:rsid w:val="02F6C142"/>
    <w:rsid w:val="02F7A5A1"/>
    <w:rsid w:val="02F94E2D"/>
    <w:rsid w:val="02FCDDB4"/>
    <w:rsid w:val="02FFA1D2"/>
    <w:rsid w:val="03007B22"/>
    <w:rsid w:val="030723CF"/>
    <w:rsid w:val="031063BA"/>
    <w:rsid w:val="03147ABA"/>
    <w:rsid w:val="03147FF7"/>
    <w:rsid w:val="03182E6C"/>
    <w:rsid w:val="031C1F04"/>
    <w:rsid w:val="031CA033"/>
    <w:rsid w:val="031E14DD"/>
    <w:rsid w:val="031F57B0"/>
    <w:rsid w:val="032436DA"/>
    <w:rsid w:val="033E6192"/>
    <w:rsid w:val="03401CAB"/>
    <w:rsid w:val="03477FA8"/>
    <w:rsid w:val="03480227"/>
    <w:rsid w:val="034EAC18"/>
    <w:rsid w:val="0355C0B5"/>
    <w:rsid w:val="0358748D"/>
    <w:rsid w:val="03588E93"/>
    <w:rsid w:val="035AAD9E"/>
    <w:rsid w:val="035E399B"/>
    <w:rsid w:val="036046B9"/>
    <w:rsid w:val="03664C6F"/>
    <w:rsid w:val="0366FBE3"/>
    <w:rsid w:val="0369056D"/>
    <w:rsid w:val="036DAEAE"/>
    <w:rsid w:val="036EC5B4"/>
    <w:rsid w:val="036FA621"/>
    <w:rsid w:val="0370D428"/>
    <w:rsid w:val="0371CA3D"/>
    <w:rsid w:val="0376275E"/>
    <w:rsid w:val="037C3D00"/>
    <w:rsid w:val="0382D231"/>
    <w:rsid w:val="03857259"/>
    <w:rsid w:val="0385F573"/>
    <w:rsid w:val="03864C2C"/>
    <w:rsid w:val="03886068"/>
    <w:rsid w:val="038C8658"/>
    <w:rsid w:val="03952524"/>
    <w:rsid w:val="03971B02"/>
    <w:rsid w:val="0398B8DF"/>
    <w:rsid w:val="039AAFB8"/>
    <w:rsid w:val="039E892B"/>
    <w:rsid w:val="039EB872"/>
    <w:rsid w:val="03A69A3D"/>
    <w:rsid w:val="03A71AA2"/>
    <w:rsid w:val="03AAD053"/>
    <w:rsid w:val="03B0957F"/>
    <w:rsid w:val="03B0BE1D"/>
    <w:rsid w:val="03B1206A"/>
    <w:rsid w:val="03B43DBB"/>
    <w:rsid w:val="03B52661"/>
    <w:rsid w:val="03B5A16C"/>
    <w:rsid w:val="03B7ED85"/>
    <w:rsid w:val="03B8AAB5"/>
    <w:rsid w:val="03BA5E75"/>
    <w:rsid w:val="03BDEAE6"/>
    <w:rsid w:val="03BF7784"/>
    <w:rsid w:val="03C02708"/>
    <w:rsid w:val="03C1FEF2"/>
    <w:rsid w:val="03C39479"/>
    <w:rsid w:val="03C61B4E"/>
    <w:rsid w:val="03C807A9"/>
    <w:rsid w:val="03C95A31"/>
    <w:rsid w:val="03CB5F7C"/>
    <w:rsid w:val="03D28C92"/>
    <w:rsid w:val="03D3448D"/>
    <w:rsid w:val="03D64D93"/>
    <w:rsid w:val="03D8F898"/>
    <w:rsid w:val="03E0D60A"/>
    <w:rsid w:val="03E2D746"/>
    <w:rsid w:val="03EC510E"/>
    <w:rsid w:val="03EEC8DD"/>
    <w:rsid w:val="03F55C32"/>
    <w:rsid w:val="03FA4881"/>
    <w:rsid w:val="03FB43F1"/>
    <w:rsid w:val="03FB61BD"/>
    <w:rsid w:val="03FFC04C"/>
    <w:rsid w:val="0400BC83"/>
    <w:rsid w:val="04020EFE"/>
    <w:rsid w:val="04038B6D"/>
    <w:rsid w:val="0403C889"/>
    <w:rsid w:val="0403E280"/>
    <w:rsid w:val="040510E0"/>
    <w:rsid w:val="0405A6F1"/>
    <w:rsid w:val="04089D29"/>
    <w:rsid w:val="040CF374"/>
    <w:rsid w:val="040F93CC"/>
    <w:rsid w:val="0412768F"/>
    <w:rsid w:val="0412866E"/>
    <w:rsid w:val="0413109E"/>
    <w:rsid w:val="04141304"/>
    <w:rsid w:val="041CDCE4"/>
    <w:rsid w:val="041EE6F0"/>
    <w:rsid w:val="041F3C6F"/>
    <w:rsid w:val="0426804E"/>
    <w:rsid w:val="04271AFC"/>
    <w:rsid w:val="042799BE"/>
    <w:rsid w:val="042EFADF"/>
    <w:rsid w:val="043522AD"/>
    <w:rsid w:val="043852CC"/>
    <w:rsid w:val="043A0771"/>
    <w:rsid w:val="043A58E3"/>
    <w:rsid w:val="043C196F"/>
    <w:rsid w:val="0440099C"/>
    <w:rsid w:val="0440E293"/>
    <w:rsid w:val="044496F2"/>
    <w:rsid w:val="04463EB6"/>
    <w:rsid w:val="044CB3F6"/>
    <w:rsid w:val="044E927F"/>
    <w:rsid w:val="0453F795"/>
    <w:rsid w:val="0457262A"/>
    <w:rsid w:val="0458A040"/>
    <w:rsid w:val="0459EE50"/>
    <w:rsid w:val="045C4B14"/>
    <w:rsid w:val="045CA21E"/>
    <w:rsid w:val="0461BF35"/>
    <w:rsid w:val="0463D530"/>
    <w:rsid w:val="0469112B"/>
    <w:rsid w:val="04776977"/>
    <w:rsid w:val="047E637E"/>
    <w:rsid w:val="0481FCEE"/>
    <w:rsid w:val="04827D56"/>
    <w:rsid w:val="0485EA29"/>
    <w:rsid w:val="04874A3E"/>
    <w:rsid w:val="04892725"/>
    <w:rsid w:val="048E0D89"/>
    <w:rsid w:val="048EDEDB"/>
    <w:rsid w:val="048FE841"/>
    <w:rsid w:val="04908008"/>
    <w:rsid w:val="04981754"/>
    <w:rsid w:val="049A51F2"/>
    <w:rsid w:val="049BE398"/>
    <w:rsid w:val="04A02301"/>
    <w:rsid w:val="04A0C285"/>
    <w:rsid w:val="04AE5486"/>
    <w:rsid w:val="04AE6B1F"/>
    <w:rsid w:val="04B3EB80"/>
    <w:rsid w:val="04BC9C3F"/>
    <w:rsid w:val="04C751B1"/>
    <w:rsid w:val="04C7C0EB"/>
    <w:rsid w:val="04C82795"/>
    <w:rsid w:val="04CDBF6E"/>
    <w:rsid w:val="04D1F863"/>
    <w:rsid w:val="04D587A1"/>
    <w:rsid w:val="04D7A9B9"/>
    <w:rsid w:val="04DA6AC4"/>
    <w:rsid w:val="04DC5F70"/>
    <w:rsid w:val="04DD3119"/>
    <w:rsid w:val="04DF138F"/>
    <w:rsid w:val="04E28901"/>
    <w:rsid w:val="04E584A1"/>
    <w:rsid w:val="04EE3E2E"/>
    <w:rsid w:val="04F46F54"/>
    <w:rsid w:val="04F73A68"/>
    <w:rsid w:val="04FA1A7E"/>
    <w:rsid w:val="04FD7A20"/>
    <w:rsid w:val="05045C80"/>
    <w:rsid w:val="05048340"/>
    <w:rsid w:val="050AE070"/>
    <w:rsid w:val="050E8C97"/>
    <w:rsid w:val="050F0DFF"/>
    <w:rsid w:val="0511A72C"/>
    <w:rsid w:val="051293DE"/>
    <w:rsid w:val="0514A062"/>
    <w:rsid w:val="0516D740"/>
    <w:rsid w:val="0516FC5D"/>
    <w:rsid w:val="051B7699"/>
    <w:rsid w:val="051BB41F"/>
    <w:rsid w:val="0533A33B"/>
    <w:rsid w:val="053FCC13"/>
    <w:rsid w:val="0544CB8D"/>
    <w:rsid w:val="0545778E"/>
    <w:rsid w:val="05481262"/>
    <w:rsid w:val="054891BD"/>
    <w:rsid w:val="0548E98A"/>
    <w:rsid w:val="05591D21"/>
    <w:rsid w:val="055BFEAB"/>
    <w:rsid w:val="055DF069"/>
    <w:rsid w:val="055ECF5C"/>
    <w:rsid w:val="05617CED"/>
    <w:rsid w:val="05621019"/>
    <w:rsid w:val="05647F1B"/>
    <w:rsid w:val="0566742F"/>
    <w:rsid w:val="056EEEFA"/>
    <w:rsid w:val="0574F0D9"/>
    <w:rsid w:val="0578EC22"/>
    <w:rsid w:val="057991AA"/>
    <w:rsid w:val="057A6F39"/>
    <w:rsid w:val="057C6498"/>
    <w:rsid w:val="057DE121"/>
    <w:rsid w:val="0585D44E"/>
    <w:rsid w:val="05883C17"/>
    <w:rsid w:val="058FBF4C"/>
    <w:rsid w:val="05904E62"/>
    <w:rsid w:val="0590AEB3"/>
    <w:rsid w:val="0592BC5A"/>
    <w:rsid w:val="059AC87D"/>
    <w:rsid w:val="059C1476"/>
    <w:rsid w:val="05A4C985"/>
    <w:rsid w:val="05A651BE"/>
    <w:rsid w:val="05A753E9"/>
    <w:rsid w:val="05A922F8"/>
    <w:rsid w:val="05AB5831"/>
    <w:rsid w:val="05AEA8DA"/>
    <w:rsid w:val="05B25935"/>
    <w:rsid w:val="05B47D84"/>
    <w:rsid w:val="05B4DA6A"/>
    <w:rsid w:val="05BC9381"/>
    <w:rsid w:val="05C156E2"/>
    <w:rsid w:val="05C1DDB6"/>
    <w:rsid w:val="05C290B6"/>
    <w:rsid w:val="05C3924F"/>
    <w:rsid w:val="05C9CF71"/>
    <w:rsid w:val="05CA9018"/>
    <w:rsid w:val="05D1D1CF"/>
    <w:rsid w:val="05D26DDC"/>
    <w:rsid w:val="05D5E13D"/>
    <w:rsid w:val="05D5E696"/>
    <w:rsid w:val="05E331E5"/>
    <w:rsid w:val="05E49121"/>
    <w:rsid w:val="05E89BB9"/>
    <w:rsid w:val="05EDC144"/>
    <w:rsid w:val="05EDDD73"/>
    <w:rsid w:val="05F1EBD2"/>
    <w:rsid w:val="05F23C8C"/>
    <w:rsid w:val="05F5F3FA"/>
    <w:rsid w:val="05F648F5"/>
    <w:rsid w:val="05F7A80A"/>
    <w:rsid w:val="05F986B0"/>
    <w:rsid w:val="05FA53EE"/>
    <w:rsid w:val="06042D05"/>
    <w:rsid w:val="06061186"/>
    <w:rsid w:val="0607C541"/>
    <w:rsid w:val="060A3E33"/>
    <w:rsid w:val="0614E4EA"/>
    <w:rsid w:val="0619EB68"/>
    <w:rsid w:val="0619F33C"/>
    <w:rsid w:val="06262A68"/>
    <w:rsid w:val="0627921A"/>
    <w:rsid w:val="062C552C"/>
    <w:rsid w:val="062FDED4"/>
    <w:rsid w:val="0630552B"/>
    <w:rsid w:val="0631379E"/>
    <w:rsid w:val="063708CC"/>
    <w:rsid w:val="0637B945"/>
    <w:rsid w:val="063CA900"/>
    <w:rsid w:val="063E8369"/>
    <w:rsid w:val="063FE39B"/>
    <w:rsid w:val="064388E3"/>
    <w:rsid w:val="0643E63E"/>
    <w:rsid w:val="064AF8F9"/>
    <w:rsid w:val="064D5A0D"/>
    <w:rsid w:val="064E8E61"/>
    <w:rsid w:val="0650F90A"/>
    <w:rsid w:val="0652B85A"/>
    <w:rsid w:val="065356EA"/>
    <w:rsid w:val="06563A24"/>
    <w:rsid w:val="06570F1A"/>
    <w:rsid w:val="065C4A43"/>
    <w:rsid w:val="0662E2DB"/>
    <w:rsid w:val="0663AF4B"/>
    <w:rsid w:val="0666EF25"/>
    <w:rsid w:val="0667A047"/>
    <w:rsid w:val="06712A65"/>
    <w:rsid w:val="06735D4E"/>
    <w:rsid w:val="06764382"/>
    <w:rsid w:val="067DA4FA"/>
    <w:rsid w:val="067DCC5A"/>
    <w:rsid w:val="0681BB46"/>
    <w:rsid w:val="0682B98E"/>
    <w:rsid w:val="06857E1F"/>
    <w:rsid w:val="0686F0D6"/>
    <w:rsid w:val="06884380"/>
    <w:rsid w:val="068A6E33"/>
    <w:rsid w:val="068EF9E9"/>
    <w:rsid w:val="068F9B51"/>
    <w:rsid w:val="06919CB4"/>
    <w:rsid w:val="06934659"/>
    <w:rsid w:val="069FF384"/>
    <w:rsid w:val="06A139F8"/>
    <w:rsid w:val="06A28CD6"/>
    <w:rsid w:val="06A4FCA5"/>
    <w:rsid w:val="06AA0639"/>
    <w:rsid w:val="06AB3936"/>
    <w:rsid w:val="06AD9EE3"/>
    <w:rsid w:val="06AE321A"/>
    <w:rsid w:val="06B0414E"/>
    <w:rsid w:val="06B1F762"/>
    <w:rsid w:val="06B616AE"/>
    <w:rsid w:val="06B84B5C"/>
    <w:rsid w:val="06BD1A56"/>
    <w:rsid w:val="06BEF936"/>
    <w:rsid w:val="06C24BC6"/>
    <w:rsid w:val="06C8126D"/>
    <w:rsid w:val="06CC1129"/>
    <w:rsid w:val="06CF880E"/>
    <w:rsid w:val="06D1B739"/>
    <w:rsid w:val="06D345B5"/>
    <w:rsid w:val="06D71C53"/>
    <w:rsid w:val="06D746A6"/>
    <w:rsid w:val="06D7EBB7"/>
    <w:rsid w:val="06D85A31"/>
    <w:rsid w:val="06D9CA9A"/>
    <w:rsid w:val="06DEEA93"/>
    <w:rsid w:val="06E1932D"/>
    <w:rsid w:val="06E95354"/>
    <w:rsid w:val="06EAD5B8"/>
    <w:rsid w:val="06F2C4F4"/>
    <w:rsid w:val="06F4672E"/>
    <w:rsid w:val="07009889"/>
    <w:rsid w:val="0703AF7C"/>
    <w:rsid w:val="07046F7A"/>
    <w:rsid w:val="070763B1"/>
    <w:rsid w:val="070A5B4C"/>
    <w:rsid w:val="070BBEF7"/>
    <w:rsid w:val="070E507F"/>
    <w:rsid w:val="0711125F"/>
    <w:rsid w:val="07195120"/>
    <w:rsid w:val="0719CB1F"/>
    <w:rsid w:val="071A635E"/>
    <w:rsid w:val="071AF4A9"/>
    <w:rsid w:val="071EA7E1"/>
    <w:rsid w:val="07207B24"/>
    <w:rsid w:val="07221D34"/>
    <w:rsid w:val="07254B3D"/>
    <w:rsid w:val="072A687E"/>
    <w:rsid w:val="072E950D"/>
    <w:rsid w:val="072F6AD7"/>
    <w:rsid w:val="07304504"/>
    <w:rsid w:val="0730D552"/>
    <w:rsid w:val="07349D63"/>
    <w:rsid w:val="07352C42"/>
    <w:rsid w:val="0737D857"/>
    <w:rsid w:val="0737E9BB"/>
    <w:rsid w:val="073849A3"/>
    <w:rsid w:val="073B8C63"/>
    <w:rsid w:val="073D6E71"/>
    <w:rsid w:val="074475EA"/>
    <w:rsid w:val="07467FE1"/>
    <w:rsid w:val="07468F5D"/>
    <w:rsid w:val="07480FD3"/>
    <w:rsid w:val="0749DB05"/>
    <w:rsid w:val="074C6FFC"/>
    <w:rsid w:val="07508E13"/>
    <w:rsid w:val="0753715A"/>
    <w:rsid w:val="075569DE"/>
    <w:rsid w:val="075821EC"/>
    <w:rsid w:val="075961CB"/>
    <w:rsid w:val="0759BFCC"/>
    <w:rsid w:val="07602E2C"/>
    <w:rsid w:val="0764A335"/>
    <w:rsid w:val="0768395B"/>
    <w:rsid w:val="076CD6DB"/>
    <w:rsid w:val="076CE703"/>
    <w:rsid w:val="076D27F5"/>
    <w:rsid w:val="076E06BE"/>
    <w:rsid w:val="076FC50A"/>
    <w:rsid w:val="0770B1D4"/>
    <w:rsid w:val="0771ACD4"/>
    <w:rsid w:val="077A088F"/>
    <w:rsid w:val="07811B0A"/>
    <w:rsid w:val="07825E04"/>
    <w:rsid w:val="07850B19"/>
    <w:rsid w:val="078602D3"/>
    <w:rsid w:val="0787BDAF"/>
    <w:rsid w:val="078ABC32"/>
    <w:rsid w:val="078EEE75"/>
    <w:rsid w:val="078F1182"/>
    <w:rsid w:val="07935008"/>
    <w:rsid w:val="07947D4C"/>
    <w:rsid w:val="079574CE"/>
    <w:rsid w:val="079AED47"/>
    <w:rsid w:val="079B72E4"/>
    <w:rsid w:val="079B958A"/>
    <w:rsid w:val="079C05E9"/>
    <w:rsid w:val="07A08124"/>
    <w:rsid w:val="07A11D7C"/>
    <w:rsid w:val="07A535BF"/>
    <w:rsid w:val="07A858EE"/>
    <w:rsid w:val="07AAA9EC"/>
    <w:rsid w:val="07ABDD14"/>
    <w:rsid w:val="07AC6A26"/>
    <w:rsid w:val="07AEED39"/>
    <w:rsid w:val="07B5987E"/>
    <w:rsid w:val="07BC1A04"/>
    <w:rsid w:val="07BC6683"/>
    <w:rsid w:val="07BDA7F7"/>
    <w:rsid w:val="07BF2350"/>
    <w:rsid w:val="07C495A1"/>
    <w:rsid w:val="07C9F511"/>
    <w:rsid w:val="07D382AC"/>
    <w:rsid w:val="07D5C248"/>
    <w:rsid w:val="07D73577"/>
    <w:rsid w:val="07DA8D0A"/>
    <w:rsid w:val="07DB5067"/>
    <w:rsid w:val="07E214B5"/>
    <w:rsid w:val="07EDE1F1"/>
    <w:rsid w:val="07EF5FB8"/>
    <w:rsid w:val="07F919A1"/>
    <w:rsid w:val="07F95181"/>
    <w:rsid w:val="07FB28D5"/>
    <w:rsid w:val="07FC45C8"/>
    <w:rsid w:val="08026E2A"/>
    <w:rsid w:val="080670B0"/>
    <w:rsid w:val="080E6463"/>
    <w:rsid w:val="080F31A8"/>
    <w:rsid w:val="0810F7D8"/>
    <w:rsid w:val="0811487C"/>
    <w:rsid w:val="08115F57"/>
    <w:rsid w:val="0811DBCD"/>
    <w:rsid w:val="0818F8A8"/>
    <w:rsid w:val="0819BAC5"/>
    <w:rsid w:val="081A5AD9"/>
    <w:rsid w:val="081B82BE"/>
    <w:rsid w:val="081CF8DE"/>
    <w:rsid w:val="08221B5C"/>
    <w:rsid w:val="08222E30"/>
    <w:rsid w:val="082318CC"/>
    <w:rsid w:val="082641DF"/>
    <w:rsid w:val="08288773"/>
    <w:rsid w:val="082B10FD"/>
    <w:rsid w:val="082ED44C"/>
    <w:rsid w:val="0832ECC0"/>
    <w:rsid w:val="083591E1"/>
    <w:rsid w:val="0838ED8E"/>
    <w:rsid w:val="0839FAB2"/>
    <w:rsid w:val="083EA76A"/>
    <w:rsid w:val="0840FC01"/>
    <w:rsid w:val="0844F176"/>
    <w:rsid w:val="0845AEEF"/>
    <w:rsid w:val="0847D06B"/>
    <w:rsid w:val="084838F0"/>
    <w:rsid w:val="084EA102"/>
    <w:rsid w:val="0850B58D"/>
    <w:rsid w:val="0850DD75"/>
    <w:rsid w:val="0852E2F2"/>
    <w:rsid w:val="08533274"/>
    <w:rsid w:val="0859A794"/>
    <w:rsid w:val="085CED35"/>
    <w:rsid w:val="085D34E8"/>
    <w:rsid w:val="085EEDCA"/>
    <w:rsid w:val="0862980D"/>
    <w:rsid w:val="0863AA04"/>
    <w:rsid w:val="08699793"/>
    <w:rsid w:val="0869AE94"/>
    <w:rsid w:val="086F4497"/>
    <w:rsid w:val="0870697C"/>
    <w:rsid w:val="087304C6"/>
    <w:rsid w:val="08743E43"/>
    <w:rsid w:val="0874DF39"/>
    <w:rsid w:val="08771032"/>
    <w:rsid w:val="0878FBB1"/>
    <w:rsid w:val="087CDA3A"/>
    <w:rsid w:val="087ED0A2"/>
    <w:rsid w:val="087F25D8"/>
    <w:rsid w:val="087F7B31"/>
    <w:rsid w:val="087F9C72"/>
    <w:rsid w:val="08833027"/>
    <w:rsid w:val="0883DE47"/>
    <w:rsid w:val="088E9CDF"/>
    <w:rsid w:val="088F0D7E"/>
    <w:rsid w:val="0890CB78"/>
    <w:rsid w:val="0894109F"/>
    <w:rsid w:val="0894B34A"/>
    <w:rsid w:val="0895A01E"/>
    <w:rsid w:val="089F8CFF"/>
    <w:rsid w:val="08A6EB6D"/>
    <w:rsid w:val="08A7CFB7"/>
    <w:rsid w:val="08A9165F"/>
    <w:rsid w:val="08ACDA21"/>
    <w:rsid w:val="08B02B26"/>
    <w:rsid w:val="08B04DE2"/>
    <w:rsid w:val="08B51C1F"/>
    <w:rsid w:val="08B57D14"/>
    <w:rsid w:val="08B677AA"/>
    <w:rsid w:val="08B71416"/>
    <w:rsid w:val="08B7A9ED"/>
    <w:rsid w:val="08BD0757"/>
    <w:rsid w:val="08BFBE01"/>
    <w:rsid w:val="08C048DB"/>
    <w:rsid w:val="08C0ADC5"/>
    <w:rsid w:val="08C43ADC"/>
    <w:rsid w:val="08C6BD17"/>
    <w:rsid w:val="08C7297C"/>
    <w:rsid w:val="08C876BB"/>
    <w:rsid w:val="08C8D131"/>
    <w:rsid w:val="08C9BFF1"/>
    <w:rsid w:val="08D19799"/>
    <w:rsid w:val="08D51FB7"/>
    <w:rsid w:val="08D55D3C"/>
    <w:rsid w:val="08D7508E"/>
    <w:rsid w:val="08D82E6E"/>
    <w:rsid w:val="08D9CD76"/>
    <w:rsid w:val="08DB427F"/>
    <w:rsid w:val="08E1A08F"/>
    <w:rsid w:val="08E2514C"/>
    <w:rsid w:val="08E26B3C"/>
    <w:rsid w:val="08E429CA"/>
    <w:rsid w:val="08E64A8B"/>
    <w:rsid w:val="08E6981B"/>
    <w:rsid w:val="08E77DD3"/>
    <w:rsid w:val="08E98C99"/>
    <w:rsid w:val="08F07FCB"/>
    <w:rsid w:val="08F82464"/>
    <w:rsid w:val="08F9C61A"/>
    <w:rsid w:val="08FDD09A"/>
    <w:rsid w:val="09025133"/>
    <w:rsid w:val="0902CB34"/>
    <w:rsid w:val="090A6445"/>
    <w:rsid w:val="090D32A7"/>
    <w:rsid w:val="0912E6BA"/>
    <w:rsid w:val="0914C473"/>
    <w:rsid w:val="09155860"/>
    <w:rsid w:val="09164601"/>
    <w:rsid w:val="0916B468"/>
    <w:rsid w:val="09196998"/>
    <w:rsid w:val="091B9842"/>
    <w:rsid w:val="091C2E40"/>
    <w:rsid w:val="091CE7E2"/>
    <w:rsid w:val="0925B8D4"/>
    <w:rsid w:val="092804E1"/>
    <w:rsid w:val="092D4613"/>
    <w:rsid w:val="092E3426"/>
    <w:rsid w:val="0931D5A1"/>
    <w:rsid w:val="09353AA4"/>
    <w:rsid w:val="093DA649"/>
    <w:rsid w:val="093E3358"/>
    <w:rsid w:val="09428A6C"/>
    <w:rsid w:val="0944B8FD"/>
    <w:rsid w:val="094AA8D2"/>
    <w:rsid w:val="094FF2C8"/>
    <w:rsid w:val="0955B0CA"/>
    <w:rsid w:val="09575775"/>
    <w:rsid w:val="095A221F"/>
    <w:rsid w:val="095AFE81"/>
    <w:rsid w:val="095D8E4B"/>
    <w:rsid w:val="095EC494"/>
    <w:rsid w:val="0960F448"/>
    <w:rsid w:val="09675DC7"/>
    <w:rsid w:val="096CB0A0"/>
    <w:rsid w:val="096E8638"/>
    <w:rsid w:val="0971571C"/>
    <w:rsid w:val="0973EA6B"/>
    <w:rsid w:val="09776837"/>
    <w:rsid w:val="0977C3B3"/>
    <w:rsid w:val="097B695E"/>
    <w:rsid w:val="09805265"/>
    <w:rsid w:val="098210FD"/>
    <w:rsid w:val="0987AF82"/>
    <w:rsid w:val="098EC245"/>
    <w:rsid w:val="098F6836"/>
    <w:rsid w:val="098FC29B"/>
    <w:rsid w:val="099305BE"/>
    <w:rsid w:val="099BBAE2"/>
    <w:rsid w:val="099BD1DC"/>
    <w:rsid w:val="099D027F"/>
    <w:rsid w:val="099EF907"/>
    <w:rsid w:val="09A3413B"/>
    <w:rsid w:val="09A87081"/>
    <w:rsid w:val="09AD586B"/>
    <w:rsid w:val="09AFF9D1"/>
    <w:rsid w:val="09B1C5FE"/>
    <w:rsid w:val="09B1E0D8"/>
    <w:rsid w:val="09B1FCF2"/>
    <w:rsid w:val="09B98E36"/>
    <w:rsid w:val="09BAD6A0"/>
    <w:rsid w:val="09BF03DF"/>
    <w:rsid w:val="09C56D25"/>
    <w:rsid w:val="09CB7386"/>
    <w:rsid w:val="09CCA9E4"/>
    <w:rsid w:val="09D774CD"/>
    <w:rsid w:val="09D92B9A"/>
    <w:rsid w:val="09E043E4"/>
    <w:rsid w:val="09E1DB99"/>
    <w:rsid w:val="09E6323C"/>
    <w:rsid w:val="09E8BE19"/>
    <w:rsid w:val="09E97956"/>
    <w:rsid w:val="09EEA52F"/>
    <w:rsid w:val="09F73E35"/>
    <w:rsid w:val="09F8F600"/>
    <w:rsid w:val="09F96F3D"/>
    <w:rsid w:val="09FA6746"/>
    <w:rsid w:val="09FC04DF"/>
    <w:rsid w:val="09FFE280"/>
    <w:rsid w:val="0A00296A"/>
    <w:rsid w:val="0A0C6C7A"/>
    <w:rsid w:val="0A0D84D7"/>
    <w:rsid w:val="0A11072B"/>
    <w:rsid w:val="0A18FF39"/>
    <w:rsid w:val="0A1B5092"/>
    <w:rsid w:val="0A1BD6E5"/>
    <w:rsid w:val="0A1CCDB9"/>
    <w:rsid w:val="0A24AA7F"/>
    <w:rsid w:val="0A2720F5"/>
    <w:rsid w:val="0A28A4EA"/>
    <w:rsid w:val="0A2B779D"/>
    <w:rsid w:val="0A34D5D2"/>
    <w:rsid w:val="0A362FA9"/>
    <w:rsid w:val="0A397247"/>
    <w:rsid w:val="0A39E64F"/>
    <w:rsid w:val="0A3DCDDD"/>
    <w:rsid w:val="0A41BED5"/>
    <w:rsid w:val="0A49A5E8"/>
    <w:rsid w:val="0A4B61A4"/>
    <w:rsid w:val="0A4CEEE4"/>
    <w:rsid w:val="0A4D8510"/>
    <w:rsid w:val="0A59A209"/>
    <w:rsid w:val="0A5A5ED0"/>
    <w:rsid w:val="0A5ACB5E"/>
    <w:rsid w:val="0A5AEC6D"/>
    <w:rsid w:val="0A5C2AE9"/>
    <w:rsid w:val="0A6AEA84"/>
    <w:rsid w:val="0A6AECC5"/>
    <w:rsid w:val="0A6B971D"/>
    <w:rsid w:val="0A6CEF36"/>
    <w:rsid w:val="0A6DCCCE"/>
    <w:rsid w:val="0A6E5930"/>
    <w:rsid w:val="0A719794"/>
    <w:rsid w:val="0A7CC138"/>
    <w:rsid w:val="0A7D349D"/>
    <w:rsid w:val="0A7DEED2"/>
    <w:rsid w:val="0A7FE124"/>
    <w:rsid w:val="0A808E3A"/>
    <w:rsid w:val="0A83F578"/>
    <w:rsid w:val="0A851648"/>
    <w:rsid w:val="0A86FC62"/>
    <w:rsid w:val="0A87A250"/>
    <w:rsid w:val="0A891C6E"/>
    <w:rsid w:val="0A989F3A"/>
    <w:rsid w:val="0A9A202A"/>
    <w:rsid w:val="0A9E6BE7"/>
    <w:rsid w:val="0AA05D2F"/>
    <w:rsid w:val="0AA26B2C"/>
    <w:rsid w:val="0AA2D3D5"/>
    <w:rsid w:val="0AA4EFC2"/>
    <w:rsid w:val="0AA59770"/>
    <w:rsid w:val="0AA9C616"/>
    <w:rsid w:val="0AAADE80"/>
    <w:rsid w:val="0AB7EDB1"/>
    <w:rsid w:val="0ABC6068"/>
    <w:rsid w:val="0ABDB952"/>
    <w:rsid w:val="0AC51625"/>
    <w:rsid w:val="0ACD864B"/>
    <w:rsid w:val="0ACE506C"/>
    <w:rsid w:val="0AD098BE"/>
    <w:rsid w:val="0AD16DA9"/>
    <w:rsid w:val="0AD4EB4E"/>
    <w:rsid w:val="0AD6296E"/>
    <w:rsid w:val="0ADDD160"/>
    <w:rsid w:val="0ADF0097"/>
    <w:rsid w:val="0AE6EC27"/>
    <w:rsid w:val="0AE9AD43"/>
    <w:rsid w:val="0AEAC1E7"/>
    <w:rsid w:val="0AEB7B60"/>
    <w:rsid w:val="0AEF6DA0"/>
    <w:rsid w:val="0AF22DB3"/>
    <w:rsid w:val="0AF26199"/>
    <w:rsid w:val="0AF679E8"/>
    <w:rsid w:val="0AF7C209"/>
    <w:rsid w:val="0AF7D6CD"/>
    <w:rsid w:val="0AFA5D98"/>
    <w:rsid w:val="0AFC2AA6"/>
    <w:rsid w:val="0B02DE11"/>
    <w:rsid w:val="0B03D5D1"/>
    <w:rsid w:val="0B05ABA9"/>
    <w:rsid w:val="0B0B437E"/>
    <w:rsid w:val="0B0E2587"/>
    <w:rsid w:val="0B0ECB7A"/>
    <w:rsid w:val="0B101E76"/>
    <w:rsid w:val="0B11F334"/>
    <w:rsid w:val="0B131771"/>
    <w:rsid w:val="0B15687E"/>
    <w:rsid w:val="0B191031"/>
    <w:rsid w:val="0B1ACB88"/>
    <w:rsid w:val="0B2293D9"/>
    <w:rsid w:val="0B30A768"/>
    <w:rsid w:val="0B34A3A2"/>
    <w:rsid w:val="0B35B808"/>
    <w:rsid w:val="0B37A636"/>
    <w:rsid w:val="0B3AC004"/>
    <w:rsid w:val="0B3ECE98"/>
    <w:rsid w:val="0B400647"/>
    <w:rsid w:val="0B409D3A"/>
    <w:rsid w:val="0B43B193"/>
    <w:rsid w:val="0B4ECC18"/>
    <w:rsid w:val="0B518FA7"/>
    <w:rsid w:val="0B62348B"/>
    <w:rsid w:val="0B638743"/>
    <w:rsid w:val="0B63CF11"/>
    <w:rsid w:val="0B64F7F7"/>
    <w:rsid w:val="0B67B7F4"/>
    <w:rsid w:val="0B69CA96"/>
    <w:rsid w:val="0B69CBE6"/>
    <w:rsid w:val="0B6F7E5C"/>
    <w:rsid w:val="0B6FD708"/>
    <w:rsid w:val="0B738E2E"/>
    <w:rsid w:val="0B74B3A2"/>
    <w:rsid w:val="0B79450D"/>
    <w:rsid w:val="0B7958FE"/>
    <w:rsid w:val="0B7AD186"/>
    <w:rsid w:val="0B7B8956"/>
    <w:rsid w:val="0B7C6AC5"/>
    <w:rsid w:val="0B7CF394"/>
    <w:rsid w:val="0B81DD24"/>
    <w:rsid w:val="0B81FF6B"/>
    <w:rsid w:val="0B877253"/>
    <w:rsid w:val="0B906F5E"/>
    <w:rsid w:val="0B9120D8"/>
    <w:rsid w:val="0B952605"/>
    <w:rsid w:val="0B996C6E"/>
    <w:rsid w:val="0B9B9489"/>
    <w:rsid w:val="0BA6ED88"/>
    <w:rsid w:val="0BA920F7"/>
    <w:rsid w:val="0BA9797F"/>
    <w:rsid w:val="0BAAC0E3"/>
    <w:rsid w:val="0BAB9B03"/>
    <w:rsid w:val="0BABE376"/>
    <w:rsid w:val="0BAEC594"/>
    <w:rsid w:val="0BB90D2E"/>
    <w:rsid w:val="0BBFCFC0"/>
    <w:rsid w:val="0BC473EB"/>
    <w:rsid w:val="0BC649C4"/>
    <w:rsid w:val="0BC761AF"/>
    <w:rsid w:val="0BC7EB7D"/>
    <w:rsid w:val="0BC8AF1F"/>
    <w:rsid w:val="0BC95B1A"/>
    <w:rsid w:val="0BCCA429"/>
    <w:rsid w:val="0BD1BAA9"/>
    <w:rsid w:val="0BD4C76B"/>
    <w:rsid w:val="0BDE8248"/>
    <w:rsid w:val="0BE524A5"/>
    <w:rsid w:val="0BE8AFCE"/>
    <w:rsid w:val="0BE8CAEA"/>
    <w:rsid w:val="0BEDC5A6"/>
    <w:rsid w:val="0BF0EF02"/>
    <w:rsid w:val="0BF557D1"/>
    <w:rsid w:val="0BF5FA08"/>
    <w:rsid w:val="0BF8C7FE"/>
    <w:rsid w:val="0BFCDA4C"/>
    <w:rsid w:val="0BFD97D7"/>
    <w:rsid w:val="0C018E2F"/>
    <w:rsid w:val="0C04144E"/>
    <w:rsid w:val="0C06AD88"/>
    <w:rsid w:val="0C0961EC"/>
    <w:rsid w:val="0C0E7972"/>
    <w:rsid w:val="0C14DD6B"/>
    <w:rsid w:val="0C17A07B"/>
    <w:rsid w:val="0C1D3EB1"/>
    <w:rsid w:val="0C1FB567"/>
    <w:rsid w:val="0C235A08"/>
    <w:rsid w:val="0C2530F4"/>
    <w:rsid w:val="0C257A73"/>
    <w:rsid w:val="0C2BFA99"/>
    <w:rsid w:val="0C31D05E"/>
    <w:rsid w:val="0C323BD7"/>
    <w:rsid w:val="0C378114"/>
    <w:rsid w:val="0C3E739F"/>
    <w:rsid w:val="0C3FAC48"/>
    <w:rsid w:val="0C4007F0"/>
    <w:rsid w:val="0C405A83"/>
    <w:rsid w:val="0C417C95"/>
    <w:rsid w:val="0C436BF9"/>
    <w:rsid w:val="0C4C1066"/>
    <w:rsid w:val="0C4C2A53"/>
    <w:rsid w:val="0C4F2F12"/>
    <w:rsid w:val="0C50AB2E"/>
    <w:rsid w:val="0C54DF15"/>
    <w:rsid w:val="0C5B7FA9"/>
    <w:rsid w:val="0C5EAAE8"/>
    <w:rsid w:val="0C627654"/>
    <w:rsid w:val="0C629FC3"/>
    <w:rsid w:val="0C6875E8"/>
    <w:rsid w:val="0C6BB572"/>
    <w:rsid w:val="0C7090F4"/>
    <w:rsid w:val="0C70968A"/>
    <w:rsid w:val="0C72091A"/>
    <w:rsid w:val="0C72492E"/>
    <w:rsid w:val="0C755C0A"/>
    <w:rsid w:val="0C761600"/>
    <w:rsid w:val="0C7B2CA5"/>
    <w:rsid w:val="0C80042C"/>
    <w:rsid w:val="0C8162EC"/>
    <w:rsid w:val="0C821B1B"/>
    <w:rsid w:val="0C85C8B9"/>
    <w:rsid w:val="0C8777B1"/>
    <w:rsid w:val="0C8B0445"/>
    <w:rsid w:val="0C8C05B2"/>
    <w:rsid w:val="0C8CC6B0"/>
    <w:rsid w:val="0C8FB0B0"/>
    <w:rsid w:val="0C90D6EF"/>
    <w:rsid w:val="0C92A9D8"/>
    <w:rsid w:val="0C93F0FE"/>
    <w:rsid w:val="0C9473CF"/>
    <w:rsid w:val="0C9549F1"/>
    <w:rsid w:val="0C9C41AA"/>
    <w:rsid w:val="0C9E7C9C"/>
    <w:rsid w:val="0CA6778C"/>
    <w:rsid w:val="0CAA47F2"/>
    <w:rsid w:val="0CAC0523"/>
    <w:rsid w:val="0CAC223E"/>
    <w:rsid w:val="0CAC5DF1"/>
    <w:rsid w:val="0CACD08D"/>
    <w:rsid w:val="0CAD2783"/>
    <w:rsid w:val="0CAD7B4E"/>
    <w:rsid w:val="0CAE6463"/>
    <w:rsid w:val="0CAE7720"/>
    <w:rsid w:val="0CB451B3"/>
    <w:rsid w:val="0CB78112"/>
    <w:rsid w:val="0CBA4DF3"/>
    <w:rsid w:val="0CBBF24F"/>
    <w:rsid w:val="0CBDFC78"/>
    <w:rsid w:val="0CC12636"/>
    <w:rsid w:val="0CC24887"/>
    <w:rsid w:val="0CC906A3"/>
    <w:rsid w:val="0CCDBABD"/>
    <w:rsid w:val="0CCEE645"/>
    <w:rsid w:val="0CD1EC43"/>
    <w:rsid w:val="0CD2B187"/>
    <w:rsid w:val="0CD5A349"/>
    <w:rsid w:val="0CD65D59"/>
    <w:rsid w:val="0CD6C325"/>
    <w:rsid w:val="0CDD63FF"/>
    <w:rsid w:val="0CE41166"/>
    <w:rsid w:val="0CE8D5B1"/>
    <w:rsid w:val="0CEAF181"/>
    <w:rsid w:val="0CED1DB6"/>
    <w:rsid w:val="0CF03AC4"/>
    <w:rsid w:val="0CF0E208"/>
    <w:rsid w:val="0CF62450"/>
    <w:rsid w:val="0CF7E9FE"/>
    <w:rsid w:val="0CF89060"/>
    <w:rsid w:val="0D00F5AA"/>
    <w:rsid w:val="0D080A4C"/>
    <w:rsid w:val="0D0CD1F1"/>
    <w:rsid w:val="0D0D7F8A"/>
    <w:rsid w:val="0D0E3DA4"/>
    <w:rsid w:val="0D12A88D"/>
    <w:rsid w:val="0D137D9F"/>
    <w:rsid w:val="0D16E88F"/>
    <w:rsid w:val="0D1838E4"/>
    <w:rsid w:val="0D1CDD9F"/>
    <w:rsid w:val="0D1E01BB"/>
    <w:rsid w:val="0D1E5E6D"/>
    <w:rsid w:val="0D21FA4A"/>
    <w:rsid w:val="0D280724"/>
    <w:rsid w:val="0D28ABC8"/>
    <w:rsid w:val="0D28B0A1"/>
    <w:rsid w:val="0D28F242"/>
    <w:rsid w:val="0D33C950"/>
    <w:rsid w:val="0D3478DE"/>
    <w:rsid w:val="0D35DC22"/>
    <w:rsid w:val="0D39251E"/>
    <w:rsid w:val="0D3C4F17"/>
    <w:rsid w:val="0D40F5FC"/>
    <w:rsid w:val="0D47F88A"/>
    <w:rsid w:val="0D4DF794"/>
    <w:rsid w:val="0D513F89"/>
    <w:rsid w:val="0D5271D8"/>
    <w:rsid w:val="0D575C91"/>
    <w:rsid w:val="0D588864"/>
    <w:rsid w:val="0D591722"/>
    <w:rsid w:val="0D5954A3"/>
    <w:rsid w:val="0D5A6125"/>
    <w:rsid w:val="0D5B614B"/>
    <w:rsid w:val="0D5BD8F8"/>
    <w:rsid w:val="0D5DC2FE"/>
    <w:rsid w:val="0D5EC940"/>
    <w:rsid w:val="0D61DB42"/>
    <w:rsid w:val="0D659033"/>
    <w:rsid w:val="0D660A44"/>
    <w:rsid w:val="0D668CBA"/>
    <w:rsid w:val="0D66C2FD"/>
    <w:rsid w:val="0D6C80F3"/>
    <w:rsid w:val="0D6D3EA5"/>
    <w:rsid w:val="0D6E53B7"/>
    <w:rsid w:val="0D704FE3"/>
    <w:rsid w:val="0D72BDA3"/>
    <w:rsid w:val="0D74F5F4"/>
    <w:rsid w:val="0D7554CE"/>
    <w:rsid w:val="0D7AA30C"/>
    <w:rsid w:val="0D7BB7B0"/>
    <w:rsid w:val="0D7DCDF8"/>
    <w:rsid w:val="0D7E2471"/>
    <w:rsid w:val="0D7ED03F"/>
    <w:rsid w:val="0D8062E2"/>
    <w:rsid w:val="0D81A364"/>
    <w:rsid w:val="0D824DCD"/>
    <w:rsid w:val="0D8309F2"/>
    <w:rsid w:val="0D8488CB"/>
    <w:rsid w:val="0D88FF4B"/>
    <w:rsid w:val="0D89D809"/>
    <w:rsid w:val="0D8DDCCA"/>
    <w:rsid w:val="0D8E7652"/>
    <w:rsid w:val="0D9140C9"/>
    <w:rsid w:val="0D91A999"/>
    <w:rsid w:val="0D91EB57"/>
    <w:rsid w:val="0D9271F1"/>
    <w:rsid w:val="0D941C00"/>
    <w:rsid w:val="0D992803"/>
    <w:rsid w:val="0DA50EBB"/>
    <w:rsid w:val="0DA86B04"/>
    <w:rsid w:val="0DA8D585"/>
    <w:rsid w:val="0DAE062F"/>
    <w:rsid w:val="0DB0E652"/>
    <w:rsid w:val="0DB2FFAA"/>
    <w:rsid w:val="0DB7F302"/>
    <w:rsid w:val="0DBACF73"/>
    <w:rsid w:val="0DBE2F81"/>
    <w:rsid w:val="0DBE8285"/>
    <w:rsid w:val="0DBEC1FA"/>
    <w:rsid w:val="0DBF87B3"/>
    <w:rsid w:val="0DC56551"/>
    <w:rsid w:val="0DC756F4"/>
    <w:rsid w:val="0DCA5C30"/>
    <w:rsid w:val="0DCB0F19"/>
    <w:rsid w:val="0DD029F8"/>
    <w:rsid w:val="0DD0907C"/>
    <w:rsid w:val="0DD0A9FA"/>
    <w:rsid w:val="0DD2F59B"/>
    <w:rsid w:val="0DD6B6A1"/>
    <w:rsid w:val="0DD71B50"/>
    <w:rsid w:val="0DD7D7E9"/>
    <w:rsid w:val="0DD85C2E"/>
    <w:rsid w:val="0DDDCEEA"/>
    <w:rsid w:val="0DDED7D7"/>
    <w:rsid w:val="0DE3A3D4"/>
    <w:rsid w:val="0DE5693F"/>
    <w:rsid w:val="0DEC4289"/>
    <w:rsid w:val="0DEE69B8"/>
    <w:rsid w:val="0DF2B615"/>
    <w:rsid w:val="0DF375ED"/>
    <w:rsid w:val="0DF3B738"/>
    <w:rsid w:val="0DF78113"/>
    <w:rsid w:val="0DFA9735"/>
    <w:rsid w:val="0E01679E"/>
    <w:rsid w:val="0E0334B6"/>
    <w:rsid w:val="0E04DCF7"/>
    <w:rsid w:val="0E072C05"/>
    <w:rsid w:val="0E090E37"/>
    <w:rsid w:val="0E0ADCD1"/>
    <w:rsid w:val="0E0EC130"/>
    <w:rsid w:val="0E105561"/>
    <w:rsid w:val="0E10AE85"/>
    <w:rsid w:val="0E112FEB"/>
    <w:rsid w:val="0E11B18D"/>
    <w:rsid w:val="0E17B812"/>
    <w:rsid w:val="0E1EF736"/>
    <w:rsid w:val="0E1F92E8"/>
    <w:rsid w:val="0E1FFB68"/>
    <w:rsid w:val="0E20CA87"/>
    <w:rsid w:val="0E21BEC1"/>
    <w:rsid w:val="0E225EA5"/>
    <w:rsid w:val="0E2D30B0"/>
    <w:rsid w:val="0E2EF03A"/>
    <w:rsid w:val="0E30C0A4"/>
    <w:rsid w:val="0E315C56"/>
    <w:rsid w:val="0E371943"/>
    <w:rsid w:val="0E3B73AA"/>
    <w:rsid w:val="0E3E5180"/>
    <w:rsid w:val="0E44CFCE"/>
    <w:rsid w:val="0E44DE30"/>
    <w:rsid w:val="0E452E33"/>
    <w:rsid w:val="0E48C08E"/>
    <w:rsid w:val="0E54EFD2"/>
    <w:rsid w:val="0E5560AF"/>
    <w:rsid w:val="0E56EEF7"/>
    <w:rsid w:val="0E578E1E"/>
    <w:rsid w:val="0E58D56D"/>
    <w:rsid w:val="0E5A20B0"/>
    <w:rsid w:val="0E5B23EF"/>
    <w:rsid w:val="0E67CDB9"/>
    <w:rsid w:val="0E68B286"/>
    <w:rsid w:val="0E699AE6"/>
    <w:rsid w:val="0E70F0C7"/>
    <w:rsid w:val="0E75228E"/>
    <w:rsid w:val="0E790EA1"/>
    <w:rsid w:val="0E7BACAF"/>
    <w:rsid w:val="0E7D9531"/>
    <w:rsid w:val="0E7E7636"/>
    <w:rsid w:val="0E84BC49"/>
    <w:rsid w:val="0E86F314"/>
    <w:rsid w:val="0E87DFBF"/>
    <w:rsid w:val="0E888CDA"/>
    <w:rsid w:val="0E88B75D"/>
    <w:rsid w:val="0E8C04BE"/>
    <w:rsid w:val="0E8CA432"/>
    <w:rsid w:val="0E98AF1A"/>
    <w:rsid w:val="0E9A74E7"/>
    <w:rsid w:val="0E9E772F"/>
    <w:rsid w:val="0EA3434C"/>
    <w:rsid w:val="0EA37336"/>
    <w:rsid w:val="0EA38B93"/>
    <w:rsid w:val="0EA40F64"/>
    <w:rsid w:val="0EA5BFE9"/>
    <w:rsid w:val="0EA64647"/>
    <w:rsid w:val="0EAA24BB"/>
    <w:rsid w:val="0EAB50B8"/>
    <w:rsid w:val="0EB23530"/>
    <w:rsid w:val="0EB27070"/>
    <w:rsid w:val="0EB450DA"/>
    <w:rsid w:val="0EB6AF14"/>
    <w:rsid w:val="0EBD8CA6"/>
    <w:rsid w:val="0EBDDAC3"/>
    <w:rsid w:val="0EBDF4A7"/>
    <w:rsid w:val="0EBE1047"/>
    <w:rsid w:val="0EC46C04"/>
    <w:rsid w:val="0EC4B339"/>
    <w:rsid w:val="0EC633DF"/>
    <w:rsid w:val="0ECB8631"/>
    <w:rsid w:val="0ECC81E3"/>
    <w:rsid w:val="0ECD0995"/>
    <w:rsid w:val="0ECEED84"/>
    <w:rsid w:val="0ECFF75D"/>
    <w:rsid w:val="0ED05E80"/>
    <w:rsid w:val="0ED0AFCD"/>
    <w:rsid w:val="0ED5DFC8"/>
    <w:rsid w:val="0EDBBF5C"/>
    <w:rsid w:val="0EDCB62F"/>
    <w:rsid w:val="0EDE456E"/>
    <w:rsid w:val="0EE55B27"/>
    <w:rsid w:val="0EE5CEC6"/>
    <w:rsid w:val="0EE5FFB2"/>
    <w:rsid w:val="0EE6FE47"/>
    <w:rsid w:val="0EE90B4F"/>
    <w:rsid w:val="0EEE348C"/>
    <w:rsid w:val="0EF012FD"/>
    <w:rsid w:val="0EF25FCC"/>
    <w:rsid w:val="0EF66264"/>
    <w:rsid w:val="0EFFD9BE"/>
    <w:rsid w:val="0F017A55"/>
    <w:rsid w:val="0F026B13"/>
    <w:rsid w:val="0F0612AB"/>
    <w:rsid w:val="0F07116F"/>
    <w:rsid w:val="0F072879"/>
    <w:rsid w:val="0F0A8AC9"/>
    <w:rsid w:val="0F1075A9"/>
    <w:rsid w:val="0F11B106"/>
    <w:rsid w:val="0F1345B9"/>
    <w:rsid w:val="0F13DC67"/>
    <w:rsid w:val="0F159E61"/>
    <w:rsid w:val="0F162CAF"/>
    <w:rsid w:val="0F1F14AD"/>
    <w:rsid w:val="0F1FF675"/>
    <w:rsid w:val="0F2FB1A6"/>
    <w:rsid w:val="0F33E49E"/>
    <w:rsid w:val="0F34262C"/>
    <w:rsid w:val="0F345110"/>
    <w:rsid w:val="0F38A643"/>
    <w:rsid w:val="0F38ED91"/>
    <w:rsid w:val="0F3D79FA"/>
    <w:rsid w:val="0F4568A0"/>
    <w:rsid w:val="0F4751F0"/>
    <w:rsid w:val="0F4C5627"/>
    <w:rsid w:val="0F4CFC5C"/>
    <w:rsid w:val="0F4F0376"/>
    <w:rsid w:val="0F4F0AD5"/>
    <w:rsid w:val="0F5277D9"/>
    <w:rsid w:val="0F567297"/>
    <w:rsid w:val="0F57262E"/>
    <w:rsid w:val="0F5C2EB3"/>
    <w:rsid w:val="0F5E6DA9"/>
    <w:rsid w:val="0F60B0B2"/>
    <w:rsid w:val="0F68E603"/>
    <w:rsid w:val="0F699759"/>
    <w:rsid w:val="0F6BC4B6"/>
    <w:rsid w:val="0F6F10E4"/>
    <w:rsid w:val="0F6F9C6C"/>
    <w:rsid w:val="0F70A7C8"/>
    <w:rsid w:val="0F7324B9"/>
    <w:rsid w:val="0F7854FC"/>
    <w:rsid w:val="0F78E44B"/>
    <w:rsid w:val="0F7BD526"/>
    <w:rsid w:val="0F7EB50D"/>
    <w:rsid w:val="0F7FA6BC"/>
    <w:rsid w:val="0F831CD8"/>
    <w:rsid w:val="0F896153"/>
    <w:rsid w:val="0F8979CA"/>
    <w:rsid w:val="0F8AE1EE"/>
    <w:rsid w:val="0F8C0DF0"/>
    <w:rsid w:val="0F8E3B2A"/>
    <w:rsid w:val="0F8F89D1"/>
    <w:rsid w:val="0F96337C"/>
    <w:rsid w:val="0F9A4464"/>
    <w:rsid w:val="0FA63654"/>
    <w:rsid w:val="0FA7893A"/>
    <w:rsid w:val="0FAC35CB"/>
    <w:rsid w:val="0FAC519A"/>
    <w:rsid w:val="0FAF376E"/>
    <w:rsid w:val="0FB065EA"/>
    <w:rsid w:val="0FB269AE"/>
    <w:rsid w:val="0FB4BAD2"/>
    <w:rsid w:val="0FBB0E91"/>
    <w:rsid w:val="0FBBC197"/>
    <w:rsid w:val="0FBE17A6"/>
    <w:rsid w:val="0FC11152"/>
    <w:rsid w:val="0FC35DDD"/>
    <w:rsid w:val="0FC42435"/>
    <w:rsid w:val="0FC6D926"/>
    <w:rsid w:val="0FC71AC8"/>
    <w:rsid w:val="0FC790D5"/>
    <w:rsid w:val="0FC80E59"/>
    <w:rsid w:val="0FCA8CE9"/>
    <w:rsid w:val="0FCF6040"/>
    <w:rsid w:val="0FCF692A"/>
    <w:rsid w:val="0FCF7183"/>
    <w:rsid w:val="0FD25C9B"/>
    <w:rsid w:val="0FD60EFE"/>
    <w:rsid w:val="0FD7294A"/>
    <w:rsid w:val="0FD93B9F"/>
    <w:rsid w:val="0FDB1B78"/>
    <w:rsid w:val="0FDEF898"/>
    <w:rsid w:val="0FE31F4B"/>
    <w:rsid w:val="0FE75274"/>
    <w:rsid w:val="0FF0C2C5"/>
    <w:rsid w:val="0FF4BBD6"/>
    <w:rsid w:val="0FF5BD9A"/>
    <w:rsid w:val="0FF8BD98"/>
    <w:rsid w:val="0FFAACCC"/>
    <w:rsid w:val="0FFC6DA9"/>
    <w:rsid w:val="0FFDDDC9"/>
    <w:rsid w:val="10008F91"/>
    <w:rsid w:val="10011B7C"/>
    <w:rsid w:val="100A26A9"/>
    <w:rsid w:val="100AE63A"/>
    <w:rsid w:val="100AEBD2"/>
    <w:rsid w:val="100E01BD"/>
    <w:rsid w:val="1010B131"/>
    <w:rsid w:val="1018DD8F"/>
    <w:rsid w:val="101F9A93"/>
    <w:rsid w:val="10212F2E"/>
    <w:rsid w:val="1025D1F6"/>
    <w:rsid w:val="102702C6"/>
    <w:rsid w:val="1035FDF3"/>
    <w:rsid w:val="103C5946"/>
    <w:rsid w:val="103EABFD"/>
    <w:rsid w:val="10419067"/>
    <w:rsid w:val="10422E4B"/>
    <w:rsid w:val="1044CF2C"/>
    <w:rsid w:val="104693AB"/>
    <w:rsid w:val="10485404"/>
    <w:rsid w:val="104A1915"/>
    <w:rsid w:val="10514745"/>
    <w:rsid w:val="10536848"/>
    <w:rsid w:val="1053ED6E"/>
    <w:rsid w:val="10540788"/>
    <w:rsid w:val="10552B4C"/>
    <w:rsid w:val="105BA1B3"/>
    <w:rsid w:val="1062ACB5"/>
    <w:rsid w:val="1063A235"/>
    <w:rsid w:val="106796B0"/>
    <w:rsid w:val="10686C86"/>
    <w:rsid w:val="10690F25"/>
    <w:rsid w:val="106A5A26"/>
    <w:rsid w:val="106F7205"/>
    <w:rsid w:val="1074EE89"/>
    <w:rsid w:val="107963EB"/>
    <w:rsid w:val="1081F743"/>
    <w:rsid w:val="10869A9D"/>
    <w:rsid w:val="10876D81"/>
    <w:rsid w:val="108CCFB9"/>
    <w:rsid w:val="108D8FAB"/>
    <w:rsid w:val="108F0BA3"/>
    <w:rsid w:val="1095187D"/>
    <w:rsid w:val="10A388A3"/>
    <w:rsid w:val="10A8E36B"/>
    <w:rsid w:val="10A99C3B"/>
    <w:rsid w:val="10AB520E"/>
    <w:rsid w:val="10B1ECC2"/>
    <w:rsid w:val="10B34159"/>
    <w:rsid w:val="10B4EBC2"/>
    <w:rsid w:val="10B5B9B6"/>
    <w:rsid w:val="10B7482C"/>
    <w:rsid w:val="10BAF678"/>
    <w:rsid w:val="10C0358B"/>
    <w:rsid w:val="10C09041"/>
    <w:rsid w:val="10C16562"/>
    <w:rsid w:val="10C1CE07"/>
    <w:rsid w:val="10C33764"/>
    <w:rsid w:val="10C34231"/>
    <w:rsid w:val="10C5F455"/>
    <w:rsid w:val="10C8A475"/>
    <w:rsid w:val="10C9B025"/>
    <w:rsid w:val="10CBC2C7"/>
    <w:rsid w:val="10CF73B7"/>
    <w:rsid w:val="10D0122A"/>
    <w:rsid w:val="10D3AB29"/>
    <w:rsid w:val="10D635C5"/>
    <w:rsid w:val="10D839E5"/>
    <w:rsid w:val="10D8D9B6"/>
    <w:rsid w:val="10DA1E2C"/>
    <w:rsid w:val="10DAF3FE"/>
    <w:rsid w:val="10DE0751"/>
    <w:rsid w:val="10DF98AE"/>
    <w:rsid w:val="10DFA7AD"/>
    <w:rsid w:val="10E01CD0"/>
    <w:rsid w:val="10E9B757"/>
    <w:rsid w:val="10ECFBC3"/>
    <w:rsid w:val="10F36682"/>
    <w:rsid w:val="10F49840"/>
    <w:rsid w:val="10F5563E"/>
    <w:rsid w:val="10F5B5F5"/>
    <w:rsid w:val="10F68666"/>
    <w:rsid w:val="10F71BD5"/>
    <w:rsid w:val="10FBA56B"/>
    <w:rsid w:val="1100AAAF"/>
    <w:rsid w:val="1101B8AD"/>
    <w:rsid w:val="11031AFB"/>
    <w:rsid w:val="110D39DB"/>
    <w:rsid w:val="110E9310"/>
    <w:rsid w:val="111013E8"/>
    <w:rsid w:val="11127F04"/>
    <w:rsid w:val="111597C3"/>
    <w:rsid w:val="111674C7"/>
    <w:rsid w:val="11171472"/>
    <w:rsid w:val="111753F7"/>
    <w:rsid w:val="111AB0A0"/>
    <w:rsid w:val="111DE210"/>
    <w:rsid w:val="1121945B"/>
    <w:rsid w:val="112924E3"/>
    <w:rsid w:val="112B135C"/>
    <w:rsid w:val="112B421F"/>
    <w:rsid w:val="112BC02B"/>
    <w:rsid w:val="112D8370"/>
    <w:rsid w:val="112F3D01"/>
    <w:rsid w:val="11306531"/>
    <w:rsid w:val="11345B8E"/>
    <w:rsid w:val="113480CC"/>
    <w:rsid w:val="113555ED"/>
    <w:rsid w:val="1136B472"/>
    <w:rsid w:val="1139580A"/>
    <w:rsid w:val="113A62C6"/>
    <w:rsid w:val="113B12D0"/>
    <w:rsid w:val="113C15D9"/>
    <w:rsid w:val="11425DA2"/>
    <w:rsid w:val="11441365"/>
    <w:rsid w:val="1144A4BE"/>
    <w:rsid w:val="114C9F0E"/>
    <w:rsid w:val="114F09EC"/>
    <w:rsid w:val="11509E12"/>
    <w:rsid w:val="1151EA45"/>
    <w:rsid w:val="11524802"/>
    <w:rsid w:val="11578632"/>
    <w:rsid w:val="115794A3"/>
    <w:rsid w:val="115F24B5"/>
    <w:rsid w:val="1165055C"/>
    <w:rsid w:val="11669EAB"/>
    <w:rsid w:val="1169B0EE"/>
    <w:rsid w:val="116B6366"/>
    <w:rsid w:val="1173AAE6"/>
    <w:rsid w:val="1173D7EB"/>
    <w:rsid w:val="11745210"/>
    <w:rsid w:val="1174A32F"/>
    <w:rsid w:val="1176BF2D"/>
    <w:rsid w:val="117BEBC9"/>
    <w:rsid w:val="117D42E4"/>
    <w:rsid w:val="117DD1BE"/>
    <w:rsid w:val="117E78A1"/>
    <w:rsid w:val="11801500"/>
    <w:rsid w:val="1184CB75"/>
    <w:rsid w:val="118E4ABA"/>
    <w:rsid w:val="1195DE5A"/>
    <w:rsid w:val="1196F338"/>
    <w:rsid w:val="1198DCAE"/>
    <w:rsid w:val="119B1193"/>
    <w:rsid w:val="119EE176"/>
    <w:rsid w:val="119EF0FE"/>
    <w:rsid w:val="11A04F3B"/>
    <w:rsid w:val="11A3D960"/>
    <w:rsid w:val="11A46838"/>
    <w:rsid w:val="11A73E5E"/>
    <w:rsid w:val="11A86218"/>
    <w:rsid w:val="11A8FF2D"/>
    <w:rsid w:val="11A94407"/>
    <w:rsid w:val="11A982B7"/>
    <w:rsid w:val="11AF030F"/>
    <w:rsid w:val="11B0FF55"/>
    <w:rsid w:val="11B1A487"/>
    <w:rsid w:val="11BCC488"/>
    <w:rsid w:val="11BF92D4"/>
    <w:rsid w:val="11C85C62"/>
    <w:rsid w:val="11C878B0"/>
    <w:rsid w:val="11C916F1"/>
    <w:rsid w:val="11C9B48E"/>
    <w:rsid w:val="11CA4123"/>
    <w:rsid w:val="11CC86AA"/>
    <w:rsid w:val="11D3AD70"/>
    <w:rsid w:val="11E17ACA"/>
    <w:rsid w:val="11F3F961"/>
    <w:rsid w:val="11F5ACCF"/>
    <w:rsid w:val="11FA0031"/>
    <w:rsid w:val="11FB219F"/>
    <w:rsid w:val="120A88FB"/>
    <w:rsid w:val="120D345D"/>
    <w:rsid w:val="1210C754"/>
    <w:rsid w:val="1212DEEE"/>
    <w:rsid w:val="1214F957"/>
    <w:rsid w:val="1216AFA3"/>
    <w:rsid w:val="12172A0E"/>
    <w:rsid w:val="1218A86F"/>
    <w:rsid w:val="12194088"/>
    <w:rsid w:val="121D0197"/>
    <w:rsid w:val="121D7DB3"/>
    <w:rsid w:val="1229517F"/>
    <w:rsid w:val="122E7C1D"/>
    <w:rsid w:val="122FF12D"/>
    <w:rsid w:val="1231D4CC"/>
    <w:rsid w:val="1232E3D2"/>
    <w:rsid w:val="12350BD8"/>
    <w:rsid w:val="1235F384"/>
    <w:rsid w:val="123B9404"/>
    <w:rsid w:val="12407352"/>
    <w:rsid w:val="1240996B"/>
    <w:rsid w:val="1240E383"/>
    <w:rsid w:val="12443581"/>
    <w:rsid w:val="12464432"/>
    <w:rsid w:val="1246C5A7"/>
    <w:rsid w:val="124AE900"/>
    <w:rsid w:val="124C6D18"/>
    <w:rsid w:val="124DD422"/>
    <w:rsid w:val="124F079B"/>
    <w:rsid w:val="12530F51"/>
    <w:rsid w:val="1253E073"/>
    <w:rsid w:val="12565280"/>
    <w:rsid w:val="12565C3E"/>
    <w:rsid w:val="1256F6F9"/>
    <w:rsid w:val="1258E265"/>
    <w:rsid w:val="12598C69"/>
    <w:rsid w:val="1259C3CD"/>
    <w:rsid w:val="125A422D"/>
    <w:rsid w:val="125A4B6A"/>
    <w:rsid w:val="125B2C6B"/>
    <w:rsid w:val="1262F1E4"/>
    <w:rsid w:val="12640310"/>
    <w:rsid w:val="12689129"/>
    <w:rsid w:val="12699995"/>
    <w:rsid w:val="126DBF26"/>
    <w:rsid w:val="126E223B"/>
    <w:rsid w:val="12704D02"/>
    <w:rsid w:val="1274A30C"/>
    <w:rsid w:val="12768D7A"/>
    <w:rsid w:val="12786A8C"/>
    <w:rsid w:val="127C3D39"/>
    <w:rsid w:val="127D8FC5"/>
    <w:rsid w:val="1281F000"/>
    <w:rsid w:val="128AB87B"/>
    <w:rsid w:val="12935BA0"/>
    <w:rsid w:val="129A923F"/>
    <w:rsid w:val="129B97AA"/>
    <w:rsid w:val="129D70F5"/>
    <w:rsid w:val="12A1928D"/>
    <w:rsid w:val="12A22D7A"/>
    <w:rsid w:val="12A363A3"/>
    <w:rsid w:val="12A38509"/>
    <w:rsid w:val="12A46BD2"/>
    <w:rsid w:val="12A65D73"/>
    <w:rsid w:val="12A780AE"/>
    <w:rsid w:val="12AB4BF9"/>
    <w:rsid w:val="12AB521C"/>
    <w:rsid w:val="12AB69CA"/>
    <w:rsid w:val="12AE1E38"/>
    <w:rsid w:val="12AF6335"/>
    <w:rsid w:val="12B7298D"/>
    <w:rsid w:val="12B8B266"/>
    <w:rsid w:val="12B90C95"/>
    <w:rsid w:val="12C46FC7"/>
    <w:rsid w:val="12C49F87"/>
    <w:rsid w:val="12C5DCC5"/>
    <w:rsid w:val="12C6547A"/>
    <w:rsid w:val="12C9913B"/>
    <w:rsid w:val="12CE18E0"/>
    <w:rsid w:val="12CE212A"/>
    <w:rsid w:val="12CECC3A"/>
    <w:rsid w:val="12D0A56B"/>
    <w:rsid w:val="12D60ADF"/>
    <w:rsid w:val="12D807CC"/>
    <w:rsid w:val="12D83ED1"/>
    <w:rsid w:val="12D8C8AD"/>
    <w:rsid w:val="12DC7C4C"/>
    <w:rsid w:val="12DC8CBB"/>
    <w:rsid w:val="12DD29F3"/>
    <w:rsid w:val="12DD7168"/>
    <w:rsid w:val="12DEBF5A"/>
    <w:rsid w:val="12DFD5C0"/>
    <w:rsid w:val="12E0FE6C"/>
    <w:rsid w:val="12E3BAD6"/>
    <w:rsid w:val="12E4B85C"/>
    <w:rsid w:val="12E7BB98"/>
    <w:rsid w:val="12E8761D"/>
    <w:rsid w:val="12E8AAE9"/>
    <w:rsid w:val="12E95594"/>
    <w:rsid w:val="12E96124"/>
    <w:rsid w:val="12EA0A3C"/>
    <w:rsid w:val="12EBC7A4"/>
    <w:rsid w:val="12ECF465"/>
    <w:rsid w:val="12EF1B2F"/>
    <w:rsid w:val="12F03A5A"/>
    <w:rsid w:val="12F18C43"/>
    <w:rsid w:val="12F23AAD"/>
    <w:rsid w:val="12F496C3"/>
    <w:rsid w:val="12F61D0E"/>
    <w:rsid w:val="12F693CA"/>
    <w:rsid w:val="12F7A796"/>
    <w:rsid w:val="12F98879"/>
    <w:rsid w:val="12FB427A"/>
    <w:rsid w:val="12FD8500"/>
    <w:rsid w:val="12FEBA08"/>
    <w:rsid w:val="12FF244C"/>
    <w:rsid w:val="1308613B"/>
    <w:rsid w:val="130C9330"/>
    <w:rsid w:val="1314C7AC"/>
    <w:rsid w:val="13151B1B"/>
    <w:rsid w:val="131777FE"/>
    <w:rsid w:val="13188B2C"/>
    <w:rsid w:val="1319161C"/>
    <w:rsid w:val="13206FBF"/>
    <w:rsid w:val="13229F9A"/>
    <w:rsid w:val="13238BA2"/>
    <w:rsid w:val="1324F436"/>
    <w:rsid w:val="132E3ED9"/>
    <w:rsid w:val="1330A1E5"/>
    <w:rsid w:val="1331D5E4"/>
    <w:rsid w:val="1333A132"/>
    <w:rsid w:val="13357ACC"/>
    <w:rsid w:val="13358FF9"/>
    <w:rsid w:val="133EF50B"/>
    <w:rsid w:val="134097CE"/>
    <w:rsid w:val="1344DE48"/>
    <w:rsid w:val="134D1E1C"/>
    <w:rsid w:val="134D7E08"/>
    <w:rsid w:val="134DAF73"/>
    <w:rsid w:val="1352C3A3"/>
    <w:rsid w:val="1352D0B1"/>
    <w:rsid w:val="1353707E"/>
    <w:rsid w:val="1354808A"/>
    <w:rsid w:val="135828EC"/>
    <w:rsid w:val="1358C95D"/>
    <w:rsid w:val="1359D7AD"/>
    <w:rsid w:val="13630127"/>
    <w:rsid w:val="1366D916"/>
    <w:rsid w:val="136BB5E6"/>
    <w:rsid w:val="136CD6F7"/>
    <w:rsid w:val="136E9DC4"/>
    <w:rsid w:val="13767731"/>
    <w:rsid w:val="1376786A"/>
    <w:rsid w:val="1376C941"/>
    <w:rsid w:val="137B9D38"/>
    <w:rsid w:val="1381B8B7"/>
    <w:rsid w:val="1382471A"/>
    <w:rsid w:val="1385DFAE"/>
    <w:rsid w:val="1386E7F1"/>
    <w:rsid w:val="13882BE3"/>
    <w:rsid w:val="138951C7"/>
    <w:rsid w:val="1389B347"/>
    <w:rsid w:val="138DA42A"/>
    <w:rsid w:val="138DE872"/>
    <w:rsid w:val="138E1AD8"/>
    <w:rsid w:val="138E85B8"/>
    <w:rsid w:val="1391D1F5"/>
    <w:rsid w:val="1393C481"/>
    <w:rsid w:val="1393E4DA"/>
    <w:rsid w:val="13944BBF"/>
    <w:rsid w:val="13981083"/>
    <w:rsid w:val="139838DE"/>
    <w:rsid w:val="1398868D"/>
    <w:rsid w:val="13998F0E"/>
    <w:rsid w:val="139A2008"/>
    <w:rsid w:val="139C5904"/>
    <w:rsid w:val="13A6B421"/>
    <w:rsid w:val="13A6FC9D"/>
    <w:rsid w:val="13A760E2"/>
    <w:rsid w:val="13ACFE7C"/>
    <w:rsid w:val="13AD3B05"/>
    <w:rsid w:val="13B027F8"/>
    <w:rsid w:val="13B1FFB6"/>
    <w:rsid w:val="13B57C82"/>
    <w:rsid w:val="13B6838D"/>
    <w:rsid w:val="13B7A939"/>
    <w:rsid w:val="13B9F059"/>
    <w:rsid w:val="13B9F8A3"/>
    <w:rsid w:val="13BC198D"/>
    <w:rsid w:val="13BEB83A"/>
    <w:rsid w:val="13C2C24E"/>
    <w:rsid w:val="13C360AC"/>
    <w:rsid w:val="13C690FB"/>
    <w:rsid w:val="13CB998F"/>
    <w:rsid w:val="13D27785"/>
    <w:rsid w:val="13D55689"/>
    <w:rsid w:val="13D65953"/>
    <w:rsid w:val="13D79B67"/>
    <w:rsid w:val="13D88C84"/>
    <w:rsid w:val="13D8DF75"/>
    <w:rsid w:val="13DA0973"/>
    <w:rsid w:val="13DD1814"/>
    <w:rsid w:val="13E52A2A"/>
    <w:rsid w:val="13E56108"/>
    <w:rsid w:val="13ED0E9D"/>
    <w:rsid w:val="13F00ACE"/>
    <w:rsid w:val="13F16A15"/>
    <w:rsid w:val="13F47110"/>
    <w:rsid w:val="13F798DC"/>
    <w:rsid w:val="140626C4"/>
    <w:rsid w:val="14081E0D"/>
    <w:rsid w:val="140A7F9A"/>
    <w:rsid w:val="140B79D8"/>
    <w:rsid w:val="1412FCFB"/>
    <w:rsid w:val="14143CF5"/>
    <w:rsid w:val="141D376D"/>
    <w:rsid w:val="14202262"/>
    <w:rsid w:val="1421312D"/>
    <w:rsid w:val="142622D5"/>
    <w:rsid w:val="1427C2E1"/>
    <w:rsid w:val="142B7E35"/>
    <w:rsid w:val="142E6306"/>
    <w:rsid w:val="14312749"/>
    <w:rsid w:val="1432D668"/>
    <w:rsid w:val="1433A5F4"/>
    <w:rsid w:val="14344E7F"/>
    <w:rsid w:val="14378788"/>
    <w:rsid w:val="1437A006"/>
    <w:rsid w:val="1438449D"/>
    <w:rsid w:val="1438AD8D"/>
    <w:rsid w:val="143BA577"/>
    <w:rsid w:val="143C68BB"/>
    <w:rsid w:val="143F0585"/>
    <w:rsid w:val="143FE7D2"/>
    <w:rsid w:val="1440BF7E"/>
    <w:rsid w:val="14410E0F"/>
    <w:rsid w:val="1442DAE0"/>
    <w:rsid w:val="14440466"/>
    <w:rsid w:val="1444AD7B"/>
    <w:rsid w:val="144DECD5"/>
    <w:rsid w:val="145274ED"/>
    <w:rsid w:val="1456B8BB"/>
    <w:rsid w:val="1458EF35"/>
    <w:rsid w:val="145B5A9A"/>
    <w:rsid w:val="145BA8D3"/>
    <w:rsid w:val="145DAF7E"/>
    <w:rsid w:val="145F6D2B"/>
    <w:rsid w:val="145F8F29"/>
    <w:rsid w:val="14618B9D"/>
    <w:rsid w:val="1461A7D4"/>
    <w:rsid w:val="14649F87"/>
    <w:rsid w:val="14678EDC"/>
    <w:rsid w:val="14695C8E"/>
    <w:rsid w:val="146B6761"/>
    <w:rsid w:val="146DFE05"/>
    <w:rsid w:val="14708F05"/>
    <w:rsid w:val="1470CD70"/>
    <w:rsid w:val="14719070"/>
    <w:rsid w:val="147207E3"/>
    <w:rsid w:val="14761488"/>
    <w:rsid w:val="14761554"/>
    <w:rsid w:val="14786A79"/>
    <w:rsid w:val="147C3114"/>
    <w:rsid w:val="14804479"/>
    <w:rsid w:val="14840357"/>
    <w:rsid w:val="14889031"/>
    <w:rsid w:val="148A0730"/>
    <w:rsid w:val="1491A4FF"/>
    <w:rsid w:val="14942706"/>
    <w:rsid w:val="149C9BBC"/>
    <w:rsid w:val="14A396EC"/>
    <w:rsid w:val="14AAB391"/>
    <w:rsid w:val="14AFF294"/>
    <w:rsid w:val="14B242F3"/>
    <w:rsid w:val="14B3D943"/>
    <w:rsid w:val="14B3DC0C"/>
    <w:rsid w:val="14B8DBEF"/>
    <w:rsid w:val="14BB54D8"/>
    <w:rsid w:val="14C17F03"/>
    <w:rsid w:val="14C1AA7F"/>
    <w:rsid w:val="14C4086D"/>
    <w:rsid w:val="14CD878B"/>
    <w:rsid w:val="14D2D2AC"/>
    <w:rsid w:val="14DA37CA"/>
    <w:rsid w:val="14DAECD0"/>
    <w:rsid w:val="14DEFD0B"/>
    <w:rsid w:val="14E1A838"/>
    <w:rsid w:val="14E89227"/>
    <w:rsid w:val="14EA7106"/>
    <w:rsid w:val="14EDDA70"/>
    <w:rsid w:val="14F7D64B"/>
    <w:rsid w:val="14F9C60F"/>
    <w:rsid w:val="14FE29FB"/>
    <w:rsid w:val="14FE4C38"/>
    <w:rsid w:val="15022504"/>
    <w:rsid w:val="150629EC"/>
    <w:rsid w:val="1509357F"/>
    <w:rsid w:val="150E0A16"/>
    <w:rsid w:val="151E7475"/>
    <w:rsid w:val="1523579A"/>
    <w:rsid w:val="1524BE99"/>
    <w:rsid w:val="1528EBED"/>
    <w:rsid w:val="152A48DF"/>
    <w:rsid w:val="152E9AEE"/>
    <w:rsid w:val="15307020"/>
    <w:rsid w:val="1534A11C"/>
    <w:rsid w:val="15360124"/>
    <w:rsid w:val="154245D2"/>
    <w:rsid w:val="1543832B"/>
    <w:rsid w:val="15491FBB"/>
    <w:rsid w:val="154A3D5E"/>
    <w:rsid w:val="154C879E"/>
    <w:rsid w:val="154D0A25"/>
    <w:rsid w:val="154F6C7D"/>
    <w:rsid w:val="155317AB"/>
    <w:rsid w:val="1553E8CB"/>
    <w:rsid w:val="15544C0E"/>
    <w:rsid w:val="15551E17"/>
    <w:rsid w:val="15569955"/>
    <w:rsid w:val="155893AC"/>
    <w:rsid w:val="155BD2DC"/>
    <w:rsid w:val="156405DA"/>
    <w:rsid w:val="156B8BC2"/>
    <w:rsid w:val="15728A59"/>
    <w:rsid w:val="1576797C"/>
    <w:rsid w:val="157A10AD"/>
    <w:rsid w:val="157A1CCD"/>
    <w:rsid w:val="158A50AE"/>
    <w:rsid w:val="158CFEAB"/>
    <w:rsid w:val="158E4944"/>
    <w:rsid w:val="158FFF94"/>
    <w:rsid w:val="1594C827"/>
    <w:rsid w:val="15956693"/>
    <w:rsid w:val="1597DC9D"/>
    <w:rsid w:val="159B6DBE"/>
    <w:rsid w:val="159BB4E2"/>
    <w:rsid w:val="159CF21F"/>
    <w:rsid w:val="15A4A4C7"/>
    <w:rsid w:val="15A6D953"/>
    <w:rsid w:val="15ACA6E6"/>
    <w:rsid w:val="15B31A79"/>
    <w:rsid w:val="15B84807"/>
    <w:rsid w:val="15BAAD3F"/>
    <w:rsid w:val="15C08B81"/>
    <w:rsid w:val="15C74101"/>
    <w:rsid w:val="15CB511B"/>
    <w:rsid w:val="15D22846"/>
    <w:rsid w:val="15D2C863"/>
    <w:rsid w:val="15D33701"/>
    <w:rsid w:val="15D44601"/>
    <w:rsid w:val="15D47C04"/>
    <w:rsid w:val="15D55414"/>
    <w:rsid w:val="15DBB77C"/>
    <w:rsid w:val="15DC2C84"/>
    <w:rsid w:val="15DCE577"/>
    <w:rsid w:val="15DF2BCD"/>
    <w:rsid w:val="15E2E287"/>
    <w:rsid w:val="15E30C78"/>
    <w:rsid w:val="15E7B379"/>
    <w:rsid w:val="15E9283E"/>
    <w:rsid w:val="15F3F54B"/>
    <w:rsid w:val="15F4F69B"/>
    <w:rsid w:val="15F5CFD9"/>
    <w:rsid w:val="15FB2938"/>
    <w:rsid w:val="15FC1995"/>
    <w:rsid w:val="15FE278B"/>
    <w:rsid w:val="15FF6E96"/>
    <w:rsid w:val="16015746"/>
    <w:rsid w:val="16063D95"/>
    <w:rsid w:val="160A6E02"/>
    <w:rsid w:val="1611BFBC"/>
    <w:rsid w:val="1612512D"/>
    <w:rsid w:val="1615C44F"/>
    <w:rsid w:val="16179FB8"/>
    <w:rsid w:val="161BA54C"/>
    <w:rsid w:val="161D6977"/>
    <w:rsid w:val="161DE0A7"/>
    <w:rsid w:val="162006BA"/>
    <w:rsid w:val="16210378"/>
    <w:rsid w:val="1624DBE3"/>
    <w:rsid w:val="1626882C"/>
    <w:rsid w:val="16280733"/>
    <w:rsid w:val="162F6C6B"/>
    <w:rsid w:val="16344B3A"/>
    <w:rsid w:val="163B74C8"/>
    <w:rsid w:val="16402E71"/>
    <w:rsid w:val="1642CBFF"/>
    <w:rsid w:val="164504A5"/>
    <w:rsid w:val="16477E58"/>
    <w:rsid w:val="164A70EB"/>
    <w:rsid w:val="164F4AAB"/>
    <w:rsid w:val="164FEEC4"/>
    <w:rsid w:val="1651C8CA"/>
    <w:rsid w:val="16562B69"/>
    <w:rsid w:val="1659D7EE"/>
    <w:rsid w:val="165E518B"/>
    <w:rsid w:val="165F48AE"/>
    <w:rsid w:val="1665811C"/>
    <w:rsid w:val="1665BBF8"/>
    <w:rsid w:val="166949D8"/>
    <w:rsid w:val="166E1766"/>
    <w:rsid w:val="1673F363"/>
    <w:rsid w:val="167BE741"/>
    <w:rsid w:val="167BF636"/>
    <w:rsid w:val="16823749"/>
    <w:rsid w:val="168353BF"/>
    <w:rsid w:val="16881372"/>
    <w:rsid w:val="16884F28"/>
    <w:rsid w:val="168E6A7E"/>
    <w:rsid w:val="1694786F"/>
    <w:rsid w:val="16994092"/>
    <w:rsid w:val="169A418F"/>
    <w:rsid w:val="169B71BE"/>
    <w:rsid w:val="16A04EE9"/>
    <w:rsid w:val="16A14F3E"/>
    <w:rsid w:val="16A38CA4"/>
    <w:rsid w:val="16A9881E"/>
    <w:rsid w:val="16AAED1F"/>
    <w:rsid w:val="16AC6498"/>
    <w:rsid w:val="16AF63F5"/>
    <w:rsid w:val="16B67AD6"/>
    <w:rsid w:val="16B82B93"/>
    <w:rsid w:val="16BF3097"/>
    <w:rsid w:val="16C6DC21"/>
    <w:rsid w:val="16C801B8"/>
    <w:rsid w:val="16C8CE50"/>
    <w:rsid w:val="16CB1004"/>
    <w:rsid w:val="16CD3DCE"/>
    <w:rsid w:val="16CD6B61"/>
    <w:rsid w:val="16D01520"/>
    <w:rsid w:val="16D2A0BC"/>
    <w:rsid w:val="16D36FAA"/>
    <w:rsid w:val="16D54E17"/>
    <w:rsid w:val="16D691CA"/>
    <w:rsid w:val="16E047C2"/>
    <w:rsid w:val="16E0E069"/>
    <w:rsid w:val="16E5556D"/>
    <w:rsid w:val="16E7363C"/>
    <w:rsid w:val="16E9FEC0"/>
    <w:rsid w:val="16EF38F7"/>
    <w:rsid w:val="16F4ADC4"/>
    <w:rsid w:val="16F54E02"/>
    <w:rsid w:val="16F942F4"/>
    <w:rsid w:val="16FCF762"/>
    <w:rsid w:val="16FDD974"/>
    <w:rsid w:val="16FE9B3C"/>
    <w:rsid w:val="17006BBC"/>
    <w:rsid w:val="1700A272"/>
    <w:rsid w:val="17031025"/>
    <w:rsid w:val="17051193"/>
    <w:rsid w:val="17058E1A"/>
    <w:rsid w:val="1705C4E5"/>
    <w:rsid w:val="17093B8E"/>
    <w:rsid w:val="170DC672"/>
    <w:rsid w:val="170F5764"/>
    <w:rsid w:val="1713AD72"/>
    <w:rsid w:val="171588F5"/>
    <w:rsid w:val="171C5C25"/>
    <w:rsid w:val="1723154A"/>
    <w:rsid w:val="17248A32"/>
    <w:rsid w:val="1728F140"/>
    <w:rsid w:val="172C2CF5"/>
    <w:rsid w:val="1733375B"/>
    <w:rsid w:val="17368A96"/>
    <w:rsid w:val="17397153"/>
    <w:rsid w:val="173E9C9D"/>
    <w:rsid w:val="17507C4B"/>
    <w:rsid w:val="175109EA"/>
    <w:rsid w:val="175C6E2B"/>
    <w:rsid w:val="1767B6AA"/>
    <w:rsid w:val="1769CD39"/>
    <w:rsid w:val="176F68AE"/>
    <w:rsid w:val="176F9DDF"/>
    <w:rsid w:val="17708464"/>
    <w:rsid w:val="1772C9D6"/>
    <w:rsid w:val="1773A95C"/>
    <w:rsid w:val="17747191"/>
    <w:rsid w:val="17778B0C"/>
    <w:rsid w:val="1778A58B"/>
    <w:rsid w:val="177AD222"/>
    <w:rsid w:val="17824E70"/>
    <w:rsid w:val="178268FE"/>
    <w:rsid w:val="17827766"/>
    <w:rsid w:val="178535F7"/>
    <w:rsid w:val="17857137"/>
    <w:rsid w:val="1786365E"/>
    <w:rsid w:val="1787E7F0"/>
    <w:rsid w:val="17914E5B"/>
    <w:rsid w:val="1791C6B7"/>
    <w:rsid w:val="179662FB"/>
    <w:rsid w:val="179843E1"/>
    <w:rsid w:val="179A690F"/>
    <w:rsid w:val="179C3349"/>
    <w:rsid w:val="17A45796"/>
    <w:rsid w:val="17A84A66"/>
    <w:rsid w:val="17A9E81D"/>
    <w:rsid w:val="17B27DE4"/>
    <w:rsid w:val="17B375E2"/>
    <w:rsid w:val="17B3BCC3"/>
    <w:rsid w:val="17B404CA"/>
    <w:rsid w:val="17BB2E48"/>
    <w:rsid w:val="17BB5AFF"/>
    <w:rsid w:val="17BDF968"/>
    <w:rsid w:val="17C40D06"/>
    <w:rsid w:val="17C51D81"/>
    <w:rsid w:val="17CB29F0"/>
    <w:rsid w:val="17CB89F5"/>
    <w:rsid w:val="17D76318"/>
    <w:rsid w:val="17D9B4B9"/>
    <w:rsid w:val="17DD2914"/>
    <w:rsid w:val="17DE056A"/>
    <w:rsid w:val="17E27226"/>
    <w:rsid w:val="17E4FDA6"/>
    <w:rsid w:val="17EAD7CE"/>
    <w:rsid w:val="17EFA422"/>
    <w:rsid w:val="17F3D176"/>
    <w:rsid w:val="17F71C2D"/>
    <w:rsid w:val="17FB145D"/>
    <w:rsid w:val="17FB645E"/>
    <w:rsid w:val="17FD5382"/>
    <w:rsid w:val="180098F9"/>
    <w:rsid w:val="18009ECC"/>
    <w:rsid w:val="1806C1AF"/>
    <w:rsid w:val="1806CE2B"/>
    <w:rsid w:val="1808190A"/>
    <w:rsid w:val="180A493D"/>
    <w:rsid w:val="180B847E"/>
    <w:rsid w:val="180FE7F7"/>
    <w:rsid w:val="18103553"/>
    <w:rsid w:val="181C106B"/>
    <w:rsid w:val="181F5E84"/>
    <w:rsid w:val="1823F542"/>
    <w:rsid w:val="1828C122"/>
    <w:rsid w:val="182EC1C5"/>
    <w:rsid w:val="1830F9C6"/>
    <w:rsid w:val="1839576D"/>
    <w:rsid w:val="183A8657"/>
    <w:rsid w:val="183BEAD3"/>
    <w:rsid w:val="183E2042"/>
    <w:rsid w:val="183F4FBC"/>
    <w:rsid w:val="1841A651"/>
    <w:rsid w:val="18470EF9"/>
    <w:rsid w:val="18490331"/>
    <w:rsid w:val="184D0228"/>
    <w:rsid w:val="184F9E53"/>
    <w:rsid w:val="185256A0"/>
    <w:rsid w:val="1853553C"/>
    <w:rsid w:val="1853A83D"/>
    <w:rsid w:val="185752D1"/>
    <w:rsid w:val="185BC15E"/>
    <w:rsid w:val="18646407"/>
    <w:rsid w:val="1865C15F"/>
    <w:rsid w:val="186A80CD"/>
    <w:rsid w:val="186BF20B"/>
    <w:rsid w:val="186F4464"/>
    <w:rsid w:val="187187A1"/>
    <w:rsid w:val="18724762"/>
    <w:rsid w:val="1872DDA5"/>
    <w:rsid w:val="1873BD13"/>
    <w:rsid w:val="18744C50"/>
    <w:rsid w:val="1874DDE6"/>
    <w:rsid w:val="1875D440"/>
    <w:rsid w:val="187755A9"/>
    <w:rsid w:val="18778956"/>
    <w:rsid w:val="187A4E9E"/>
    <w:rsid w:val="18808F60"/>
    <w:rsid w:val="18809164"/>
    <w:rsid w:val="1880DC92"/>
    <w:rsid w:val="18854407"/>
    <w:rsid w:val="1885FF54"/>
    <w:rsid w:val="188660C3"/>
    <w:rsid w:val="188ADB1C"/>
    <w:rsid w:val="188B054A"/>
    <w:rsid w:val="188B79B3"/>
    <w:rsid w:val="188C5A8C"/>
    <w:rsid w:val="188C6A8C"/>
    <w:rsid w:val="188CD224"/>
    <w:rsid w:val="188E3FF0"/>
    <w:rsid w:val="188FA483"/>
    <w:rsid w:val="18901E79"/>
    <w:rsid w:val="18953DE8"/>
    <w:rsid w:val="1896816A"/>
    <w:rsid w:val="1896EEEB"/>
    <w:rsid w:val="189795C4"/>
    <w:rsid w:val="1898164C"/>
    <w:rsid w:val="1899BB55"/>
    <w:rsid w:val="189C4003"/>
    <w:rsid w:val="18A0085E"/>
    <w:rsid w:val="18A70C53"/>
    <w:rsid w:val="18AA329B"/>
    <w:rsid w:val="18ABB957"/>
    <w:rsid w:val="18AFB9BE"/>
    <w:rsid w:val="18AFBBD2"/>
    <w:rsid w:val="18B09400"/>
    <w:rsid w:val="18B34ACC"/>
    <w:rsid w:val="18B38978"/>
    <w:rsid w:val="18B69C6E"/>
    <w:rsid w:val="18B725AF"/>
    <w:rsid w:val="18B88286"/>
    <w:rsid w:val="18BB3EE9"/>
    <w:rsid w:val="18BB89D4"/>
    <w:rsid w:val="18BDC38A"/>
    <w:rsid w:val="18BE8E19"/>
    <w:rsid w:val="18C252ED"/>
    <w:rsid w:val="18C6D343"/>
    <w:rsid w:val="18C94069"/>
    <w:rsid w:val="18C94816"/>
    <w:rsid w:val="18C99174"/>
    <w:rsid w:val="18CA283D"/>
    <w:rsid w:val="18CAC98E"/>
    <w:rsid w:val="18CAE27C"/>
    <w:rsid w:val="18D8E6C1"/>
    <w:rsid w:val="18DCD9D4"/>
    <w:rsid w:val="18DFC9E9"/>
    <w:rsid w:val="18E35D32"/>
    <w:rsid w:val="18E3F29C"/>
    <w:rsid w:val="18E4FFE0"/>
    <w:rsid w:val="18E5C191"/>
    <w:rsid w:val="18E609B6"/>
    <w:rsid w:val="18EB9361"/>
    <w:rsid w:val="18EDD787"/>
    <w:rsid w:val="18F0D1DB"/>
    <w:rsid w:val="18F168A9"/>
    <w:rsid w:val="18F1A316"/>
    <w:rsid w:val="18F3D518"/>
    <w:rsid w:val="18F6787F"/>
    <w:rsid w:val="18FA6890"/>
    <w:rsid w:val="18FD2EEC"/>
    <w:rsid w:val="18FD7D72"/>
    <w:rsid w:val="18FEBF86"/>
    <w:rsid w:val="1910A132"/>
    <w:rsid w:val="19115CBE"/>
    <w:rsid w:val="1912923D"/>
    <w:rsid w:val="1912A12C"/>
    <w:rsid w:val="19136FBE"/>
    <w:rsid w:val="191517DF"/>
    <w:rsid w:val="1919D97F"/>
    <w:rsid w:val="191AD97F"/>
    <w:rsid w:val="191CF389"/>
    <w:rsid w:val="191E3939"/>
    <w:rsid w:val="19247CDC"/>
    <w:rsid w:val="192AC674"/>
    <w:rsid w:val="192B18F4"/>
    <w:rsid w:val="192CAE49"/>
    <w:rsid w:val="192E18F8"/>
    <w:rsid w:val="192E8C45"/>
    <w:rsid w:val="19391AC3"/>
    <w:rsid w:val="193AF3D4"/>
    <w:rsid w:val="193BC89D"/>
    <w:rsid w:val="193C4E47"/>
    <w:rsid w:val="193CDBD6"/>
    <w:rsid w:val="19418DE4"/>
    <w:rsid w:val="19440C6E"/>
    <w:rsid w:val="1945B7B9"/>
    <w:rsid w:val="19478DDA"/>
    <w:rsid w:val="19479CA2"/>
    <w:rsid w:val="194BFFFF"/>
    <w:rsid w:val="194CDB10"/>
    <w:rsid w:val="195237C4"/>
    <w:rsid w:val="1952C027"/>
    <w:rsid w:val="1955367E"/>
    <w:rsid w:val="1956DA8C"/>
    <w:rsid w:val="19581E5B"/>
    <w:rsid w:val="19588FEA"/>
    <w:rsid w:val="195D2536"/>
    <w:rsid w:val="1960DC6A"/>
    <w:rsid w:val="1961ED1B"/>
    <w:rsid w:val="19638350"/>
    <w:rsid w:val="1964EB41"/>
    <w:rsid w:val="19653C5F"/>
    <w:rsid w:val="196BD362"/>
    <w:rsid w:val="196FF530"/>
    <w:rsid w:val="197DD651"/>
    <w:rsid w:val="197E8378"/>
    <w:rsid w:val="197F115E"/>
    <w:rsid w:val="197FA576"/>
    <w:rsid w:val="1980B073"/>
    <w:rsid w:val="198607C1"/>
    <w:rsid w:val="19871FD4"/>
    <w:rsid w:val="198A1080"/>
    <w:rsid w:val="198B5E37"/>
    <w:rsid w:val="198B6E83"/>
    <w:rsid w:val="198CF2E7"/>
    <w:rsid w:val="198D3971"/>
    <w:rsid w:val="198DF436"/>
    <w:rsid w:val="19916C3C"/>
    <w:rsid w:val="1992A236"/>
    <w:rsid w:val="199D94D6"/>
    <w:rsid w:val="19AA92E4"/>
    <w:rsid w:val="19AACB1B"/>
    <w:rsid w:val="19AB6C70"/>
    <w:rsid w:val="19B015EE"/>
    <w:rsid w:val="19B09444"/>
    <w:rsid w:val="19B1D600"/>
    <w:rsid w:val="19B2BE84"/>
    <w:rsid w:val="19B2E21A"/>
    <w:rsid w:val="19B6B9D2"/>
    <w:rsid w:val="19BC73D7"/>
    <w:rsid w:val="19BF8EFA"/>
    <w:rsid w:val="19C0BB24"/>
    <w:rsid w:val="19CC6DF7"/>
    <w:rsid w:val="19D33234"/>
    <w:rsid w:val="19D3CCE5"/>
    <w:rsid w:val="19D50969"/>
    <w:rsid w:val="19DE1808"/>
    <w:rsid w:val="19E0A35F"/>
    <w:rsid w:val="19E53376"/>
    <w:rsid w:val="19E7CB38"/>
    <w:rsid w:val="19EA1391"/>
    <w:rsid w:val="19EA7E28"/>
    <w:rsid w:val="19EB67E3"/>
    <w:rsid w:val="19EBE38E"/>
    <w:rsid w:val="19F24E0D"/>
    <w:rsid w:val="19F418EC"/>
    <w:rsid w:val="19F9051B"/>
    <w:rsid w:val="19FD6A16"/>
    <w:rsid w:val="19FD9377"/>
    <w:rsid w:val="1A0042CC"/>
    <w:rsid w:val="1A0503E7"/>
    <w:rsid w:val="1A068CA0"/>
    <w:rsid w:val="1A077BE2"/>
    <w:rsid w:val="1A0C955A"/>
    <w:rsid w:val="1A0E252D"/>
    <w:rsid w:val="1A13A801"/>
    <w:rsid w:val="1A14D91E"/>
    <w:rsid w:val="1A18DF67"/>
    <w:rsid w:val="1A18E93B"/>
    <w:rsid w:val="1A19E390"/>
    <w:rsid w:val="1A206FF5"/>
    <w:rsid w:val="1A24D3E9"/>
    <w:rsid w:val="1A2580C7"/>
    <w:rsid w:val="1A2595EF"/>
    <w:rsid w:val="1A275899"/>
    <w:rsid w:val="1A2C375F"/>
    <w:rsid w:val="1A309EF7"/>
    <w:rsid w:val="1A30B484"/>
    <w:rsid w:val="1A30C7E9"/>
    <w:rsid w:val="1A3EB6C9"/>
    <w:rsid w:val="1A457FD9"/>
    <w:rsid w:val="1A498EB1"/>
    <w:rsid w:val="1A4CF532"/>
    <w:rsid w:val="1A5017CE"/>
    <w:rsid w:val="1A520880"/>
    <w:rsid w:val="1A58375E"/>
    <w:rsid w:val="1A59142C"/>
    <w:rsid w:val="1A5BAA68"/>
    <w:rsid w:val="1A5CDD49"/>
    <w:rsid w:val="1A5EF6EF"/>
    <w:rsid w:val="1A620F54"/>
    <w:rsid w:val="1A64D953"/>
    <w:rsid w:val="1A672E7C"/>
    <w:rsid w:val="1A6AF69D"/>
    <w:rsid w:val="1A6B2EFA"/>
    <w:rsid w:val="1A6B38EA"/>
    <w:rsid w:val="1A6D6C4B"/>
    <w:rsid w:val="1A6FE9EE"/>
    <w:rsid w:val="1A736CA9"/>
    <w:rsid w:val="1A74016A"/>
    <w:rsid w:val="1A742C6B"/>
    <w:rsid w:val="1A7554F5"/>
    <w:rsid w:val="1A75F940"/>
    <w:rsid w:val="1A771E5F"/>
    <w:rsid w:val="1A78C7EC"/>
    <w:rsid w:val="1A78EDAB"/>
    <w:rsid w:val="1A794781"/>
    <w:rsid w:val="1A7F6999"/>
    <w:rsid w:val="1A7FF6B4"/>
    <w:rsid w:val="1A802409"/>
    <w:rsid w:val="1A810A73"/>
    <w:rsid w:val="1A810E88"/>
    <w:rsid w:val="1A81E056"/>
    <w:rsid w:val="1A826BC2"/>
    <w:rsid w:val="1A82D204"/>
    <w:rsid w:val="1A82E176"/>
    <w:rsid w:val="1A85672C"/>
    <w:rsid w:val="1A876D98"/>
    <w:rsid w:val="1A8A2199"/>
    <w:rsid w:val="1A906330"/>
    <w:rsid w:val="1A96053F"/>
    <w:rsid w:val="1A96FC3C"/>
    <w:rsid w:val="1A995D36"/>
    <w:rsid w:val="1A99DA24"/>
    <w:rsid w:val="1A9B49C6"/>
    <w:rsid w:val="1A9DAD07"/>
    <w:rsid w:val="1A9F2175"/>
    <w:rsid w:val="1AA2282C"/>
    <w:rsid w:val="1AA33BA6"/>
    <w:rsid w:val="1AA35D07"/>
    <w:rsid w:val="1AA3B54E"/>
    <w:rsid w:val="1AA42C06"/>
    <w:rsid w:val="1AA4CAED"/>
    <w:rsid w:val="1AACEB8B"/>
    <w:rsid w:val="1AAD7881"/>
    <w:rsid w:val="1AAD9945"/>
    <w:rsid w:val="1AADE145"/>
    <w:rsid w:val="1AB67C6E"/>
    <w:rsid w:val="1ABB0278"/>
    <w:rsid w:val="1ABE7190"/>
    <w:rsid w:val="1ABE8243"/>
    <w:rsid w:val="1AC0D9A3"/>
    <w:rsid w:val="1AC27BE1"/>
    <w:rsid w:val="1AC7D6F0"/>
    <w:rsid w:val="1AD24239"/>
    <w:rsid w:val="1AD31176"/>
    <w:rsid w:val="1AD5C386"/>
    <w:rsid w:val="1ADEE765"/>
    <w:rsid w:val="1AE53ECE"/>
    <w:rsid w:val="1AE5E5EE"/>
    <w:rsid w:val="1AEEB053"/>
    <w:rsid w:val="1AF96180"/>
    <w:rsid w:val="1AF99D1A"/>
    <w:rsid w:val="1AF9C6D0"/>
    <w:rsid w:val="1AF9D2A7"/>
    <w:rsid w:val="1AFB8002"/>
    <w:rsid w:val="1AFC0E65"/>
    <w:rsid w:val="1AFEABA3"/>
    <w:rsid w:val="1AFF5B49"/>
    <w:rsid w:val="1B00C0D1"/>
    <w:rsid w:val="1B120C48"/>
    <w:rsid w:val="1B154266"/>
    <w:rsid w:val="1B159736"/>
    <w:rsid w:val="1B170569"/>
    <w:rsid w:val="1B1BC9B3"/>
    <w:rsid w:val="1B1C5A4F"/>
    <w:rsid w:val="1B1C724D"/>
    <w:rsid w:val="1B1F76AB"/>
    <w:rsid w:val="1B217854"/>
    <w:rsid w:val="1B218423"/>
    <w:rsid w:val="1B22E4CA"/>
    <w:rsid w:val="1B25FBD2"/>
    <w:rsid w:val="1B28E998"/>
    <w:rsid w:val="1B291026"/>
    <w:rsid w:val="1B2B5948"/>
    <w:rsid w:val="1B2B8D67"/>
    <w:rsid w:val="1B2E7F79"/>
    <w:rsid w:val="1B2F6C15"/>
    <w:rsid w:val="1B34E145"/>
    <w:rsid w:val="1B37E1AB"/>
    <w:rsid w:val="1B3AA188"/>
    <w:rsid w:val="1B3AE41F"/>
    <w:rsid w:val="1B3CD500"/>
    <w:rsid w:val="1B3E8EFC"/>
    <w:rsid w:val="1B417B74"/>
    <w:rsid w:val="1B45724E"/>
    <w:rsid w:val="1B4A96F7"/>
    <w:rsid w:val="1B4DA30B"/>
    <w:rsid w:val="1B4E076C"/>
    <w:rsid w:val="1B55A0C1"/>
    <w:rsid w:val="1B577483"/>
    <w:rsid w:val="1B5E1BD0"/>
    <w:rsid w:val="1B5ECB93"/>
    <w:rsid w:val="1B5FA172"/>
    <w:rsid w:val="1B6126F4"/>
    <w:rsid w:val="1B61BBF8"/>
    <w:rsid w:val="1B62B03E"/>
    <w:rsid w:val="1B64199F"/>
    <w:rsid w:val="1B696FC5"/>
    <w:rsid w:val="1B6B3D8D"/>
    <w:rsid w:val="1B6BF204"/>
    <w:rsid w:val="1B7025E6"/>
    <w:rsid w:val="1B71B61A"/>
    <w:rsid w:val="1B76272F"/>
    <w:rsid w:val="1B764E3D"/>
    <w:rsid w:val="1B78EE35"/>
    <w:rsid w:val="1B7A0607"/>
    <w:rsid w:val="1B7A5D1C"/>
    <w:rsid w:val="1B7B41E2"/>
    <w:rsid w:val="1B7B9641"/>
    <w:rsid w:val="1B7D0516"/>
    <w:rsid w:val="1B7D369C"/>
    <w:rsid w:val="1B83FFEE"/>
    <w:rsid w:val="1B84753E"/>
    <w:rsid w:val="1B84B6CC"/>
    <w:rsid w:val="1B886FAF"/>
    <w:rsid w:val="1B8C61A0"/>
    <w:rsid w:val="1B8D1921"/>
    <w:rsid w:val="1B8E26BC"/>
    <w:rsid w:val="1B90EDA8"/>
    <w:rsid w:val="1B980719"/>
    <w:rsid w:val="1B9BDAB1"/>
    <w:rsid w:val="1BA24212"/>
    <w:rsid w:val="1BA9F727"/>
    <w:rsid w:val="1BB2F343"/>
    <w:rsid w:val="1BBC3E91"/>
    <w:rsid w:val="1BBC69EE"/>
    <w:rsid w:val="1BBDDBC8"/>
    <w:rsid w:val="1BBE65C2"/>
    <w:rsid w:val="1BC66EC6"/>
    <w:rsid w:val="1BC673F0"/>
    <w:rsid w:val="1BCA9B96"/>
    <w:rsid w:val="1BCBB19A"/>
    <w:rsid w:val="1BCD85C3"/>
    <w:rsid w:val="1BCF124B"/>
    <w:rsid w:val="1BCF7D0C"/>
    <w:rsid w:val="1BD98702"/>
    <w:rsid w:val="1BDAACE2"/>
    <w:rsid w:val="1BDAEACC"/>
    <w:rsid w:val="1BDB9D86"/>
    <w:rsid w:val="1BDDDB51"/>
    <w:rsid w:val="1BDE85BE"/>
    <w:rsid w:val="1BDEDC87"/>
    <w:rsid w:val="1BDFF5D8"/>
    <w:rsid w:val="1BE08047"/>
    <w:rsid w:val="1BE9D9AD"/>
    <w:rsid w:val="1BEB3012"/>
    <w:rsid w:val="1BEE051E"/>
    <w:rsid w:val="1BF19D75"/>
    <w:rsid w:val="1BF8F694"/>
    <w:rsid w:val="1BFD9513"/>
    <w:rsid w:val="1BFEE2FB"/>
    <w:rsid w:val="1BFFC959"/>
    <w:rsid w:val="1C023676"/>
    <w:rsid w:val="1C023F46"/>
    <w:rsid w:val="1C02DF88"/>
    <w:rsid w:val="1C040306"/>
    <w:rsid w:val="1C0539CE"/>
    <w:rsid w:val="1C0D1235"/>
    <w:rsid w:val="1C0F6B23"/>
    <w:rsid w:val="1C1746F4"/>
    <w:rsid w:val="1C193BB8"/>
    <w:rsid w:val="1C1B7995"/>
    <w:rsid w:val="1C1F17DF"/>
    <w:rsid w:val="1C2C7A0A"/>
    <w:rsid w:val="1C2DBC73"/>
    <w:rsid w:val="1C330830"/>
    <w:rsid w:val="1C33986E"/>
    <w:rsid w:val="1C339DEF"/>
    <w:rsid w:val="1C340941"/>
    <w:rsid w:val="1C35C6C2"/>
    <w:rsid w:val="1C362C55"/>
    <w:rsid w:val="1C371CE9"/>
    <w:rsid w:val="1C375A73"/>
    <w:rsid w:val="1C3B61D7"/>
    <w:rsid w:val="1C3C2CF5"/>
    <w:rsid w:val="1C435578"/>
    <w:rsid w:val="1C4974E6"/>
    <w:rsid w:val="1C49C05A"/>
    <w:rsid w:val="1C54E086"/>
    <w:rsid w:val="1C54FEE6"/>
    <w:rsid w:val="1C617FFB"/>
    <w:rsid w:val="1C64B4F6"/>
    <w:rsid w:val="1C64E73E"/>
    <w:rsid w:val="1C671D9A"/>
    <w:rsid w:val="1C67D05E"/>
    <w:rsid w:val="1C6961C9"/>
    <w:rsid w:val="1C70CCD4"/>
    <w:rsid w:val="1C7445C8"/>
    <w:rsid w:val="1C74F3CF"/>
    <w:rsid w:val="1C7812D4"/>
    <w:rsid w:val="1C7A6770"/>
    <w:rsid w:val="1C824A0D"/>
    <w:rsid w:val="1C83345B"/>
    <w:rsid w:val="1C84D9EB"/>
    <w:rsid w:val="1C87C4F1"/>
    <w:rsid w:val="1C881D26"/>
    <w:rsid w:val="1C886E74"/>
    <w:rsid w:val="1C8AA87D"/>
    <w:rsid w:val="1C91A204"/>
    <w:rsid w:val="1C92BCF4"/>
    <w:rsid w:val="1C99A6C9"/>
    <w:rsid w:val="1C9BAC65"/>
    <w:rsid w:val="1C9F1243"/>
    <w:rsid w:val="1CA085A2"/>
    <w:rsid w:val="1CA32C74"/>
    <w:rsid w:val="1CA3EE1F"/>
    <w:rsid w:val="1CA41976"/>
    <w:rsid w:val="1CACE192"/>
    <w:rsid w:val="1CB07069"/>
    <w:rsid w:val="1CB43624"/>
    <w:rsid w:val="1CB78B8A"/>
    <w:rsid w:val="1CB98D0D"/>
    <w:rsid w:val="1CBEDCA7"/>
    <w:rsid w:val="1CBF16C8"/>
    <w:rsid w:val="1CC959D3"/>
    <w:rsid w:val="1CCEF6D2"/>
    <w:rsid w:val="1CCF8751"/>
    <w:rsid w:val="1CD02B2A"/>
    <w:rsid w:val="1CD22D0D"/>
    <w:rsid w:val="1CD6CBC2"/>
    <w:rsid w:val="1CD761D0"/>
    <w:rsid w:val="1CD8AC3B"/>
    <w:rsid w:val="1CDB0613"/>
    <w:rsid w:val="1CDF391A"/>
    <w:rsid w:val="1CEB1D66"/>
    <w:rsid w:val="1CF2A81F"/>
    <w:rsid w:val="1CF3764B"/>
    <w:rsid w:val="1CF864D8"/>
    <w:rsid w:val="1CF936B4"/>
    <w:rsid w:val="1CFF5C4B"/>
    <w:rsid w:val="1CFF82A6"/>
    <w:rsid w:val="1CFFE2AF"/>
    <w:rsid w:val="1D047E3C"/>
    <w:rsid w:val="1D0A1038"/>
    <w:rsid w:val="1D0FFF2F"/>
    <w:rsid w:val="1D139B81"/>
    <w:rsid w:val="1D13BEB0"/>
    <w:rsid w:val="1D22BB25"/>
    <w:rsid w:val="1D250D42"/>
    <w:rsid w:val="1D256CD1"/>
    <w:rsid w:val="1D281FF2"/>
    <w:rsid w:val="1D29BF57"/>
    <w:rsid w:val="1D2AD6FB"/>
    <w:rsid w:val="1D308FA0"/>
    <w:rsid w:val="1D315CD8"/>
    <w:rsid w:val="1D337D27"/>
    <w:rsid w:val="1D35595A"/>
    <w:rsid w:val="1D365DFC"/>
    <w:rsid w:val="1D3674BC"/>
    <w:rsid w:val="1D4832FF"/>
    <w:rsid w:val="1D4851D8"/>
    <w:rsid w:val="1D4A50A5"/>
    <w:rsid w:val="1D4D2FB9"/>
    <w:rsid w:val="1D4EB2FA"/>
    <w:rsid w:val="1D4F36A6"/>
    <w:rsid w:val="1D50D5DF"/>
    <w:rsid w:val="1D511826"/>
    <w:rsid w:val="1D519FDE"/>
    <w:rsid w:val="1D51E5B9"/>
    <w:rsid w:val="1D51E861"/>
    <w:rsid w:val="1D5376B0"/>
    <w:rsid w:val="1D56086E"/>
    <w:rsid w:val="1D565AA0"/>
    <w:rsid w:val="1D5987F3"/>
    <w:rsid w:val="1D5A5833"/>
    <w:rsid w:val="1D5DBF92"/>
    <w:rsid w:val="1D64B6C9"/>
    <w:rsid w:val="1D6945A6"/>
    <w:rsid w:val="1D6C95D1"/>
    <w:rsid w:val="1D73DA29"/>
    <w:rsid w:val="1D76E60B"/>
    <w:rsid w:val="1D78B81E"/>
    <w:rsid w:val="1D7D7BBB"/>
    <w:rsid w:val="1D7FF635"/>
    <w:rsid w:val="1D837F76"/>
    <w:rsid w:val="1D83ED4F"/>
    <w:rsid w:val="1D843E96"/>
    <w:rsid w:val="1D871708"/>
    <w:rsid w:val="1D90B804"/>
    <w:rsid w:val="1D91BB2F"/>
    <w:rsid w:val="1D9F1F56"/>
    <w:rsid w:val="1DA1E840"/>
    <w:rsid w:val="1DA90962"/>
    <w:rsid w:val="1DABD484"/>
    <w:rsid w:val="1DAC3ABA"/>
    <w:rsid w:val="1DB1BB99"/>
    <w:rsid w:val="1DB6B3FB"/>
    <w:rsid w:val="1DBC4383"/>
    <w:rsid w:val="1DBD46A6"/>
    <w:rsid w:val="1DBF74B5"/>
    <w:rsid w:val="1DC26A91"/>
    <w:rsid w:val="1DC816C6"/>
    <w:rsid w:val="1DCD03C3"/>
    <w:rsid w:val="1DD0F5CD"/>
    <w:rsid w:val="1DD1E0BF"/>
    <w:rsid w:val="1DD4269F"/>
    <w:rsid w:val="1DD6EE16"/>
    <w:rsid w:val="1DDCAD51"/>
    <w:rsid w:val="1DDD840E"/>
    <w:rsid w:val="1DE8BE9C"/>
    <w:rsid w:val="1DEB05B1"/>
    <w:rsid w:val="1DEBB60D"/>
    <w:rsid w:val="1DEC1DCB"/>
    <w:rsid w:val="1DED0A69"/>
    <w:rsid w:val="1DEEFA27"/>
    <w:rsid w:val="1DF51C9D"/>
    <w:rsid w:val="1DF84A98"/>
    <w:rsid w:val="1DF8FF40"/>
    <w:rsid w:val="1DF91161"/>
    <w:rsid w:val="1DFB3C4B"/>
    <w:rsid w:val="1DFF5231"/>
    <w:rsid w:val="1E01A58E"/>
    <w:rsid w:val="1E038194"/>
    <w:rsid w:val="1E056987"/>
    <w:rsid w:val="1E0EE785"/>
    <w:rsid w:val="1E1188AF"/>
    <w:rsid w:val="1E11EC27"/>
    <w:rsid w:val="1E13CBDB"/>
    <w:rsid w:val="1E15689A"/>
    <w:rsid w:val="1E165745"/>
    <w:rsid w:val="1E176D34"/>
    <w:rsid w:val="1E19E056"/>
    <w:rsid w:val="1E1D23B5"/>
    <w:rsid w:val="1E1E9ADD"/>
    <w:rsid w:val="1E1ECDA1"/>
    <w:rsid w:val="1E229EB0"/>
    <w:rsid w:val="1E282DF4"/>
    <w:rsid w:val="1E2831B1"/>
    <w:rsid w:val="1E303A1F"/>
    <w:rsid w:val="1E30C5BA"/>
    <w:rsid w:val="1E30E73B"/>
    <w:rsid w:val="1E317D55"/>
    <w:rsid w:val="1E3510F9"/>
    <w:rsid w:val="1E3516C1"/>
    <w:rsid w:val="1E458E9E"/>
    <w:rsid w:val="1E461DC5"/>
    <w:rsid w:val="1E4A1CE7"/>
    <w:rsid w:val="1E4A522C"/>
    <w:rsid w:val="1E4B1370"/>
    <w:rsid w:val="1E4FBAF2"/>
    <w:rsid w:val="1E503472"/>
    <w:rsid w:val="1E525160"/>
    <w:rsid w:val="1E53B73D"/>
    <w:rsid w:val="1E573E89"/>
    <w:rsid w:val="1E58CD05"/>
    <w:rsid w:val="1E5B0FF8"/>
    <w:rsid w:val="1E5DB3E4"/>
    <w:rsid w:val="1E635B55"/>
    <w:rsid w:val="1E6528DB"/>
    <w:rsid w:val="1E677FFB"/>
    <w:rsid w:val="1E68E28F"/>
    <w:rsid w:val="1E6A947C"/>
    <w:rsid w:val="1E6FAACF"/>
    <w:rsid w:val="1E70BCDD"/>
    <w:rsid w:val="1E73F874"/>
    <w:rsid w:val="1E7BA345"/>
    <w:rsid w:val="1E7CF85A"/>
    <w:rsid w:val="1E7E75A3"/>
    <w:rsid w:val="1E844C9C"/>
    <w:rsid w:val="1E881204"/>
    <w:rsid w:val="1E8A9D2A"/>
    <w:rsid w:val="1E8AA84B"/>
    <w:rsid w:val="1E8FA138"/>
    <w:rsid w:val="1E8FFC8E"/>
    <w:rsid w:val="1E90015E"/>
    <w:rsid w:val="1E908F5C"/>
    <w:rsid w:val="1E925C34"/>
    <w:rsid w:val="1E964F37"/>
    <w:rsid w:val="1E9A47F5"/>
    <w:rsid w:val="1E9B094F"/>
    <w:rsid w:val="1E9C7D04"/>
    <w:rsid w:val="1E9DE076"/>
    <w:rsid w:val="1EA82C05"/>
    <w:rsid w:val="1EADAEC4"/>
    <w:rsid w:val="1EADCADD"/>
    <w:rsid w:val="1EAF7EE6"/>
    <w:rsid w:val="1EAFEE73"/>
    <w:rsid w:val="1EB289ED"/>
    <w:rsid w:val="1EB6822D"/>
    <w:rsid w:val="1EB8FB5B"/>
    <w:rsid w:val="1EBABEC2"/>
    <w:rsid w:val="1EBC65EF"/>
    <w:rsid w:val="1EBCB7B9"/>
    <w:rsid w:val="1EBDC50D"/>
    <w:rsid w:val="1EC03E37"/>
    <w:rsid w:val="1EC0DE9F"/>
    <w:rsid w:val="1EC844B8"/>
    <w:rsid w:val="1EC90249"/>
    <w:rsid w:val="1EC9487B"/>
    <w:rsid w:val="1EC96580"/>
    <w:rsid w:val="1ECC8523"/>
    <w:rsid w:val="1ECFC9D3"/>
    <w:rsid w:val="1ED26A22"/>
    <w:rsid w:val="1ED2DF64"/>
    <w:rsid w:val="1ED49539"/>
    <w:rsid w:val="1ED5D477"/>
    <w:rsid w:val="1ED90110"/>
    <w:rsid w:val="1ED9D6E4"/>
    <w:rsid w:val="1EDF1075"/>
    <w:rsid w:val="1EDF6DA4"/>
    <w:rsid w:val="1EE6C070"/>
    <w:rsid w:val="1EEABEA2"/>
    <w:rsid w:val="1EEE37D2"/>
    <w:rsid w:val="1EEF637A"/>
    <w:rsid w:val="1EF0BFB1"/>
    <w:rsid w:val="1EF0C0A8"/>
    <w:rsid w:val="1EF19894"/>
    <w:rsid w:val="1EF249B2"/>
    <w:rsid w:val="1EF2F658"/>
    <w:rsid w:val="1EF60F88"/>
    <w:rsid w:val="1EF777FC"/>
    <w:rsid w:val="1EF8B23A"/>
    <w:rsid w:val="1F01F92E"/>
    <w:rsid w:val="1F043A43"/>
    <w:rsid w:val="1F06A450"/>
    <w:rsid w:val="1F07552B"/>
    <w:rsid w:val="1F08ADDA"/>
    <w:rsid w:val="1F09F108"/>
    <w:rsid w:val="1F0CDDDA"/>
    <w:rsid w:val="1F0EB465"/>
    <w:rsid w:val="1F0F780B"/>
    <w:rsid w:val="1F114C4C"/>
    <w:rsid w:val="1F1A9F45"/>
    <w:rsid w:val="1F1AC466"/>
    <w:rsid w:val="1F1ACCEB"/>
    <w:rsid w:val="1F1EC425"/>
    <w:rsid w:val="1F24C72A"/>
    <w:rsid w:val="1F25C6A9"/>
    <w:rsid w:val="1F2C0DBC"/>
    <w:rsid w:val="1F312E09"/>
    <w:rsid w:val="1F3494CF"/>
    <w:rsid w:val="1F3BE62B"/>
    <w:rsid w:val="1F3EBDB9"/>
    <w:rsid w:val="1F3F2DB5"/>
    <w:rsid w:val="1F416274"/>
    <w:rsid w:val="1F48F8D9"/>
    <w:rsid w:val="1F4A45EA"/>
    <w:rsid w:val="1F4E5042"/>
    <w:rsid w:val="1F53216D"/>
    <w:rsid w:val="1F53AF0F"/>
    <w:rsid w:val="1F549D17"/>
    <w:rsid w:val="1F55775E"/>
    <w:rsid w:val="1F5C2D18"/>
    <w:rsid w:val="1F5EA0CE"/>
    <w:rsid w:val="1F5FF2D7"/>
    <w:rsid w:val="1F64A3FE"/>
    <w:rsid w:val="1F67281B"/>
    <w:rsid w:val="1F6CE73E"/>
    <w:rsid w:val="1F717ABF"/>
    <w:rsid w:val="1F73B45D"/>
    <w:rsid w:val="1F791CD3"/>
    <w:rsid w:val="1F7E36F1"/>
    <w:rsid w:val="1F810D16"/>
    <w:rsid w:val="1F83006D"/>
    <w:rsid w:val="1F852F19"/>
    <w:rsid w:val="1F8609E5"/>
    <w:rsid w:val="1F866621"/>
    <w:rsid w:val="1F88363D"/>
    <w:rsid w:val="1F8D7732"/>
    <w:rsid w:val="1F8E2AB2"/>
    <w:rsid w:val="1F92CF8A"/>
    <w:rsid w:val="1F9DD6E0"/>
    <w:rsid w:val="1FA670A7"/>
    <w:rsid w:val="1FA72455"/>
    <w:rsid w:val="1FA7D733"/>
    <w:rsid w:val="1FAB2413"/>
    <w:rsid w:val="1FB24020"/>
    <w:rsid w:val="1FB4AE19"/>
    <w:rsid w:val="1FB4E4F5"/>
    <w:rsid w:val="1FB576D6"/>
    <w:rsid w:val="1FB777E3"/>
    <w:rsid w:val="1FBA7BA1"/>
    <w:rsid w:val="1FBBEDB6"/>
    <w:rsid w:val="1FC6A063"/>
    <w:rsid w:val="1FC77F58"/>
    <w:rsid w:val="1FCF25B0"/>
    <w:rsid w:val="1FCFA9C3"/>
    <w:rsid w:val="1FCFC4BB"/>
    <w:rsid w:val="1FD3F4E8"/>
    <w:rsid w:val="1FD602A0"/>
    <w:rsid w:val="1FD6F4D6"/>
    <w:rsid w:val="1FDC3667"/>
    <w:rsid w:val="1FE018C0"/>
    <w:rsid w:val="1FE39679"/>
    <w:rsid w:val="1FE9E131"/>
    <w:rsid w:val="1FED284B"/>
    <w:rsid w:val="1FF22EA7"/>
    <w:rsid w:val="1FF3DD3E"/>
    <w:rsid w:val="1FF596A9"/>
    <w:rsid w:val="1FF6664B"/>
    <w:rsid w:val="1FF9DDB3"/>
    <w:rsid w:val="1FFABD84"/>
    <w:rsid w:val="1FFC1FAA"/>
    <w:rsid w:val="1FFC4537"/>
    <w:rsid w:val="2002BF2D"/>
    <w:rsid w:val="200BCBA4"/>
    <w:rsid w:val="200CC3D0"/>
    <w:rsid w:val="20102113"/>
    <w:rsid w:val="20129176"/>
    <w:rsid w:val="20136E58"/>
    <w:rsid w:val="2016B6EB"/>
    <w:rsid w:val="201A5C31"/>
    <w:rsid w:val="2020776E"/>
    <w:rsid w:val="20213C66"/>
    <w:rsid w:val="202A406D"/>
    <w:rsid w:val="202B8073"/>
    <w:rsid w:val="202BFBA0"/>
    <w:rsid w:val="202C7DE2"/>
    <w:rsid w:val="20333C82"/>
    <w:rsid w:val="2033F1D7"/>
    <w:rsid w:val="2034C88E"/>
    <w:rsid w:val="203DADF1"/>
    <w:rsid w:val="203E6A5E"/>
    <w:rsid w:val="203F7684"/>
    <w:rsid w:val="20402F1D"/>
    <w:rsid w:val="2043E965"/>
    <w:rsid w:val="2045FAF4"/>
    <w:rsid w:val="20486C71"/>
    <w:rsid w:val="2049167F"/>
    <w:rsid w:val="2049771E"/>
    <w:rsid w:val="204F37A2"/>
    <w:rsid w:val="204FFBAD"/>
    <w:rsid w:val="20513FF6"/>
    <w:rsid w:val="2051D183"/>
    <w:rsid w:val="2056F46E"/>
    <w:rsid w:val="2058893B"/>
    <w:rsid w:val="2058C25C"/>
    <w:rsid w:val="205AC28C"/>
    <w:rsid w:val="205D9900"/>
    <w:rsid w:val="20608291"/>
    <w:rsid w:val="206694B0"/>
    <w:rsid w:val="20671BD1"/>
    <w:rsid w:val="20675268"/>
    <w:rsid w:val="20694AD2"/>
    <w:rsid w:val="206DB8D8"/>
    <w:rsid w:val="20719EB4"/>
    <w:rsid w:val="2073F5E0"/>
    <w:rsid w:val="20750F70"/>
    <w:rsid w:val="2075A515"/>
    <w:rsid w:val="2076C5D1"/>
    <w:rsid w:val="20789DD0"/>
    <w:rsid w:val="207A13D3"/>
    <w:rsid w:val="207A591F"/>
    <w:rsid w:val="207C2D07"/>
    <w:rsid w:val="207C6355"/>
    <w:rsid w:val="207DCB93"/>
    <w:rsid w:val="2081363F"/>
    <w:rsid w:val="208742F3"/>
    <w:rsid w:val="208AE705"/>
    <w:rsid w:val="208BBD87"/>
    <w:rsid w:val="208ED8B0"/>
    <w:rsid w:val="208F5E49"/>
    <w:rsid w:val="20901643"/>
    <w:rsid w:val="20912CC4"/>
    <w:rsid w:val="2091D4AA"/>
    <w:rsid w:val="2092F899"/>
    <w:rsid w:val="2093D7A5"/>
    <w:rsid w:val="2096A55A"/>
    <w:rsid w:val="20998FEE"/>
    <w:rsid w:val="20A13BB9"/>
    <w:rsid w:val="20A253F3"/>
    <w:rsid w:val="20AFDC0A"/>
    <w:rsid w:val="20B21FB1"/>
    <w:rsid w:val="20B392B4"/>
    <w:rsid w:val="20B47C39"/>
    <w:rsid w:val="20B5671F"/>
    <w:rsid w:val="20B68890"/>
    <w:rsid w:val="20B9A22A"/>
    <w:rsid w:val="20B9F0E8"/>
    <w:rsid w:val="20BA56CB"/>
    <w:rsid w:val="20C08296"/>
    <w:rsid w:val="20C218BE"/>
    <w:rsid w:val="20C3FF80"/>
    <w:rsid w:val="20C5A19C"/>
    <w:rsid w:val="20C8998A"/>
    <w:rsid w:val="20CA7E60"/>
    <w:rsid w:val="20CB0652"/>
    <w:rsid w:val="20CF086D"/>
    <w:rsid w:val="20CF5180"/>
    <w:rsid w:val="20CF9C15"/>
    <w:rsid w:val="20D03798"/>
    <w:rsid w:val="20D08A9C"/>
    <w:rsid w:val="20D45983"/>
    <w:rsid w:val="20D7ADC7"/>
    <w:rsid w:val="20DA2D01"/>
    <w:rsid w:val="20E0A005"/>
    <w:rsid w:val="20E3CDE8"/>
    <w:rsid w:val="20E85EE4"/>
    <w:rsid w:val="20EAB9EF"/>
    <w:rsid w:val="20ECBF6B"/>
    <w:rsid w:val="20ECC143"/>
    <w:rsid w:val="20EFDA71"/>
    <w:rsid w:val="20F06626"/>
    <w:rsid w:val="20F1BD1B"/>
    <w:rsid w:val="20F26A7A"/>
    <w:rsid w:val="20F2BE1F"/>
    <w:rsid w:val="20F2EE9C"/>
    <w:rsid w:val="20F3CDD7"/>
    <w:rsid w:val="20F53188"/>
    <w:rsid w:val="20F826FF"/>
    <w:rsid w:val="20F9918C"/>
    <w:rsid w:val="20FAEFC4"/>
    <w:rsid w:val="20FC288B"/>
    <w:rsid w:val="20FCCB43"/>
    <w:rsid w:val="20FD7DFA"/>
    <w:rsid w:val="21003E66"/>
    <w:rsid w:val="2101CF98"/>
    <w:rsid w:val="2103367E"/>
    <w:rsid w:val="2103EA8F"/>
    <w:rsid w:val="21054A66"/>
    <w:rsid w:val="21084965"/>
    <w:rsid w:val="210D0C78"/>
    <w:rsid w:val="2111AD95"/>
    <w:rsid w:val="2112D64C"/>
    <w:rsid w:val="2115FD57"/>
    <w:rsid w:val="211732A8"/>
    <w:rsid w:val="21177968"/>
    <w:rsid w:val="211E613D"/>
    <w:rsid w:val="21219350"/>
    <w:rsid w:val="21244171"/>
    <w:rsid w:val="2127BF97"/>
    <w:rsid w:val="212F24DD"/>
    <w:rsid w:val="212F5328"/>
    <w:rsid w:val="2130A7AF"/>
    <w:rsid w:val="213188DF"/>
    <w:rsid w:val="213207B7"/>
    <w:rsid w:val="2137FB83"/>
    <w:rsid w:val="2137FF50"/>
    <w:rsid w:val="213C943F"/>
    <w:rsid w:val="213EDF63"/>
    <w:rsid w:val="21401D41"/>
    <w:rsid w:val="21416576"/>
    <w:rsid w:val="2142DFCA"/>
    <w:rsid w:val="2148581C"/>
    <w:rsid w:val="2149C09D"/>
    <w:rsid w:val="214AB614"/>
    <w:rsid w:val="21525F1C"/>
    <w:rsid w:val="21540FB2"/>
    <w:rsid w:val="2155E7A4"/>
    <w:rsid w:val="2156BE85"/>
    <w:rsid w:val="21622738"/>
    <w:rsid w:val="2165B2B9"/>
    <w:rsid w:val="21688244"/>
    <w:rsid w:val="217378C6"/>
    <w:rsid w:val="21793964"/>
    <w:rsid w:val="217B8BC1"/>
    <w:rsid w:val="217C13A4"/>
    <w:rsid w:val="217C656F"/>
    <w:rsid w:val="217C84E4"/>
    <w:rsid w:val="2187C4ED"/>
    <w:rsid w:val="218AAF2D"/>
    <w:rsid w:val="218DD15A"/>
    <w:rsid w:val="218F829E"/>
    <w:rsid w:val="219034FF"/>
    <w:rsid w:val="2190A150"/>
    <w:rsid w:val="21932ED0"/>
    <w:rsid w:val="2193A555"/>
    <w:rsid w:val="21994DAE"/>
    <w:rsid w:val="21999EB2"/>
    <w:rsid w:val="219D49B6"/>
    <w:rsid w:val="219E50F8"/>
    <w:rsid w:val="21A528B8"/>
    <w:rsid w:val="21A8E55B"/>
    <w:rsid w:val="21AB594E"/>
    <w:rsid w:val="21B49F08"/>
    <w:rsid w:val="21B53737"/>
    <w:rsid w:val="21B72BA0"/>
    <w:rsid w:val="21B7BA47"/>
    <w:rsid w:val="21BD66C2"/>
    <w:rsid w:val="21C2718A"/>
    <w:rsid w:val="21C2737D"/>
    <w:rsid w:val="21C3EE05"/>
    <w:rsid w:val="21C647D1"/>
    <w:rsid w:val="21C787E3"/>
    <w:rsid w:val="21C7DA25"/>
    <w:rsid w:val="21C9CF41"/>
    <w:rsid w:val="21CD0F03"/>
    <w:rsid w:val="21CDE357"/>
    <w:rsid w:val="21CE2483"/>
    <w:rsid w:val="21CEC986"/>
    <w:rsid w:val="21D21040"/>
    <w:rsid w:val="21D24B5A"/>
    <w:rsid w:val="21D564D3"/>
    <w:rsid w:val="21DBCFEB"/>
    <w:rsid w:val="21DCF910"/>
    <w:rsid w:val="21E0A8D0"/>
    <w:rsid w:val="21E52BE1"/>
    <w:rsid w:val="21EA5A6F"/>
    <w:rsid w:val="21EA96DE"/>
    <w:rsid w:val="21EE5763"/>
    <w:rsid w:val="21EE7DA0"/>
    <w:rsid w:val="21F1FF64"/>
    <w:rsid w:val="21F20BF1"/>
    <w:rsid w:val="21FB9A35"/>
    <w:rsid w:val="22001D75"/>
    <w:rsid w:val="220163B5"/>
    <w:rsid w:val="22027767"/>
    <w:rsid w:val="2204856B"/>
    <w:rsid w:val="220DBD0E"/>
    <w:rsid w:val="22184DFE"/>
    <w:rsid w:val="221958A6"/>
    <w:rsid w:val="22204F12"/>
    <w:rsid w:val="2220A60A"/>
    <w:rsid w:val="222217E1"/>
    <w:rsid w:val="222A24E2"/>
    <w:rsid w:val="22315DEF"/>
    <w:rsid w:val="2235634E"/>
    <w:rsid w:val="2239698D"/>
    <w:rsid w:val="2239AFD4"/>
    <w:rsid w:val="223D0DD6"/>
    <w:rsid w:val="22404201"/>
    <w:rsid w:val="2241E1AE"/>
    <w:rsid w:val="2243404E"/>
    <w:rsid w:val="22485162"/>
    <w:rsid w:val="22495900"/>
    <w:rsid w:val="224CA5CA"/>
    <w:rsid w:val="2251EA9A"/>
    <w:rsid w:val="2254321D"/>
    <w:rsid w:val="2257EED1"/>
    <w:rsid w:val="225DD3CB"/>
    <w:rsid w:val="225EED4D"/>
    <w:rsid w:val="225FA869"/>
    <w:rsid w:val="22604EFA"/>
    <w:rsid w:val="22682E89"/>
    <w:rsid w:val="226AEA63"/>
    <w:rsid w:val="22751ECC"/>
    <w:rsid w:val="2278EF62"/>
    <w:rsid w:val="227BACD8"/>
    <w:rsid w:val="227D67CA"/>
    <w:rsid w:val="227E18E8"/>
    <w:rsid w:val="228A13DB"/>
    <w:rsid w:val="228B15A0"/>
    <w:rsid w:val="228E7420"/>
    <w:rsid w:val="229AC6BE"/>
    <w:rsid w:val="229C98E5"/>
    <w:rsid w:val="229CB840"/>
    <w:rsid w:val="229D9A94"/>
    <w:rsid w:val="229E2512"/>
    <w:rsid w:val="22A20DCF"/>
    <w:rsid w:val="22A3386D"/>
    <w:rsid w:val="22A488D8"/>
    <w:rsid w:val="22A59EC1"/>
    <w:rsid w:val="22A74422"/>
    <w:rsid w:val="22A832B7"/>
    <w:rsid w:val="22A84A68"/>
    <w:rsid w:val="22AA439A"/>
    <w:rsid w:val="22ACB1DD"/>
    <w:rsid w:val="22AE5F9E"/>
    <w:rsid w:val="22B28967"/>
    <w:rsid w:val="22B9BCB5"/>
    <w:rsid w:val="22C33CFC"/>
    <w:rsid w:val="22C8D307"/>
    <w:rsid w:val="22D049F9"/>
    <w:rsid w:val="22D1789E"/>
    <w:rsid w:val="22D181B8"/>
    <w:rsid w:val="22D4F55B"/>
    <w:rsid w:val="22DBB937"/>
    <w:rsid w:val="22DFB3E3"/>
    <w:rsid w:val="22E2EAE1"/>
    <w:rsid w:val="22E5B1BF"/>
    <w:rsid w:val="22E5FB27"/>
    <w:rsid w:val="22EB5007"/>
    <w:rsid w:val="22ED4B4D"/>
    <w:rsid w:val="22F53CD5"/>
    <w:rsid w:val="22F6557C"/>
    <w:rsid w:val="22F72793"/>
    <w:rsid w:val="22F7EC25"/>
    <w:rsid w:val="22FD8D55"/>
    <w:rsid w:val="2300F47C"/>
    <w:rsid w:val="230384A5"/>
    <w:rsid w:val="23040C03"/>
    <w:rsid w:val="230C16A4"/>
    <w:rsid w:val="230CD5FC"/>
    <w:rsid w:val="230DBDB0"/>
    <w:rsid w:val="230DFAEF"/>
    <w:rsid w:val="230F21EA"/>
    <w:rsid w:val="23118BB7"/>
    <w:rsid w:val="23143073"/>
    <w:rsid w:val="2318099D"/>
    <w:rsid w:val="2318A181"/>
    <w:rsid w:val="2320A30A"/>
    <w:rsid w:val="23241381"/>
    <w:rsid w:val="23292880"/>
    <w:rsid w:val="232B1923"/>
    <w:rsid w:val="232C4697"/>
    <w:rsid w:val="2330042E"/>
    <w:rsid w:val="23315769"/>
    <w:rsid w:val="233392CD"/>
    <w:rsid w:val="233688C4"/>
    <w:rsid w:val="2336A517"/>
    <w:rsid w:val="233A5657"/>
    <w:rsid w:val="233AF16B"/>
    <w:rsid w:val="233E0CDC"/>
    <w:rsid w:val="233E31C1"/>
    <w:rsid w:val="233FD429"/>
    <w:rsid w:val="234421DB"/>
    <w:rsid w:val="23458948"/>
    <w:rsid w:val="2348EBE6"/>
    <w:rsid w:val="2349CB42"/>
    <w:rsid w:val="234C1569"/>
    <w:rsid w:val="234E51E8"/>
    <w:rsid w:val="235034D5"/>
    <w:rsid w:val="23508746"/>
    <w:rsid w:val="2352859A"/>
    <w:rsid w:val="2352AB08"/>
    <w:rsid w:val="2353E1DB"/>
    <w:rsid w:val="235410F5"/>
    <w:rsid w:val="23572AC3"/>
    <w:rsid w:val="235745C4"/>
    <w:rsid w:val="235A61F9"/>
    <w:rsid w:val="235C566B"/>
    <w:rsid w:val="235DCB2E"/>
    <w:rsid w:val="23601ECD"/>
    <w:rsid w:val="2362AAB8"/>
    <w:rsid w:val="23636650"/>
    <w:rsid w:val="236502B4"/>
    <w:rsid w:val="2368053D"/>
    <w:rsid w:val="236893A2"/>
    <w:rsid w:val="236A2E6D"/>
    <w:rsid w:val="236BD614"/>
    <w:rsid w:val="236E664F"/>
    <w:rsid w:val="23727CB2"/>
    <w:rsid w:val="23740C56"/>
    <w:rsid w:val="23761594"/>
    <w:rsid w:val="237A2A6F"/>
    <w:rsid w:val="237BEE3A"/>
    <w:rsid w:val="237D921F"/>
    <w:rsid w:val="237FF2F4"/>
    <w:rsid w:val="23814936"/>
    <w:rsid w:val="23817E95"/>
    <w:rsid w:val="2390104D"/>
    <w:rsid w:val="23928A42"/>
    <w:rsid w:val="23965731"/>
    <w:rsid w:val="239924F3"/>
    <w:rsid w:val="239F6742"/>
    <w:rsid w:val="23A0F1C7"/>
    <w:rsid w:val="23A0FA23"/>
    <w:rsid w:val="23B12838"/>
    <w:rsid w:val="23B5AA00"/>
    <w:rsid w:val="23B864B7"/>
    <w:rsid w:val="23B8B530"/>
    <w:rsid w:val="23BC3D74"/>
    <w:rsid w:val="23BFCE66"/>
    <w:rsid w:val="23C69F63"/>
    <w:rsid w:val="23CC4CE7"/>
    <w:rsid w:val="23CDB3DF"/>
    <w:rsid w:val="23CDD111"/>
    <w:rsid w:val="23D2D228"/>
    <w:rsid w:val="23D3309C"/>
    <w:rsid w:val="23D6507F"/>
    <w:rsid w:val="23D65499"/>
    <w:rsid w:val="23DB159C"/>
    <w:rsid w:val="23DEEFFC"/>
    <w:rsid w:val="23E666E5"/>
    <w:rsid w:val="23ED913E"/>
    <w:rsid w:val="23EDE68B"/>
    <w:rsid w:val="23EEA304"/>
    <w:rsid w:val="23EF2E92"/>
    <w:rsid w:val="23F08D36"/>
    <w:rsid w:val="23F67E2D"/>
    <w:rsid w:val="23FAF180"/>
    <w:rsid w:val="23FE1843"/>
    <w:rsid w:val="24039C80"/>
    <w:rsid w:val="24048F60"/>
    <w:rsid w:val="24066C07"/>
    <w:rsid w:val="2408E227"/>
    <w:rsid w:val="24096378"/>
    <w:rsid w:val="240DEF23"/>
    <w:rsid w:val="240F2252"/>
    <w:rsid w:val="24116E08"/>
    <w:rsid w:val="24137E97"/>
    <w:rsid w:val="24147146"/>
    <w:rsid w:val="2416A9F3"/>
    <w:rsid w:val="241C49CD"/>
    <w:rsid w:val="241CBA5D"/>
    <w:rsid w:val="2421C20F"/>
    <w:rsid w:val="24258769"/>
    <w:rsid w:val="2425C9DD"/>
    <w:rsid w:val="242B6A41"/>
    <w:rsid w:val="243AAEF7"/>
    <w:rsid w:val="243B0143"/>
    <w:rsid w:val="243DAC65"/>
    <w:rsid w:val="243EC4CB"/>
    <w:rsid w:val="244EB8AD"/>
    <w:rsid w:val="24500547"/>
    <w:rsid w:val="24511A82"/>
    <w:rsid w:val="2452BE4B"/>
    <w:rsid w:val="2453651E"/>
    <w:rsid w:val="24572B54"/>
    <w:rsid w:val="245E510D"/>
    <w:rsid w:val="245F883A"/>
    <w:rsid w:val="245FC665"/>
    <w:rsid w:val="24609247"/>
    <w:rsid w:val="24638C23"/>
    <w:rsid w:val="246488CA"/>
    <w:rsid w:val="2464B754"/>
    <w:rsid w:val="2465C935"/>
    <w:rsid w:val="24671CC7"/>
    <w:rsid w:val="24681D0E"/>
    <w:rsid w:val="246DDECB"/>
    <w:rsid w:val="24743720"/>
    <w:rsid w:val="2475046E"/>
    <w:rsid w:val="24772295"/>
    <w:rsid w:val="24792966"/>
    <w:rsid w:val="247B3740"/>
    <w:rsid w:val="247D0911"/>
    <w:rsid w:val="247D2E79"/>
    <w:rsid w:val="24892CF7"/>
    <w:rsid w:val="248CC2C0"/>
    <w:rsid w:val="248DBE2B"/>
    <w:rsid w:val="2497F662"/>
    <w:rsid w:val="249A263D"/>
    <w:rsid w:val="249BA655"/>
    <w:rsid w:val="249D4EFC"/>
    <w:rsid w:val="249DFA9C"/>
    <w:rsid w:val="24A145CD"/>
    <w:rsid w:val="24A327E3"/>
    <w:rsid w:val="24A40429"/>
    <w:rsid w:val="24A56FE5"/>
    <w:rsid w:val="24A6E0E1"/>
    <w:rsid w:val="24ACC5D6"/>
    <w:rsid w:val="24AE9433"/>
    <w:rsid w:val="24B4329C"/>
    <w:rsid w:val="24B5571B"/>
    <w:rsid w:val="24B9F41E"/>
    <w:rsid w:val="24BA1D5E"/>
    <w:rsid w:val="24BD63D4"/>
    <w:rsid w:val="24C48FA9"/>
    <w:rsid w:val="24C4F48A"/>
    <w:rsid w:val="24C8A846"/>
    <w:rsid w:val="24CB549A"/>
    <w:rsid w:val="24D9481C"/>
    <w:rsid w:val="24DC41AF"/>
    <w:rsid w:val="24DDB2F9"/>
    <w:rsid w:val="24DFA5BA"/>
    <w:rsid w:val="24E0103E"/>
    <w:rsid w:val="24E0C3D3"/>
    <w:rsid w:val="24E8A4A3"/>
    <w:rsid w:val="24EA1B6C"/>
    <w:rsid w:val="24EED4C8"/>
    <w:rsid w:val="24F5710A"/>
    <w:rsid w:val="24F61B89"/>
    <w:rsid w:val="24FABE1D"/>
    <w:rsid w:val="2501CAED"/>
    <w:rsid w:val="2503E5BE"/>
    <w:rsid w:val="2508467B"/>
    <w:rsid w:val="250A9F6A"/>
    <w:rsid w:val="25112F18"/>
    <w:rsid w:val="25155895"/>
    <w:rsid w:val="2515DB55"/>
    <w:rsid w:val="251E7A0A"/>
    <w:rsid w:val="251F7DF8"/>
    <w:rsid w:val="251F9081"/>
    <w:rsid w:val="2520863F"/>
    <w:rsid w:val="2520D65A"/>
    <w:rsid w:val="2520F092"/>
    <w:rsid w:val="25210DF0"/>
    <w:rsid w:val="25219AAD"/>
    <w:rsid w:val="25236F8B"/>
    <w:rsid w:val="25238123"/>
    <w:rsid w:val="252593DB"/>
    <w:rsid w:val="252B64C4"/>
    <w:rsid w:val="252C40F6"/>
    <w:rsid w:val="252F4C01"/>
    <w:rsid w:val="2533498A"/>
    <w:rsid w:val="25367D9C"/>
    <w:rsid w:val="253D1707"/>
    <w:rsid w:val="2540EDAE"/>
    <w:rsid w:val="2541CBAA"/>
    <w:rsid w:val="2547CDF3"/>
    <w:rsid w:val="2548891D"/>
    <w:rsid w:val="25492587"/>
    <w:rsid w:val="254CD080"/>
    <w:rsid w:val="254FD721"/>
    <w:rsid w:val="2555470A"/>
    <w:rsid w:val="255785C7"/>
    <w:rsid w:val="255C3F6D"/>
    <w:rsid w:val="255FB9FF"/>
    <w:rsid w:val="2561F0E5"/>
    <w:rsid w:val="25659789"/>
    <w:rsid w:val="2567740B"/>
    <w:rsid w:val="25686BBC"/>
    <w:rsid w:val="25709A04"/>
    <w:rsid w:val="2571F19B"/>
    <w:rsid w:val="2574AE45"/>
    <w:rsid w:val="257659B3"/>
    <w:rsid w:val="2577ECE0"/>
    <w:rsid w:val="25793088"/>
    <w:rsid w:val="257AC439"/>
    <w:rsid w:val="257C1236"/>
    <w:rsid w:val="257DF00B"/>
    <w:rsid w:val="257FC985"/>
    <w:rsid w:val="258164F7"/>
    <w:rsid w:val="2581F4CE"/>
    <w:rsid w:val="2582EEFB"/>
    <w:rsid w:val="258576CC"/>
    <w:rsid w:val="25859053"/>
    <w:rsid w:val="258612F3"/>
    <w:rsid w:val="258D02AC"/>
    <w:rsid w:val="2590A140"/>
    <w:rsid w:val="25912824"/>
    <w:rsid w:val="25933FDF"/>
    <w:rsid w:val="25938DD4"/>
    <w:rsid w:val="25950022"/>
    <w:rsid w:val="25967D67"/>
    <w:rsid w:val="2596CF4D"/>
    <w:rsid w:val="25976E7D"/>
    <w:rsid w:val="2598A7A8"/>
    <w:rsid w:val="25999EFC"/>
    <w:rsid w:val="259F1228"/>
    <w:rsid w:val="25A0097B"/>
    <w:rsid w:val="25A2997B"/>
    <w:rsid w:val="25A54081"/>
    <w:rsid w:val="25A577F1"/>
    <w:rsid w:val="25A67CBB"/>
    <w:rsid w:val="25A8F2A0"/>
    <w:rsid w:val="25AA8B2F"/>
    <w:rsid w:val="25B2A802"/>
    <w:rsid w:val="25B5E578"/>
    <w:rsid w:val="25B77E90"/>
    <w:rsid w:val="25C1969F"/>
    <w:rsid w:val="25C3AB78"/>
    <w:rsid w:val="25C95FDC"/>
    <w:rsid w:val="25CA489F"/>
    <w:rsid w:val="25D19919"/>
    <w:rsid w:val="25DA31E2"/>
    <w:rsid w:val="25DA6FCE"/>
    <w:rsid w:val="25DCEA46"/>
    <w:rsid w:val="25DF6E86"/>
    <w:rsid w:val="25E49E22"/>
    <w:rsid w:val="25E5BF19"/>
    <w:rsid w:val="25E61C0A"/>
    <w:rsid w:val="25EB3F8D"/>
    <w:rsid w:val="25ECA864"/>
    <w:rsid w:val="25EDAB29"/>
    <w:rsid w:val="25EEFEAB"/>
    <w:rsid w:val="25F08786"/>
    <w:rsid w:val="25F13276"/>
    <w:rsid w:val="25F2EE54"/>
    <w:rsid w:val="25F3E1A6"/>
    <w:rsid w:val="25F58AB2"/>
    <w:rsid w:val="25F69AA0"/>
    <w:rsid w:val="25FB2E82"/>
    <w:rsid w:val="25FF6D23"/>
    <w:rsid w:val="26134D99"/>
    <w:rsid w:val="26138987"/>
    <w:rsid w:val="26157CE1"/>
    <w:rsid w:val="26162598"/>
    <w:rsid w:val="2619B4C6"/>
    <w:rsid w:val="261A5903"/>
    <w:rsid w:val="261C61F8"/>
    <w:rsid w:val="261CBF3E"/>
    <w:rsid w:val="261E2AEA"/>
    <w:rsid w:val="261E6E2B"/>
    <w:rsid w:val="261F553C"/>
    <w:rsid w:val="2625A8F4"/>
    <w:rsid w:val="26265551"/>
    <w:rsid w:val="262961AA"/>
    <w:rsid w:val="262CB2E0"/>
    <w:rsid w:val="262CCF8D"/>
    <w:rsid w:val="262D15AD"/>
    <w:rsid w:val="262D2CC4"/>
    <w:rsid w:val="262EC2C7"/>
    <w:rsid w:val="2633090B"/>
    <w:rsid w:val="26335F4F"/>
    <w:rsid w:val="263514F3"/>
    <w:rsid w:val="26380CDA"/>
    <w:rsid w:val="2638CE7D"/>
    <w:rsid w:val="26390927"/>
    <w:rsid w:val="263E9BFE"/>
    <w:rsid w:val="263F00E8"/>
    <w:rsid w:val="263F1BC1"/>
    <w:rsid w:val="263FAEEF"/>
    <w:rsid w:val="2640ED03"/>
    <w:rsid w:val="26433E81"/>
    <w:rsid w:val="26460416"/>
    <w:rsid w:val="264714F6"/>
    <w:rsid w:val="2649E4B4"/>
    <w:rsid w:val="264ECE10"/>
    <w:rsid w:val="264F55EE"/>
    <w:rsid w:val="26516B5A"/>
    <w:rsid w:val="2651E33B"/>
    <w:rsid w:val="26568FEA"/>
    <w:rsid w:val="265A387F"/>
    <w:rsid w:val="265B2AF2"/>
    <w:rsid w:val="265EA065"/>
    <w:rsid w:val="26600E87"/>
    <w:rsid w:val="2663443B"/>
    <w:rsid w:val="26637DD9"/>
    <w:rsid w:val="26670799"/>
    <w:rsid w:val="26675BE6"/>
    <w:rsid w:val="2668FB13"/>
    <w:rsid w:val="266D88FA"/>
    <w:rsid w:val="266E85CD"/>
    <w:rsid w:val="26771E40"/>
    <w:rsid w:val="2677CEDA"/>
    <w:rsid w:val="2679A1E4"/>
    <w:rsid w:val="267E911A"/>
    <w:rsid w:val="267F669A"/>
    <w:rsid w:val="2680A99C"/>
    <w:rsid w:val="26848F37"/>
    <w:rsid w:val="26862F7E"/>
    <w:rsid w:val="2686552B"/>
    <w:rsid w:val="2686DE77"/>
    <w:rsid w:val="2690D7EE"/>
    <w:rsid w:val="26919066"/>
    <w:rsid w:val="2691B7C6"/>
    <w:rsid w:val="269542F2"/>
    <w:rsid w:val="26969D40"/>
    <w:rsid w:val="2697BE4D"/>
    <w:rsid w:val="2697F19A"/>
    <w:rsid w:val="2697F26E"/>
    <w:rsid w:val="269B2665"/>
    <w:rsid w:val="269D850D"/>
    <w:rsid w:val="269F9E93"/>
    <w:rsid w:val="26AF5528"/>
    <w:rsid w:val="26B13E68"/>
    <w:rsid w:val="26B1EDD5"/>
    <w:rsid w:val="26B71B9F"/>
    <w:rsid w:val="26B8345D"/>
    <w:rsid w:val="26BB06BD"/>
    <w:rsid w:val="26BDEE7F"/>
    <w:rsid w:val="26C1A10A"/>
    <w:rsid w:val="26C30475"/>
    <w:rsid w:val="26C602DB"/>
    <w:rsid w:val="26C7593A"/>
    <w:rsid w:val="26CA4BFF"/>
    <w:rsid w:val="26CC78FA"/>
    <w:rsid w:val="26CC9B62"/>
    <w:rsid w:val="26D3C3CC"/>
    <w:rsid w:val="26D61163"/>
    <w:rsid w:val="26D6ADBA"/>
    <w:rsid w:val="26D74897"/>
    <w:rsid w:val="26D8B791"/>
    <w:rsid w:val="26DC2F28"/>
    <w:rsid w:val="26DD0B0D"/>
    <w:rsid w:val="26DDE43D"/>
    <w:rsid w:val="26E1C2A0"/>
    <w:rsid w:val="26E561D4"/>
    <w:rsid w:val="26E5FEE1"/>
    <w:rsid w:val="26E8D3EE"/>
    <w:rsid w:val="26E8D719"/>
    <w:rsid w:val="26EDF50C"/>
    <w:rsid w:val="26EE08D9"/>
    <w:rsid w:val="26F126FD"/>
    <w:rsid w:val="26F637B9"/>
    <w:rsid w:val="26F7C9E0"/>
    <w:rsid w:val="26FD1608"/>
    <w:rsid w:val="2700AA22"/>
    <w:rsid w:val="2705D32B"/>
    <w:rsid w:val="2705F91A"/>
    <w:rsid w:val="27093E0B"/>
    <w:rsid w:val="270AB461"/>
    <w:rsid w:val="270B7FC6"/>
    <w:rsid w:val="270C4991"/>
    <w:rsid w:val="27103929"/>
    <w:rsid w:val="2712B467"/>
    <w:rsid w:val="2712D651"/>
    <w:rsid w:val="2712F3B0"/>
    <w:rsid w:val="271A979C"/>
    <w:rsid w:val="271D3FDF"/>
    <w:rsid w:val="271FBED8"/>
    <w:rsid w:val="27205D38"/>
    <w:rsid w:val="2720EF0D"/>
    <w:rsid w:val="2720F29B"/>
    <w:rsid w:val="2723A898"/>
    <w:rsid w:val="2724250D"/>
    <w:rsid w:val="27242FFB"/>
    <w:rsid w:val="2726A3C7"/>
    <w:rsid w:val="272ECE20"/>
    <w:rsid w:val="27354878"/>
    <w:rsid w:val="2736B3FA"/>
    <w:rsid w:val="273F1D00"/>
    <w:rsid w:val="274064FC"/>
    <w:rsid w:val="27420C24"/>
    <w:rsid w:val="2742689C"/>
    <w:rsid w:val="27429203"/>
    <w:rsid w:val="27444638"/>
    <w:rsid w:val="2748838C"/>
    <w:rsid w:val="2749D18D"/>
    <w:rsid w:val="274DCF81"/>
    <w:rsid w:val="274FB4F3"/>
    <w:rsid w:val="2754828D"/>
    <w:rsid w:val="27552F3B"/>
    <w:rsid w:val="2755CAA7"/>
    <w:rsid w:val="27568DC8"/>
    <w:rsid w:val="27580A89"/>
    <w:rsid w:val="2758F3C9"/>
    <w:rsid w:val="27596223"/>
    <w:rsid w:val="27601447"/>
    <w:rsid w:val="2762CBE0"/>
    <w:rsid w:val="2764C233"/>
    <w:rsid w:val="276582A6"/>
    <w:rsid w:val="276BE9A8"/>
    <w:rsid w:val="276CF2F2"/>
    <w:rsid w:val="276E5BD5"/>
    <w:rsid w:val="276F17D2"/>
    <w:rsid w:val="2771E002"/>
    <w:rsid w:val="27761A8D"/>
    <w:rsid w:val="277B22C9"/>
    <w:rsid w:val="27807597"/>
    <w:rsid w:val="2781DE83"/>
    <w:rsid w:val="27820F6A"/>
    <w:rsid w:val="278261AA"/>
    <w:rsid w:val="2784936D"/>
    <w:rsid w:val="278EFFF2"/>
    <w:rsid w:val="2791C972"/>
    <w:rsid w:val="279318BF"/>
    <w:rsid w:val="2794EA4F"/>
    <w:rsid w:val="2798D06C"/>
    <w:rsid w:val="279D99EB"/>
    <w:rsid w:val="27A06DBE"/>
    <w:rsid w:val="27A20D90"/>
    <w:rsid w:val="27A42E45"/>
    <w:rsid w:val="27A5D57C"/>
    <w:rsid w:val="27A68BD5"/>
    <w:rsid w:val="27AC53CE"/>
    <w:rsid w:val="27AD88C1"/>
    <w:rsid w:val="27B4FADF"/>
    <w:rsid w:val="27B520AD"/>
    <w:rsid w:val="27BAA7D7"/>
    <w:rsid w:val="27BACFA5"/>
    <w:rsid w:val="27BE3D2A"/>
    <w:rsid w:val="27C28CAC"/>
    <w:rsid w:val="27C36C9B"/>
    <w:rsid w:val="27C42F99"/>
    <w:rsid w:val="27C884FC"/>
    <w:rsid w:val="27CA2093"/>
    <w:rsid w:val="27CA35D9"/>
    <w:rsid w:val="27CCDA84"/>
    <w:rsid w:val="27D166E6"/>
    <w:rsid w:val="27D25367"/>
    <w:rsid w:val="27D34D1A"/>
    <w:rsid w:val="27D4955C"/>
    <w:rsid w:val="27D59032"/>
    <w:rsid w:val="27D84F36"/>
    <w:rsid w:val="27DAE26A"/>
    <w:rsid w:val="27DEC0B3"/>
    <w:rsid w:val="27E0D207"/>
    <w:rsid w:val="27E66999"/>
    <w:rsid w:val="27E6B5BE"/>
    <w:rsid w:val="27E76B88"/>
    <w:rsid w:val="27E7EA58"/>
    <w:rsid w:val="27E9AC94"/>
    <w:rsid w:val="27EE4EE7"/>
    <w:rsid w:val="27EE7E80"/>
    <w:rsid w:val="27EF0DD0"/>
    <w:rsid w:val="27F1B4B2"/>
    <w:rsid w:val="27F30527"/>
    <w:rsid w:val="27F46829"/>
    <w:rsid w:val="27F6D2DC"/>
    <w:rsid w:val="27FB0AC9"/>
    <w:rsid w:val="2806D148"/>
    <w:rsid w:val="280D26B9"/>
    <w:rsid w:val="280D8F68"/>
    <w:rsid w:val="280E69E2"/>
    <w:rsid w:val="2811E6C4"/>
    <w:rsid w:val="28155DE3"/>
    <w:rsid w:val="281A30A1"/>
    <w:rsid w:val="281AABB8"/>
    <w:rsid w:val="281CCDAE"/>
    <w:rsid w:val="28252CE1"/>
    <w:rsid w:val="282A117A"/>
    <w:rsid w:val="282B29BB"/>
    <w:rsid w:val="282B3639"/>
    <w:rsid w:val="2836BE66"/>
    <w:rsid w:val="283E22A1"/>
    <w:rsid w:val="2840AE6B"/>
    <w:rsid w:val="2840E5F9"/>
    <w:rsid w:val="2841DDD9"/>
    <w:rsid w:val="284484D3"/>
    <w:rsid w:val="284532B1"/>
    <w:rsid w:val="28465E01"/>
    <w:rsid w:val="2848ADE8"/>
    <w:rsid w:val="28497A34"/>
    <w:rsid w:val="284A54D5"/>
    <w:rsid w:val="284AC9DE"/>
    <w:rsid w:val="28540D61"/>
    <w:rsid w:val="285D49B5"/>
    <w:rsid w:val="285D8354"/>
    <w:rsid w:val="285F0A9C"/>
    <w:rsid w:val="285F4993"/>
    <w:rsid w:val="285F9A1C"/>
    <w:rsid w:val="286003A3"/>
    <w:rsid w:val="28618226"/>
    <w:rsid w:val="28651537"/>
    <w:rsid w:val="286634AF"/>
    <w:rsid w:val="2866E13B"/>
    <w:rsid w:val="286A33D0"/>
    <w:rsid w:val="287D3A71"/>
    <w:rsid w:val="28839C13"/>
    <w:rsid w:val="28863073"/>
    <w:rsid w:val="288D437E"/>
    <w:rsid w:val="288FA47B"/>
    <w:rsid w:val="288FAECB"/>
    <w:rsid w:val="2895E68A"/>
    <w:rsid w:val="28960809"/>
    <w:rsid w:val="289847C5"/>
    <w:rsid w:val="2899DBE0"/>
    <w:rsid w:val="289BF051"/>
    <w:rsid w:val="289D5765"/>
    <w:rsid w:val="28A1F16E"/>
    <w:rsid w:val="28A5DB08"/>
    <w:rsid w:val="28ABF6BD"/>
    <w:rsid w:val="28AC07C9"/>
    <w:rsid w:val="28AEE4B2"/>
    <w:rsid w:val="28B0BCDB"/>
    <w:rsid w:val="28B47F22"/>
    <w:rsid w:val="28B4FE88"/>
    <w:rsid w:val="28B94995"/>
    <w:rsid w:val="28C3AE71"/>
    <w:rsid w:val="28C3D912"/>
    <w:rsid w:val="28C60F72"/>
    <w:rsid w:val="28CA65E9"/>
    <w:rsid w:val="28CB1895"/>
    <w:rsid w:val="28CC70A9"/>
    <w:rsid w:val="28D04E60"/>
    <w:rsid w:val="28D52736"/>
    <w:rsid w:val="28D5E4B9"/>
    <w:rsid w:val="28D65D44"/>
    <w:rsid w:val="28DEB124"/>
    <w:rsid w:val="28E021D2"/>
    <w:rsid w:val="28E25E6F"/>
    <w:rsid w:val="28E2885D"/>
    <w:rsid w:val="28E4A91C"/>
    <w:rsid w:val="28E6B523"/>
    <w:rsid w:val="28E723BF"/>
    <w:rsid w:val="28EABF85"/>
    <w:rsid w:val="28EE50D5"/>
    <w:rsid w:val="28F02609"/>
    <w:rsid w:val="28F06F65"/>
    <w:rsid w:val="28F2A396"/>
    <w:rsid w:val="28F47F75"/>
    <w:rsid w:val="28F63105"/>
    <w:rsid w:val="28F68BEF"/>
    <w:rsid w:val="28F76130"/>
    <w:rsid w:val="28FBAB1A"/>
    <w:rsid w:val="28FDB8B4"/>
    <w:rsid w:val="28FEAF11"/>
    <w:rsid w:val="2900D51C"/>
    <w:rsid w:val="2902FA81"/>
    <w:rsid w:val="29075178"/>
    <w:rsid w:val="2909A82C"/>
    <w:rsid w:val="290CED64"/>
    <w:rsid w:val="2912862C"/>
    <w:rsid w:val="29134538"/>
    <w:rsid w:val="29161A61"/>
    <w:rsid w:val="29168B65"/>
    <w:rsid w:val="2918E824"/>
    <w:rsid w:val="291A0BD3"/>
    <w:rsid w:val="291A3E7A"/>
    <w:rsid w:val="291C638B"/>
    <w:rsid w:val="291E83D9"/>
    <w:rsid w:val="291F46EB"/>
    <w:rsid w:val="29221C01"/>
    <w:rsid w:val="29227ADE"/>
    <w:rsid w:val="2926C2BF"/>
    <w:rsid w:val="2927D578"/>
    <w:rsid w:val="2929EF72"/>
    <w:rsid w:val="292B744E"/>
    <w:rsid w:val="292F3BAB"/>
    <w:rsid w:val="2930F350"/>
    <w:rsid w:val="29324425"/>
    <w:rsid w:val="29343413"/>
    <w:rsid w:val="29348813"/>
    <w:rsid w:val="293804E7"/>
    <w:rsid w:val="2939529C"/>
    <w:rsid w:val="293B110A"/>
    <w:rsid w:val="293EBEB0"/>
    <w:rsid w:val="293EBF3F"/>
    <w:rsid w:val="293EFC5C"/>
    <w:rsid w:val="29418ECE"/>
    <w:rsid w:val="294627AB"/>
    <w:rsid w:val="29463963"/>
    <w:rsid w:val="2947D998"/>
    <w:rsid w:val="2948DF89"/>
    <w:rsid w:val="2948F4D8"/>
    <w:rsid w:val="29499850"/>
    <w:rsid w:val="294C92F8"/>
    <w:rsid w:val="2951DC2F"/>
    <w:rsid w:val="295644A6"/>
    <w:rsid w:val="2961049E"/>
    <w:rsid w:val="2962A54B"/>
    <w:rsid w:val="2963600B"/>
    <w:rsid w:val="29642C0C"/>
    <w:rsid w:val="2969FB4B"/>
    <w:rsid w:val="296F729B"/>
    <w:rsid w:val="2971864E"/>
    <w:rsid w:val="29723B25"/>
    <w:rsid w:val="2972ED0F"/>
    <w:rsid w:val="29768CBB"/>
    <w:rsid w:val="2976B0D7"/>
    <w:rsid w:val="2977B1BB"/>
    <w:rsid w:val="297A5111"/>
    <w:rsid w:val="297D1159"/>
    <w:rsid w:val="297E367B"/>
    <w:rsid w:val="298040A0"/>
    <w:rsid w:val="2982542C"/>
    <w:rsid w:val="2983B867"/>
    <w:rsid w:val="2983BAA7"/>
    <w:rsid w:val="29859295"/>
    <w:rsid w:val="2986FD0C"/>
    <w:rsid w:val="298E39F2"/>
    <w:rsid w:val="298F02FC"/>
    <w:rsid w:val="29973D48"/>
    <w:rsid w:val="299D3E33"/>
    <w:rsid w:val="29A24966"/>
    <w:rsid w:val="29AA24CA"/>
    <w:rsid w:val="29AC3610"/>
    <w:rsid w:val="29AE5553"/>
    <w:rsid w:val="29AFF7A6"/>
    <w:rsid w:val="29B0AF17"/>
    <w:rsid w:val="29B179D4"/>
    <w:rsid w:val="29B3619E"/>
    <w:rsid w:val="29BADB7A"/>
    <w:rsid w:val="29BC7E8E"/>
    <w:rsid w:val="29C10AAD"/>
    <w:rsid w:val="29CA2403"/>
    <w:rsid w:val="29CA9595"/>
    <w:rsid w:val="29CAA02B"/>
    <w:rsid w:val="29CB3912"/>
    <w:rsid w:val="29CBAED5"/>
    <w:rsid w:val="29D44CF9"/>
    <w:rsid w:val="29D58AA9"/>
    <w:rsid w:val="29D6CBA4"/>
    <w:rsid w:val="29D7D5E3"/>
    <w:rsid w:val="29D876D6"/>
    <w:rsid w:val="29D8BBDA"/>
    <w:rsid w:val="29D93B90"/>
    <w:rsid w:val="29DA0132"/>
    <w:rsid w:val="29DC320D"/>
    <w:rsid w:val="29DD7C47"/>
    <w:rsid w:val="29E110EF"/>
    <w:rsid w:val="29EA18B2"/>
    <w:rsid w:val="29EC3807"/>
    <w:rsid w:val="29ECED29"/>
    <w:rsid w:val="29ED0842"/>
    <w:rsid w:val="29ED1537"/>
    <w:rsid w:val="29F3FBA6"/>
    <w:rsid w:val="29F63E85"/>
    <w:rsid w:val="29F8D0CB"/>
    <w:rsid w:val="29FF18B0"/>
    <w:rsid w:val="2A0167DE"/>
    <w:rsid w:val="2A02A248"/>
    <w:rsid w:val="2A08C686"/>
    <w:rsid w:val="2A09A403"/>
    <w:rsid w:val="2A0A9A30"/>
    <w:rsid w:val="2A0AF6C1"/>
    <w:rsid w:val="2A0B5C83"/>
    <w:rsid w:val="2A0BCF87"/>
    <w:rsid w:val="2A0C6BFA"/>
    <w:rsid w:val="2A14EC0C"/>
    <w:rsid w:val="2A1534A6"/>
    <w:rsid w:val="2A157000"/>
    <w:rsid w:val="2A1574AD"/>
    <w:rsid w:val="2A22391C"/>
    <w:rsid w:val="2A263969"/>
    <w:rsid w:val="2A397977"/>
    <w:rsid w:val="2A398329"/>
    <w:rsid w:val="2A3B4A3B"/>
    <w:rsid w:val="2A3C851B"/>
    <w:rsid w:val="2A3DFAB7"/>
    <w:rsid w:val="2A4110CD"/>
    <w:rsid w:val="2A48EA63"/>
    <w:rsid w:val="2A4B9158"/>
    <w:rsid w:val="2A4C1456"/>
    <w:rsid w:val="2A50D3EF"/>
    <w:rsid w:val="2A51DF10"/>
    <w:rsid w:val="2A57C089"/>
    <w:rsid w:val="2A5FC42E"/>
    <w:rsid w:val="2A60DC87"/>
    <w:rsid w:val="2A60F64F"/>
    <w:rsid w:val="2A64523F"/>
    <w:rsid w:val="2A65153E"/>
    <w:rsid w:val="2A65E259"/>
    <w:rsid w:val="2A69DCDC"/>
    <w:rsid w:val="2A6F556A"/>
    <w:rsid w:val="2A74DB3A"/>
    <w:rsid w:val="2A75D38D"/>
    <w:rsid w:val="2A76E125"/>
    <w:rsid w:val="2A79464A"/>
    <w:rsid w:val="2A79FF66"/>
    <w:rsid w:val="2A7ACE6A"/>
    <w:rsid w:val="2A80A1E6"/>
    <w:rsid w:val="2A827397"/>
    <w:rsid w:val="2A8AD8D6"/>
    <w:rsid w:val="2A8FB72D"/>
    <w:rsid w:val="2A960D9A"/>
    <w:rsid w:val="2A97140C"/>
    <w:rsid w:val="2A989EB0"/>
    <w:rsid w:val="2A9FD948"/>
    <w:rsid w:val="2AA4B13F"/>
    <w:rsid w:val="2AA6726A"/>
    <w:rsid w:val="2AAE890D"/>
    <w:rsid w:val="2AAEB92F"/>
    <w:rsid w:val="2AB0A254"/>
    <w:rsid w:val="2AB5483C"/>
    <w:rsid w:val="2AB5596A"/>
    <w:rsid w:val="2AB7B39D"/>
    <w:rsid w:val="2AB9C0D8"/>
    <w:rsid w:val="2ABAF9F5"/>
    <w:rsid w:val="2ABB347C"/>
    <w:rsid w:val="2ABBA159"/>
    <w:rsid w:val="2ABC40DF"/>
    <w:rsid w:val="2ABCCB28"/>
    <w:rsid w:val="2ABDA8F6"/>
    <w:rsid w:val="2AC026A8"/>
    <w:rsid w:val="2AC69E03"/>
    <w:rsid w:val="2AC6E565"/>
    <w:rsid w:val="2ACBD07C"/>
    <w:rsid w:val="2ACCCFC4"/>
    <w:rsid w:val="2ACE22CF"/>
    <w:rsid w:val="2AD535D2"/>
    <w:rsid w:val="2AD64894"/>
    <w:rsid w:val="2ADCEC0C"/>
    <w:rsid w:val="2ADE6C62"/>
    <w:rsid w:val="2ADEF036"/>
    <w:rsid w:val="2AE027D3"/>
    <w:rsid w:val="2AE2BEE6"/>
    <w:rsid w:val="2AE69163"/>
    <w:rsid w:val="2AE82C54"/>
    <w:rsid w:val="2AEBC34C"/>
    <w:rsid w:val="2AF5567A"/>
    <w:rsid w:val="2AF7BD95"/>
    <w:rsid w:val="2AFFD8C2"/>
    <w:rsid w:val="2B00CEA1"/>
    <w:rsid w:val="2B00EEE2"/>
    <w:rsid w:val="2B015D7E"/>
    <w:rsid w:val="2B037AD8"/>
    <w:rsid w:val="2B07E749"/>
    <w:rsid w:val="2B09AD46"/>
    <w:rsid w:val="2B0A455D"/>
    <w:rsid w:val="2B0B64D9"/>
    <w:rsid w:val="2B0E9F19"/>
    <w:rsid w:val="2B0FF59B"/>
    <w:rsid w:val="2B10AB6C"/>
    <w:rsid w:val="2B12F679"/>
    <w:rsid w:val="2B13FF66"/>
    <w:rsid w:val="2B17C4B8"/>
    <w:rsid w:val="2B17D565"/>
    <w:rsid w:val="2B19DAAF"/>
    <w:rsid w:val="2B1A5278"/>
    <w:rsid w:val="2B1DF666"/>
    <w:rsid w:val="2B217265"/>
    <w:rsid w:val="2B22B82D"/>
    <w:rsid w:val="2B247CAF"/>
    <w:rsid w:val="2B25B7C5"/>
    <w:rsid w:val="2B26A861"/>
    <w:rsid w:val="2B2731B2"/>
    <w:rsid w:val="2B2B9400"/>
    <w:rsid w:val="2B2DC975"/>
    <w:rsid w:val="2B319193"/>
    <w:rsid w:val="2B33E1F7"/>
    <w:rsid w:val="2B34D73A"/>
    <w:rsid w:val="2B34E39C"/>
    <w:rsid w:val="2B35DC32"/>
    <w:rsid w:val="2B3A59E9"/>
    <w:rsid w:val="2B3ACD1E"/>
    <w:rsid w:val="2B3B354F"/>
    <w:rsid w:val="2B4028BB"/>
    <w:rsid w:val="2B434FD1"/>
    <w:rsid w:val="2B4A57C5"/>
    <w:rsid w:val="2B50C2B8"/>
    <w:rsid w:val="2B52EF0F"/>
    <w:rsid w:val="2B5352D5"/>
    <w:rsid w:val="2B556507"/>
    <w:rsid w:val="2B56A038"/>
    <w:rsid w:val="2B572957"/>
    <w:rsid w:val="2B5A775A"/>
    <w:rsid w:val="2B5D60E1"/>
    <w:rsid w:val="2B5DA7A2"/>
    <w:rsid w:val="2B64BAFF"/>
    <w:rsid w:val="2B6A8B74"/>
    <w:rsid w:val="2B75C7F3"/>
    <w:rsid w:val="2B76D83C"/>
    <w:rsid w:val="2B77A9FC"/>
    <w:rsid w:val="2B79ACB5"/>
    <w:rsid w:val="2B7D8D44"/>
    <w:rsid w:val="2B816037"/>
    <w:rsid w:val="2B82B5E6"/>
    <w:rsid w:val="2B8351CC"/>
    <w:rsid w:val="2B8CC693"/>
    <w:rsid w:val="2B94E510"/>
    <w:rsid w:val="2B959917"/>
    <w:rsid w:val="2B959FE3"/>
    <w:rsid w:val="2B973860"/>
    <w:rsid w:val="2B986967"/>
    <w:rsid w:val="2BA07010"/>
    <w:rsid w:val="2BA71B38"/>
    <w:rsid w:val="2BA7CFB9"/>
    <w:rsid w:val="2BAD63CC"/>
    <w:rsid w:val="2BB1F1DD"/>
    <w:rsid w:val="2BB49260"/>
    <w:rsid w:val="2BB4A27F"/>
    <w:rsid w:val="2BB5B0F2"/>
    <w:rsid w:val="2BB6284C"/>
    <w:rsid w:val="2BB73B98"/>
    <w:rsid w:val="2BB87986"/>
    <w:rsid w:val="2BBE3EB4"/>
    <w:rsid w:val="2BBF603F"/>
    <w:rsid w:val="2BC32CA5"/>
    <w:rsid w:val="2BC8C0AD"/>
    <w:rsid w:val="2BCA0AC4"/>
    <w:rsid w:val="2BCAE6D9"/>
    <w:rsid w:val="2BCD1C44"/>
    <w:rsid w:val="2BD5B8D4"/>
    <w:rsid w:val="2BD62115"/>
    <w:rsid w:val="2BD766DE"/>
    <w:rsid w:val="2BE0DA02"/>
    <w:rsid w:val="2BE54E41"/>
    <w:rsid w:val="2BF17C5F"/>
    <w:rsid w:val="2BF5A3C8"/>
    <w:rsid w:val="2BF85E0B"/>
    <w:rsid w:val="2BF9512B"/>
    <w:rsid w:val="2BFBFBAB"/>
    <w:rsid w:val="2BFEB2FC"/>
    <w:rsid w:val="2BFF4BA1"/>
    <w:rsid w:val="2C06327A"/>
    <w:rsid w:val="2C0B8A27"/>
    <w:rsid w:val="2C0C4B2D"/>
    <w:rsid w:val="2C10FB46"/>
    <w:rsid w:val="2C12A1B8"/>
    <w:rsid w:val="2C150D51"/>
    <w:rsid w:val="2C16F49E"/>
    <w:rsid w:val="2C186484"/>
    <w:rsid w:val="2C18C633"/>
    <w:rsid w:val="2C1DA9AB"/>
    <w:rsid w:val="2C22F2AC"/>
    <w:rsid w:val="2C232BC7"/>
    <w:rsid w:val="2C2503A2"/>
    <w:rsid w:val="2C2743FC"/>
    <w:rsid w:val="2C280121"/>
    <w:rsid w:val="2C2BFE8B"/>
    <w:rsid w:val="2C303269"/>
    <w:rsid w:val="2C31697F"/>
    <w:rsid w:val="2C36A651"/>
    <w:rsid w:val="2C38433D"/>
    <w:rsid w:val="2C3BB7AE"/>
    <w:rsid w:val="2C3C985D"/>
    <w:rsid w:val="2C3CB381"/>
    <w:rsid w:val="2C3DDDD7"/>
    <w:rsid w:val="2C416004"/>
    <w:rsid w:val="2C41EDB1"/>
    <w:rsid w:val="2C42528E"/>
    <w:rsid w:val="2C45B924"/>
    <w:rsid w:val="2C48FA6C"/>
    <w:rsid w:val="2C49F2F7"/>
    <w:rsid w:val="2C4E2CC9"/>
    <w:rsid w:val="2C4E7735"/>
    <w:rsid w:val="2C51D5B9"/>
    <w:rsid w:val="2C55B2FA"/>
    <w:rsid w:val="2C6040DE"/>
    <w:rsid w:val="2C621726"/>
    <w:rsid w:val="2C6490A6"/>
    <w:rsid w:val="2C649225"/>
    <w:rsid w:val="2C64ECD0"/>
    <w:rsid w:val="2C671140"/>
    <w:rsid w:val="2C69E496"/>
    <w:rsid w:val="2C741F83"/>
    <w:rsid w:val="2C745A48"/>
    <w:rsid w:val="2C778592"/>
    <w:rsid w:val="2C7A6E23"/>
    <w:rsid w:val="2C7ACF74"/>
    <w:rsid w:val="2C82B032"/>
    <w:rsid w:val="2C8978D3"/>
    <w:rsid w:val="2C89CEA5"/>
    <w:rsid w:val="2C905209"/>
    <w:rsid w:val="2C952F1B"/>
    <w:rsid w:val="2C954D7F"/>
    <w:rsid w:val="2C9778F6"/>
    <w:rsid w:val="2C9A94E9"/>
    <w:rsid w:val="2C9B33CE"/>
    <w:rsid w:val="2CA0555A"/>
    <w:rsid w:val="2CA274DD"/>
    <w:rsid w:val="2CA481D0"/>
    <w:rsid w:val="2CA56BD1"/>
    <w:rsid w:val="2CA669CF"/>
    <w:rsid w:val="2CAAE552"/>
    <w:rsid w:val="2CAD1BA6"/>
    <w:rsid w:val="2CB9D878"/>
    <w:rsid w:val="2CBC45AA"/>
    <w:rsid w:val="2CBF8067"/>
    <w:rsid w:val="2CC15799"/>
    <w:rsid w:val="2CC3304C"/>
    <w:rsid w:val="2CC7C922"/>
    <w:rsid w:val="2CCF2F40"/>
    <w:rsid w:val="2CD010CD"/>
    <w:rsid w:val="2CD046B2"/>
    <w:rsid w:val="2CD23980"/>
    <w:rsid w:val="2CD6B771"/>
    <w:rsid w:val="2CD79689"/>
    <w:rsid w:val="2CD797D3"/>
    <w:rsid w:val="2CDD1B8B"/>
    <w:rsid w:val="2CE2E132"/>
    <w:rsid w:val="2CE2FB9A"/>
    <w:rsid w:val="2CE3C9D5"/>
    <w:rsid w:val="2CE6F5A8"/>
    <w:rsid w:val="2CE8A5DF"/>
    <w:rsid w:val="2CED1007"/>
    <w:rsid w:val="2CEDFA1A"/>
    <w:rsid w:val="2CEF7DE7"/>
    <w:rsid w:val="2CF11190"/>
    <w:rsid w:val="2CF30F24"/>
    <w:rsid w:val="2CF3411C"/>
    <w:rsid w:val="2CF4F54B"/>
    <w:rsid w:val="2CF66B1F"/>
    <w:rsid w:val="2CFAEE8F"/>
    <w:rsid w:val="2CFF7049"/>
    <w:rsid w:val="2D00D0D8"/>
    <w:rsid w:val="2D02169B"/>
    <w:rsid w:val="2D05AA8D"/>
    <w:rsid w:val="2D06FF39"/>
    <w:rsid w:val="2D07B6D1"/>
    <w:rsid w:val="2D0A500E"/>
    <w:rsid w:val="2D0B4A86"/>
    <w:rsid w:val="2D0C2032"/>
    <w:rsid w:val="2D0D3EB7"/>
    <w:rsid w:val="2D0E1B68"/>
    <w:rsid w:val="2D107485"/>
    <w:rsid w:val="2D164EB1"/>
    <w:rsid w:val="2D17C993"/>
    <w:rsid w:val="2D18A809"/>
    <w:rsid w:val="2D1A4F7B"/>
    <w:rsid w:val="2D1FDD26"/>
    <w:rsid w:val="2D23BF00"/>
    <w:rsid w:val="2D25459F"/>
    <w:rsid w:val="2D282A80"/>
    <w:rsid w:val="2D289E27"/>
    <w:rsid w:val="2D2AC9ED"/>
    <w:rsid w:val="2D2CB876"/>
    <w:rsid w:val="2D2F2239"/>
    <w:rsid w:val="2D31C005"/>
    <w:rsid w:val="2D33F9E3"/>
    <w:rsid w:val="2D360DE7"/>
    <w:rsid w:val="2D381E26"/>
    <w:rsid w:val="2D385C35"/>
    <w:rsid w:val="2D38F78F"/>
    <w:rsid w:val="2D3A508A"/>
    <w:rsid w:val="2D3DB441"/>
    <w:rsid w:val="2D3E5647"/>
    <w:rsid w:val="2D46D39D"/>
    <w:rsid w:val="2D4B4247"/>
    <w:rsid w:val="2D4ED268"/>
    <w:rsid w:val="2D4F53D6"/>
    <w:rsid w:val="2D50D883"/>
    <w:rsid w:val="2D51A863"/>
    <w:rsid w:val="2D59644B"/>
    <w:rsid w:val="2D5A2F6D"/>
    <w:rsid w:val="2D5AA0D8"/>
    <w:rsid w:val="2D5B2B40"/>
    <w:rsid w:val="2D5BD849"/>
    <w:rsid w:val="2D5C7B02"/>
    <w:rsid w:val="2D60FDF8"/>
    <w:rsid w:val="2D613C3D"/>
    <w:rsid w:val="2D61E5AB"/>
    <w:rsid w:val="2D624D32"/>
    <w:rsid w:val="2D626A5F"/>
    <w:rsid w:val="2D64E8D8"/>
    <w:rsid w:val="2D66525D"/>
    <w:rsid w:val="2D66C3AE"/>
    <w:rsid w:val="2D6AF7C1"/>
    <w:rsid w:val="2D6B2570"/>
    <w:rsid w:val="2D6B9399"/>
    <w:rsid w:val="2D6CD44E"/>
    <w:rsid w:val="2D75C087"/>
    <w:rsid w:val="2D78A733"/>
    <w:rsid w:val="2D78BB94"/>
    <w:rsid w:val="2D7D1050"/>
    <w:rsid w:val="2D809089"/>
    <w:rsid w:val="2D80EB01"/>
    <w:rsid w:val="2D90D63E"/>
    <w:rsid w:val="2D92F3BA"/>
    <w:rsid w:val="2D96AE22"/>
    <w:rsid w:val="2D9AA177"/>
    <w:rsid w:val="2D9B8A19"/>
    <w:rsid w:val="2D9C4791"/>
    <w:rsid w:val="2D9E2612"/>
    <w:rsid w:val="2D9EB5B8"/>
    <w:rsid w:val="2DA0F686"/>
    <w:rsid w:val="2DA1CBE6"/>
    <w:rsid w:val="2DA7C63E"/>
    <w:rsid w:val="2DAD220E"/>
    <w:rsid w:val="2DADADBD"/>
    <w:rsid w:val="2DAFC158"/>
    <w:rsid w:val="2DB0337E"/>
    <w:rsid w:val="2DB0A6A6"/>
    <w:rsid w:val="2DB520CE"/>
    <w:rsid w:val="2DB829F6"/>
    <w:rsid w:val="2DBD6114"/>
    <w:rsid w:val="2DBE4ED9"/>
    <w:rsid w:val="2DC0C055"/>
    <w:rsid w:val="2DC13B4B"/>
    <w:rsid w:val="2DCC3986"/>
    <w:rsid w:val="2DD19BE3"/>
    <w:rsid w:val="2DD3B43B"/>
    <w:rsid w:val="2DD6FD9C"/>
    <w:rsid w:val="2DDAC20E"/>
    <w:rsid w:val="2DDC1DC5"/>
    <w:rsid w:val="2DDCAE74"/>
    <w:rsid w:val="2DDEB1D5"/>
    <w:rsid w:val="2DDFB4A2"/>
    <w:rsid w:val="2DE306CA"/>
    <w:rsid w:val="2DE36B2A"/>
    <w:rsid w:val="2DE46141"/>
    <w:rsid w:val="2DE73A45"/>
    <w:rsid w:val="2DEDB1A8"/>
    <w:rsid w:val="2DEE33CB"/>
    <w:rsid w:val="2DEF346A"/>
    <w:rsid w:val="2DF19710"/>
    <w:rsid w:val="2DF32F7A"/>
    <w:rsid w:val="2DF4D1BA"/>
    <w:rsid w:val="2DF683C8"/>
    <w:rsid w:val="2DFCA7D6"/>
    <w:rsid w:val="2DFFA748"/>
    <w:rsid w:val="2E00F77F"/>
    <w:rsid w:val="2E0105D6"/>
    <w:rsid w:val="2E0191F2"/>
    <w:rsid w:val="2E03CDA4"/>
    <w:rsid w:val="2E0485DC"/>
    <w:rsid w:val="2E07AF60"/>
    <w:rsid w:val="2E0F107C"/>
    <w:rsid w:val="2E0F1BBF"/>
    <w:rsid w:val="2E0F30F8"/>
    <w:rsid w:val="2E120ABF"/>
    <w:rsid w:val="2E1536E5"/>
    <w:rsid w:val="2E15A674"/>
    <w:rsid w:val="2E1BFAB2"/>
    <w:rsid w:val="2E23D005"/>
    <w:rsid w:val="2E26E40C"/>
    <w:rsid w:val="2E2982EE"/>
    <w:rsid w:val="2E2B0D02"/>
    <w:rsid w:val="2E2C2AA6"/>
    <w:rsid w:val="2E33A435"/>
    <w:rsid w:val="2E3469ED"/>
    <w:rsid w:val="2E34C13D"/>
    <w:rsid w:val="2E366583"/>
    <w:rsid w:val="2E39820E"/>
    <w:rsid w:val="2E3CA11D"/>
    <w:rsid w:val="2E43A1ED"/>
    <w:rsid w:val="2E46A547"/>
    <w:rsid w:val="2E485221"/>
    <w:rsid w:val="2E4D20D3"/>
    <w:rsid w:val="2E5019FB"/>
    <w:rsid w:val="2E520346"/>
    <w:rsid w:val="2E5A7F65"/>
    <w:rsid w:val="2E61BDE8"/>
    <w:rsid w:val="2E634EC3"/>
    <w:rsid w:val="2E63A1F6"/>
    <w:rsid w:val="2E64C081"/>
    <w:rsid w:val="2E673FE6"/>
    <w:rsid w:val="2E6774FF"/>
    <w:rsid w:val="2E678860"/>
    <w:rsid w:val="2E6F5DFB"/>
    <w:rsid w:val="2E70B01F"/>
    <w:rsid w:val="2E75EF53"/>
    <w:rsid w:val="2E7A9374"/>
    <w:rsid w:val="2E7C86C7"/>
    <w:rsid w:val="2E806AFE"/>
    <w:rsid w:val="2E85376C"/>
    <w:rsid w:val="2E8C38A3"/>
    <w:rsid w:val="2E8E5978"/>
    <w:rsid w:val="2E8E604E"/>
    <w:rsid w:val="2E95596D"/>
    <w:rsid w:val="2E95AEA4"/>
    <w:rsid w:val="2E9A2EBA"/>
    <w:rsid w:val="2EA05EFD"/>
    <w:rsid w:val="2EB64CD9"/>
    <w:rsid w:val="2EB8126D"/>
    <w:rsid w:val="2EB9CA5C"/>
    <w:rsid w:val="2EBD9E07"/>
    <w:rsid w:val="2EC20353"/>
    <w:rsid w:val="2EC2B56F"/>
    <w:rsid w:val="2EC7CA4E"/>
    <w:rsid w:val="2ECA0E0D"/>
    <w:rsid w:val="2ECD86A3"/>
    <w:rsid w:val="2ED08EBB"/>
    <w:rsid w:val="2ED3218C"/>
    <w:rsid w:val="2ED5E65C"/>
    <w:rsid w:val="2ED7E96C"/>
    <w:rsid w:val="2EDE5158"/>
    <w:rsid w:val="2EDE84DD"/>
    <w:rsid w:val="2EDFA4B2"/>
    <w:rsid w:val="2EE34D17"/>
    <w:rsid w:val="2EE678EE"/>
    <w:rsid w:val="2EE801D9"/>
    <w:rsid w:val="2EE89903"/>
    <w:rsid w:val="2EEAB6E3"/>
    <w:rsid w:val="2EEC144A"/>
    <w:rsid w:val="2EEF6786"/>
    <w:rsid w:val="2EF0DA30"/>
    <w:rsid w:val="2EF12A40"/>
    <w:rsid w:val="2EF28987"/>
    <w:rsid w:val="2EF5374B"/>
    <w:rsid w:val="2EF67F98"/>
    <w:rsid w:val="2EFF53D2"/>
    <w:rsid w:val="2F0061A7"/>
    <w:rsid w:val="2F012066"/>
    <w:rsid w:val="2F036407"/>
    <w:rsid w:val="2F04574B"/>
    <w:rsid w:val="2F061585"/>
    <w:rsid w:val="2F07F5CF"/>
    <w:rsid w:val="2F098F60"/>
    <w:rsid w:val="2F09A929"/>
    <w:rsid w:val="2F0C6EE0"/>
    <w:rsid w:val="2F1513E9"/>
    <w:rsid w:val="2F155A90"/>
    <w:rsid w:val="2F1631E1"/>
    <w:rsid w:val="2F1D6385"/>
    <w:rsid w:val="2F1FBBF6"/>
    <w:rsid w:val="2F218CCD"/>
    <w:rsid w:val="2F21CE61"/>
    <w:rsid w:val="2F233C31"/>
    <w:rsid w:val="2F23A51D"/>
    <w:rsid w:val="2F23EDAF"/>
    <w:rsid w:val="2F256FCF"/>
    <w:rsid w:val="2F265F6C"/>
    <w:rsid w:val="2F27F8A3"/>
    <w:rsid w:val="2F283E44"/>
    <w:rsid w:val="2F2A9C6E"/>
    <w:rsid w:val="2F2B4338"/>
    <w:rsid w:val="2F2CA96D"/>
    <w:rsid w:val="2F33119B"/>
    <w:rsid w:val="2F340060"/>
    <w:rsid w:val="2F37368B"/>
    <w:rsid w:val="2F3801E6"/>
    <w:rsid w:val="2F3824C0"/>
    <w:rsid w:val="2F39CBAC"/>
    <w:rsid w:val="2F3A7644"/>
    <w:rsid w:val="2F3C48AD"/>
    <w:rsid w:val="2F3CEF12"/>
    <w:rsid w:val="2F3D1AC5"/>
    <w:rsid w:val="2F3F3512"/>
    <w:rsid w:val="2F432F44"/>
    <w:rsid w:val="2F434936"/>
    <w:rsid w:val="2F4408BE"/>
    <w:rsid w:val="2F4679AC"/>
    <w:rsid w:val="2F47A05F"/>
    <w:rsid w:val="2F4BB242"/>
    <w:rsid w:val="2F4D7BFB"/>
    <w:rsid w:val="2F4F76CE"/>
    <w:rsid w:val="2F535658"/>
    <w:rsid w:val="2F596B1B"/>
    <w:rsid w:val="2F5A888D"/>
    <w:rsid w:val="2F5B0D17"/>
    <w:rsid w:val="2F5C6771"/>
    <w:rsid w:val="2F5EF319"/>
    <w:rsid w:val="2F606CEC"/>
    <w:rsid w:val="2F60CBA3"/>
    <w:rsid w:val="2F66C66D"/>
    <w:rsid w:val="2F68046B"/>
    <w:rsid w:val="2F6E8544"/>
    <w:rsid w:val="2F71CD29"/>
    <w:rsid w:val="2F7689ED"/>
    <w:rsid w:val="2F7DB2F1"/>
    <w:rsid w:val="2F7DF1B2"/>
    <w:rsid w:val="2F83BF87"/>
    <w:rsid w:val="2F891A5E"/>
    <w:rsid w:val="2F8BC878"/>
    <w:rsid w:val="2F8DB71E"/>
    <w:rsid w:val="2F928B44"/>
    <w:rsid w:val="2F9633F1"/>
    <w:rsid w:val="2FA242E9"/>
    <w:rsid w:val="2FA38C8C"/>
    <w:rsid w:val="2FAB7F62"/>
    <w:rsid w:val="2FAED928"/>
    <w:rsid w:val="2FB7B29B"/>
    <w:rsid w:val="2FB972E3"/>
    <w:rsid w:val="2FC2205A"/>
    <w:rsid w:val="2FC593BC"/>
    <w:rsid w:val="2FC7E075"/>
    <w:rsid w:val="2FCE3CF5"/>
    <w:rsid w:val="2FCFA8E4"/>
    <w:rsid w:val="2FD1B637"/>
    <w:rsid w:val="2FDCA365"/>
    <w:rsid w:val="2FDD1A1F"/>
    <w:rsid w:val="2FE07603"/>
    <w:rsid w:val="2FE0EABD"/>
    <w:rsid w:val="2FE428DE"/>
    <w:rsid w:val="2FE7B501"/>
    <w:rsid w:val="2FE83E01"/>
    <w:rsid w:val="2FE8BC8C"/>
    <w:rsid w:val="2FEC94BA"/>
    <w:rsid w:val="2FEDC475"/>
    <w:rsid w:val="2FF5E9A6"/>
    <w:rsid w:val="2FF7F635"/>
    <w:rsid w:val="2FFC4970"/>
    <w:rsid w:val="2FFE0061"/>
    <w:rsid w:val="2FFE0534"/>
    <w:rsid w:val="3000EF53"/>
    <w:rsid w:val="3005C0BE"/>
    <w:rsid w:val="300B0BB2"/>
    <w:rsid w:val="300B92F7"/>
    <w:rsid w:val="300E0665"/>
    <w:rsid w:val="300FC0D1"/>
    <w:rsid w:val="3012010F"/>
    <w:rsid w:val="301421FE"/>
    <w:rsid w:val="30156D5D"/>
    <w:rsid w:val="301B0DB4"/>
    <w:rsid w:val="301B2EF2"/>
    <w:rsid w:val="301B7F61"/>
    <w:rsid w:val="301CD72F"/>
    <w:rsid w:val="301ED79F"/>
    <w:rsid w:val="301F01AA"/>
    <w:rsid w:val="301F3829"/>
    <w:rsid w:val="3021BBCE"/>
    <w:rsid w:val="30223294"/>
    <w:rsid w:val="302252C8"/>
    <w:rsid w:val="3027501B"/>
    <w:rsid w:val="3029A349"/>
    <w:rsid w:val="3029A6BB"/>
    <w:rsid w:val="302A5241"/>
    <w:rsid w:val="302C32E4"/>
    <w:rsid w:val="303005A0"/>
    <w:rsid w:val="303B3AE2"/>
    <w:rsid w:val="303CE2E6"/>
    <w:rsid w:val="3042C6F9"/>
    <w:rsid w:val="3042CB2B"/>
    <w:rsid w:val="3044BF6D"/>
    <w:rsid w:val="3046F6D2"/>
    <w:rsid w:val="3048A905"/>
    <w:rsid w:val="304A2F98"/>
    <w:rsid w:val="304ADB17"/>
    <w:rsid w:val="304C0EF8"/>
    <w:rsid w:val="304D6F1C"/>
    <w:rsid w:val="304ED1C7"/>
    <w:rsid w:val="304EEE0F"/>
    <w:rsid w:val="304FD3AF"/>
    <w:rsid w:val="30525D4D"/>
    <w:rsid w:val="30540AAA"/>
    <w:rsid w:val="305458FB"/>
    <w:rsid w:val="30560023"/>
    <w:rsid w:val="305A0F59"/>
    <w:rsid w:val="30628328"/>
    <w:rsid w:val="3064600F"/>
    <w:rsid w:val="3066EEB5"/>
    <w:rsid w:val="3067D162"/>
    <w:rsid w:val="30681DE3"/>
    <w:rsid w:val="306B0F0C"/>
    <w:rsid w:val="306E0E88"/>
    <w:rsid w:val="306E27D0"/>
    <w:rsid w:val="306F8B7A"/>
    <w:rsid w:val="30797D4E"/>
    <w:rsid w:val="3079F293"/>
    <w:rsid w:val="307B0D82"/>
    <w:rsid w:val="307CCED8"/>
    <w:rsid w:val="3082DEC4"/>
    <w:rsid w:val="3083010E"/>
    <w:rsid w:val="30850BC1"/>
    <w:rsid w:val="30856F68"/>
    <w:rsid w:val="3086011C"/>
    <w:rsid w:val="3089F55A"/>
    <w:rsid w:val="308B0138"/>
    <w:rsid w:val="308C7A7C"/>
    <w:rsid w:val="308D718D"/>
    <w:rsid w:val="30901F83"/>
    <w:rsid w:val="309145B2"/>
    <w:rsid w:val="30923CC5"/>
    <w:rsid w:val="309297D3"/>
    <w:rsid w:val="30930186"/>
    <w:rsid w:val="3094F918"/>
    <w:rsid w:val="30999FD7"/>
    <w:rsid w:val="309C52DF"/>
    <w:rsid w:val="309D994F"/>
    <w:rsid w:val="309DD116"/>
    <w:rsid w:val="30A0FEF1"/>
    <w:rsid w:val="30A43B93"/>
    <w:rsid w:val="30A4ADE1"/>
    <w:rsid w:val="30AB5B65"/>
    <w:rsid w:val="30AC0DE2"/>
    <w:rsid w:val="30AE8360"/>
    <w:rsid w:val="30B1C414"/>
    <w:rsid w:val="30B25D93"/>
    <w:rsid w:val="30B2607F"/>
    <w:rsid w:val="30B2986F"/>
    <w:rsid w:val="30B2C6A5"/>
    <w:rsid w:val="30B4701A"/>
    <w:rsid w:val="30B48239"/>
    <w:rsid w:val="30B6B5C4"/>
    <w:rsid w:val="30BC6511"/>
    <w:rsid w:val="30BE16E6"/>
    <w:rsid w:val="30C73F87"/>
    <w:rsid w:val="30C8C720"/>
    <w:rsid w:val="30C8EADB"/>
    <w:rsid w:val="30C9D748"/>
    <w:rsid w:val="30D2E341"/>
    <w:rsid w:val="30D48952"/>
    <w:rsid w:val="30D543E9"/>
    <w:rsid w:val="30DCB62E"/>
    <w:rsid w:val="30EC2128"/>
    <w:rsid w:val="30EC71F6"/>
    <w:rsid w:val="30ED82E6"/>
    <w:rsid w:val="30EEDE12"/>
    <w:rsid w:val="30F3A103"/>
    <w:rsid w:val="30F4E33A"/>
    <w:rsid w:val="30F65FED"/>
    <w:rsid w:val="30F8BC18"/>
    <w:rsid w:val="30FA2826"/>
    <w:rsid w:val="31031082"/>
    <w:rsid w:val="31038428"/>
    <w:rsid w:val="31049155"/>
    <w:rsid w:val="3105FCC1"/>
    <w:rsid w:val="31077FD8"/>
    <w:rsid w:val="310C18A7"/>
    <w:rsid w:val="310E3D4D"/>
    <w:rsid w:val="310E7D98"/>
    <w:rsid w:val="31138C7C"/>
    <w:rsid w:val="31168418"/>
    <w:rsid w:val="3117F374"/>
    <w:rsid w:val="311952C1"/>
    <w:rsid w:val="311CC09E"/>
    <w:rsid w:val="311F0DF9"/>
    <w:rsid w:val="3121E857"/>
    <w:rsid w:val="3121F469"/>
    <w:rsid w:val="312384EE"/>
    <w:rsid w:val="3126D7B7"/>
    <w:rsid w:val="312A0BDA"/>
    <w:rsid w:val="31325F00"/>
    <w:rsid w:val="3132C065"/>
    <w:rsid w:val="3138666B"/>
    <w:rsid w:val="313E1173"/>
    <w:rsid w:val="313F1ADB"/>
    <w:rsid w:val="31427339"/>
    <w:rsid w:val="3142CDDA"/>
    <w:rsid w:val="31440D47"/>
    <w:rsid w:val="3144C6DC"/>
    <w:rsid w:val="31450046"/>
    <w:rsid w:val="31471FC9"/>
    <w:rsid w:val="314BCFAF"/>
    <w:rsid w:val="314CC4EE"/>
    <w:rsid w:val="314D03D1"/>
    <w:rsid w:val="315296FC"/>
    <w:rsid w:val="315B0459"/>
    <w:rsid w:val="315D67C1"/>
    <w:rsid w:val="3163B266"/>
    <w:rsid w:val="316487A3"/>
    <w:rsid w:val="31691DB6"/>
    <w:rsid w:val="31698877"/>
    <w:rsid w:val="316A1A59"/>
    <w:rsid w:val="316BEC77"/>
    <w:rsid w:val="31703C8C"/>
    <w:rsid w:val="3171F316"/>
    <w:rsid w:val="3178E3DD"/>
    <w:rsid w:val="318095AE"/>
    <w:rsid w:val="31813664"/>
    <w:rsid w:val="318265E6"/>
    <w:rsid w:val="3187181E"/>
    <w:rsid w:val="318FBA3D"/>
    <w:rsid w:val="31920207"/>
    <w:rsid w:val="319561A0"/>
    <w:rsid w:val="3197EAA3"/>
    <w:rsid w:val="319E08F8"/>
    <w:rsid w:val="319F74E6"/>
    <w:rsid w:val="31A5533A"/>
    <w:rsid w:val="31AD2677"/>
    <w:rsid w:val="31AE1E7E"/>
    <w:rsid w:val="31AE3322"/>
    <w:rsid w:val="31B6E02B"/>
    <w:rsid w:val="31BA0490"/>
    <w:rsid w:val="31BCF28D"/>
    <w:rsid w:val="31C01380"/>
    <w:rsid w:val="31C41463"/>
    <w:rsid w:val="31C70A87"/>
    <w:rsid w:val="31C8985E"/>
    <w:rsid w:val="31C8F47D"/>
    <w:rsid w:val="31CC8F78"/>
    <w:rsid w:val="31CF0087"/>
    <w:rsid w:val="31D30173"/>
    <w:rsid w:val="31D38D2F"/>
    <w:rsid w:val="31D3D41C"/>
    <w:rsid w:val="31D3E135"/>
    <w:rsid w:val="31D88AE2"/>
    <w:rsid w:val="31D8FEEE"/>
    <w:rsid w:val="31E67011"/>
    <w:rsid w:val="31EA30EB"/>
    <w:rsid w:val="31EA6D99"/>
    <w:rsid w:val="31EC27B8"/>
    <w:rsid w:val="31EF4549"/>
    <w:rsid w:val="31EFAE69"/>
    <w:rsid w:val="31F17537"/>
    <w:rsid w:val="31F2DC05"/>
    <w:rsid w:val="31F32442"/>
    <w:rsid w:val="31FC8475"/>
    <w:rsid w:val="31FF16F6"/>
    <w:rsid w:val="32001D63"/>
    <w:rsid w:val="3200F32F"/>
    <w:rsid w:val="320357B8"/>
    <w:rsid w:val="3206AE2A"/>
    <w:rsid w:val="3208BA0E"/>
    <w:rsid w:val="32099646"/>
    <w:rsid w:val="320C00E1"/>
    <w:rsid w:val="3212ACBE"/>
    <w:rsid w:val="321578A6"/>
    <w:rsid w:val="32157DDA"/>
    <w:rsid w:val="3217C908"/>
    <w:rsid w:val="3219900C"/>
    <w:rsid w:val="3219AADA"/>
    <w:rsid w:val="3219D7E8"/>
    <w:rsid w:val="321A6767"/>
    <w:rsid w:val="321F4299"/>
    <w:rsid w:val="3220DA8E"/>
    <w:rsid w:val="32385F8D"/>
    <w:rsid w:val="323BFF39"/>
    <w:rsid w:val="323DBEBC"/>
    <w:rsid w:val="323F4CF2"/>
    <w:rsid w:val="3242A216"/>
    <w:rsid w:val="324524BF"/>
    <w:rsid w:val="3247CCB3"/>
    <w:rsid w:val="32494234"/>
    <w:rsid w:val="324A5850"/>
    <w:rsid w:val="324A7EDF"/>
    <w:rsid w:val="324AD309"/>
    <w:rsid w:val="324B0097"/>
    <w:rsid w:val="3250CFB1"/>
    <w:rsid w:val="3253A105"/>
    <w:rsid w:val="32594F26"/>
    <w:rsid w:val="325A0BD6"/>
    <w:rsid w:val="32612D6C"/>
    <w:rsid w:val="326136A7"/>
    <w:rsid w:val="32644160"/>
    <w:rsid w:val="326AC71E"/>
    <w:rsid w:val="326BB882"/>
    <w:rsid w:val="326BBDD1"/>
    <w:rsid w:val="327023E0"/>
    <w:rsid w:val="3270F630"/>
    <w:rsid w:val="32732313"/>
    <w:rsid w:val="32742315"/>
    <w:rsid w:val="327A7B24"/>
    <w:rsid w:val="327C8E55"/>
    <w:rsid w:val="327D1AB1"/>
    <w:rsid w:val="327DD026"/>
    <w:rsid w:val="327DEEF0"/>
    <w:rsid w:val="328212A6"/>
    <w:rsid w:val="32884BD7"/>
    <w:rsid w:val="32887C6E"/>
    <w:rsid w:val="3291EF35"/>
    <w:rsid w:val="329EC477"/>
    <w:rsid w:val="329F1860"/>
    <w:rsid w:val="32A2C4F2"/>
    <w:rsid w:val="32A48489"/>
    <w:rsid w:val="32A6402B"/>
    <w:rsid w:val="32A74A79"/>
    <w:rsid w:val="32B2182B"/>
    <w:rsid w:val="32BBC1E8"/>
    <w:rsid w:val="32C09A26"/>
    <w:rsid w:val="32C3B914"/>
    <w:rsid w:val="32C42DC6"/>
    <w:rsid w:val="32C5F105"/>
    <w:rsid w:val="32CC6288"/>
    <w:rsid w:val="32CF48C1"/>
    <w:rsid w:val="32CF5083"/>
    <w:rsid w:val="32D16F20"/>
    <w:rsid w:val="32D1C386"/>
    <w:rsid w:val="32D27E3A"/>
    <w:rsid w:val="32D92A92"/>
    <w:rsid w:val="32DABE8E"/>
    <w:rsid w:val="32DCC15C"/>
    <w:rsid w:val="32DE99F0"/>
    <w:rsid w:val="32E3CCE3"/>
    <w:rsid w:val="32E6AD89"/>
    <w:rsid w:val="32E756A1"/>
    <w:rsid w:val="32E78A24"/>
    <w:rsid w:val="32EAC321"/>
    <w:rsid w:val="32EE8A41"/>
    <w:rsid w:val="32F0D565"/>
    <w:rsid w:val="32F7114E"/>
    <w:rsid w:val="32F8A2EA"/>
    <w:rsid w:val="330446AF"/>
    <w:rsid w:val="33045BB8"/>
    <w:rsid w:val="33045F8A"/>
    <w:rsid w:val="330657DD"/>
    <w:rsid w:val="3308AF73"/>
    <w:rsid w:val="330A1366"/>
    <w:rsid w:val="330E9BAB"/>
    <w:rsid w:val="330F58D0"/>
    <w:rsid w:val="33123FE4"/>
    <w:rsid w:val="33124659"/>
    <w:rsid w:val="3312E5F2"/>
    <w:rsid w:val="33140775"/>
    <w:rsid w:val="331A7B5E"/>
    <w:rsid w:val="331B6D58"/>
    <w:rsid w:val="331FB0CB"/>
    <w:rsid w:val="3321781A"/>
    <w:rsid w:val="33288F92"/>
    <w:rsid w:val="332B9C0D"/>
    <w:rsid w:val="332FD70C"/>
    <w:rsid w:val="333077F8"/>
    <w:rsid w:val="3331E46B"/>
    <w:rsid w:val="33360399"/>
    <w:rsid w:val="33370646"/>
    <w:rsid w:val="333838D2"/>
    <w:rsid w:val="333C45E8"/>
    <w:rsid w:val="33420111"/>
    <w:rsid w:val="3343D798"/>
    <w:rsid w:val="3345A160"/>
    <w:rsid w:val="33470E0C"/>
    <w:rsid w:val="334C4E68"/>
    <w:rsid w:val="334D44A7"/>
    <w:rsid w:val="334E021B"/>
    <w:rsid w:val="33514AA7"/>
    <w:rsid w:val="3356CB39"/>
    <w:rsid w:val="335F3BDB"/>
    <w:rsid w:val="336D8A61"/>
    <w:rsid w:val="336FDF6A"/>
    <w:rsid w:val="3375B238"/>
    <w:rsid w:val="337FA1CF"/>
    <w:rsid w:val="337FA1D7"/>
    <w:rsid w:val="3384B439"/>
    <w:rsid w:val="33881011"/>
    <w:rsid w:val="3388341F"/>
    <w:rsid w:val="338CB26E"/>
    <w:rsid w:val="33959E3F"/>
    <w:rsid w:val="3399DD97"/>
    <w:rsid w:val="33A3C0FB"/>
    <w:rsid w:val="33A7E177"/>
    <w:rsid w:val="33B36C68"/>
    <w:rsid w:val="33B7493F"/>
    <w:rsid w:val="33B9C1C4"/>
    <w:rsid w:val="33B9FB49"/>
    <w:rsid w:val="33BCEBBF"/>
    <w:rsid w:val="33BE22B9"/>
    <w:rsid w:val="33C334B1"/>
    <w:rsid w:val="33C864FA"/>
    <w:rsid w:val="33CA99EE"/>
    <w:rsid w:val="33CEA440"/>
    <w:rsid w:val="33CF19CC"/>
    <w:rsid w:val="33CF7E25"/>
    <w:rsid w:val="33D527FE"/>
    <w:rsid w:val="33DEE453"/>
    <w:rsid w:val="33E05E59"/>
    <w:rsid w:val="33E2CC87"/>
    <w:rsid w:val="33E4C4AC"/>
    <w:rsid w:val="33E5953B"/>
    <w:rsid w:val="33E7D27B"/>
    <w:rsid w:val="33E87568"/>
    <w:rsid w:val="33EB16ED"/>
    <w:rsid w:val="33EB884A"/>
    <w:rsid w:val="33EE1790"/>
    <w:rsid w:val="33EF9179"/>
    <w:rsid w:val="33FBE335"/>
    <w:rsid w:val="33FDC2CC"/>
    <w:rsid w:val="3405D2A4"/>
    <w:rsid w:val="34060530"/>
    <w:rsid w:val="340628F8"/>
    <w:rsid w:val="340B7D82"/>
    <w:rsid w:val="340ECA08"/>
    <w:rsid w:val="34104D2B"/>
    <w:rsid w:val="3413BEDB"/>
    <w:rsid w:val="341447F3"/>
    <w:rsid w:val="3419774B"/>
    <w:rsid w:val="341BCF53"/>
    <w:rsid w:val="341DB2E1"/>
    <w:rsid w:val="3421A44D"/>
    <w:rsid w:val="3428F004"/>
    <w:rsid w:val="3432071C"/>
    <w:rsid w:val="34340455"/>
    <w:rsid w:val="3437F948"/>
    <w:rsid w:val="343C69B1"/>
    <w:rsid w:val="34428DD6"/>
    <w:rsid w:val="344568D8"/>
    <w:rsid w:val="344818C8"/>
    <w:rsid w:val="344E8A17"/>
    <w:rsid w:val="34504240"/>
    <w:rsid w:val="34551311"/>
    <w:rsid w:val="3456A596"/>
    <w:rsid w:val="3458B65F"/>
    <w:rsid w:val="345C4B5F"/>
    <w:rsid w:val="345CABB9"/>
    <w:rsid w:val="345D0736"/>
    <w:rsid w:val="3461BD39"/>
    <w:rsid w:val="346401E4"/>
    <w:rsid w:val="3464D8C0"/>
    <w:rsid w:val="3464FCBA"/>
    <w:rsid w:val="346C1F4B"/>
    <w:rsid w:val="346E1FBB"/>
    <w:rsid w:val="346E2B12"/>
    <w:rsid w:val="34719F1A"/>
    <w:rsid w:val="3476F92F"/>
    <w:rsid w:val="3479F597"/>
    <w:rsid w:val="347B1D4D"/>
    <w:rsid w:val="347C6481"/>
    <w:rsid w:val="34808B4E"/>
    <w:rsid w:val="3481395F"/>
    <w:rsid w:val="34927E7E"/>
    <w:rsid w:val="349635EE"/>
    <w:rsid w:val="3497650F"/>
    <w:rsid w:val="349C7B52"/>
    <w:rsid w:val="349E4CB1"/>
    <w:rsid w:val="349E68E8"/>
    <w:rsid w:val="34A28951"/>
    <w:rsid w:val="34A3B3CC"/>
    <w:rsid w:val="34A57341"/>
    <w:rsid w:val="34AA1817"/>
    <w:rsid w:val="34AF70E2"/>
    <w:rsid w:val="34B5CFD9"/>
    <w:rsid w:val="34B6B775"/>
    <w:rsid w:val="34B8BB06"/>
    <w:rsid w:val="34C0AA17"/>
    <w:rsid w:val="34C283F1"/>
    <w:rsid w:val="34C8330A"/>
    <w:rsid w:val="34CFAD7B"/>
    <w:rsid w:val="34D5AE55"/>
    <w:rsid w:val="34D78B20"/>
    <w:rsid w:val="34D78F54"/>
    <w:rsid w:val="34DE6D2E"/>
    <w:rsid w:val="34E16C16"/>
    <w:rsid w:val="34E460BD"/>
    <w:rsid w:val="34E543F1"/>
    <w:rsid w:val="34E9B873"/>
    <w:rsid w:val="34EBA59C"/>
    <w:rsid w:val="34EEE707"/>
    <w:rsid w:val="34EF2884"/>
    <w:rsid w:val="34F5C16F"/>
    <w:rsid w:val="34F87A71"/>
    <w:rsid w:val="34F8EEDE"/>
    <w:rsid w:val="34FFD4FD"/>
    <w:rsid w:val="350470C8"/>
    <w:rsid w:val="35047A8D"/>
    <w:rsid w:val="350629A4"/>
    <w:rsid w:val="350F1C6B"/>
    <w:rsid w:val="3512B3AF"/>
    <w:rsid w:val="3517625F"/>
    <w:rsid w:val="351A651A"/>
    <w:rsid w:val="3521FAFE"/>
    <w:rsid w:val="3525346D"/>
    <w:rsid w:val="35270507"/>
    <w:rsid w:val="35278F15"/>
    <w:rsid w:val="35293F19"/>
    <w:rsid w:val="352BBDE4"/>
    <w:rsid w:val="352F90B4"/>
    <w:rsid w:val="353184DE"/>
    <w:rsid w:val="3533596F"/>
    <w:rsid w:val="3534C570"/>
    <w:rsid w:val="35350E97"/>
    <w:rsid w:val="353559FE"/>
    <w:rsid w:val="3538AB69"/>
    <w:rsid w:val="353D6EE5"/>
    <w:rsid w:val="353EEC77"/>
    <w:rsid w:val="354284F9"/>
    <w:rsid w:val="35433EDE"/>
    <w:rsid w:val="354530E2"/>
    <w:rsid w:val="354B35AD"/>
    <w:rsid w:val="3553AD2C"/>
    <w:rsid w:val="3556DD56"/>
    <w:rsid w:val="355844CD"/>
    <w:rsid w:val="355A03AC"/>
    <w:rsid w:val="355C3602"/>
    <w:rsid w:val="355DFE13"/>
    <w:rsid w:val="3564F36D"/>
    <w:rsid w:val="35693E4F"/>
    <w:rsid w:val="3569D1CF"/>
    <w:rsid w:val="356D39DF"/>
    <w:rsid w:val="35719308"/>
    <w:rsid w:val="3571B27F"/>
    <w:rsid w:val="35768863"/>
    <w:rsid w:val="3578E6B1"/>
    <w:rsid w:val="3578F5BB"/>
    <w:rsid w:val="357C39F4"/>
    <w:rsid w:val="358530E6"/>
    <w:rsid w:val="3586F6AE"/>
    <w:rsid w:val="358A3E8D"/>
    <w:rsid w:val="358A94A7"/>
    <w:rsid w:val="358E5A21"/>
    <w:rsid w:val="358FC1B9"/>
    <w:rsid w:val="35909A09"/>
    <w:rsid w:val="35919DE7"/>
    <w:rsid w:val="3591BE3C"/>
    <w:rsid w:val="359D0430"/>
    <w:rsid w:val="35A3A15A"/>
    <w:rsid w:val="35A59FB4"/>
    <w:rsid w:val="35A5E2DD"/>
    <w:rsid w:val="35A5F03D"/>
    <w:rsid w:val="35A94852"/>
    <w:rsid w:val="35AE49F7"/>
    <w:rsid w:val="35AF2AAB"/>
    <w:rsid w:val="35B38FD3"/>
    <w:rsid w:val="35B7D194"/>
    <w:rsid w:val="35BB59D3"/>
    <w:rsid w:val="35BB8E02"/>
    <w:rsid w:val="35C1BE01"/>
    <w:rsid w:val="35D262B9"/>
    <w:rsid w:val="35D3AAAD"/>
    <w:rsid w:val="35D404FC"/>
    <w:rsid w:val="35D435EB"/>
    <w:rsid w:val="35D94AAA"/>
    <w:rsid w:val="35E0CA02"/>
    <w:rsid w:val="35E4E334"/>
    <w:rsid w:val="35E92E47"/>
    <w:rsid w:val="35ECDAA9"/>
    <w:rsid w:val="35ED926D"/>
    <w:rsid w:val="35EED520"/>
    <w:rsid w:val="35EF908D"/>
    <w:rsid w:val="35F0742C"/>
    <w:rsid w:val="35F12191"/>
    <w:rsid w:val="35F1277A"/>
    <w:rsid w:val="35F4208A"/>
    <w:rsid w:val="35F44547"/>
    <w:rsid w:val="35F8190B"/>
    <w:rsid w:val="35FC09F8"/>
    <w:rsid w:val="35FE8BF7"/>
    <w:rsid w:val="35FE91F6"/>
    <w:rsid w:val="3602B30D"/>
    <w:rsid w:val="3606388C"/>
    <w:rsid w:val="360AACD2"/>
    <w:rsid w:val="360BCA15"/>
    <w:rsid w:val="36115132"/>
    <w:rsid w:val="3617B578"/>
    <w:rsid w:val="3618E04F"/>
    <w:rsid w:val="36218B86"/>
    <w:rsid w:val="3626EC2E"/>
    <w:rsid w:val="36272858"/>
    <w:rsid w:val="3633D861"/>
    <w:rsid w:val="363CB53D"/>
    <w:rsid w:val="363D43D1"/>
    <w:rsid w:val="363EAE56"/>
    <w:rsid w:val="363EB774"/>
    <w:rsid w:val="363FF584"/>
    <w:rsid w:val="364A1A71"/>
    <w:rsid w:val="364A2644"/>
    <w:rsid w:val="3652C7FE"/>
    <w:rsid w:val="3653FE40"/>
    <w:rsid w:val="3657587F"/>
    <w:rsid w:val="3659CAC8"/>
    <w:rsid w:val="365B9536"/>
    <w:rsid w:val="3661052E"/>
    <w:rsid w:val="36641FFC"/>
    <w:rsid w:val="3666D336"/>
    <w:rsid w:val="3668DB85"/>
    <w:rsid w:val="366B1185"/>
    <w:rsid w:val="3671067F"/>
    <w:rsid w:val="3671B4EA"/>
    <w:rsid w:val="3673DA8D"/>
    <w:rsid w:val="367531EA"/>
    <w:rsid w:val="367617DA"/>
    <w:rsid w:val="36782B10"/>
    <w:rsid w:val="36798E2E"/>
    <w:rsid w:val="367A42C2"/>
    <w:rsid w:val="367BB78D"/>
    <w:rsid w:val="367C911A"/>
    <w:rsid w:val="36813728"/>
    <w:rsid w:val="3682B9B0"/>
    <w:rsid w:val="36844297"/>
    <w:rsid w:val="368484C7"/>
    <w:rsid w:val="3684F25E"/>
    <w:rsid w:val="368A4B29"/>
    <w:rsid w:val="368D069D"/>
    <w:rsid w:val="368DC4DF"/>
    <w:rsid w:val="3695D252"/>
    <w:rsid w:val="36ADE0CB"/>
    <w:rsid w:val="36AE6DBA"/>
    <w:rsid w:val="36B37FC9"/>
    <w:rsid w:val="36B4B8B3"/>
    <w:rsid w:val="36B5432B"/>
    <w:rsid w:val="36B6088C"/>
    <w:rsid w:val="36B62292"/>
    <w:rsid w:val="36B9F086"/>
    <w:rsid w:val="36BA8A42"/>
    <w:rsid w:val="36C2B67D"/>
    <w:rsid w:val="36C52E6F"/>
    <w:rsid w:val="36C6E683"/>
    <w:rsid w:val="36C981FF"/>
    <w:rsid w:val="36CED9AC"/>
    <w:rsid w:val="36D18232"/>
    <w:rsid w:val="36D47EC4"/>
    <w:rsid w:val="36DA6C1F"/>
    <w:rsid w:val="36DCED60"/>
    <w:rsid w:val="36E32232"/>
    <w:rsid w:val="36EB6030"/>
    <w:rsid w:val="36EC5A24"/>
    <w:rsid w:val="36EDC1FB"/>
    <w:rsid w:val="36EF0487"/>
    <w:rsid w:val="36EF1A36"/>
    <w:rsid w:val="36F014E6"/>
    <w:rsid w:val="36F1888D"/>
    <w:rsid w:val="36F32BEF"/>
    <w:rsid w:val="36F3D9D5"/>
    <w:rsid w:val="36F4A15F"/>
    <w:rsid w:val="36FC5361"/>
    <w:rsid w:val="36FEE5B6"/>
    <w:rsid w:val="3701DEAC"/>
    <w:rsid w:val="37021048"/>
    <w:rsid w:val="3703255B"/>
    <w:rsid w:val="37037ADC"/>
    <w:rsid w:val="37047A72"/>
    <w:rsid w:val="37101D89"/>
    <w:rsid w:val="37176903"/>
    <w:rsid w:val="371B089D"/>
    <w:rsid w:val="371BD1C2"/>
    <w:rsid w:val="37216A57"/>
    <w:rsid w:val="3721F93F"/>
    <w:rsid w:val="37256A9C"/>
    <w:rsid w:val="372B618A"/>
    <w:rsid w:val="372B75FC"/>
    <w:rsid w:val="372BE56F"/>
    <w:rsid w:val="372D17FE"/>
    <w:rsid w:val="373029C0"/>
    <w:rsid w:val="373B65C0"/>
    <w:rsid w:val="374152F0"/>
    <w:rsid w:val="3741B05A"/>
    <w:rsid w:val="374DA921"/>
    <w:rsid w:val="3754A31B"/>
    <w:rsid w:val="37578BC1"/>
    <w:rsid w:val="375B91E7"/>
    <w:rsid w:val="375BAC53"/>
    <w:rsid w:val="375C0F9A"/>
    <w:rsid w:val="375F9542"/>
    <w:rsid w:val="375FB008"/>
    <w:rsid w:val="37622BBB"/>
    <w:rsid w:val="3762C227"/>
    <w:rsid w:val="3766B0F6"/>
    <w:rsid w:val="3768C570"/>
    <w:rsid w:val="376E7C21"/>
    <w:rsid w:val="376F735D"/>
    <w:rsid w:val="37725404"/>
    <w:rsid w:val="37727B9E"/>
    <w:rsid w:val="377300DB"/>
    <w:rsid w:val="377484E9"/>
    <w:rsid w:val="3777259F"/>
    <w:rsid w:val="37774BBE"/>
    <w:rsid w:val="3777E34C"/>
    <w:rsid w:val="37843258"/>
    <w:rsid w:val="37855698"/>
    <w:rsid w:val="37877D18"/>
    <w:rsid w:val="378944F5"/>
    <w:rsid w:val="378A29E6"/>
    <w:rsid w:val="378CA0DB"/>
    <w:rsid w:val="378E46B4"/>
    <w:rsid w:val="378F2F03"/>
    <w:rsid w:val="378FD813"/>
    <w:rsid w:val="37915026"/>
    <w:rsid w:val="37948BC6"/>
    <w:rsid w:val="3799BECE"/>
    <w:rsid w:val="379C32AA"/>
    <w:rsid w:val="379C9106"/>
    <w:rsid w:val="379ED24A"/>
    <w:rsid w:val="37A0A7FC"/>
    <w:rsid w:val="37A2224C"/>
    <w:rsid w:val="37A8D812"/>
    <w:rsid w:val="37AA1761"/>
    <w:rsid w:val="37AAB134"/>
    <w:rsid w:val="37AB8BE9"/>
    <w:rsid w:val="37B1605A"/>
    <w:rsid w:val="37B56119"/>
    <w:rsid w:val="37BAC35F"/>
    <w:rsid w:val="37BF511E"/>
    <w:rsid w:val="37C024C7"/>
    <w:rsid w:val="37C02B1E"/>
    <w:rsid w:val="37C1139B"/>
    <w:rsid w:val="37CDFCA9"/>
    <w:rsid w:val="37D18846"/>
    <w:rsid w:val="37D2D095"/>
    <w:rsid w:val="37D34358"/>
    <w:rsid w:val="37D3A553"/>
    <w:rsid w:val="37D9C963"/>
    <w:rsid w:val="37DE8D91"/>
    <w:rsid w:val="37DF1D15"/>
    <w:rsid w:val="37DFC7FD"/>
    <w:rsid w:val="37E02C9B"/>
    <w:rsid w:val="37E1F92A"/>
    <w:rsid w:val="37E238E2"/>
    <w:rsid w:val="37E59FE0"/>
    <w:rsid w:val="37E62013"/>
    <w:rsid w:val="37E62E18"/>
    <w:rsid w:val="37E7AB79"/>
    <w:rsid w:val="37EC03EB"/>
    <w:rsid w:val="37EFE8A2"/>
    <w:rsid w:val="37F25255"/>
    <w:rsid w:val="37F3A4C5"/>
    <w:rsid w:val="37F46A01"/>
    <w:rsid w:val="37F4890A"/>
    <w:rsid w:val="37F993D9"/>
    <w:rsid w:val="37FB79BA"/>
    <w:rsid w:val="37FEA8A1"/>
    <w:rsid w:val="38008BA9"/>
    <w:rsid w:val="38045995"/>
    <w:rsid w:val="38050685"/>
    <w:rsid w:val="3807C928"/>
    <w:rsid w:val="3808E367"/>
    <w:rsid w:val="38090578"/>
    <w:rsid w:val="380BF0D3"/>
    <w:rsid w:val="380C32E7"/>
    <w:rsid w:val="38132A39"/>
    <w:rsid w:val="38134373"/>
    <w:rsid w:val="38211FBB"/>
    <w:rsid w:val="382B6EE3"/>
    <w:rsid w:val="382FE9C0"/>
    <w:rsid w:val="383335CE"/>
    <w:rsid w:val="3836E7C6"/>
    <w:rsid w:val="383785E0"/>
    <w:rsid w:val="383CCA2E"/>
    <w:rsid w:val="383D8165"/>
    <w:rsid w:val="383F1373"/>
    <w:rsid w:val="38407FFD"/>
    <w:rsid w:val="384C13B9"/>
    <w:rsid w:val="384DECDE"/>
    <w:rsid w:val="384EE917"/>
    <w:rsid w:val="384F751D"/>
    <w:rsid w:val="3852200E"/>
    <w:rsid w:val="3852C0BE"/>
    <w:rsid w:val="38546A7D"/>
    <w:rsid w:val="385DE730"/>
    <w:rsid w:val="385FAED5"/>
    <w:rsid w:val="3861E4AC"/>
    <w:rsid w:val="3864E6D4"/>
    <w:rsid w:val="3869E204"/>
    <w:rsid w:val="3870DAC3"/>
    <w:rsid w:val="3872DCB9"/>
    <w:rsid w:val="38730288"/>
    <w:rsid w:val="387B2FA2"/>
    <w:rsid w:val="387B8704"/>
    <w:rsid w:val="387C7AA0"/>
    <w:rsid w:val="3881A682"/>
    <w:rsid w:val="3882E1E8"/>
    <w:rsid w:val="3888A94E"/>
    <w:rsid w:val="388BD96A"/>
    <w:rsid w:val="388C02D1"/>
    <w:rsid w:val="389001A8"/>
    <w:rsid w:val="38922891"/>
    <w:rsid w:val="3892911F"/>
    <w:rsid w:val="3892B988"/>
    <w:rsid w:val="38976F42"/>
    <w:rsid w:val="38997E59"/>
    <w:rsid w:val="389AD457"/>
    <w:rsid w:val="389BB094"/>
    <w:rsid w:val="389C0901"/>
    <w:rsid w:val="38A07119"/>
    <w:rsid w:val="38A25BAB"/>
    <w:rsid w:val="38A71888"/>
    <w:rsid w:val="38A76E62"/>
    <w:rsid w:val="38AFE339"/>
    <w:rsid w:val="38B21742"/>
    <w:rsid w:val="38B53A44"/>
    <w:rsid w:val="38BB92F4"/>
    <w:rsid w:val="38BDE3BB"/>
    <w:rsid w:val="38C8ED59"/>
    <w:rsid w:val="38C8F64A"/>
    <w:rsid w:val="38CA3B1C"/>
    <w:rsid w:val="38CE75C9"/>
    <w:rsid w:val="38CF153D"/>
    <w:rsid w:val="38CFAF75"/>
    <w:rsid w:val="38D43BBB"/>
    <w:rsid w:val="38D466AB"/>
    <w:rsid w:val="38D7FBFF"/>
    <w:rsid w:val="38D8AAD2"/>
    <w:rsid w:val="38D9ABCD"/>
    <w:rsid w:val="38E0FA60"/>
    <w:rsid w:val="38E2B577"/>
    <w:rsid w:val="38E3538A"/>
    <w:rsid w:val="38E37CB4"/>
    <w:rsid w:val="38E6FD1A"/>
    <w:rsid w:val="38E885B4"/>
    <w:rsid w:val="38EE6A8F"/>
    <w:rsid w:val="38EEC2EB"/>
    <w:rsid w:val="38EEDD49"/>
    <w:rsid w:val="38F5F7B2"/>
    <w:rsid w:val="38F9CAFE"/>
    <w:rsid w:val="38FC1D97"/>
    <w:rsid w:val="38FED0F2"/>
    <w:rsid w:val="38FF3A8F"/>
    <w:rsid w:val="39029D8E"/>
    <w:rsid w:val="390475AE"/>
    <w:rsid w:val="39054168"/>
    <w:rsid w:val="3905891B"/>
    <w:rsid w:val="390739E1"/>
    <w:rsid w:val="390DC664"/>
    <w:rsid w:val="390E95CB"/>
    <w:rsid w:val="390F2244"/>
    <w:rsid w:val="39100567"/>
    <w:rsid w:val="3910AD74"/>
    <w:rsid w:val="3912BC88"/>
    <w:rsid w:val="39153CF3"/>
    <w:rsid w:val="3919DEB0"/>
    <w:rsid w:val="391AF628"/>
    <w:rsid w:val="391BF545"/>
    <w:rsid w:val="391ED6E6"/>
    <w:rsid w:val="391F33AE"/>
    <w:rsid w:val="3923849D"/>
    <w:rsid w:val="3927139A"/>
    <w:rsid w:val="39272E6E"/>
    <w:rsid w:val="392F8BC2"/>
    <w:rsid w:val="39307F00"/>
    <w:rsid w:val="39315A05"/>
    <w:rsid w:val="3931998E"/>
    <w:rsid w:val="3931DFF4"/>
    <w:rsid w:val="3932554D"/>
    <w:rsid w:val="3933E54A"/>
    <w:rsid w:val="393530E8"/>
    <w:rsid w:val="3935B91D"/>
    <w:rsid w:val="393681FF"/>
    <w:rsid w:val="3936824F"/>
    <w:rsid w:val="39388576"/>
    <w:rsid w:val="393BDE46"/>
    <w:rsid w:val="393F7DF3"/>
    <w:rsid w:val="394033DB"/>
    <w:rsid w:val="394350EE"/>
    <w:rsid w:val="3943952A"/>
    <w:rsid w:val="39455146"/>
    <w:rsid w:val="39464945"/>
    <w:rsid w:val="394958C3"/>
    <w:rsid w:val="3949DE5D"/>
    <w:rsid w:val="394AB248"/>
    <w:rsid w:val="394C9418"/>
    <w:rsid w:val="39502C35"/>
    <w:rsid w:val="39544150"/>
    <w:rsid w:val="3956DB2D"/>
    <w:rsid w:val="395E2E9A"/>
    <w:rsid w:val="395E5CDC"/>
    <w:rsid w:val="3960108E"/>
    <w:rsid w:val="3961F258"/>
    <w:rsid w:val="3963C1D1"/>
    <w:rsid w:val="39656799"/>
    <w:rsid w:val="3969527E"/>
    <w:rsid w:val="396A5BBF"/>
    <w:rsid w:val="39702126"/>
    <w:rsid w:val="3970A4F3"/>
    <w:rsid w:val="39726A1A"/>
    <w:rsid w:val="397433E5"/>
    <w:rsid w:val="3977BC5F"/>
    <w:rsid w:val="3978D4CE"/>
    <w:rsid w:val="397B831A"/>
    <w:rsid w:val="397BA41F"/>
    <w:rsid w:val="397C1ED0"/>
    <w:rsid w:val="397F5682"/>
    <w:rsid w:val="39838A9D"/>
    <w:rsid w:val="398610B2"/>
    <w:rsid w:val="3987650B"/>
    <w:rsid w:val="398F619D"/>
    <w:rsid w:val="39927B3A"/>
    <w:rsid w:val="39962274"/>
    <w:rsid w:val="399A622B"/>
    <w:rsid w:val="399BE44E"/>
    <w:rsid w:val="399DF1C7"/>
    <w:rsid w:val="39B61950"/>
    <w:rsid w:val="39B9058E"/>
    <w:rsid w:val="39BA22B0"/>
    <w:rsid w:val="39BA854F"/>
    <w:rsid w:val="39BCA26E"/>
    <w:rsid w:val="39C10579"/>
    <w:rsid w:val="39C2063B"/>
    <w:rsid w:val="39C70C24"/>
    <w:rsid w:val="39C807D2"/>
    <w:rsid w:val="39CC38F8"/>
    <w:rsid w:val="39D4B814"/>
    <w:rsid w:val="39D6BBC6"/>
    <w:rsid w:val="39D90072"/>
    <w:rsid w:val="39DC246C"/>
    <w:rsid w:val="39DE69ED"/>
    <w:rsid w:val="39DFC8A4"/>
    <w:rsid w:val="39E16562"/>
    <w:rsid w:val="39E3E92D"/>
    <w:rsid w:val="39E4F883"/>
    <w:rsid w:val="39E5043C"/>
    <w:rsid w:val="39E5EF46"/>
    <w:rsid w:val="39E85B71"/>
    <w:rsid w:val="39E96FEC"/>
    <w:rsid w:val="39ED5669"/>
    <w:rsid w:val="39F0F859"/>
    <w:rsid w:val="39F254FE"/>
    <w:rsid w:val="39F36892"/>
    <w:rsid w:val="39F8E93B"/>
    <w:rsid w:val="39FACD4D"/>
    <w:rsid w:val="39FAEFF9"/>
    <w:rsid w:val="3A02FE7F"/>
    <w:rsid w:val="3A07A9AD"/>
    <w:rsid w:val="3A09AA87"/>
    <w:rsid w:val="3A0D83E9"/>
    <w:rsid w:val="3A0E016E"/>
    <w:rsid w:val="3A11ED2A"/>
    <w:rsid w:val="3A185829"/>
    <w:rsid w:val="3A189E98"/>
    <w:rsid w:val="3A1AC357"/>
    <w:rsid w:val="3A1ACC82"/>
    <w:rsid w:val="3A23C886"/>
    <w:rsid w:val="3A29091E"/>
    <w:rsid w:val="3A2F1EC9"/>
    <w:rsid w:val="3A2F7830"/>
    <w:rsid w:val="3A31046A"/>
    <w:rsid w:val="3A3302D7"/>
    <w:rsid w:val="3A3C703A"/>
    <w:rsid w:val="3A3FB468"/>
    <w:rsid w:val="3A4CA05D"/>
    <w:rsid w:val="3A4FBCFA"/>
    <w:rsid w:val="3A541971"/>
    <w:rsid w:val="3A582A14"/>
    <w:rsid w:val="3A58B4D4"/>
    <w:rsid w:val="3A5B4263"/>
    <w:rsid w:val="3A5B94D0"/>
    <w:rsid w:val="3A5C1198"/>
    <w:rsid w:val="3A5C1FDC"/>
    <w:rsid w:val="3A5E4FA2"/>
    <w:rsid w:val="3A5E6B0A"/>
    <w:rsid w:val="3A6793B9"/>
    <w:rsid w:val="3A6AD6ED"/>
    <w:rsid w:val="3A6DE5D4"/>
    <w:rsid w:val="3A725851"/>
    <w:rsid w:val="3A764CCC"/>
    <w:rsid w:val="3A76630D"/>
    <w:rsid w:val="3A76C65A"/>
    <w:rsid w:val="3A774F52"/>
    <w:rsid w:val="3A77D795"/>
    <w:rsid w:val="3A788093"/>
    <w:rsid w:val="3A78E597"/>
    <w:rsid w:val="3A7E7DC9"/>
    <w:rsid w:val="3A7F0105"/>
    <w:rsid w:val="3A7F67CE"/>
    <w:rsid w:val="3A80283E"/>
    <w:rsid w:val="3A8039BB"/>
    <w:rsid w:val="3A8331DF"/>
    <w:rsid w:val="3A837CC9"/>
    <w:rsid w:val="3A86D28D"/>
    <w:rsid w:val="3A8718E1"/>
    <w:rsid w:val="3A89A7B8"/>
    <w:rsid w:val="3A8C3F78"/>
    <w:rsid w:val="3A925A72"/>
    <w:rsid w:val="3A93AC52"/>
    <w:rsid w:val="3A93E55C"/>
    <w:rsid w:val="3A9680FA"/>
    <w:rsid w:val="3AA0A0D7"/>
    <w:rsid w:val="3AA5331A"/>
    <w:rsid w:val="3AB1FFF7"/>
    <w:rsid w:val="3AB58E13"/>
    <w:rsid w:val="3AB9718E"/>
    <w:rsid w:val="3ABB6727"/>
    <w:rsid w:val="3ABC01B7"/>
    <w:rsid w:val="3ABF567D"/>
    <w:rsid w:val="3AC319FC"/>
    <w:rsid w:val="3AC340CA"/>
    <w:rsid w:val="3AC4AB8D"/>
    <w:rsid w:val="3AC527F1"/>
    <w:rsid w:val="3AC66710"/>
    <w:rsid w:val="3AC7908D"/>
    <w:rsid w:val="3AC896E8"/>
    <w:rsid w:val="3ACA508A"/>
    <w:rsid w:val="3ACD0434"/>
    <w:rsid w:val="3AD0A4D0"/>
    <w:rsid w:val="3AD0AAC2"/>
    <w:rsid w:val="3AD20C0A"/>
    <w:rsid w:val="3AD494F2"/>
    <w:rsid w:val="3AE0E495"/>
    <w:rsid w:val="3AE0F5B8"/>
    <w:rsid w:val="3AEBEAC7"/>
    <w:rsid w:val="3AED1B07"/>
    <w:rsid w:val="3AED29BB"/>
    <w:rsid w:val="3AEDDB5C"/>
    <w:rsid w:val="3AF055AD"/>
    <w:rsid w:val="3AF1D6CE"/>
    <w:rsid w:val="3AF5D65C"/>
    <w:rsid w:val="3AF68D94"/>
    <w:rsid w:val="3AF7C549"/>
    <w:rsid w:val="3AF81BF7"/>
    <w:rsid w:val="3AF933B0"/>
    <w:rsid w:val="3AFB4141"/>
    <w:rsid w:val="3AFE7D25"/>
    <w:rsid w:val="3AFEA5E8"/>
    <w:rsid w:val="3B058B94"/>
    <w:rsid w:val="3B0F2D75"/>
    <w:rsid w:val="3B102EBF"/>
    <w:rsid w:val="3B118748"/>
    <w:rsid w:val="3B14519E"/>
    <w:rsid w:val="3B15DBD4"/>
    <w:rsid w:val="3B2291ED"/>
    <w:rsid w:val="3B25B1A5"/>
    <w:rsid w:val="3B27C988"/>
    <w:rsid w:val="3B292FE7"/>
    <w:rsid w:val="3B2A31BB"/>
    <w:rsid w:val="3B2B6320"/>
    <w:rsid w:val="3B2E259E"/>
    <w:rsid w:val="3B2F8D0F"/>
    <w:rsid w:val="3B3394C4"/>
    <w:rsid w:val="3B34DF33"/>
    <w:rsid w:val="3B359462"/>
    <w:rsid w:val="3B3A380D"/>
    <w:rsid w:val="3B3AE77B"/>
    <w:rsid w:val="3B405613"/>
    <w:rsid w:val="3B468098"/>
    <w:rsid w:val="3B493E5B"/>
    <w:rsid w:val="3B496E54"/>
    <w:rsid w:val="3B4C84A6"/>
    <w:rsid w:val="3B504368"/>
    <w:rsid w:val="3B53FA68"/>
    <w:rsid w:val="3B56F547"/>
    <w:rsid w:val="3B5C9D7D"/>
    <w:rsid w:val="3B608A5C"/>
    <w:rsid w:val="3B63886E"/>
    <w:rsid w:val="3B63AB10"/>
    <w:rsid w:val="3B65683E"/>
    <w:rsid w:val="3B662D98"/>
    <w:rsid w:val="3B668F76"/>
    <w:rsid w:val="3B671A24"/>
    <w:rsid w:val="3B67A473"/>
    <w:rsid w:val="3B6E4F68"/>
    <w:rsid w:val="3B71E8E2"/>
    <w:rsid w:val="3B81860F"/>
    <w:rsid w:val="3B836F54"/>
    <w:rsid w:val="3B8A5BD7"/>
    <w:rsid w:val="3B8D4BD3"/>
    <w:rsid w:val="3B8DBD29"/>
    <w:rsid w:val="3B91FFA7"/>
    <w:rsid w:val="3B9294CE"/>
    <w:rsid w:val="3B93BD0E"/>
    <w:rsid w:val="3B9535C5"/>
    <w:rsid w:val="3B9571FD"/>
    <w:rsid w:val="3B973CC5"/>
    <w:rsid w:val="3B9935CF"/>
    <w:rsid w:val="3B9DCC8E"/>
    <w:rsid w:val="3BA26E02"/>
    <w:rsid w:val="3BA5EDEF"/>
    <w:rsid w:val="3BA7DDAE"/>
    <w:rsid w:val="3BA805F0"/>
    <w:rsid w:val="3BA93560"/>
    <w:rsid w:val="3BAC3856"/>
    <w:rsid w:val="3BAC596D"/>
    <w:rsid w:val="3BB1C87E"/>
    <w:rsid w:val="3BB74E80"/>
    <w:rsid w:val="3BBC7597"/>
    <w:rsid w:val="3BBD6AB3"/>
    <w:rsid w:val="3BBDA914"/>
    <w:rsid w:val="3BBFC743"/>
    <w:rsid w:val="3BC16262"/>
    <w:rsid w:val="3BC2837A"/>
    <w:rsid w:val="3BC480D8"/>
    <w:rsid w:val="3BC5CCE0"/>
    <w:rsid w:val="3BC729C4"/>
    <w:rsid w:val="3BC8586C"/>
    <w:rsid w:val="3BCA37BF"/>
    <w:rsid w:val="3BCA510C"/>
    <w:rsid w:val="3BD08E23"/>
    <w:rsid w:val="3BD2082B"/>
    <w:rsid w:val="3BDBB5C3"/>
    <w:rsid w:val="3BDC3783"/>
    <w:rsid w:val="3BE445A1"/>
    <w:rsid w:val="3BE78B0A"/>
    <w:rsid w:val="3BEDDACB"/>
    <w:rsid w:val="3BEF5362"/>
    <w:rsid w:val="3BF371A9"/>
    <w:rsid w:val="3BF74BC2"/>
    <w:rsid w:val="3C006AF7"/>
    <w:rsid w:val="3C02EB48"/>
    <w:rsid w:val="3C048BC2"/>
    <w:rsid w:val="3C087B5F"/>
    <w:rsid w:val="3C0D18F0"/>
    <w:rsid w:val="3C0EFCE9"/>
    <w:rsid w:val="3C127D95"/>
    <w:rsid w:val="3C12C2CF"/>
    <w:rsid w:val="3C14A58B"/>
    <w:rsid w:val="3C15B815"/>
    <w:rsid w:val="3C1C1E04"/>
    <w:rsid w:val="3C1CC9F7"/>
    <w:rsid w:val="3C1E3068"/>
    <w:rsid w:val="3C1E628A"/>
    <w:rsid w:val="3C207655"/>
    <w:rsid w:val="3C2130F2"/>
    <w:rsid w:val="3C21AC58"/>
    <w:rsid w:val="3C229DDE"/>
    <w:rsid w:val="3C294F1A"/>
    <w:rsid w:val="3C2D5549"/>
    <w:rsid w:val="3C2E6854"/>
    <w:rsid w:val="3C3317A0"/>
    <w:rsid w:val="3C37DC73"/>
    <w:rsid w:val="3C3EF697"/>
    <w:rsid w:val="3C408A4D"/>
    <w:rsid w:val="3C436529"/>
    <w:rsid w:val="3C454A6F"/>
    <w:rsid w:val="3C4581A4"/>
    <w:rsid w:val="3C47D0CD"/>
    <w:rsid w:val="3C482484"/>
    <w:rsid w:val="3C491B53"/>
    <w:rsid w:val="3C4987B8"/>
    <w:rsid w:val="3C4C509C"/>
    <w:rsid w:val="3C4E5C3C"/>
    <w:rsid w:val="3C4EF863"/>
    <w:rsid w:val="3C5132FD"/>
    <w:rsid w:val="3C51CC05"/>
    <w:rsid w:val="3C52EFBF"/>
    <w:rsid w:val="3C58CEFF"/>
    <w:rsid w:val="3C596B42"/>
    <w:rsid w:val="3C5BFB40"/>
    <w:rsid w:val="3C5EE392"/>
    <w:rsid w:val="3C617E79"/>
    <w:rsid w:val="3C62ADA7"/>
    <w:rsid w:val="3C65682A"/>
    <w:rsid w:val="3C68B19A"/>
    <w:rsid w:val="3C692868"/>
    <w:rsid w:val="3C6E8293"/>
    <w:rsid w:val="3C70655B"/>
    <w:rsid w:val="3C713C21"/>
    <w:rsid w:val="3C72FB84"/>
    <w:rsid w:val="3C73AEB4"/>
    <w:rsid w:val="3C7817BF"/>
    <w:rsid w:val="3C782668"/>
    <w:rsid w:val="3C78E894"/>
    <w:rsid w:val="3C7A27FB"/>
    <w:rsid w:val="3C7AC5A0"/>
    <w:rsid w:val="3C81D1A8"/>
    <w:rsid w:val="3C8662CE"/>
    <w:rsid w:val="3C86C933"/>
    <w:rsid w:val="3C8887FE"/>
    <w:rsid w:val="3C8934BF"/>
    <w:rsid w:val="3C8BF07A"/>
    <w:rsid w:val="3C8C570E"/>
    <w:rsid w:val="3C8F0D76"/>
    <w:rsid w:val="3C929E4C"/>
    <w:rsid w:val="3C938F30"/>
    <w:rsid w:val="3C945C8C"/>
    <w:rsid w:val="3C98FE7E"/>
    <w:rsid w:val="3C990D5D"/>
    <w:rsid w:val="3CA10DC1"/>
    <w:rsid w:val="3CA4F264"/>
    <w:rsid w:val="3CA87DDD"/>
    <w:rsid w:val="3CA8AA29"/>
    <w:rsid w:val="3CAB0E10"/>
    <w:rsid w:val="3CABADF9"/>
    <w:rsid w:val="3CAD56D8"/>
    <w:rsid w:val="3CAFE91D"/>
    <w:rsid w:val="3CB1D9F5"/>
    <w:rsid w:val="3CB1DE00"/>
    <w:rsid w:val="3CB3674B"/>
    <w:rsid w:val="3CB4F7E5"/>
    <w:rsid w:val="3CBC0B0D"/>
    <w:rsid w:val="3CBDFE24"/>
    <w:rsid w:val="3CC02579"/>
    <w:rsid w:val="3CC032A4"/>
    <w:rsid w:val="3CC0899A"/>
    <w:rsid w:val="3CC6C5BC"/>
    <w:rsid w:val="3CCBF7FC"/>
    <w:rsid w:val="3CCC9EAF"/>
    <w:rsid w:val="3CD20020"/>
    <w:rsid w:val="3CD2757A"/>
    <w:rsid w:val="3CD4C33B"/>
    <w:rsid w:val="3CD5D113"/>
    <w:rsid w:val="3CD66EBD"/>
    <w:rsid w:val="3CDF178D"/>
    <w:rsid w:val="3CE00C24"/>
    <w:rsid w:val="3CE02F85"/>
    <w:rsid w:val="3CE39BC1"/>
    <w:rsid w:val="3CE3DD99"/>
    <w:rsid w:val="3CE85330"/>
    <w:rsid w:val="3CEAE7EA"/>
    <w:rsid w:val="3CEC609E"/>
    <w:rsid w:val="3CF4A0F0"/>
    <w:rsid w:val="3CF81955"/>
    <w:rsid w:val="3CF9524A"/>
    <w:rsid w:val="3D01BBE0"/>
    <w:rsid w:val="3D025103"/>
    <w:rsid w:val="3D06E132"/>
    <w:rsid w:val="3D110986"/>
    <w:rsid w:val="3D18BB3C"/>
    <w:rsid w:val="3D1BDD7E"/>
    <w:rsid w:val="3D1BE2DD"/>
    <w:rsid w:val="3D271182"/>
    <w:rsid w:val="3D2CB1B8"/>
    <w:rsid w:val="3D349B8B"/>
    <w:rsid w:val="3D372648"/>
    <w:rsid w:val="3D392091"/>
    <w:rsid w:val="3D3B1ED8"/>
    <w:rsid w:val="3D3E14E0"/>
    <w:rsid w:val="3D4392E0"/>
    <w:rsid w:val="3D45E2B3"/>
    <w:rsid w:val="3D46E3A4"/>
    <w:rsid w:val="3D4739C8"/>
    <w:rsid w:val="3D480DDF"/>
    <w:rsid w:val="3D4D2D76"/>
    <w:rsid w:val="3D522F61"/>
    <w:rsid w:val="3D55314F"/>
    <w:rsid w:val="3D578390"/>
    <w:rsid w:val="3D5930AE"/>
    <w:rsid w:val="3D5C01B9"/>
    <w:rsid w:val="3D5E5E0A"/>
    <w:rsid w:val="3D66F510"/>
    <w:rsid w:val="3D68C465"/>
    <w:rsid w:val="3D6BCD72"/>
    <w:rsid w:val="3D6EE877"/>
    <w:rsid w:val="3D6F5EB1"/>
    <w:rsid w:val="3D6F7021"/>
    <w:rsid w:val="3D74ED8B"/>
    <w:rsid w:val="3D79A7C2"/>
    <w:rsid w:val="3D7B8C1A"/>
    <w:rsid w:val="3D80EDC0"/>
    <w:rsid w:val="3D814710"/>
    <w:rsid w:val="3D81B212"/>
    <w:rsid w:val="3D81E487"/>
    <w:rsid w:val="3D828D11"/>
    <w:rsid w:val="3D82F6B8"/>
    <w:rsid w:val="3D85885D"/>
    <w:rsid w:val="3D866A95"/>
    <w:rsid w:val="3D8679EE"/>
    <w:rsid w:val="3D86CFE5"/>
    <w:rsid w:val="3D88E005"/>
    <w:rsid w:val="3D898FE5"/>
    <w:rsid w:val="3D89CCAB"/>
    <w:rsid w:val="3D8DD198"/>
    <w:rsid w:val="3D8FC2D2"/>
    <w:rsid w:val="3D91C187"/>
    <w:rsid w:val="3D920A4F"/>
    <w:rsid w:val="3D97780D"/>
    <w:rsid w:val="3DA1ADE1"/>
    <w:rsid w:val="3DA45614"/>
    <w:rsid w:val="3DA713D9"/>
    <w:rsid w:val="3DABA41B"/>
    <w:rsid w:val="3DAD3FC9"/>
    <w:rsid w:val="3DADA984"/>
    <w:rsid w:val="3DAE5A94"/>
    <w:rsid w:val="3DB07E8E"/>
    <w:rsid w:val="3DB1591F"/>
    <w:rsid w:val="3DB468C1"/>
    <w:rsid w:val="3DB62BB2"/>
    <w:rsid w:val="3DBB36D5"/>
    <w:rsid w:val="3DBCD2BE"/>
    <w:rsid w:val="3DBE913E"/>
    <w:rsid w:val="3DC0C95D"/>
    <w:rsid w:val="3DC24A0E"/>
    <w:rsid w:val="3DC979A4"/>
    <w:rsid w:val="3DCFFF5A"/>
    <w:rsid w:val="3DD238DD"/>
    <w:rsid w:val="3DD945EC"/>
    <w:rsid w:val="3DDA5DEE"/>
    <w:rsid w:val="3DDAC1DE"/>
    <w:rsid w:val="3DDAD066"/>
    <w:rsid w:val="3DDB0D13"/>
    <w:rsid w:val="3DE1DD9C"/>
    <w:rsid w:val="3DE7AF6E"/>
    <w:rsid w:val="3DE7EEFE"/>
    <w:rsid w:val="3DEB00C6"/>
    <w:rsid w:val="3DEBDA28"/>
    <w:rsid w:val="3DEC36AB"/>
    <w:rsid w:val="3DF18027"/>
    <w:rsid w:val="3DFE6860"/>
    <w:rsid w:val="3E096624"/>
    <w:rsid w:val="3E0A7174"/>
    <w:rsid w:val="3E0B3700"/>
    <w:rsid w:val="3E0DDCBA"/>
    <w:rsid w:val="3E0F57F1"/>
    <w:rsid w:val="3E115354"/>
    <w:rsid w:val="3E1442D9"/>
    <w:rsid w:val="3E19D065"/>
    <w:rsid w:val="3E1A28D9"/>
    <w:rsid w:val="3E1F8B8E"/>
    <w:rsid w:val="3E20CA13"/>
    <w:rsid w:val="3E21B4B4"/>
    <w:rsid w:val="3E224205"/>
    <w:rsid w:val="3E23B306"/>
    <w:rsid w:val="3E25BE9E"/>
    <w:rsid w:val="3E2A4FF9"/>
    <w:rsid w:val="3E3298D2"/>
    <w:rsid w:val="3E36073C"/>
    <w:rsid w:val="3E3B2A2F"/>
    <w:rsid w:val="3E3C7890"/>
    <w:rsid w:val="3E3F1DF1"/>
    <w:rsid w:val="3E408EA6"/>
    <w:rsid w:val="3E426499"/>
    <w:rsid w:val="3E47176F"/>
    <w:rsid w:val="3E4918BA"/>
    <w:rsid w:val="3E4C6DC9"/>
    <w:rsid w:val="3E4FEE85"/>
    <w:rsid w:val="3E561471"/>
    <w:rsid w:val="3E599460"/>
    <w:rsid w:val="3E5D68AB"/>
    <w:rsid w:val="3E5E0AC1"/>
    <w:rsid w:val="3E60467C"/>
    <w:rsid w:val="3E629F35"/>
    <w:rsid w:val="3E633B89"/>
    <w:rsid w:val="3E6A54AC"/>
    <w:rsid w:val="3E6E734C"/>
    <w:rsid w:val="3E7399FB"/>
    <w:rsid w:val="3E798B0A"/>
    <w:rsid w:val="3E7D6B0E"/>
    <w:rsid w:val="3E8025F2"/>
    <w:rsid w:val="3E820A61"/>
    <w:rsid w:val="3E83F1AD"/>
    <w:rsid w:val="3E84C8A6"/>
    <w:rsid w:val="3E8500E0"/>
    <w:rsid w:val="3E8674CB"/>
    <w:rsid w:val="3E89905B"/>
    <w:rsid w:val="3E8B6D75"/>
    <w:rsid w:val="3E8D8E24"/>
    <w:rsid w:val="3E967C7E"/>
    <w:rsid w:val="3E96EAC5"/>
    <w:rsid w:val="3E9D9C64"/>
    <w:rsid w:val="3E9FD1D7"/>
    <w:rsid w:val="3EA1787B"/>
    <w:rsid w:val="3EA334A1"/>
    <w:rsid w:val="3EA462C3"/>
    <w:rsid w:val="3EA4F801"/>
    <w:rsid w:val="3EA600F5"/>
    <w:rsid w:val="3EB59F2D"/>
    <w:rsid w:val="3EB6EB9F"/>
    <w:rsid w:val="3EBB330E"/>
    <w:rsid w:val="3EBB6D93"/>
    <w:rsid w:val="3EBCE001"/>
    <w:rsid w:val="3EBD493B"/>
    <w:rsid w:val="3EBDAFE3"/>
    <w:rsid w:val="3EBE13E9"/>
    <w:rsid w:val="3EBE23B0"/>
    <w:rsid w:val="3EC2448A"/>
    <w:rsid w:val="3EC64B03"/>
    <w:rsid w:val="3EC9D8BA"/>
    <w:rsid w:val="3ED13A4C"/>
    <w:rsid w:val="3ED1A7D6"/>
    <w:rsid w:val="3ED4EA3A"/>
    <w:rsid w:val="3ED734F8"/>
    <w:rsid w:val="3EE50895"/>
    <w:rsid w:val="3EEBE7B8"/>
    <w:rsid w:val="3EEE2E94"/>
    <w:rsid w:val="3EEE9C7E"/>
    <w:rsid w:val="3EF21781"/>
    <w:rsid w:val="3EF7655B"/>
    <w:rsid w:val="3EF95001"/>
    <w:rsid w:val="3EFC6469"/>
    <w:rsid w:val="3EFEA160"/>
    <w:rsid w:val="3F0044EA"/>
    <w:rsid w:val="3F0CE18E"/>
    <w:rsid w:val="3F0E08D6"/>
    <w:rsid w:val="3F1070F0"/>
    <w:rsid w:val="3F125984"/>
    <w:rsid w:val="3F15004A"/>
    <w:rsid w:val="3F1CA835"/>
    <w:rsid w:val="3F1DCEA6"/>
    <w:rsid w:val="3F1F86D8"/>
    <w:rsid w:val="3F1FEAF0"/>
    <w:rsid w:val="3F21A817"/>
    <w:rsid w:val="3F27DA9D"/>
    <w:rsid w:val="3F2A997F"/>
    <w:rsid w:val="3F2E1D02"/>
    <w:rsid w:val="3F2E7C60"/>
    <w:rsid w:val="3F308613"/>
    <w:rsid w:val="3F33F9B0"/>
    <w:rsid w:val="3F363FC0"/>
    <w:rsid w:val="3F382D2A"/>
    <w:rsid w:val="3F39FDBB"/>
    <w:rsid w:val="3F3B2AF5"/>
    <w:rsid w:val="3F3C3EDB"/>
    <w:rsid w:val="3F3C694F"/>
    <w:rsid w:val="3F47DE6A"/>
    <w:rsid w:val="3F497292"/>
    <w:rsid w:val="3F49CB00"/>
    <w:rsid w:val="3F4AC01D"/>
    <w:rsid w:val="3F4BE25D"/>
    <w:rsid w:val="3F4DE45C"/>
    <w:rsid w:val="3F51D79D"/>
    <w:rsid w:val="3F531E54"/>
    <w:rsid w:val="3F560B9D"/>
    <w:rsid w:val="3F5877BD"/>
    <w:rsid w:val="3F5DCEDF"/>
    <w:rsid w:val="3F698B90"/>
    <w:rsid w:val="3F6D5A60"/>
    <w:rsid w:val="3F6F1A1D"/>
    <w:rsid w:val="3F77B8C9"/>
    <w:rsid w:val="3F78B0FB"/>
    <w:rsid w:val="3F7A2F13"/>
    <w:rsid w:val="3F7D2399"/>
    <w:rsid w:val="3F82707B"/>
    <w:rsid w:val="3F858727"/>
    <w:rsid w:val="3F8CECB1"/>
    <w:rsid w:val="3F8DBA6D"/>
    <w:rsid w:val="3F952E03"/>
    <w:rsid w:val="3F959098"/>
    <w:rsid w:val="3F968D2A"/>
    <w:rsid w:val="3F97458B"/>
    <w:rsid w:val="3F97C723"/>
    <w:rsid w:val="3F982D60"/>
    <w:rsid w:val="3F98BD26"/>
    <w:rsid w:val="3F9B9B83"/>
    <w:rsid w:val="3F9EC7FF"/>
    <w:rsid w:val="3F9FD912"/>
    <w:rsid w:val="3FA0367E"/>
    <w:rsid w:val="3FA6347F"/>
    <w:rsid w:val="3FB07839"/>
    <w:rsid w:val="3FB1DA35"/>
    <w:rsid w:val="3FB295CE"/>
    <w:rsid w:val="3FB567EC"/>
    <w:rsid w:val="3FB892A7"/>
    <w:rsid w:val="3FB8F89D"/>
    <w:rsid w:val="3FB8F9BF"/>
    <w:rsid w:val="3FB9B258"/>
    <w:rsid w:val="3FBB54E8"/>
    <w:rsid w:val="3FBFBDA7"/>
    <w:rsid w:val="3FC0E92F"/>
    <w:rsid w:val="3FC7182B"/>
    <w:rsid w:val="3FC72B1C"/>
    <w:rsid w:val="3FC8182E"/>
    <w:rsid w:val="3FC9C190"/>
    <w:rsid w:val="3FCD89ED"/>
    <w:rsid w:val="3FCF8B8D"/>
    <w:rsid w:val="3FD1EA19"/>
    <w:rsid w:val="3FD745DC"/>
    <w:rsid w:val="3FE5DC0A"/>
    <w:rsid w:val="3FED9DBB"/>
    <w:rsid w:val="3FF32B69"/>
    <w:rsid w:val="3FFA2AD8"/>
    <w:rsid w:val="3FFB7B0C"/>
    <w:rsid w:val="3FFC94D7"/>
    <w:rsid w:val="3FFCC481"/>
    <w:rsid w:val="3FFE7953"/>
    <w:rsid w:val="4000D656"/>
    <w:rsid w:val="4002CBE7"/>
    <w:rsid w:val="40060A34"/>
    <w:rsid w:val="4008C29A"/>
    <w:rsid w:val="400A0E0E"/>
    <w:rsid w:val="400B9FDE"/>
    <w:rsid w:val="400CAC07"/>
    <w:rsid w:val="400CD04F"/>
    <w:rsid w:val="400F208B"/>
    <w:rsid w:val="4011272C"/>
    <w:rsid w:val="40124175"/>
    <w:rsid w:val="40204B77"/>
    <w:rsid w:val="40214310"/>
    <w:rsid w:val="40214341"/>
    <w:rsid w:val="40243DFF"/>
    <w:rsid w:val="4024EEA0"/>
    <w:rsid w:val="40267D55"/>
    <w:rsid w:val="40296421"/>
    <w:rsid w:val="402DB518"/>
    <w:rsid w:val="4031D1FF"/>
    <w:rsid w:val="4032B3FC"/>
    <w:rsid w:val="4038D612"/>
    <w:rsid w:val="4038F4AC"/>
    <w:rsid w:val="403AEC4B"/>
    <w:rsid w:val="403D63CC"/>
    <w:rsid w:val="403DD65C"/>
    <w:rsid w:val="403F715C"/>
    <w:rsid w:val="4040B4EC"/>
    <w:rsid w:val="4044613E"/>
    <w:rsid w:val="404993FA"/>
    <w:rsid w:val="404B7DC8"/>
    <w:rsid w:val="404DC966"/>
    <w:rsid w:val="40514320"/>
    <w:rsid w:val="405B0E91"/>
    <w:rsid w:val="4061C268"/>
    <w:rsid w:val="4063491A"/>
    <w:rsid w:val="406B0675"/>
    <w:rsid w:val="4072A018"/>
    <w:rsid w:val="407B5FBD"/>
    <w:rsid w:val="407CCC16"/>
    <w:rsid w:val="40838944"/>
    <w:rsid w:val="4083FB59"/>
    <w:rsid w:val="408423D7"/>
    <w:rsid w:val="40854B5A"/>
    <w:rsid w:val="4086A994"/>
    <w:rsid w:val="4086D76F"/>
    <w:rsid w:val="4088A192"/>
    <w:rsid w:val="408FD9A7"/>
    <w:rsid w:val="4095C9CE"/>
    <w:rsid w:val="4099C96B"/>
    <w:rsid w:val="409DCB52"/>
    <w:rsid w:val="409FB7D4"/>
    <w:rsid w:val="40ADDD43"/>
    <w:rsid w:val="40AF3CAF"/>
    <w:rsid w:val="40B4314D"/>
    <w:rsid w:val="40B7CBE7"/>
    <w:rsid w:val="40BBAAE5"/>
    <w:rsid w:val="40BEE92B"/>
    <w:rsid w:val="40BF39A5"/>
    <w:rsid w:val="40C07B54"/>
    <w:rsid w:val="40C1CCFB"/>
    <w:rsid w:val="40C63C42"/>
    <w:rsid w:val="40C8D16E"/>
    <w:rsid w:val="40CF83DA"/>
    <w:rsid w:val="40D03AF4"/>
    <w:rsid w:val="40D50921"/>
    <w:rsid w:val="40D8728D"/>
    <w:rsid w:val="40D899DF"/>
    <w:rsid w:val="40DA3BE9"/>
    <w:rsid w:val="40DB09E8"/>
    <w:rsid w:val="40E1EA66"/>
    <w:rsid w:val="40E2E0D8"/>
    <w:rsid w:val="40E65112"/>
    <w:rsid w:val="40E65255"/>
    <w:rsid w:val="40E6B972"/>
    <w:rsid w:val="40E7D2FA"/>
    <w:rsid w:val="40EB9A63"/>
    <w:rsid w:val="40ECBA1B"/>
    <w:rsid w:val="40EDC3FE"/>
    <w:rsid w:val="40F044F9"/>
    <w:rsid w:val="40F0B420"/>
    <w:rsid w:val="40F44A2A"/>
    <w:rsid w:val="40F53E12"/>
    <w:rsid w:val="40FC088A"/>
    <w:rsid w:val="40FE9A99"/>
    <w:rsid w:val="41012E6B"/>
    <w:rsid w:val="41035665"/>
    <w:rsid w:val="410CF933"/>
    <w:rsid w:val="410DA118"/>
    <w:rsid w:val="4116D6F4"/>
    <w:rsid w:val="4118BB0B"/>
    <w:rsid w:val="4119611C"/>
    <w:rsid w:val="411A14C4"/>
    <w:rsid w:val="411B380E"/>
    <w:rsid w:val="4122DB59"/>
    <w:rsid w:val="41237604"/>
    <w:rsid w:val="4125D94A"/>
    <w:rsid w:val="41265D0D"/>
    <w:rsid w:val="412A3B7E"/>
    <w:rsid w:val="413064FA"/>
    <w:rsid w:val="413C96B0"/>
    <w:rsid w:val="414010AF"/>
    <w:rsid w:val="4142ACE5"/>
    <w:rsid w:val="41441AA5"/>
    <w:rsid w:val="4146E8D2"/>
    <w:rsid w:val="4149C43F"/>
    <w:rsid w:val="4149EF08"/>
    <w:rsid w:val="414DAEE4"/>
    <w:rsid w:val="414EAD0F"/>
    <w:rsid w:val="414ECF37"/>
    <w:rsid w:val="414F800C"/>
    <w:rsid w:val="41500B67"/>
    <w:rsid w:val="41520AA7"/>
    <w:rsid w:val="4156CB2B"/>
    <w:rsid w:val="41573E3B"/>
    <w:rsid w:val="415B928D"/>
    <w:rsid w:val="416023E7"/>
    <w:rsid w:val="4160EA02"/>
    <w:rsid w:val="4165CC01"/>
    <w:rsid w:val="4167991F"/>
    <w:rsid w:val="416B67AF"/>
    <w:rsid w:val="416D3F59"/>
    <w:rsid w:val="416F8E77"/>
    <w:rsid w:val="417156CC"/>
    <w:rsid w:val="4171730E"/>
    <w:rsid w:val="4172A60B"/>
    <w:rsid w:val="417549F1"/>
    <w:rsid w:val="4179415A"/>
    <w:rsid w:val="417ADA44"/>
    <w:rsid w:val="417F029A"/>
    <w:rsid w:val="418027FF"/>
    <w:rsid w:val="41809EF4"/>
    <w:rsid w:val="4187B5BE"/>
    <w:rsid w:val="41948DF3"/>
    <w:rsid w:val="41950D97"/>
    <w:rsid w:val="41965DA1"/>
    <w:rsid w:val="419F2801"/>
    <w:rsid w:val="41A0CB45"/>
    <w:rsid w:val="41A17A48"/>
    <w:rsid w:val="41A1D5E0"/>
    <w:rsid w:val="41A5502A"/>
    <w:rsid w:val="41A9480D"/>
    <w:rsid w:val="41AE4505"/>
    <w:rsid w:val="41AEAE90"/>
    <w:rsid w:val="41B18305"/>
    <w:rsid w:val="41BA784B"/>
    <w:rsid w:val="41BBA91E"/>
    <w:rsid w:val="41BEE9DA"/>
    <w:rsid w:val="41BF1ABB"/>
    <w:rsid w:val="41C00560"/>
    <w:rsid w:val="41C331D1"/>
    <w:rsid w:val="41C53139"/>
    <w:rsid w:val="41CA6A1D"/>
    <w:rsid w:val="41CC5BD6"/>
    <w:rsid w:val="41CC5E1A"/>
    <w:rsid w:val="41CF3224"/>
    <w:rsid w:val="41D4D55A"/>
    <w:rsid w:val="41DCE95C"/>
    <w:rsid w:val="41DF5381"/>
    <w:rsid w:val="41E219A5"/>
    <w:rsid w:val="41E2BC29"/>
    <w:rsid w:val="41E3A4F3"/>
    <w:rsid w:val="41E5517F"/>
    <w:rsid w:val="41EE85C3"/>
    <w:rsid w:val="41F00ED9"/>
    <w:rsid w:val="41F09BDF"/>
    <w:rsid w:val="41F2D7A9"/>
    <w:rsid w:val="41F350B4"/>
    <w:rsid w:val="41F3AF31"/>
    <w:rsid w:val="41F4A178"/>
    <w:rsid w:val="41F59A46"/>
    <w:rsid w:val="41F5C7B6"/>
    <w:rsid w:val="41F8C437"/>
    <w:rsid w:val="41F937A6"/>
    <w:rsid w:val="41FB3FF2"/>
    <w:rsid w:val="41FEF5A7"/>
    <w:rsid w:val="42048F5E"/>
    <w:rsid w:val="420509A8"/>
    <w:rsid w:val="420B56B8"/>
    <w:rsid w:val="420BF0D8"/>
    <w:rsid w:val="420DA165"/>
    <w:rsid w:val="420EB563"/>
    <w:rsid w:val="420F5D5F"/>
    <w:rsid w:val="421A1589"/>
    <w:rsid w:val="421C8ABD"/>
    <w:rsid w:val="4224FB02"/>
    <w:rsid w:val="422B496B"/>
    <w:rsid w:val="422C72CB"/>
    <w:rsid w:val="422EA0D5"/>
    <w:rsid w:val="42372104"/>
    <w:rsid w:val="423B3C4B"/>
    <w:rsid w:val="423C9502"/>
    <w:rsid w:val="423EE68E"/>
    <w:rsid w:val="423F48C3"/>
    <w:rsid w:val="4240BB9E"/>
    <w:rsid w:val="424537A7"/>
    <w:rsid w:val="4245689C"/>
    <w:rsid w:val="42470C34"/>
    <w:rsid w:val="424B35C6"/>
    <w:rsid w:val="42500B12"/>
    <w:rsid w:val="42520A0B"/>
    <w:rsid w:val="42525F33"/>
    <w:rsid w:val="4255FA80"/>
    <w:rsid w:val="425D4881"/>
    <w:rsid w:val="4260B713"/>
    <w:rsid w:val="4261276A"/>
    <w:rsid w:val="4264C44A"/>
    <w:rsid w:val="42658AE1"/>
    <w:rsid w:val="4265C063"/>
    <w:rsid w:val="426975E9"/>
    <w:rsid w:val="426B61CD"/>
    <w:rsid w:val="426C9ADE"/>
    <w:rsid w:val="4273722E"/>
    <w:rsid w:val="4276644A"/>
    <w:rsid w:val="42786116"/>
    <w:rsid w:val="427A5980"/>
    <w:rsid w:val="427F0C65"/>
    <w:rsid w:val="428B0B86"/>
    <w:rsid w:val="428F0C11"/>
    <w:rsid w:val="429A03E3"/>
    <w:rsid w:val="429F5779"/>
    <w:rsid w:val="42A1B259"/>
    <w:rsid w:val="42A37F62"/>
    <w:rsid w:val="42A38C9F"/>
    <w:rsid w:val="42B3DE73"/>
    <w:rsid w:val="42B440EF"/>
    <w:rsid w:val="42BDC1C3"/>
    <w:rsid w:val="42BE4F27"/>
    <w:rsid w:val="42C0772C"/>
    <w:rsid w:val="42C156A7"/>
    <w:rsid w:val="42C4F300"/>
    <w:rsid w:val="42C5B6EB"/>
    <w:rsid w:val="42CBF3F7"/>
    <w:rsid w:val="42CF3089"/>
    <w:rsid w:val="42CFEF11"/>
    <w:rsid w:val="42D23295"/>
    <w:rsid w:val="42D2E6A1"/>
    <w:rsid w:val="42D606C0"/>
    <w:rsid w:val="42D63A57"/>
    <w:rsid w:val="42D7E648"/>
    <w:rsid w:val="42D9A1E3"/>
    <w:rsid w:val="42DC1BCB"/>
    <w:rsid w:val="42DEA218"/>
    <w:rsid w:val="42E3A2EF"/>
    <w:rsid w:val="42E4411E"/>
    <w:rsid w:val="42E571C9"/>
    <w:rsid w:val="42E5BD7E"/>
    <w:rsid w:val="42E99EAF"/>
    <w:rsid w:val="42EC8A24"/>
    <w:rsid w:val="42EE1299"/>
    <w:rsid w:val="42EE79A3"/>
    <w:rsid w:val="42EF3BED"/>
    <w:rsid w:val="42EF9529"/>
    <w:rsid w:val="42F407B0"/>
    <w:rsid w:val="42F65793"/>
    <w:rsid w:val="42F6F178"/>
    <w:rsid w:val="42FB9867"/>
    <w:rsid w:val="42FBC2E8"/>
    <w:rsid w:val="42FD2F2E"/>
    <w:rsid w:val="43024D1F"/>
    <w:rsid w:val="4303EA08"/>
    <w:rsid w:val="430610DD"/>
    <w:rsid w:val="430BCD48"/>
    <w:rsid w:val="430C61D6"/>
    <w:rsid w:val="4312A4A9"/>
    <w:rsid w:val="4312AF11"/>
    <w:rsid w:val="431458E9"/>
    <w:rsid w:val="43150E67"/>
    <w:rsid w:val="43169BE8"/>
    <w:rsid w:val="431E5E48"/>
    <w:rsid w:val="4321F5F5"/>
    <w:rsid w:val="4324214A"/>
    <w:rsid w:val="432533B6"/>
    <w:rsid w:val="43265FE9"/>
    <w:rsid w:val="432673CF"/>
    <w:rsid w:val="43276275"/>
    <w:rsid w:val="432BD9ED"/>
    <w:rsid w:val="432E32F4"/>
    <w:rsid w:val="432FDB32"/>
    <w:rsid w:val="4332E72F"/>
    <w:rsid w:val="43334DFF"/>
    <w:rsid w:val="43398E0A"/>
    <w:rsid w:val="433F5EDB"/>
    <w:rsid w:val="433F85E1"/>
    <w:rsid w:val="434024A1"/>
    <w:rsid w:val="4343E697"/>
    <w:rsid w:val="43445638"/>
    <w:rsid w:val="434749A6"/>
    <w:rsid w:val="43499385"/>
    <w:rsid w:val="434FF372"/>
    <w:rsid w:val="43500949"/>
    <w:rsid w:val="43527F12"/>
    <w:rsid w:val="43539632"/>
    <w:rsid w:val="43597515"/>
    <w:rsid w:val="4359F20D"/>
    <w:rsid w:val="435AD107"/>
    <w:rsid w:val="435F84CA"/>
    <w:rsid w:val="4360D770"/>
    <w:rsid w:val="43616659"/>
    <w:rsid w:val="43618ACE"/>
    <w:rsid w:val="43673896"/>
    <w:rsid w:val="436C6E12"/>
    <w:rsid w:val="436DF682"/>
    <w:rsid w:val="43738419"/>
    <w:rsid w:val="4373A080"/>
    <w:rsid w:val="43784471"/>
    <w:rsid w:val="437B4AC0"/>
    <w:rsid w:val="437D3D30"/>
    <w:rsid w:val="437F0A6C"/>
    <w:rsid w:val="437F5CD2"/>
    <w:rsid w:val="4380910C"/>
    <w:rsid w:val="43841D4C"/>
    <w:rsid w:val="4386884A"/>
    <w:rsid w:val="4387106D"/>
    <w:rsid w:val="4387225E"/>
    <w:rsid w:val="4390C252"/>
    <w:rsid w:val="43930AE5"/>
    <w:rsid w:val="439FBAB7"/>
    <w:rsid w:val="43ACDF19"/>
    <w:rsid w:val="43ADCEFC"/>
    <w:rsid w:val="43AF8D7C"/>
    <w:rsid w:val="43B1BACC"/>
    <w:rsid w:val="43B4E542"/>
    <w:rsid w:val="43BA0377"/>
    <w:rsid w:val="43BE46AF"/>
    <w:rsid w:val="43C1E154"/>
    <w:rsid w:val="43CC121E"/>
    <w:rsid w:val="43CF38F1"/>
    <w:rsid w:val="43D04F9F"/>
    <w:rsid w:val="43D21566"/>
    <w:rsid w:val="43D510EA"/>
    <w:rsid w:val="43D5D529"/>
    <w:rsid w:val="43D64C58"/>
    <w:rsid w:val="43D7962F"/>
    <w:rsid w:val="43DB702F"/>
    <w:rsid w:val="43DBC58C"/>
    <w:rsid w:val="43DBDAFF"/>
    <w:rsid w:val="43DCB1C2"/>
    <w:rsid w:val="43E54831"/>
    <w:rsid w:val="43E63CF4"/>
    <w:rsid w:val="43EA021E"/>
    <w:rsid w:val="43EC4A13"/>
    <w:rsid w:val="43EE7E47"/>
    <w:rsid w:val="43F18835"/>
    <w:rsid w:val="43FA60FD"/>
    <w:rsid w:val="43FD5B11"/>
    <w:rsid w:val="43FFE41D"/>
    <w:rsid w:val="4402F9FD"/>
    <w:rsid w:val="44032A71"/>
    <w:rsid w:val="44044269"/>
    <w:rsid w:val="440B754B"/>
    <w:rsid w:val="4411524D"/>
    <w:rsid w:val="44150048"/>
    <w:rsid w:val="4415A7DD"/>
    <w:rsid w:val="441D6A3A"/>
    <w:rsid w:val="441D8087"/>
    <w:rsid w:val="441DD614"/>
    <w:rsid w:val="4420101F"/>
    <w:rsid w:val="442298C3"/>
    <w:rsid w:val="44251630"/>
    <w:rsid w:val="4426B8F6"/>
    <w:rsid w:val="44270C2B"/>
    <w:rsid w:val="44280528"/>
    <w:rsid w:val="44297B2F"/>
    <w:rsid w:val="442C0777"/>
    <w:rsid w:val="442C0983"/>
    <w:rsid w:val="442C1148"/>
    <w:rsid w:val="442DBE79"/>
    <w:rsid w:val="442F7DE0"/>
    <w:rsid w:val="4436F258"/>
    <w:rsid w:val="44370758"/>
    <w:rsid w:val="44402265"/>
    <w:rsid w:val="44407B36"/>
    <w:rsid w:val="4448306A"/>
    <w:rsid w:val="44519749"/>
    <w:rsid w:val="4458F085"/>
    <w:rsid w:val="445F854D"/>
    <w:rsid w:val="44645566"/>
    <w:rsid w:val="4464E3A0"/>
    <w:rsid w:val="4471FFA4"/>
    <w:rsid w:val="44784BD5"/>
    <w:rsid w:val="4479EF88"/>
    <w:rsid w:val="447A8334"/>
    <w:rsid w:val="447AE17A"/>
    <w:rsid w:val="447C19EB"/>
    <w:rsid w:val="447E83A0"/>
    <w:rsid w:val="447EE135"/>
    <w:rsid w:val="44851FD8"/>
    <w:rsid w:val="44854223"/>
    <w:rsid w:val="44857F0F"/>
    <w:rsid w:val="4489039E"/>
    <w:rsid w:val="4490B26A"/>
    <w:rsid w:val="44917C29"/>
    <w:rsid w:val="4496D84E"/>
    <w:rsid w:val="44976189"/>
    <w:rsid w:val="449D6F82"/>
    <w:rsid w:val="44A23321"/>
    <w:rsid w:val="44A243B7"/>
    <w:rsid w:val="44A2AE2D"/>
    <w:rsid w:val="44A37215"/>
    <w:rsid w:val="44A4364E"/>
    <w:rsid w:val="44A4DDED"/>
    <w:rsid w:val="44A8FF3B"/>
    <w:rsid w:val="44AAFF44"/>
    <w:rsid w:val="44AC3735"/>
    <w:rsid w:val="44ACF9F2"/>
    <w:rsid w:val="44ADDA0A"/>
    <w:rsid w:val="44B252CC"/>
    <w:rsid w:val="44B32854"/>
    <w:rsid w:val="44B46C73"/>
    <w:rsid w:val="44B4B37C"/>
    <w:rsid w:val="44C50524"/>
    <w:rsid w:val="44C6C8B7"/>
    <w:rsid w:val="44C780E9"/>
    <w:rsid w:val="44C7BEA2"/>
    <w:rsid w:val="44CBA300"/>
    <w:rsid w:val="44CCFF43"/>
    <w:rsid w:val="44CD55F6"/>
    <w:rsid w:val="44CFBC7B"/>
    <w:rsid w:val="44D02E2B"/>
    <w:rsid w:val="44D1DFBC"/>
    <w:rsid w:val="44D37A27"/>
    <w:rsid w:val="44D4CC77"/>
    <w:rsid w:val="44D5520F"/>
    <w:rsid w:val="44D79502"/>
    <w:rsid w:val="44D867D1"/>
    <w:rsid w:val="44DB1DDD"/>
    <w:rsid w:val="44DE79AE"/>
    <w:rsid w:val="44E1627B"/>
    <w:rsid w:val="44E5CB8C"/>
    <w:rsid w:val="44E6D561"/>
    <w:rsid w:val="44E895D9"/>
    <w:rsid w:val="44EC1D26"/>
    <w:rsid w:val="44ED65A7"/>
    <w:rsid w:val="44F2C659"/>
    <w:rsid w:val="44F30205"/>
    <w:rsid w:val="44FABBB0"/>
    <w:rsid w:val="44FCB5A2"/>
    <w:rsid w:val="4500D547"/>
    <w:rsid w:val="450278B1"/>
    <w:rsid w:val="4502D28B"/>
    <w:rsid w:val="4502FCA2"/>
    <w:rsid w:val="45061D22"/>
    <w:rsid w:val="4506CEE9"/>
    <w:rsid w:val="450A3119"/>
    <w:rsid w:val="450BF0B4"/>
    <w:rsid w:val="450CCA03"/>
    <w:rsid w:val="450EFE48"/>
    <w:rsid w:val="45107C1B"/>
    <w:rsid w:val="4511A825"/>
    <w:rsid w:val="45125095"/>
    <w:rsid w:val="4513A22C"/>
    <w:rsid w:val="4515874F"/>
    <w:rsid w:val="452200CE"/>
    <w:rsid w:val="45239BED"/>
    <w:rsid w:val="452A0C83"/>
    <w:rsid w:val="452BD13A"/>
    <w:rsid w:val="452D2FD6"/>
    <w:rsid w:val="452D9039"/>
    <w:rsid w:val="452DE48A"/>
    <w:rsid w:val="452EAAB0"/>
    <w:rsid w:val="45305DF1"/>
    <w:rsid w:val="453618F3"/>
    <w:rsid w:val="45387E18"/>
    <w:rsid w:val="453C45CB"/>
    <w:rsid w:val="453C9D17"/>
    <w:rsid w:val="454406F7"/>
    <w:rsid w:val="45444224"/>
    <w:rsid w:val="4545CE05"/>
    <w:rsid w:val="45476C21"/>
    <w:rsid w:val="454C65BE"/>
    <w:rsid w:val="45515C50"/>
    <w:rsid w:val="4559112A"/>
    <w:rsid w:val="455D5A90"/>
    <w:rsid w:val="45602558"/>
    <w:rsid w:val="456544C0"/>
    <w:rsid w:val="4569FE8A"/>
    <w:rsid w:val="4573CFFC"/>
    <w:rsid w:val="45797212"/>
    <w:rsid w:val="457979C7"/>
    <w:rsid w:val="457AD6CF"/>
    <w:rsid w:val="457B8BBC"/>
    <w:rsid w:val="457EB1E1"/>
    <w:rsid w:val="4584FAE0"/>
    <w:rsid w:val="4589E363"/>
    <w:rsid w:val="458AF603"/>
    <w:rsid w:val="458BC1E1"/>
    <w:rsid w:val="45926D8A"/>
    <w:rsid w:val="4595C94F"/>
    <w:rsid w:val="4596D8B8"/>
    <w:rsid w:val="4598624B"/>
    <w:rsid w:val="459A2A73"/>
    <w:rsid w:val="459E6482"/>
    <w:rsid w:val="45A0FE06"/>
    <w:rsid w:val="45A1A96D"/>
    <w:rsid w:val="45A1B3E7"/>
    <w:rsid w:val="45A36491"/>
    <w:rsid w:val="45A3955E"/>
    <w:rsid w:val="45ABDECA"/>
    <w:rsid w:val="45B0B92A"/>
    <w:rsid w:val="45B72AB5"/>
    <w:rsid w:val="45C47521"/>
    <w:rsid w:val="45CA026D"/>
    <w:rsid w:val="45CD3B10"/>
    <w:rsid w:val="45CE5427"/>
    <w:rsid w:val="45CE8342"/>
    <w:rsid w:val="45CEBAC7"/>
    <w:rsid w:val="45D1CDBC"/>
    <w:rsid w:val="45D8FC21"/>
    <w:rsid w:val="45E0B58B"/>
    <w:rsid w:val="45E67D04"/>
    <w:rsid w:val="45E86461"/>
    <w:rsid w:val="45E91401"/>
    <w:rsid w:val="45EB7480"/>
    <w:rsid w:val="45F97FF9"/>
    <w:rsid w:val="45FA570F"/>
    <w:rsid w:val="45FAB25C"/>
    <w:rsid w:val="45FD80E8"/>
    <w:rsid w:val="46006C62"/>
    <w:rsid w:val="4604123C"/>
    <w:rsid w:val="460427B7"/>
    <w:rsid w:val="4606F0C1"/>
    <w:rsid w:val="46082A13"/>
    <w:rsid w:val="46094406"/>
    <w:rsid w:val="460A694D"/>
    <w:rsid w:val="461261AB"/>
    <w:rsid w:val="46159552"/>
    <w:rsid w:val="4618CC5A"/>
    <w:rsid w:val="461981C8"/>
    <w:rsid w:val="461C652C"/>
    <w:rsid w:val="461F5A1D"/>
    <w:rsid w:val="461F93FC"/>
    <w:rsid w:val="46271A97"/>
    <w:rsid w:val="462C5F74"/>
    <w:rsid w:val="462D23A6"/>
    <w:rsid w:val="462D91D6"/>
    <w:rsid w:val="462E7C08"/>
    <w:rsid w:val="463290DF"/>
    <w:rsid w:val="463316B5"/>
    <w:rsid w:val="463460F9"/>
    <w:rsid w:val="4634E18A"/>
    <w:rsid w:val="4635691D"/>
    <w:rsid w:val="4638F6A4"/>
    <w:rsid w:val="463AE6CF"/>
    <w:rsid w:val="463B6822"/>
    <w:rsid w:val="4641F090"/>
    <w:rsid w:val="46482565"/>
    <w:rsid w:val="464F2C07"/>
    <w:rsid w:val="46562EE5"/>
    <w:rsid w:val="4656348F"/>
    <w:rsid w:val="465A04F4"/>
    <w:rsid w:val="4662940F"/>
    <w:rsid w:val="4663331B"/>
    <w:rsid w:val="4663BCF5"/>
    <w:rsid w:val="4664D4B1"/>
    <w:rsid w:val="46709E3D"/>
    <w:rsid w:val="467233D1"/>
    <w:rsid w:val="46744DC7"/>
    <w:rsid w:val="467543E0"/>
    <w:rsid w:val="4679F0F4"/>
    <w:rsid w:val="467BEE73"/>
    <w:rsid w:val="468586F5"/>
    <w:rsid w:val="468637E4"/>
    <w:rsid w:val="468728BE"/>
    <w:rsid w:val="46920E21"/>
    <w:rsid w:val="469B6481"/>
    <w:rsid w:val="46A4C391"/>
    <w:rsid w:val="46A90DF8"/>
    <w:rsid w:val="46AAF099"/>
    <w:rsid w:val="46AB05D7"/>
    <w:rsid w:val="46B41B9F"/>
    <w:rsid w:val="46B58A4E"/>
    <w:rsid w:val="46BA3751"/>
    <w:rsid w:val="46BC1787"/>
    <w:rsid w:val="46BD7AA1"/>
    <w:rsid w:val="46BFB45D"/>
    <w:rsid w:val="46C06462"/>
    <w:rsid w:val="46C5336B"/>
    <w:rsid w:val="46C54D82"/>
    <w:rsid w:val="46C986E0"/>
    <w:rsid w:val="46CAE3A9"/>
    <w:rsid w:val="46CE9EF9"/>
    <w:rsid w:val="46D4896F"/>
    <w:rsid w:val="46D4D6AC"/>
    <w:rsid w:val="46D59EDB"/>
    <w:rsid w:val="46D97702"/>
    <w:rsid w:val="46DC023C"/>
    <w:rsid w:val="46DE086D"/>
    <w:rsid w:val="46DF7982"/>
    <w:rsid w:val="46E95413"/>
    <w:rsid w:val="46E9E09F"/>
    <w:rsid w:val="46EE2B12"/>
    <w:rsid w:val="46EF0207"/>
    <w:rsid w:val="46EF4538"/>
    <w:rsid w:val="46F2A02D"/>
    <w:rsid w:val="46F2BC0A"/>
    <w:rsid w:val="46F82D38"/>
    <w:rsid w:val="46F90A4F"/>
    <w:rsid w:val="46FAE848"/>
    <w:rsid w:val="46FC9F21"/>
    <w:rsid w:val="46FCEA0B"/>
    <w:rsid w:val="46FEC9A2"/>
    <w:rsid w:val="46FF3414"/>
    <w:rsid w:val="4705606D"/>
    <w:rsid w:val="4705973A"/>
    <w:rsid w:val="4706A97D"/>
    <w:rsid w:val="470708E6"/>
    <w:rsid w:val="4709E79B"/>
    <w:rsid w:val="470A1EA7"/>
    <w:rsid w:val="470B39FD"/>
    <w:rsid w:val="470C6583"/>
    <w:rsid w:val="470DF7A1"/>
    <w:rsid w:val="470FF859"/>
    <w:rsid w:val="4710A52F"/>
    <w:rsid w:val="471634B7"/>
    <w:rsid w:val="4719B1CC"/>
    <w:rsid w:val="471A9CE8"/>
    <w:rsid w:val="471F8882"/>
    <w:rsid w:val="4721E5C5"/>
    <w:rsid w:val="47259EA3"/>
    <w:rsid w:val="47273A77"/>
    <w:rsid w:val="472D2148"/>
    <w:rsid w:val="4731C314"/>
    <w:rsid w:val="4732C604"/>
    <w:rsid w:val="4733E2AE"/>
    <w:rsid w:val="47340C1C"/>
    <w:rsid w:val="4739BF92"/>
    <w:rsid w:val="473CA006"/>
    <w:rsid w:val="47432A0B"/>
    <w:rsid w:val="4746CEB0"/>
    <w:rsid w:val="47477A00"/>
    <w:rsid w:val="474FACC9"/>
    <w:rsid w:val="4756B05B"/>
    <w:rsid w:val="4757BEBD"/>
    <w:rsid w:val="4758B6C6"/>
    <w:rsid w:val="475AEED5"/>
    <w:rsid w:val="475D0F02"/>
    <w:rsid w:val="475FF8E0"/>
    <w:rsid w:val="476019AC"/>
    <w:rsid w:val="476062A1"/>
    <w:rsid w:val="4760DEE4"/>
    <w:rsid w:val="47614BE5"/>
    <w:rsid w:val="4764E6F5"/>
    <w:rsid w:val="4764FFEC"/>
    <w:rsid w:val="4765E4AA"/>
    <w:rsid w:val="4772A31A"/>
    <w:rsid w:val="4777550A"/>
    <w:rsid w:val="4778428C"/>
    <w:rsid w:val="477AEAA8"/>
    <w:rsid w:val="477BEF96"/>
    <w:rsid w:val="477C8443"/>
    <w:rsid w:val="477D17C1"/>
    <w:rsid w:val="477DCA37"/>
    <w:rsid w:val="47848CB1"/>
    <w:rsid w:val="4785B88B"/>
    <w:rsid w:val="4786F9B7"/>
    <w:rsid w:val="4788F994"/>
    <w:rsid w:val="47919BB0"/>
    <w:rsid w:val="4791D495"/>
    <w:rsid w:val="4793428F"/>
    <w:rsid w:val="479484B0"/>
    <w:rsid w:val="479705AD"/>
    <w:rsid w:val="4799236B"/>
    <w:rsid w:val="479F3BE4"/>
    <w:rsid w:val="479F6C45"/>
    <w:rsid w:val="47A772C9"/>
    <w:rsid w:val="47A937DC"/>
    <w:rsid w:val="47A9419E"/>
    <w:rsid w:val="47AA1026"/>
    <w:rsid w:val="47ACA78C"/>
    <w:rsid w:val="47B42474"/>
    <w:rsid w:val="47B513C9"/>
    <w:rsid w:val="47B7302F"/>
    <w:rsid w:val="47BBD33D"/>
    <w:rsid w:val="47C34256"/>
    <w:rsid w:val="47C3B542"/>
    <w:rsid w:val="47C8A176"/>
    <w:rsid w:val="47CC5B20"/>
    <w:rsid w:val="47CE2601"/>
    <w:rsid w:val="47D382F1"/>
    <w:rsid w:val="47D40D81"/>
    <w:rsid w:val="47D5F453"/>
    <w:rsid w:val="47DAB26E"/>
    <w:rsid w:val="47DBB1EE"/>
    <w:rsid w:val="47DEDB28"/>
    <w:rsid w:val="47E3F1CC"/>
    <w:rsid w:val="47E46E66"/>
    <w:rsid w:val="47E5C204"/>
    <w:rsid w:val="47E6FB95"/>
    <w:rsid w:val="47EEE0D6"/>
    <w:rsid w:val="47EEFE60"/>
    <w:rsid w:val="47F0647B"/>
    <w:rsid w:val="47F0F4A6"/>
    <w:rsid w:val="47F921B6"/>
    <w:rsid w:val="47F96E74"/>
    <w:rsid w:val="47FC3C2C"/>
    <w:rsid w:val="48033472"/>
    <w:rsid w:val="48034EAB"/>
    <w:rsid w:val="4803EB4C"/>
    <w:rsid w:val="48057C34"/>
    <w:rsid w:val="4805A7EF"/>
    <w:rsid w:val="480718C5"/>
    <w:rsid w:val="4809621F"/>
    <w:rsid w:val="480CCE85"/>
    <w:rsid w:val="480F4B5F"/>
    <w:rsid w:val="480F7B51"/>
    <w:rsid w:val="480FED98"/>
    <w:rsid w:val="4811B9A8"/>
    <w:rsid w:val="48175CFE"/>
    <w:rsid w:val="48184241"/>
    <w:rsid w:val="481B2B1E"/>
    <w:rsid w:val="481E9C1E"/>
    <w:rsid w:val="481EC140"/>
    <w:rsid w:val="482A1E70"/>
    <w:rsid w:val="482C6964"/>
    <w:rsid w:val="482D7856"/>
    <w:rsid w:val="482E252E"/>
    <w:rsid w:val="482F1E1A"/>
    <w:rsid w:val="4830AB8C"/>
    <w:rsid w:val="483E8B26"/>
    <w:rsid w:val="483ED78D"/>
    <w:rsid w:val="484158A8"/>
    <w:rsid w:val="484209E1"/>
    <w:rsid w:val="48455280"/>
    <w:rsid w:val="484602F1"/>
    <w:rsid w:val="484A7518"/>
    <w:rsid w:val="484BDF52"/>
    <w:rsid w:val="4851DE5E"/>
    <w:rsid w:val="4854A8B3"/>
    <w:rsid w:val="4855D737"/>
    <w:rsid w:val="4856D96C"/>
    <w:rsid w:val="4858D4AB"/>
    <w:rsid w:val="485A9E23"/>
    <w:rsid w:val="485EC03D"/>
    <w:rsid w:val="48628F0F"/>
    <w:rsid w:val="4865EDCB"/>
    <w:rsid w:val="486659C8"/>
    <w:rsid w:val="48691CE1"/>
    <w:rsid w:val="486B8151"/>
    <w:rsid w:val="486BD0FA"/>
    <w:rsid w:val="486BE12A"/>
    <w:rsid w:val="4871C4A2"/>
    <w:rsid w:val="48721C6D"/>
    <w:rsid w:val="48725A2B"/>
    <w:rsid w:val="4873F971"/>
    <w:rsid w:val="487ECE9B"/>
    <w:rsid w:val="4882D581"/>
    <w:rsid w:val="4884C45C"/>
    <w:rsid w:val="48884CFC"/>
    <w:rsid w:val="488CBF00"/>
    <w:rsid w:val="488E75B8"/>
    <w:rsid w:val="48907059"/>
    <w:rsid w:val="489324B1"/>
    <w:rsid w:val="489337B3"/>
    <w:rsid w:val="48993B7C"/>
    <w:rsid w:val="48A03503"/>
    <w:rsid w:val="48A06235"/>
    <w:rsid w:val="48A371E5"/>
    <w:rsid w:val="48A82752"/>
    <w:rsid w:val="48A9E004"/>
    <w:rsid w:val="48AB8579"/>
    <w:rsid w:val="48ACF96A"/>
    <w:rsid w:val="48ADAE7C"/>
    <w:rsid w:val="48ADC7D9"/>
    <w:rsid w:val="48AEFFAB"/>
    <w:rsid w:val="48B11C4D"/>
    <w:rsid w:val="48B24CEE"/>
    <w:rsid w:val="48B265E1"/>
    <w:rsid w:val="48B59930"/>
    <w:rsid w:val="48B721CA"/>
    <w:rsid w:val="48B876D4"/>
    <w:rsid w:val="48B8F774"/>
    <w:rsid w:val="48BE809A"/>
    <w:rsid w:val="48BFAE38"/>
    <w:rsid w:val="48C271B4"/>
    <w:rsid w:val="48CB8F08"/>
    <w:rsid w:val="48CCB5CF"/>
    <w:rsid w:val="48CDA927"/>
    <w:rsid w:val="48D6574E"/>
    <w:rsid w:val="48D711FA"/>
    <w:rsid w:val="48D8BCC4"/>
    <w:rsid w:val="48DC8E45"/>
    <w:rsid w:val="48DDF76B"/>
    <w:rsid w:val="48E5F565"/>
    <w:rsid w:val="48E72A4A"/>
    <w:rsid w:val="48E942BC"/>
    <w:rsid w:val="48ED7533"/>
    <w:rsid w:val="48ED77AC"/>
    <w:rsid w:val="48EFE7A1"/>
    <w:rsid w:val="48EFF46B"/>
    <w:rsid w:val="48F0A426"/>
    <w:rsid w:val="48F32049"/>
    <w:rsid w:val="48F44BB7"/>
    <w:rsid w:val="48F4DCB2"/>
    <w:rsid w:val="48F7E6B2"/>
    <w:rsid w:val="48FA95F1"/>
    <w:rsid w:val="4904ED07"/>
    <w:rsid w:val="490CA4BD"/>
    <w:rsid w:val="49104F34"/>
    <w:rsid w:val="4911E1B8"/>
    <w:rsid w:val="4915280F"/>
    <w:rsid w:val="4916A259"/>
    <w:rsid w:val="491BFB00"/>
    <w:rsid w:val="491E9DE9"/>
    <w:rsid w:val="491F9482"/>
    <w:rsid w:val="4921F8D8"/>
    <w:rsid w:val="49262A64"/>
    <w:rsid w:val="4926A5B1"/>
    <w:rsid w:val="492A5097"/>
    <w:rsid w:val="492A59CD"/>
    <w:rsid w:val="492B70D4"/>
    <w:rsid w:val="49329DE6"/>
    <w:rsid w:val="4932F0CB"/>
    <w:rsid w:val="4934B6FD"/>
    <w:rsid w:val="49365328"/>
    <w:rsid w:val="4936B5F0"/>
    <w:rsid w:val="49371651"/>
    <w:rsid w:val="4937B02D"/>
    <w:rsid w:val="493B71A5"/>
    <w:rsid w:val="493EF522"/>
    <w:rsid w:val="494073F0"/>
    <w:rsid w:val="4948AABA"/>
    <w:rsid w:val="494ABAB5"/>
    <w:rsid w:val="494C8516"/>
    <w:rsid w:val="494DB7CF"/>
    <w:rsid w:val="49506E41"/>
    <w:rsid w:val="495772EE"/>
    <w:rsid w:val="495E0898"/>
    <w:rsid w:val="495EAAB4"/>
    <w:rsid w:val="4963A216"/>
    <w:rsid w:val="4969185D"/>
    <w:rsid w:val="496970CC"/>
    <w:rsid w:val="496A9AE0"/>
    <w:rsid w:val="496B2892"/>
    <w:rsid w:val="496BA181"/>
    <w:rsid w:val="496C305A"/>
    <w:rsid w:val="4970809C"/>
    <w:rsid w:val="49738CD7"/>
    <w:rsid w:val="49753A06"/>
    <w:rsid w:val="4978E432"/>
    <w:rsid w:val="4979BE7B"/>
    <w:rsid w:val="4980F625"/>
    <w:rsid w:val="49895AB5"/>
    <w:rsid w:val="498CA5AC"/>
    <w:rsid w:val="498D9BE8"/>
    <w:rsid w:val="4994A74D"/>
    <w:rsid w:val="49970CD5"/>
    <w:rsid w:val="49982BBB"/>
    <w:rsid w:val="49987AAB"/>
    <w:rsid w:val="4999C7CD"/>
    <w:rsid w:val="499BA22D"/>
    <w:rsid w:val="499C73B9"/>
    <w:rsid w:val="499D75F4"/>
    <w:rsid w:val="499E6B34"/>
    <w:rsid w:val="49A129E4"/>
    <w:rsid w:val="49A506C4"/>
    <w:rsid w:val="49A6A39A"/>
    <w:rsid w:val="49AD8660"/>
    <w:rsid w:val="49B3EC1D"/>
    <w:rsid w:val="49B6A2B5"/>
    <w:rsid w:val="49B77C04"/>
    <w:rsid w:val="49B79A88"/>
    <w:rsid w:val="49B9E3B9"/>
    <w:rsid w:val="49BBE0DF"/>
    <w:rsid w:val="49BCD340"/>
    <w:rsid w:val="49BE4737"/>
    <w:rsid w:val="49C21FF4"/>
    <w:rsid w:val="49C90C67"/>
    <w:rsid w:val="49C91F0B"/>
    <w:rsid w:val="49C97987"/>
    <w:rsid w:val="49D51D69"/>
    <w:rsid w:val="49D719EA"/>
    <w:rsid w:val="49DBA8AC"/>
    <w:rsid w:val="49DD781F"/>
    <w:rsid w:val="49E03F40"/>
    <w:rsid w:val="49E0AAFA"/>
    <w:rsid w:val="49E0EF70"/>
    <w:rsid w:val="49E4396D"/>
    <w:rsid w:val="49E48859"/>
    <w:rsid w:val="49E4935F"/>
    <w:rsid w:val="49E52749"/>
    <w:rsid w:val="49EFEA02"/>
    <w:rsid w:val="49F03A79"/>
    <w:rsid w:val="49F1B9C7"/>
    <w:rsid w:val="49F2F5F2"/>
    <w:rsid w:val="49F3E214"/>
    <w:rsid w:val="49F5C906"/>
    <w:rsid w:val="49F74AA5"/>
    <w:rsid w:val="49F864A7"/>
    <w:rsid w:val="49FF6EA7"/>
    <w:rsid w:val="4A027AFE"/>
    <w:rsid w:val="4A036B86"/>
    <w:rsid w:val="4A05BE83"/>
    <w:rsid w:val="4A062C39"/>
    <w:rsid w:val="4A096B51"/>
    <w:rsid w:val="4A106C0E"/>
    <w:rsid w:val="4A124104"/>
    <w:rsid w:val="4A137755"/>
    <w:rsid w:val="4A15FD06"/>
    <w:rsid w:val="4A174092"/>
    <w:rsid w:val="4A1BE0FB"/>
    <w:rsid w:val="4A1CB64C"/>
    <w:rsid w:val="4A22FF10"/>
    <w:rsid w:val="4A258ECC"/>
    <w:rsid w:val="4A2BCA01"/>
    <w:rsid w:val="4A2D893F"/>
    <w:rsid w:val="4A2FD71C"/>
    <w:rsid w:val="4A359FE6"/>
    <w:rsid w:val="4A384A74"/>
    <w:rsid w:val="4A3D3EF8"/>
    <w:rsid w:val="4A3DF022"/>
    <w:rsid w:val="4A410A19"/>
    <w:rsid w:val="4A41EC19"/>
    <w:rsid w:val="4A47F287"/>
    <w:rsid w:val="4A577AF4"/>
    <w:rsid w:val="4A5A61C6"/>
    <w:rsid w:val="4A5B5BC7"/>
    <w:rsid w:val="4A5B6131"/>
    <w:rsid w:val="4A5CFFB1"/>
    <w:rsid w:val="4A5F05B5"/>
    <w:rsid w:val="4A631FEC"/>
    <w:rsid w:val="4A66D1B0"/>
    <w:rsid w:val="4A6785EA"/>
    <w:rsid w:val="4A681DB0"/>
    <w:rsid w:val="4A6975DD"/>
    <w:rsid w:val="4A6D7535"/>
    <w:rsid w:val="4A6DFEB4"/>
    <w:rsid w:val="4A6E57F6"/>
    <w:rsid w:val="4A6EC5C3"/>
    <w:rsid w:val="4A6FAF23"/>
    <w:rsid w:val="4A7051E4"/>
    <w:rsid w:val="4A73611A"/>
    <w:rsid w:val="4A74FAEF"/>
    <w:rsid w:val="4A76835F"/>
    <w:rsid w:val="4A78312F"/>
    <w:rsid w:val="4A7B1CEC"/>
    <w:rsid w:val="4A7B2901"/>
    <w:rsid w:val="4A7B5531"/>
    <w:rsid w:val="4A7C7110"/>
    <w:rsid w:val="4A7CD0BE"/>
    <w:rsid w:val="4A7F0108"/>
    <w:rsid w:val="4A8B9FE3"/>
    <w:rsid w:val="4A8E74F9"/>
    <w:rsid w:val="4A9273D8"/>
    <w:rsid w:val="4A97AF12"/>
    <w:rsid w:val="4A982D76"/>
    <w:rsid w:val="4A9EC448"/>
    <w:rsid w:val="4AA4E14F"/>
    <w:rsid w:val="4AA55B6B"/>
    <w:rsid w:val="4AAD1FBB"/>
    <w:rsid w:val="4AB40C99"/>
    <w:rsid w:val="4AB92CF6"/>
    <w:rsid w:val="4AC0DA64"/>
    <w:rsid w:val="4ACAB8DC"/>
    <w:rsid w:val="4ACE551C"/>
    <w:rsid w:val="4AD2C402"/>
    <w:rsid w:val="4AD354BD"/>
    <w:rsid w:val="4AD4E0EF"/>
    <w:rsid w:val="4AD74C19"/>
    <w:rsid w:val="4ADA4949"/>
    <w:rsid w:val="4ADA8286"/>
    <w:rsid w:val="4ADC5B82"/>
    <w:rsid w:val="4ADF0462"/>
    <w:rsid w:val="4ADF2E08"/>
    <w:rsid w:val="4AE4DC08"/>
    <w:rsid w:val="4AE5DF61"/>
    <w:rsid w:val="4AE62837"/>
    <w:rsid w:val="4AE9461C"/>
    <w:rsid w:val="4AECC46E"/>
    <w:rsid w:val="4AF12632"/>
    <w:rsid w:val="4AF19AC1"/>
    <w:rsid w:val="4AF3454B"/>
    <w:rsid w:val="4AF6D655"/>
    <w:rsid w:val="4AF9046F"/>
    <w:rsid w:val="4AFE7FA2"/>
    <w:rsid w:val="4AFEB36F"/>
    <w:rsid w:val="4B03A25F"/>
    <w:rsid w:val="4B04BCC6"/>
    <w:rsid w:val="4B104070"/>
    <w:rsid w:val="4B1A897F"/>
    <w:rsid w:val="4B1C5FEE"/>
    <w:rsid w:val="4B1D9535"/>
    <w:rsid w:val="4B1F7ABF"/>
    <w:rsid w:val="4B251C8E"/>
    <w:rsid w:val="4B268D53"/>
    <w:rsid w:val="4B2789FA"/>
    <w:rsid w:val="4B27F991"/>
    <w:rsid w:val="4B2891BF"/>
    <w:rsid w:val="4B289D81"/>
    <w:rsid w:val="4B28B635"/>
    <w:rsid w:val="4B2DEB6D"/>
    <w:rsid w:val="4B348967"/>
    <w:rsid w:val="4B388E32"/>
    <w:rsid w:val="4B3C4D3F"/>
    <w:rsid w:val="4B3E333E"/>
    <w:rsid w:val="4B42355B"/>
    <w:rsid w:val="4B430D5D"/>
    <w:rsid w:val="4B454151"/>
    <w:rsid w:val="4B48E4B2"/>
    <w:rsid w:val="4B4BD6B6"/>
    <w:rsid w:val="4B4BEF10"/>
    <w:rsid w:val="4B4E08D2"/>
    <w:rsid w:val="4B502BBC"/>
    <w:rsid w:val="4B54146F"/>
    <w:rsid w:val="4B5529B2"/>
    <w:rsid w:val="4B58AA49"/>
    <w:rsid w:val="4B58F783"/>
    <w:rsid w:val="4B59DF26"/>
    <w:rsid w:val="4B5A8D12"/>
    <w:rsid w:val="4B5F8D8B"/>
    <w:rsid w:val="4B612780"/>
    <w:rsid w:val="4B651F7F"/>
    <w:rsid w:val="4B654E8C"/>
    <w:rsid w:val="4B65FED8"/>
    <w:rsid w:val="4B66EDC2"/>
    <w:rsid w:val="4B693316"/>
    <w:rsid w:val="4B6A8F51"/>
    <w:rsid w:val="4B71996D"/>
    <w:rsid w:val="4B726D82"/>
    <w:rsid w:val="4B76FFB7"/>
    <w:rsid w:val="4B7C10B7"/>
    <w:rsid w:val="4B7FF5E1"/>
    <w:rsid w:val="4B82A72F"/>
    <w:rsid w:val="4B85325C"/>
    <w:rsid w:val="4B861375"/>
    <w:rsid w:val="4B9286A2"/>
    <w:rsid w:val="4B930BB9"/>
    <w:rsid w:val="4B9CF2C8"/>
    <w:rsid w:val="4B9EB9B1"/>
    <w:rsid w:val="4BA3A06B"/>
    <w:rsid w:val="4BA661F2"/>
    <w:rsid w:val="4BA81C42"/>
    <w:rsid w:val="4BA90586"/>
    <w:rsid w:val="4BB1371B"/>
    <w:rsid w:val="4BB2D12B"/>
    <w:rsid w:val="4BB8404E"/>
    <w:rsid w:val="4BB9C149"/>
    <w:rsid w:val="4BBAB950"/>
    <w:rsid w:val="4BC5BC1F"/>
    <w:rsid w:val="4BC724B2"/>
    <w:rsid w:val="4BC75F17"/>
    <w:rsid w:val="4BC983F6"/>
    <w:rsid w:val="4BCA7DCD"/>
    <w:rsid w:val="4BCA9C2D"/>
    <w:rsid w:val="4BCAFCF5"/>
    <w:rsid w:val="4BCED4C8"/>
    <w:rsid w:val="4BCED7EF"/>
    <w:rsid w:val="4BD31DE3"/>
    <w:rsid w:val="4BD492F2"/>
    <w:rsid w:val="4BDD6002"/>
    <w:rsid w:val="4BDFB48C"/>
    <w:rsid w:val="4BE46E38"/>
    <w:rsid w:val="4BE96261"/>
    <w:rsid w:val="4BF1AE5C"/>
    <w:rsid w:val="4BF31E71"/>
    <w:rsid w:val="4BFAFD3D"/>
    <w:rsid w:val="4C008DEC"/>
    <w:rsid w:val="4C0404C1"/>
    <w:rsid w:val="4C081CBF"/>
    <w:rsid w:val="4C0AFEBE"/>
    <w:rsid w:val="4C13D597"/>
    <w:rsid w:val="4C166397"/>
    <w:rsid w:val="4C18C796"/>
    <w:rsid w:val="4C1A4290"/>
    <w:rsid w:val="4C1B1847"/>
    <w:rsid w:val="4C1C800E"/>
    <w:rsid w:val="4C2219B6"/>
    <w:rsid w:val="4C222F08"/>
    <w:rsid w:val="4C2F2AF1"/>
    <w:rsid w:val="4C3070B3"/>
    <w:rsid w:val="4C33C66D"/>
    <w:rsid w:val="4C3776F3"/>
    <w:rsid w:val="4C37C542"/>
    <w:rsid w:val="4C3EAFCE"/>
    <w:rsid w:val="4C3EE70A"/>
    <w:rsid w:val="4C3F029D"/>
    <w:rsid w:val="4C4034AA"/>
    <w:rsid w:val="4C41622F"/>
    <w:rsid w:val="4C494ADC"/>
    <w:rsid w:val="4C4EC68E"/>
    <w:rsid w:val="4C588DB7"/>
    <w:rsid w:val="4C5A1998"/>
    <w:rsid w:val="4C5CE6BD"/>
    <w:rsid w:val="4C62FA79"/>
    <w:rsid w:val="4C635544"/>
    <w:rsid w:val="4C6B4A1B"/>
    <w:rsid w:val="4C6B7803"/>
    <w:rsid w:val="4C77D93F"/>
    <w:rsid w:val="4C77EDC9"/>
    <w:rsid w:val="4C85AB9C"/>
    <w:rsid w:val="4C8C4C69"/>
    <w:rsid w:val="4C905910"/>
    <w:rsid w:val="4C9115AF"/>
    <w:rsid w:val="4C9244DC"/>
    <w:rsid w:val="4C94329F"/>
    <w:rsid w:val="4C9CD16E"/>
    <w:rsid w:val="4CA660BD"/>
    <w:rsid w:val="4CAD1AE9"/>
    <w:rsid w:val="4CB0F9FD"/>
    <w:rsid w:val="4CB48F81"/>
    <w:rsid w:val="4CB75E18"/>
    <w:rsid w:val="4CB77743"/>
    <w:rsid w:val="4CBC8A7B"/>
    <w:rsid w:val="4CBE3BB2"/>
    <w:rsid w:val="4CBE88F2"/>
    <w:rsid w:val="4CC0E710"/>
    <w:rsid w:val="4CC586AD"/>
    <w:rsid w:val="4CC6CEC6"/>
    <w:rsid w:val="4CC76E0D"/>
    <w:rsid w:val="4CCE9B29"/>
    <w:rsid w:val="4CD366E2"/>
    <w:rsid w:val="4CD4EEE2"/>
    <w:rsid w:val="4CD4F1FC"/>
    <w:rsid w:val="4CDA1642"/>
    <w:rsid w:val="4CDEE888"/>
    <w:rsid w:val="4CDF2C17"/>
    <w:rsid w:val="4CE8B3D0"/>
    <w:rsid w:val="4CE98F03"/>
    <w:rsid w:val="4CEE027E"/>
    <w:rsid w:val="4CEF3D89"/>
    <w:rsid w:val="4CF46E4F"/>
    <w:rsid w:val="4CF6FD6F"/>
    <w:rsid w:val="4CFB603E"/>
    <w:rsid w:val="4CFE03AC"/>
    <w:rsid w:val="4D00C85B"/>
    <w:rsid w:val="4D018CB3"/>
    <w:rsid w:val="4D0844EF"/>
    <w:rsid w:val="4D08A1B4"/>
    <w:rsid w:val="4D0F7045"/>
    <w:rsid w:val="4D1D4EC6"/>
    <w:rsid w:val="4D227F3C"/>
    <w:rsid w:val="4D2599EC"/>
    <w:rsid w:val="4D25B153"/>
    <w:rsid w:val="4D284414"/>
    <w:rsid w:val="4D295CCD"/>
    <w:rsid w:val="4D2E429A"/>
    <w:rsid w:val="4D318A31"/>
    <w:rsid w:val="4D32391F"/>
    <w:rsid w:val="4D3AC0C8"/>
    <w:rsid w:val="4D400071"/>
    <w:rsid w:val="4D403A1C"/>
    <w:rsid w:val="4D428B2A"/>
    <w:rsid w:val="4D45FEB2"/>
    <w:rsid w:val="4D5266C5"/>
    <w:rsid w:val="4D537554"/>
    <w:rsid w:val="4D55F552"/>
    <w:rsid w:val="4D65D9C7"/>
    <w:rsid w:val="4D6E5A7D"/>
    <w:rsid w:val="4D710F86"/>
    <w:rsid w:val="4D7610C6"/>
    <w:rsid w:val="4D7718CD"/>
    <w:rsid w:val="4D7B342D"/>
    <w:rsid w:val="4D7F4284"/>
    <w:rsid w:val="4D8683BF"/>
    <w:rsid w:val="4D8785A7"/>
    <w:rsid w:val="4D88EDBB"/>
    <w:rsid w:val="4D8D28CF"/>
    <w:rsid w:val="4D8E2CF2"/>
    <w:rsid w:val="4D8F2F25"/>
    <w:rsid w:val="4D9930AB"/>
    <w:rsid w:val="4D9B1302"/>
    <w:rsid w:val="4DA00D61"/>
    <w:rsid w:val="4DA14B9B"/>
    <w:rsid w:val="4DA3530E"/>
    <w:rsid w:val="4DA3C03C"/>
    <w:rsid w:val="4DA4116F"/>
    <w:rsid w:val="4DA50D51"/>
    <w:rsid w:val="4DAB951B"/>
    <w:rsid w:val="4DB156FB"/>
    <w:rsid w:val="4DB29F62"/>
    <w:rsid w:val="4DB474C9"/>
    <w:rsid w:val="4DB5B011"/>
    <w:rsid w:val="4DB6C50A"/>
    <w:rsid w:val="4DB89614"/>
    <w:rsid w:val="4DB94D09"/>
    <w:rsid w:val="4DC012F8"/>
    <w:rsid w:val="4DC1D357"/>
    <w:rsid w:val="4DC6332D"/>
    <w:rsid w:val="4DCF94A4"/>
    <w:rsid w:val="4DE05A68"/>
    <w:rsid w:val="4DE41DA3"/>
    <w:rsid w:val="4DE57215"/>
    <w:rsid w:val="4DE60DFE"/>
    <w:rsid w:val="4DEBA33E"/>
    <w:rsid w:val="4DFA42FB"/>
    <w:rsid w:val="4DFF15F9"/>
    <w:rsid w:val="4E088B17"/>
    <w:rsid w:val="4E098FE0"/>
    <w:rsid w:val="4E0A5C7D"/>
    <w:rsid w:val="4E0B2CDF"/>
    <w:rsid w:val="4E0E99C2"/>
    <w:rsid w:val="4E106D7A"/>
    <w:rsid w:val="4E12C362"/>
    <w:rsid w:val="4E13A7A7"/>
    <w:rsid w:val="4E1B0C90"/>
    <w:rsid w:val="4E1F4604"/>
    <w:rsid w:val="4E1F9AFB"/>
    <w:rsid w:val="4E20680F"/>
    <w:rsid w:val="4E216035"/>
    <w:rsid w:val="4E2370C8"/>
    <w:rsid w:val="4E254D54"/>
    <w:rsid w:val="4E25678C"/>
    <w:rsid w:val="4E26AC25"/>
    <w:rsid w:val="4E2D4D2A"/>
    <w:rsid w:val="4E2D72E9"/>
    <w:rsid w:val="4E32BBC1"/>
    <w:rsid w:val="4E36078A"/>
    <w:rsid w:val="4E36B7CB"/>
    <w:rsid w:val="4E37B5A1"/>
    <w:rsid w:val="4E3ABAED"/>
    <w:rsid w:val="4E3B38E1"/>
    <w:rsid w:val="4E3B5D00"/>
    <w:rsid w:val="4E3D600E"/>
    <w:rsid w:val="4E403D0A"/>
    <w:rsid w:val="4E410E42"/>
    <w:rsid w:val="4E427830"/>
    <w:rsid w:val="4E4A5981"/>
    <w:rsid w:val="4E4B6F6B"/>
    <w:rsid w:val="4E4D1132"/>
    <w:rsid w:val="4E4E02FD"/>
    <w:rsid w:val="4E4E9E15"/>
    <w:rsid w:val="4E502B8F"/>
    <w:rsid w:val="4E522B0C"/>
    <w:rsid w:val="4E524425"/>
    <w:rsid w:val="4E53ECFD"/>
    <w:rsid w:val="4E56FDCA"/>
    <w:rsid w:val="4E5AA0BB"/>
    <w:rsid w:val="4E5BB0A6"/>
    <w:rsid w:val="4E60ABB0"/>
    <w:rsid w:val="4E62D4E4"/>
    <w:rsid w:val="4E63EEF5"/>
    <w:rsid w:val="4E725EF6"/>
    <w:rsid w:val="4E7301AF"/>
    <w:rsid w:val="4E735FB1"/>
    <w:rsid w:val="4E7547DB"/>
    <w:rsid w:val="4E77FE93"/>
    <w:rsid w:val="4E784848"/>
    <w:rsid w:val="4E815813"/>
    <w:rsid w:val="4E829EBA"/>
    <w:rsid w:val="4E8ADD4E"/>
    <w:rsid w:val="4E8C106E"/>
    <w:rsid w:val="4E8CEFB7"/>
    <w:rsid w:val="4E907640"/>
    <w:rsid w:val="4E943E78"/>
    <w:rsid w:val="4E948EF0"/>
    <w:rsid w:val="4E98C500"/>
    <w:rsid w:val="4E9B64EF"/>
    <w:rsid w:val="4E9BE8BD"/>
    <w:rsid w:val="4EA3C73F"/>
    <w:rsid w:val="4EA422F6"/>
    <w:rsid w:val="4EA7E75D"/>
    <w:rsid w:val="4EA806B4"/>
    <w:rsid w:val="4EAAB1C9"/>
    <w:rsid w:val="4EAED6EB"/>
    <w:rsid w:val="4EB859F2"/>
    <w:rsid w:val="4EC26DE2"/>
    <w:rsid w:val="4EC2D603"/>
    <w:rsid w:val="4EC480EB"/>
    <w:rsid w:val="4EC490BF"/>
    <w:rsid w:val="4EC764F9"/>
    <w:rsid w:val="4ECDD3CA"/>
    <w:rsid w:val="4ED3808C"/>
    <w:rsid w:val="4ED3FC53"/>
    <w:rsid w:val="4ED49F9F"/>
    <w:rsid w:val="4ED5DCFB"/>
    <w:rsid w:val="4EDC861B"/>
    <w:rsid w:val="4EDD30A4"/>
    <w:rsid w:val="4EDF53D3"/>
    <w:rsid w:val="4EE1DC61"/>
    <w:rsid w:val="4EE5DD3C"/>
    <w:rsid w:val="4EE891E5"/>
    <w:rsid w:val="4EEC34EE"/>
    <w:rsid w:val="4EEF3255"/>
    <w:rsid w:val="4EF271FB"/>
    <w:rsid w:val="4EF5CC81"/>
    <w:rsid w:val="4EF7677C"/>
    <w:rsid w:val="4EF87F92"/>
    <w:rsid w:val="4F0283E3"/>
    <w:rsid w:val="4F036A7B"/>
    <w:rsid w:val="4F089636"/>
    <w:rsid w:val="4F0ACBCB"/>
    <w:rsid w:val="4F163EDB"/>
    <w:rsid w:val="4F1666DC"/>
    <w:rsid w:val="4F1762F5"/>
    <w:rsid w:val="4F1DC2DF"/>
    <w:rsid w:val="4F264E65"/>
    <w:rsid w:val="4F2A93CE"/>
    <w:rsid w:val="4F2AFB81"/>
    <w:rsid w:val="4F2B7A34"/>
    <w:rsid w:val="4F36F3A7"/>
    <w:rsid w:val="4F3744DD"/>
    <w:rsid w:val="4F3BCB3C"/>
    <w:rsid w:val="4F3BD30F"/>
    <w:rsid w:val="4F3CB713"/>
    <w:rsid w:val="4F3CE28F"/>
    <w:rsid w:val="4F3EDC20"/>
    <w:rsid w:val="4F3F28EE"/>
    <w:rsid w:val="4F46146A"/>
    <w:rsid w:val="4F48333B"/>
    <w:rsid w:val="4F48E67D"/>
    <w:rsid w:val="4F48FBED"/>
    <w:rsid w:val="4F4C3F8F"/>
    <w:rsid w:val="4F4F62A4"/>
    <w:rsid w:val="4F519438"/>
    <w:rsid w:val="4F52614A"/>
    <w:rsid w:val="4F58786F"/>
    <w:rsid w:val="4F597667"/>
    <w:rsid w:val="4F5AC83C"/>
    <w:rsid w:val="4F5BF799"/>
    <w:rsid w:val="4F5C718E"/>
    <w:rsid w:val="4F5F0427"/>
    <w:rsid w:val="4F665EC5"/>
    <w:rsid w:val="4F678E66"/>
    <w:rsid w:val="4F68D707"/>
    <w:rsid w:val="4F68DE2B"/>
    <w:rsid w:val="4F6ACAE7"/>
    <w:rsid w:val="4F6CED23"/>
    <w:rsid w:val="4F74D1DC"/>
    <w:rsid w:val="4F762D47"/>
    <w:rsid w:val="4F7A30B6"/>
    <w:rsid w:val="4F7B8A42"/>
    <w:rsid w:val="4F7C41E9"/>
    <w:rsid w:val="4F7CA8CF"/>
    <w:rsid w:val="4F804987"/>
    <w:rsid w:val="4F851B03"/>
    <w:rsid w:val="4F8B2F92"/>
    <w:rsid w:val="4F8BD7FD"/>
    <w:rsid w:val="4F9807AA"/>
    <w:rsid w:val="4F9C5206"/>
    <w:rsid w:val="4FA02E44"/>
    <w:rsid w:val="4FA13BD5"/>
    <w:rsid w:val="4FA5A6C9"/>
    <w:rsid w:val="4FA76B76"/>
    <w:rsid w:val="4FB2236E"/>
    <w:rsid w:val="4FBAE25C"/>
    <w:rsid w:val="4FBB4B45"/>
    <w:rsid w:val="4FBD06FA"/>
    <w:rsid w:val="4FBD3953"/>
    <w:rsid w:val="4FBE207E"/>
    <w:rsid w:val="4FC4A83F"/>
    <w:rsid w:val="4FC596D8"/>
    <w:rsid w:val="4FC694DB"/>
    <w:rsid w:val="4FC80B88"/>
    <w:rsid w:val="4FC8FA60"/>
    <w:rsid w:val="4FCA6451"/>
    <w:rsid w:val="4FD1C046"/>
    <w:rsid w:val="4FD3897E"/>
    <w:rsid w:val="4FD4F781"/>
    <w:rsid w:val="4FD60D8A"/>
    <w:rsid w:val="4FD80F90"/>
    <w:rsid w:val="4FD92909"/>
    <w:rsid w:val="4FDC5603"/>
    <w:rsid w:val="4FDC7552"/>
    <w:rsid w:val="4FDCE04F"/>
    <w:rsid w:val="4FE32309"/>
    <w:rsid w:val="4FE3EA60"/>
    <w:rsid w:val="4FE991E3"/>
    <w:rsid w:val="4FEA103C"/>
    <w:rsid w:val="4FEFB4A8"/>
    <w:rsid w:val="4FF24A8E"/>
    <w:rsid w:val="4FF25A02"/>
    <w:rsid w:val="4FF471BD"/>
    <w:rsid w:val="4FF77345"/>
    <w:rsid w:val="4FF8A9F6"/>
    <w:rsid w:val="4FFACE4F"/>
    <w:rsid w:val="4FFC0D3E"/>
    <w:rsid w:val="4FFC755C"/>
    <w:rsid w:val="4FFF2FA4"/>
    <w:rsid w:val="50062876"/>
    <w:rsid w:val="5008BBE5"/>
    <w:rsid w:val="50129816"/>
    <w:rsid w:val="50159717"/>
    <w:rsid w:val="501786B9"/>
    <w:rsid w:val="5017D2F0"/>
    <w:rsid w:val="501810F0"/>
    <w:rsid w:val="501E795A"/>
    <w:rsid w:val="5020B1A3"/>
    <w:rsid w:val="5020F245"/>
    <w:rsid w:val="50247205"/>
    <w:rsid w:val="502A2ED3"/>
    <w:rsid w:val="502A45CA"/>
    <w:rsid w:val="502CD1C3"/>
    <w:rsid w:val="502DCCB6"/>
    <w:rsid w:val="502E3FAB"/>
    <w:rsid w:val="5032196E"/>
    <w:rsid w:val="50341990"/>
    <w:rsid w:val="5034A82C"/>
    <w:rsid w:val="5034EF4C"/>
    <w:rsid w:val="503C4ADE"/>
    <w:rsid w:val="503D89B6"/>
    <w:rsid w:val="5040018F"/>
    <w:rsid w:val="50481589"/>
    <w:rsid w:val="50482CFA"/>
    <w:rsid w:val="5049729C"/>
    <w:rsid w:val="504AC0BB"/>
    <w:rsid w:val="50566855"/>
    <w:rsid w:val="5056C456"/>
    <w:rsid w:val="506116B2"/>
    <w:rsid w:val="5067BCB5"/>
    <w:rsid w:val="50686343"/>
    <w:rsid w:val="506D42CE"/>
    <w:rsid w:val="506EC76D"/>
    <w:rsid w:val="50701D00"/>
    <w:rsid w:val="507153E8"/>
    <w:rsid w:val="50717752"/>
    <w:rsid w:val="507229EC"/>
    <w:rsid w:val="50735C74"/>
    <w:rsid w:val="5074EE01"/>
    <w:rsid w:val="507748A4"/>
    <w:rsid w:val="507768BC"/>
    <w:rsid w:val="507B56CB"/>
    <w:rsid w:val="507D9E4A"/>
    <w:rsid w:val="507FC8A0"/>
    <w:rsid w:val="5080566C"/>
    <w:rsid w:val="50821444"/>
    <w:rsid w:val="50821702"/>
    <w:rsid w:val="5084DEA0"/>
    <w:rsid w:val="508A43B6"/>
    <w:rsid w:val="508A77A6"/>
    <w:rsid w:val="508B78A4"/>
    <w:rsid w:val="508FAE8A"/>
    <w:rsid w:val="509241E3"/>
    <w:rsid w:val="50937989"/>
    <w:rsid w:val="50937D5D"/>
    <w:rsid w:val="5095587D"/>
    <w:rsid w:val="5099DFEE"/>
    <w:rsid w:val="509AC0D6"/>
    <w:rsid w:val="509B27FA"/>
    <w:rsid w:val="509D7782"/>
    <w:rsid w:val="509F9B26"/>
    <w:rsid w:val="50ADF648"/>
    <w:rsid w:val="50B23871"/>
    <w:rsid w:val="50BB0237"/>
    <w:rsid w:val="50BB58FC"/>
    <w:rsid w:val="50BD30FC"/>
    <w:rsid w:val="50BD5D6A"/>
    <w:rsid w:val="50BFEC85"/>
    <w:rsid w:val="50C31B99"/>
    <w:rsid w:val="50C5B2A6"/>
    <w:rsid w:val="50CA4433"/>
    <w:rsid w:val="50CA6BDD"/>
    <w:rsid w:val="50D2FC4E"/>
    <w:rsid w:val="50D45200"/>
    <w:rsid w:val="50D559F0"/>
    <w:rsid w:val="50D7AE68"/>
    <w:rsid w:val="50D95FF8"/>
    <w:rsid w:val="50DD3FF2"/>
    <w:rsid w:val="50DF85A8"/>
    <w:rsid w:val="50E9EF17"/>
    <w:rsid w:val="50EBF752"/>
    <w:rsid w:val="50EE32FC"/>
    <w:rsid w:val="50EFCA1E"/>
    <w:rsid w:val="50F621FD"/>
    <w:rsid w:val="5100C98C"/>
    <w:rsid w:val="510845B8"/>
    <w:rsid w:val="510E40E8"/>
    <w:rsid w:val="510EFC26"/>
    <w:rsid w:val="510F2A2A"/>
    <w:rsid w:val="5113747D"/>
    <w:rsid w:val="5113A0B8"/>
    <w:rsid w:val="5116DF7C"/>
    <w:rsid w:val="5119E22A"/>
    <w:rsid w:val="511A9468"/>
    <w:rsid w:val="511AEE3E"/>
    <w:rsid w:val="511F8B56"/>
    <w:rsid w:val="5122434C"/>
    <w:rsid w:val="512641CC"/>
    <w:rsid w:val="51272ECA"/>
    <w:rsid w:val="5131E815"/>
    <w:rsid w:val="51341037"/>
    <w:rsid w:val="51349AC9"/>
    <w:rsid w:val="5135AFC4"/>
    <w:rsid w:val="513B85AC"/>
    <w:rsid w:val="5141CD6C"/>
    <w:rsid w:val="51430631"/>
    <w:rsid w:val="51442264"/>
    <w:rsid w:val="51443378"/>
    <w:rsid w:val="514A3301"/>
    <w:rsid w:val="514ABD41"/>
    <w:rsid w:val="514FFC9D"/>
    <w:rsid w:val="5150CFF2"/>
    <w:rsid w:val="5152BFCE"/>
    <w:rsid w:val="5154C840"/>
    <w:rsid w:val="5158FEB7"/>
    <w:rsid w:val="515B46AA"/>
    <w:rsid w:val="515B5C93"/>
    <w:rsid w:val="515B9514"/>
    <w:rsid w:val="515CB137"/>
    <w:rsid w:val="51647771"/>
    <w:rsid w:val="516B9E30"/>
    <w:rsid w:val="516D8D60"/>
    <w:rsid w:val="51700C6D"/>
    <w:rsid w:val="51765AAE"/>
    <w:rsid w:val="51770F1A"/>
    <w:rsid w:val="5178C6EB"/>
    <w:rsid w:val="51817203"/>
    <w:rsid w:val="5185FE08"/>
    <w:rsid w:val="518977CC"/>
    <w:rsid w:val="518BF463"/>
    <w:rsid w:val="518C54E9"/>
    <w:rsid w:val="518EF9CB"/>
    <w:rsid w:val="5190B82E"/>
    <w:rsid w:val="5191924F"/>
    <w:rsid w:val="519374B2"/>
    <w:rsid w:val="519439E2"/>
    <w:rsid w:val="5194C68C"/>
    <w:rsid w:val="51978ECD"/>
    <w:rsid w:val="51982002"/>
    <w:rsid w:val="5198A9DD"/>
    <w:rsid w:val="51998CF0"/>
    <w:rsid w:val="519CA8F9"/>
    <w:rsid w:val="519D8F8C"/>
    <w:rsid w:val="51A08DA3"/>
    <w:rsid w:val="51A384D4"/>
    <w:rsid w:val="51A3A672"/>
    <w:rsid w:val="51A62F5B"/>
    <w:rsid w:val="51A643EF"/>
    <w:rsid w:val="51A72062"/>
    <w:rsid w:val="51A7A373"/>
    <w:rsid w:val="51AEF3C3"/>
    <w:rsid w:val="51B55B25"/>
    <w:rsid w:val="51B79FCD"/>
    <w:rsid w:val="51BB9271"/>
    <w:rsid w:val="51BF5F5F"/>
    <w:rsid w:val="51C5037C"/>
    <w:rsid w:val="51CEBCE6"/>
    <w:rsid w:val="51CEFB53"/>
    <w:rsid w:val="51D206F8"/>
    <w:rsid w:val="51D3FE06"/>
    <w:rsid w:val="51D67AD6"/>
    <w:rsid w:val="51D710E5"/>
    <w:rsid w:val="51DC60B4"/>
    <w:rsid w:val="51DF49FD"/>
    <w:rsid w:val="51E3DA90"/>
    <w:rsid w:val="51EA94A7"/>
    <w:rsid w:val="51F175A8"/>
    <w:rsid w:val="51F3E0E6"/>
    <w:rsid w:val="51F6EFB6"/>
    <w:rsid w:val="51F6F744"/>
    <w:rsid w:val="51FACA5B"/>
    <w:rsid w:val="5200056E"/>
    <w:rsid w:val="52011E65"/>
    <w:rsid w:val="5203CBA3"/>
    <w:rsid w:val="52089FA2"/>
    <w:rsid w:val="5208ACDD"/>
    <w:rsid w:val="520A57F5"/>
    <w:rsid w:val="520AE0B0"/>
    <w:rsid w:val="520FED65"/>
    <w:rsid w:val="52125752"/>
    <w:rsid w:val="52162265"/>
    <w:rsid w:val="52168B47"/>
    <w:rsid w:val="52177742"/>
    <w:rsid w:val="5217D1C5"/>
    <w:rsid w:val="521BC8AB"/>
    <w:rsid w:val="521E6302"/>
    <w:rsid w:val="521FB839"/>
    <w:rsid w:val="52208FAE"/>
    <w:rsid w:val="5224FD9E"/>
    <w:rsid w:val="5226660E"/>
    <w:rsid w:val="52298E51"/>
    <w:rsid w:val="522AFB47"/>
    <w:rsid w:val="522DBA31"/>
    <w:rsid w:val="5230B0CD"/>
    <w:rsid w:val="523646B0"/>
    <w:rsid w:val="523AAA4D"/>
    <w:rsid w:val="523DEC9B"/>
    <w:rsid w:val="5240FE82"/>
    <w:rsid w:val="5241AF55"/>
    <w:rsid w:val="5242AF04"/>
    <w:rsid w:val="5242EB56"/>
    <w:rsid w:val="5243B1B8"/>
    <w:rsid w:val="52491CFD"/>
    <w:rsid w:val="524C3C05"/>
    <w:rsid w:val="524CC5C6"/>
    <w:rsid w:val="524DF9E7"/>
    <w:rsid w:val="5250F8D5"/>
    <w:rsid w:val="52519907"/>
    <w:rsid w:val="5255B978"/>
    <w:rsid w:val="525B5F8F"/>
    <w:rsid w:val="525E3F79"/>
    <w:rsid w:val="525F0AAB"/>
    <w:rsid w:val="5269EAF2"/>
    <w:rsid w:val="526CF368"/>
    <w:rsid w:val="526D94F3"/>
    <w:rsid w:val="52721609"/>
    <w:rsid w:val="527651C5"/>
    <w:rsid w:val="527D362D"/>
    <w:rsid w:val="52800CED"/>
    <w:rsid w:val="5281871D"/>
    <w:rsid w:val="528A77FB"/>
    <w:rsid w:val="528BBDDA"/>
    <w:rsid w:val="528D278F"/>
    <w:rsid w:val="528F1EAA"/>
    <w:rsid w:val="52914906"/>
    <w:rsid w:val="529410D8"/>
    <w:rsid w:val="5296A0A7"/>
    <w:rsid w:val="5297FAC7"/>
    <w:rsid w:val="529846B8"/>
    <w:rsid w:val="529D7D9E"/>
    <w:rsid w:val="52A16E9F"/>
    <w:rsid w:val="52A68945"/>
    <w:rsid w:val="52A8F133"/>
    <w:rsid w:val="52A97F81"/>
    <w:rsid w:val="52A99D5E"/>
    <w:rsid w:val="52B07E83"/>
    <w:rsid w:val="52B40EF8"/>
    <w:rsid w:val="52B48ECD"/>
    <w:rsid w:val="52B5BD3C"/>
    <w:rsid w:val="52B93C25"/>
    <w:rsid w:val="52B96314"/>
    <w:rsid w:val="52BEFE78"/>
    <w:rsid w:val="52C22E69"/>
    <w:rsid w:val="52C6D397"/>
    <w:rsid w:val="52C6F090"/>
    <w:rsid w:val="52CC13A2"/>
    <w:rsid w:val="52CEE8A6"/>
    <w:rsid w:val="52D2A762"/>
    <w:rsid w:val="52D57146"/>
    <w:rsid w:val="52D67347"/>
    <w:rsid w:val="52D7F0F8"/>
    <w:rsid w:val="52DEFB4E"/>
    <w:rsid w:val="52E88081"/>
    <w:rsid w:val="52E9762C"/>
    <w:rsid w:val="52EE4401"/>
    <w:rsid w:val="52F443F4"/>
    <w:rsid w:val="52F70209"/>
    <w:rsid w:val="52F76439"/>
    <w:rsid w:val="52FB106D"/>
    <w:rsid w:val="52FB55D1"/>
    <w:rsid w:val="52FBBACE"/>
    <w:rsid w:val="52FDE191"/>
    <w:rsid w:val="5306495D"/>
    <w:rsid w:val="530B1509"/>
    <w:rsid w:val="530F09B1"/>
    <w:rsid w:val="5311D03E"/>
    <w:rsid w:val="53129E68"/>
    <w:rsid w:val="5315D4F1"/>
    <w:rsid w:val="5319071E"/>
    <w:rsid w:val="531DAFA9"/>
    <w:rsid w:val="531E76CF"/>
    <w:rsid w:val="531FF12B"/>
    <w:rsid w:val="5320136C"/>
    <w:rsid w:val="5320D94A"/>
    <w:rsid w:val="53218A12"/>
    <w:rsid w:val="532381CF"/>
    <w:rsid w:val="532C78E5"/>
    <w:rsid w:val="532D5751"/>
    <w:rsid w:val="53300517"/>
    <w:rsid w:val="533B8A93"/>
    <w:rsid w:val="53424DD1"/>
    <w:rsid w:val="53457BA1"/>
    <w:rsid w:val="5345EB36"/>
    <w:rsid w:val="5348B6E7"/>
    <w:rsid w:val="534B2EB9"/>
    <w:rsid w:val="534FBC5F"/>
    <w:rsid w:val="53555958"/>
    <w:rsid w:val="53575A79"/>
    <w:rsid w:val="535BD7CA"/>
    <w:rsid w:val="53605ADB"/>
    <w:rsid w:val="5361534A"/>
    <w:rsid w:val="5365D2C2"/>
    <w:rsid w:val="536A6F03"/>
    <w:rsid w:val="536CB3F8"/>
    <w:rsid w:val="5373D0BD"/>
    <w:rsid w:val="5373D27A"/>
    <w:rsid w:val="537AD484"/>
    <w:rsid w:val="537B7A7B"/>
    <w:rsid w:val="537C5CC6"/>
    <w:rsid w:val="537C799B"/>
    <w:rsid w:val="5380B85D"/>
    <w:rsid w:val="5383F5FC"/>
    <w:rsid w:val="538775FA"/>
    <w:rsid w:val="53888563"/>
    <w:rsid w:val="5389AB07"/>
    <w:rsid w:val="538A0227"/>
    <w:rsid w:val="538D5DE7"/>
    <w:rsid w:val="538E580C"/>
    <w:rsid w:val="53981C28"/>
    <w:rsid w:val="539A62E2"/>
    <w:rsid w:val="539DE01A"/>
    <w:rsid w:val="539E500E"/>
    <w:rsid w:val="53AF438C"/>
    <w:rsid w:val="53B11483"/>
    <w:rsid w:val="53B3C4B6"/>
    <w:rsid w:val="53B3F1A3"/>
    <w:rsid w:val="53B4D789"/>
    <w:rsid w:val="53B4EF34"/>
    <w:rsid w:val="53B5BEF7"/>
    <w:rsid w:val="53B70FC9"/>
    <w:rsid w:val="53B9607B"/>
    <w:rsid w:val="53BAFAC9"/>
    <w:rsid w:val="53BE2E2F"/>
    <w:rsid w:val="53C00CCF"/>
    <w:rsid w:val="53C33F0E"/>
    <w:rsid w:val="53C347FB"/>
    <w:rsid w:val="53C356D9"/>
    <w:rsid w:val="53C3798B"/>
    <w:rsid w:val="53C854CE"/>
    <w:rsid w:val="53CC6CE5"/>
    <w:rsid w:val="53CD0206"/>
    <w:rsid w:val="53CEEEB3"/>
    <w:rsid w:val="53CEFC60"/>
    <w:rsid w:val="53CF6BA7"/>
    <w:rsid w:val="53D2E95F"/>
    <w:rsid w:val="53D39253"/>
    <w:rsid w:val="53D70281"/>
    <w:rsid w:val="53D80F56"/>
    <w:rsid w:val="53DAEC96"/>
    <w:rsid w:val="53DC8AD3"/>
    <w:rsid w:val="53E2E1EA"/>
    <w:rsid w:val="53E490F5"/>
    <w:rsid w:val="53E682E3"/>
    <w:rsid w:val="53E8B16A"/>
    <w:rsid w:val="53E95D51"/>
    <w:rsid w:val="53EADFCE"/>
    <w:rsid w:val="53EAE48E"/>
    <w:rsid w:val="53EB330A"/>
    <w:rsid w:val="53EB4A6C"/>
    <w:rsid w:val="53ECBDD5"/>
    <w:rsid w:val="53F10C60"/>
    <w:rsid w:val="53F2C401"/>
    <w:rsid w:val="53F59C64"/>
    <w:rsid w:val="53F5E3B9"/>
    <w:rsid w:val="53F8950F"/>
    <w:rsid w:val="53FD4F72"/>
    <w:rsid w:val="540736A2"/>
    <w:rsid w:val="540778F0"/>
    <w:rsid w:val="5409E5A0"/>
    <w:rsid w:val="540E60F6"/>
    <w:rsid w:val="54100E16"/>
    <w:rsid w:val="541034A0"/>
    <w:rsid w:val="54119311"/>
    <w:rsid w:val="54128A25"/>
    <w:rsid w:val="5412FA1A"/>
    <w:rsid w:val="5414AF28"/>
    <w:rsid w:val="541FF27E"/>
    <w:rsid w:val="54228D31"/>
    <w:rsid w:val="54230A3D"/>
    <w:rsid w:val="54295F29"/>
    <w:rsid w:val="542B49E2"/>
    <w:rsid w:val="542C0E2A"/>
    <w:rsid w:val="5430EEF0"/>
    <w:rsid w:val="543510B1"/>
    <w:rsid w:val="543F388C"/>
    <w:rsid w:val="5444260C"/>
    <w:rsid w:val="544608C2"/>
    <w:rsid w:val="544695D2"/>
    <w:rsid w:val="544997FA"/>
    <w:rsid w:val="5449A243"/>
    <w:rsid w:val="544A6C78"/>
    <w:rsid w:val="544C7442"/>
    <w:rsid w:val="544D0DC5"/>
    <w:rsid w:val="54507E09"/>
    <w:rsid w:val="5459696A"/>
    <w:rsid w:val="545C388F"/>
    <w:rsid w:val="545D663C"/>
    <w:rsid w:val="5461C298"/>
    <w:rsid w:val="5461C369"/>
    <w:rsid w:val="546B54C1"/>
    <w:rsid w:val="546CA419"/>
    <w:rsid w:val="546F403C"/>
    <w:rsid w:val="5472A0FD"/>
    <w:rsid w:val="548085B3"/>
    <w:rsid w:val="5481D0D5"/>
    <w:rsid w:val="5484EF52"/>
    <w:rsid w:val="5486B21C"/>
    <w:rsid w:val="5488F951"/>
    <w:rsid w:val="548A7CB2"/>
    <w:rsid w:val="548C279C"/>
    <w:rsid w:val="548CBD04"/>
    <w:rsid w:val="548DD48F"/>
    <w:rsid w:val="5490ED58"/>
    <w:rsid w:val="549118C6"/>
    <w:rsid w:val="54935278"/>
    <w:rsid w:val="54935417"/>
    <w:rsid w:val="5495805D"/>
    <w:rsid w:val="54A1CDA4"/>
    <w:rsid w:val="54A8CEF7"/>
    <w:rsid w:val="54B894CB"/>
    <w:rsid w:val="54BB6BF6"/>
    <w:rsid w:val="54BE4848"/>
    <w:rsid w:val="54C06E1A"/>
    <w:rsid w:val="54C5DD58"/>
    <w:rsid w:val="54C8F5A4"/>
    <w:rsid w:val="54CDCD4F"/>
    <w:rsid w:val="54CFDB4D"/>
    <w:rsid w:val="54D51956"/>
    <w:rsid w:val="54DE89DB"/>
    <w:rsid w:val="54DFF701"/>
    <w:rsid w:val="54E01977"/>
    <w:rsid w:val="54E3CF86"/>
    <w:rsid w:val="54E67502"/>
    <w:rsid w:val="54E7CCC3"/>
    <w:rsid w:val="54EBAE24"/>
    <w:rsid w:val="54F81AC7"/>
    <w:rsid w:val="54F9C642"/>
    <w:rsid w:val="54FB5A4F"/>
    <w:rsid w:val="54FCEB5C"/>
    <w:rsid w:val="54FCF1F4"/>
    <w:rsid w:val="5502A72B"/>
    <w:rsid w:val="55032AB3"/>
    <w:rsid w:val="5504724E"/>
    <w:rsid w:val="55076FE8"/>
    <w:rsid w:val="5509CD62"/>
    <w:rsid w:val="5511A0AB"/>
    <w:rsid w:val="55128095"/>
    <w:rsid w:val="5516F0C9"/>
    <w:rsid w:val="5519623E"/>
    <w:rsid w:val="551B9A0D"/>
    <w:rsid w:val="551C25BC"/>
    <w:rsid w:val="551DBAB1"/>
    <w:rsid w:val="551DEF32"/>
    <w:rsid w:val="551F523C"/>
    <w:rsid w:val="5523B904"/>
    <w:rsid w:val="552457DD"/>
    <w:rsid w:val="552615DA"/>
    <w:rsid w:val="55277592"/>
    <w:rsid w:val="5528CC3D"/>
    <w:rsid w:val="552AF35F"/>
    <w:rsid w:val="55316790"/>
    <w:rsid w:val="55338C43"/>
    <w:rsid w:val="5536E8D8"/>
    <w:rsid w:val="553A8AC6"/>
    <w:rsid w:val="553D56DF"/>
    <w:rsid w:val="553DD3B7"/>
    <w:rsid w:val="5546B63E"/>
    <w:rsid w:val="554821D5"/>
    <w:rsid w:val="55484AB4"/>
    <w:rsid w:val="5549A3D0"/>
    <w:rsid w:val="554F5DF7"/>
    <w:rsid w:val="5551A70D"/>
    <w:rsid w:val="55592A7C"/>
    <w:rsid w:val="555AB9E8"/>
    <w:rsid w:val="555D5226"/>
    <w:rsid w:val="555F4B16"/>
    <w:rsid w:val="5561F8E9"/>
    <w:rsid w:val="5563EB5E"/>
    <w:rsid w:val="556DBBFD"/>
    <w:rsid w:val="556DF472"/>
    <w:rsid w:val="55763092"/>
    <w:rsid w:val="55781BC0"/>
    <w:rsid w:val="5584CB5C"/>
    <w:rsid w:val="558E5316"/>
    <w:rsid w:val="558F43DD"/>
    <w:rsid w:val="559141DA"/>
    <w:rsid w:val="55938D08"/>
    <w:rsid w:val="5594288D"/>
    <w:rsid w:val="5595FF7E"/>
    <w:rsid w:val="559AC516"/>
    <w:rsid w:val="559EDEA4"/>
    <w:rsid w:val="55A03F17"/>
    <w:rsid w:val="55A5D30F"/>
    <w:rsid w:val="55AC89C4"/>
    <w:rsid w:val="55AF87F7"/>
    <w:rsid w:val="55BA1C83"/>
    <w:rsid w:val="55BCFBFD"/>
    <w:rsid w:val="55BD41FC"/>
    <w:rsid w:val="55BE8199"/>
    <w:rsid w:val="55BF8858"/>
    <w:rsid w:val="55C06EE8"/>
    <w:rsid w:val="55C07ED2"/>
    <w:rsid w:val="55C53D3B"/>
    <w:rsid w:val="55C5A2CB"/>
    <w:rsid w:val="55C9A157"/>
    <w:rsid w:val="55CA8F66"/>
    <w:rsid w:val="55D0A562"/>
    <w:rsid w:val="55D0F1D6"/>
    <w:rsid w:val="55D5493D"/>
    <w:rsid w:val="55D725A3"/>
    <w:rsid w:val="55D76EAA"/>
    <w:rsid w:val="55D7F627"/>
    <w:rsid w:val="55D86BDD"/>
    <w:rsid w:val="55DA4898"/>
    <w:rsid w:val="55DBF3D7"/>
    <w:rsid w:val="55DCB85F"/>
    <w:rsid w:val="55DF40E1"/>
    <w:rsid w:val="55DFFF7B"/>
    <w:rsid w:val="55E37409"/>
    <w:rsid w:val="55E7068F"/>
    <w:rsid w:val="55E83ACA"/>
    <w:rsid w:val="55ED5505"/>
    <w:rsid w:val="55EE0880"/>
    <w:rsid w:val="55EFA27A"/>
    <w:rsid w:val="55F07B14"/>
    <w:rsid w:val="55F16743"/>
    <w:rsid w:val="55F34E51"/>
    <w:rsid w:val="55F37D3F"/>
    <w:rsid w:val="55F436CF"/>
    <w:rsid w:val="55F4A1BB"/>
    <w:rsid w:val="55F808F9"/>
    <w:rsid w:val="55F82006"/>
    <w:rsid w:val="55FCE642"/>
    <w:rsid w:val="55FFF75C"/>
    <w:rsid w:val="56031413"/>
    <w:rsid w:val="560801E0"/>
    <w:rsid w:val="560CBFC1"/>
    <w:rsid w:val="560D836F"/>
    <w:rsid w:val="56157301"/>
    <w:rsid w:val="5617F08D"/>
    <w:rsid w:val="561B20D8"/>
    <w:rsid w:val="562251E3"/>
    <w:rsid w:val="56265C53"/>
    <w:rsid w:val="5628FB24"/>
    <w:rsid w:val="562ACA8F"/>
    <w:rsid w:val="562D8AB2"/>
    <w:rsid w:val="562DE665"/>
    <w:rsid w:val="562E3C1B"/>
    <w:rsid w:val="562EF959"/>
    <w:rsid w:val="5630B054"/>
    <w:rsid w:val="56342882"/>
    <w:rsid w:val="56358E1A"/>
    <w:rsid w:val="56396E48"/>
    <w:rsid w:val="563AF3B4"/>
    <w:rsid w:val="563C8561"/>
    <w:rsid w:val="563F80A5"/>
    <w:rsid w:val="5640792A"/>
    <w:rsid w:val="564142B5"/>
    <w:rsid w:val="5644D611"/>
    <w:rsid w:val="56456CD9"/>
    <w:rsid w:val="5651DA4F"/>
    <w:rsid w:val="5652CBA3"/>
    <w:rsid w:val="565971DA"/>
    <w:rsid w:val="565BE214"/>
    <w:rsid w:val="565D4CBF"/>
    <w:rsid w:val="565E4B78"/>
    <w:rsid w:val="56622CA3"/>
    <w:rsid w:val="5662BDF2"/>
    <w:rsid w:val="56638E5D"/>
    <w:rsid w:val="56648FFF"/>
    <w:rsid w:val="5665E9DA"/>
    <w:rsid w:val="566A7C3C"/>
    <w:rsid w:val="566B985E"/>
    <w:rsid w:val="566C78C4"/>
    <w:rsid w:val="5670179D"/>
    <w:rsid w:val="56720BEC"/>
    <w:rsid w:val="56739046"/>
    <w:rsid w:val="567746EE"/>
    <w:rsid w:val="5677EE69"/>
    <w:rsid w:val="567D0E0B"/>
    <w:rsid w:val="567D4643"/>
    <w:rsid w:val="567F2FAC"/>
    <w:rsid w:val="56837C60"/>
    <w:rsid w:val="5685C425"/>
    <w:rsid w:val="568B05FB"/>
    <w:rsid w:val="568CA271"/>
    <w:rsid w:val="569061C2"/>
    <w:rsid w:val="56917797"/>
    <w:rsid w:val="5692B362"/>
    <w:rsid w:val="569D1661"/>
    <w:rsid w:val="569EDCFB"/>
    <w:rsid w:val="56A035B2"/>
    <w:rsid w:val="56A6560A"/>
    <w:rsid w:val="56AD561A"/>
    <w:rsid w:val="56B136C7"/>
    <w:rsid w:val="56B3A6DA"/>
    <w:rsid w:val="56B9AF8E"/>
    <w:rsid w:val="56BE2E02"/>
    <w:rsid w:val="56C41709"/>
    <w:rsid w:val="56CA5D88"/>
    <w:rsid w:val="56CC72C5"/>
    <w:rsid w:val="56D85847"/>
    <w:rsid w:val="56DB338E"/>
    <w:rsid w:val="56DD06C6"/>
    <w:rsid w:val="56E203B2"/>
    <w:rsid w:val="56E2EB58"/>
    <w:rsid w:val="56E8014B"/>
    <w:rsid w:val="56EB8DD0"/>
    <w:rsid w:val="56F68388"/>
    <w:rsid w:val="56F70549"/>
    <w:rsid w:val="56F7B65B"/>
    <w:rsid w:val="56FA3403"/>
    <w:rsid w:val="56FA9E60"/>
    <w:rsid w:val="56FC1C76"/>
    <w:rsid w:val="5700FE35"/>
    <w:rsid w:val="5707F1B5"/>
    <w:rsid w:val="570CD3EB"/>
    <w:rsid w:val="570E104B"/>
    <w:rsid w:val="570F0443"/>
    <w:rsid w:val="5710D3B1"/>
    <w:rsid w:val="5710F23C"/>
    <w:rsid w:val="5711CFD0"/>
    <w:rsid w:val="5712F33C"/>
    <w:rsid w:val="57134728"/>
    <w:rsid w:val="5715ECB5"/>
    <w:rsid w:val="571D1572"/>
    <w:rsid w:val="571F66F3"/>
    <w:rsid w:val="572041D5"/>
    <w:rsid w:val="57223512"/>
    <w:rsid w:val="572456C5"/>
    <w:rsid w:val="57256368"/>
    <w:rsid w:val="57256D2E"/>
    <w:rsid w:val="5729E5C2"/>
    <w:rsid w:val="5729F62B"/>
    <w:rsid w:val="572C9A38"/>
    <w:rsid w:val="572D680D"/>
    <w:rsid w:val="57325338"/>
    <w:rsid w:val="5737FBB4"/>
    <w:rsid w:val="57384367"/>
    <w:rsid w:val="573F1E03"/>
    <w:rsid w:val="57407302"/>
    <w:rsid w:val="5744D484"/>
    <w:rsid w:val="574F4CC2"/>
    <w:rsid w:val="5752D921"/>
    <w:rsid w:val="57585A76"/>
    <w:rsid w:val="57586346"/>
    <w:rsid w:val="575BAD98"/>
    <w:rsid w:val="575BC947"/>
    <w:rsid w:val="575CC8E4"/>
    <w:rsid w:val="575EBB43"/>
    <w:rsid w:val="57622A99"/>
    <w:rsid w:val="576A577C"/>
    <w:rsid w:val="576E79BA"/>
    <w:rsid w:val="576ED4E4"/>
    <w:rsid w:val="57770942"/>
    <w:rsid w:val="57774814"/>
    <w:rsid w:val="577C9AF9"/>
    <w:rsid w:val="577CB872"/>
    <w:rsid w:val="577CCA5E"/>
    <w:rsid w:val="577DCE62"/>
    <w:rsid w:val="577FB5C7"/>
    <w:rsid w:val="578C427C"/>
    <w:rsid w:val="578D93B2"/>
    <w:rsid w:val="5791A38F"/>
    <w:rsid w:val="5791FCDA"/>
    <w:rsid w:val="57925C23"/>
    <w:rsid w:val="579A9B43"/>
    <w:rsid w:val="57A67BE6"/>
    <w:rsid w:val="57A7F2D0"/>
    <w:rsid w:val="57AA71B0"/>
    <w:rsid w:val="57AE0D3E"/>
    <w:rsid w:val="57B243F1"/>
    <w:rsid w:val="57B4396F"/>
    <w:rsid w:val="57B56525"/>
    <w:rsid w:val="57B74721"/>
    <w:rsid w:val="57BD943C"/>
    <w:rsid w:val="57C237DF"/>
    <w:rsid w:val="57C5EFB5"/>
    <w:rsid w:val="57CA190D"/>
    <w:rsid w:val="57D002C5"/>
    <w:rsid w:val="57D31EA2"/>
    <w:rsid w:val="57D352B0"/>
    <w:rsid w:val="57D3B572"/>
    <w:rsid w:val="57D6C0B0"/>
    <w:rsid w:val="57E4E01B"/>
    <w:rsid w:val="57E5C404"/>
    <w:rsid w:val="57F1879C"/>
    <w:rsid w:val="57F33931"/>
    <w:rsid w:val="57F4E05F"/>
    <w:rsid w:val="57F94197"/>
    <w:rsid w:val="580141A9"/>
    <w:rsid w:val="5803C747"/>
    <w:rsid w:val="5803CC27"/>
    <w:rsid w:val="58066482"/>
    <w:rsid w:val="580A8211"/>
    <w:rsid w:val="580D5976"/>
    <w:rsid w:val="580E3FC3"/>
    <w:rsid w:val="580F5527"/>
    <w:rsid w:val="58159821"/>
    <w:rsid w:val="581611E4"/>
    <w:rsid w:val="581D78F4"/>
    <w:rsid w:val="581FC0A2"/>
    <w:rsid w:val="582011B7"/>
    <w:rsid w:val="5821C4F6"/>
    <w:rsid w:val="58220F21"/>
    <w:rsid w:val="582735CD"/>
    <w:rsid w:val="5827B0D9"/>
    <w:rsid w:val="582A9352"/>
    <w:rsid w:val="582A9452"/>
    <w:rsid w:val="582D4755"/>
    <w:rsid w:val="582F963F"/>
    <w:rsid w:val="5833CCC0"/>
    <w:rsid w:val="583576F9"/>
    <w:rsid w:val="583DCB1D"/>
    <w:rsid w:val="583FC117"/>
    <w:rsid w:val="58409B7E"/>
    <w:rsid w:val="5840CEE0"/>
    <w:rsid w:val="58491B2B"/>
    <w:rsid w:val="5855633B"/>
    <w:rsid w:val="585EDA25"/>
    <w:rsid w:val="586049AB"/>
    <w:rsid w:val="5861341F"/>
    <w:rsid w:val="5864978B"/>
    <w:rsid w:val="586A7395"/>
    <w:rsid w:val="586B1674"/>
    <w:rsid w:val="586E1522"/>
    <w:rsid w:val="587676F3"/>
    <w:rsid w:val="587C8963"/>
    <w:rsid w:val="587D08EA"/>
    <w:rsid w:val="587E5853"/>
    <w:rsid w:val="5881144D"/>
    <w:rsid w:val="58820E38"/>
    <w:rsid w:val="588241EF"/>
    <w:rsid w:val="58843836"/>
    <w:rsid w:val="58857769"/>
    <w:rsid w:val="58879270"/>
    <w:rsid w:val="5887A12E"/>
    <w:rsid w:val="5888E25B"/>
    <w:rsid w:val="5888F648"/>
    <w:rsid w:val="5889E333"/>
    <w:rsid w:val="589041FA"/>
    <w:rsid w:val="5891F776"/>
    <w:rsid w:val="589332FB"/>
    <w:rsid w:val="589C0485"/>
    <w:rsid w:val="589E99E4"/>
    <w:rsid w:val="58A4DF98"/>
    <w:rsid w:val="58A65659"/>
    <w:rsid w:val="58A88FC6"/>
    <w:rsid w:val="58AA7BF3"/>
    <w:rsid w:val="58AE35D9"/>
    <w:rsid w:val="58AEF7C2"/>
    <w:rsid w:val="58B0A6E3"/>
    <w:rsid w:val="58B18900"/>
    <w:rsid w:val="58B4A49E"/>
    <w:rsid w:val="58B76CD0"/>
    <w:rsid w:val="58BE63EB"/>
    <w:rsid w:val="58C3A53B"/>
    <w:rsid w:val="58C93C02"/>
    <w:rsid w:val="58C9BC8D"/>
    <w:rsid w:val="58CA0B60"/>
    <w:rsid w:val="58CA6BB4"/>
    <w:rsid w:val="58CFF2D5"/>
    <w:rsid w:val="58D071A4"/>
    <w:rsid w:val="58DD9870"/>
    <w:rsid w:val="58DDF1E8"/>
    <w:rsid w:val="58E137F5"/>
    <w:rsid w:val="58E18B12"/>
    <w:rsid w:val="58E1B92F"/>
    <w:rsid w:val="58E42210"/>
    <w:rsid w:val="58E511AE"/>
    <w:rsid w:val="58E53EC6"/>
    <w:rsid w:val="58E5E635"/>
    <w:rsid w:val="58E6C1CD"/>
    <w:rsid w:val="58E84288"/>
    <w:rsid w:val="58E85AE0"/>
    <w:rsid w:val="58EACC74"/>
    <w:rsid w:val="58F176EF"/>
    <w:rsid w:val="58F4DA06"/>
    <w:rsid w:val="58F779A6"/>
    <w:rsid w:val="58FA1A80"/>
    <w:rsid w:val="58FE7E72"/>
    <w:rsid w:val="590369B1"/>
    <w:rsid w:val="59045215"/>
    <w:rsid w:val="5904F122"/>
    <w:rsid w:val="59080BD2"/>
    <w:rsid w:val="5909864F"/>
    <w:rsid w:val="590FB30A"/>
    <w:rsid w:val="591063F4"/>
    <w:rsid w:val="59120172"/>
    <w:rsid w:val="5913FB32"/>
    <w:rsid w:val="5917FD67"/>
    <w:rsid w:val="591BBFB6"/>
    <w:rsid w:val="591DEA78"/>
    <w:rsid w:val="591EC3F9"/>
    <w:rsid w:val="591F5AF7"/>
    <w:rsid w:val="591FD117"/>
    <w:rsid w:val="59238B07"/>
    <w:rsid w:val="5927F969"/>
    <w:rsid w:val="59297AB0"/>
    <w:rsid w:val="5931F05B"/>
    <w:rsid w:val="59328C92"/>
    <w:rsid w:val="593B7630"/>
    <w:rsid w:val="593BF3F4"/>
    <w:rsid w:val="593CF923"/>
    <w:rsid w:val="5948C57A"/>
    <w:rsid w:val="5955D69D"/>
    <w:rsid w:val="5956DC1F"/>
    <w:rsid w:val="5957C2EF"/>
    <w:rsid w:val="5957D345"/>
    <w:rsid w:val="595B1EA3"/>
    <w:rsid w:val="595C9639"/>
    <w:rsid w:val="595C9B16"/>
    <w:rsid w:val="5966E7A6"/>
    <w:rsid w:val="5966FCEA"/>
    <w:rsid w:val="59690251"/>
    <w:rsid w:val="596C3009"/>
    <w:rsid w:val="5973D42E"/>
    <w:rsid w:val="59752F0B"/>
    <w:rsid w:val="597814F8"/>
    <w:rsid w:val="597EC99B"/>
    <w:rsid w:val="59827CD7"/>
    <w:rsid w:val="5983AB11"/>
    <w:rsid w:val="5984CABB"/>
    <w:rsid w:val="59853094"/>
    <w:rsid w:val="59876F2C"/>
    <w:rsid w:val="59893F6F"/>
    <w:rsid w:val="598957AD"/>
    <w:rsid w:val="598CA460"/>
    <w:rsid w:val="599073AA"/>
    <w:rsid w:val="5998A45D"/>
    <w:rsid w:val="5999C6C3"/>
    <w:rsid w:val="59A18AE4"/>
    <w:rsid w:val="59A555BC"/>
    <w:rsid w:val="59A5CFDE"/>
    <w:rsid w:val="59A687B2"/>
    <w:rsid w:val="59A7CBDD"/>
    <w:rsid w:val="59ADA902"/>
    <w:rsid w:val="59AFEEE4"/>
    <w:rsid w:val="59B2C160"/>
    <w:rsid w:val="59B54CD2"/>
    <w:rsid w:val="59B909A2"/>
    <w:rsid w:val="59B9CDA5"/>
    <w:rsid w:val="59BB2FF6"/>
    <w:rsid w:val="59BB6D43"/>
    <w:rsid w:val="59BDEBC2"/>
    <w:rsid w:val="59BE0F0F"/>
    <w:rsid w:val="59BEC0A7"/>
    <w:rsid w:val="59BEC723"/>
    <w:rsid w:val="59C1CD1F"/>
    <w:rsid w:val="59C1DA58"/>
    <w:rsid w:val="59C22667"/>
    <w:rsid w:val="59C557D1"/>
    <w:rsid w:val="59C7DF74"/>
    <w:rsid w:val="59D5B93D"/>
    <w:rsid w:val="59D77EE1"/>
    <w:rsid w:val="59DA456E"/>
    <w:rsid w:val="59DEB6E0"/>
    <w:rsid w:val="59DFEDFF"/>
    <w:rsid w:val="59E1FC37"/>
    <w:rsid w:val="59E271EB"/>
    <w:rsid w:val="59E561E6"/>
    <w:rsid w:val="59E7D1AC"/>
    <w:rsid w:val="59E8F832"/>
    <w:rsid w:val="59EC0C1E"/>
    <w:rsid w:val="59F51775"/>
    <w:rsid w:val="59F6026F"/>
    <w:rsid w:val="59F734CA"/>
    <w:rsid w:val="59F7BF51"/>
    <w:rsid w:val="59F8DB9C"/>
    <w:rsid w:val="59FA2DB7"/>
    <w:rsid w:val="59FB75EF"/>
    <w:rsid w:val="59FD3EB7"/>
    <w:rsid w:val="59FF98B3"/>
    <w:rsid w:val="5A0346D8"/>
    <w:rsid w:val="5A0495E4"/>
    <w:rsid w:val="5A0690A2"/>
    <w:rsid w:val="5A079FFA"/>
    <w:rsid w:val="5A09357A"/>
    <w:rsid w:val="5A0AD1ED"/>
    <w:rsid w:val="5A10668D"/>
    <w:rsid w:val="5A1483FD"/>
    <w:rsid w:val="5A180E8A"/>
    <w:rsid w:val="5A192273"/>
    <w:rsid w:val="5A1A56EC"/>
    <w:rsid w:val="5A1C02AD"/>
    <w:rsid w:val="5A1C2999"/>
    <w:rsid w:val="5A1D6A10"/>
    <w:rsid w:val="5A240663"/>
    <w:rsid w:val="5A26C18C"/>
    <w:rsid w:val="5A2861A4"/>
    <w:rsid w:val="5A2A992F"/>
    <w:rsid w:val="5A2AD08D"/>
    <w:rsid w:val="5A2CAB23"/>
    <w:rsid w:val="5A2DFE2D"/>
    <w:rsid w:val="5A3212D6"/>
    <w:rsid w:val="5A32634E"/>
    <w:rsid w:val="5A33B3A7"/>
    <w:rsid w:val="5A340FE0"/>
    <w:rsid w:val="5A3991FB"/>
    <w:rsid w:val="5A3CD52C"/>
    <w:rsid w:val="5A3FDA1B"/>
    <w:rsid w:val="5A443F94"/>
    <w:rsid w:val="5A47DC77"/>
    <w:rsid w:val="5A516448"/>
    <w:rsid w:val="5A59A028"/>
    <w:rsid w:val="5A5F364F"/>
    <w:rsid w:val="5A63C0B9"/>
    <w:rsid w:val="5A678985"/>
    <w:rsid w:val="5A6D412E"/>
    <w:rsid w:val="5A6DFDAD"/>
    <w:rsid w:val="5A6E099C"/>
    <w:rsid w:val="5A6E5CBA"/>
    <w:rsid w:val="5A715B0E"/>
    <w:rsid w:val="5A73B192"/>
    <w:rsid w:val="5A7FCEBD"/>
    <w:rsid w:val="5A81E520"/>
    <w:rsid w:val="5A87D166"/>
    <w:rsid w:val="5A8D1FE3"/>
    <w:rsid w:val="5A8D87E4"/>
    <w:rsid w:val="5A8D9219"/>
    <w:rsid w:val="5A8E7D9E"/>
    <w:rsid w:val="5A976ABE"/>
    <w:rsid w:val="5A9C90B6"/>
    <w:rsid w:val="5AA2F91A"/>
    <w:rsid w:val="5AA51097"/>
    <w:rsid w:val="5AA67F53"/>
    <w:rsid w:val="5AA8B596"/>
    <w:rsid w:val="5AAA0FC2"/>
    <w:rsid w:val="5AAD2225"/>
    <w:rsid w:val="5AAFA696"/>
    <w:rsid w:val="5AAFCD85"/>
    <w:rsid w:val="5AB89302"/>
    <w:rsid w:val="5AB9C48C"/>
    <w:rsid w:val="5ABA687A"/>
    <w:rsid w:val="5ABCB39B"/>
    <w:rsid w:val="5ABD6185"/>
    <w:rsid w:val="5ABDCD38"/>
    <w:rsid w:val="5AC013B2"/>
    <w:rsid w:val="5AC1A9D9"/>
    <w:rsid w:val="5AD5E174"/>
    <w:rsid w:val="5AD7327A"/>
    <w:rsid w:val="5ADAAD25"/>
    <w:rsid w:val="5ADE7A02"/>
    <w:rsid w:val="5ADEEFD7"/>
    <w:rsid w:val="5ADFD1CE"/>
    <w:rsid w:val="5ADFF58A"/>
    <w:rsid w:val="5AE5B102"/>
    <w:rsid w:val="5AEACA9F"/>
    <w:rsid w:val="5AEF0387"/>
    <w:rsid w:val="5AEFBA53"/>
    <w:rsid w:val="5AEFD036"/>
    <w:rsid w:val="5AF1E602"/>
    <w:rsid w:val="5AF3501C"/>
    <w:rsid w:val="5AF68D2B"/>
    <w:rsid w:val="5AF6E536"/>
    <w:rsid w:val="5AFBE0E5"/>
    <w:rsid w:val="5B0459C3"/>
    <w:rsid w:val="5B0AEBCE"/>
    <w:rsid w:val="5B0F15C8"/>
    <w:rsid w:val="5B155519"/>
    <w:rsid w:val="5B178395"/>
    <w:rsid w:val="5B179BCB"/>
    <w:rsid w:val="5B18E574"/>
    <w:rsid w:val="5B191A76"/>
    <w:rsid w:val="5B1F521F"/>
    <w:rsid w:val="5B2041EE"/>
    <w:rsid w:val="5B22E6DE"/>
    <w:rsid w:val="5B2396EB"/>
    <w:rsid w:val="5B263D52"/>
    <w:rsid w:val="5B34505A"/>
    <w:rsid w:val="5B35215A"/>
    <w:rsid w:val="5B356180"/>
    <w:rsid w:val="5B3903E6"/>
    <w:rsid w:val="5B3B28DB"/>
    <w:rsid w:val="5B410BE5"/>
    <w:rsid w:val="5B4504F6"/>
    <w:rsid w:val="5B4851A0"/>
    <w:rsid w:val="5B488F59"/>
    <w:rsid w:val="5B491B8A"/>
    <w:rsid w:val="5B49D7EC"/>
    <w:rsid w:val="5B49E722"/>
    <w:rsid w:val="5B4BCBA0"/>
    <w:rsid w:val="5B4CAF7F"/>
    <w:rsid w:val="5B4CDCBB"/>
    <w:rsid w:val="5B4F2F80"/>
    <w:rsid w:val="5B506B89"/>
    <w:rsid w:val="5B559494"/>
    <w:rsid w:val="5B561337"/>
    <w:rsid w:val="5B5AF510"/>
    <w:rsid w:val="5B5C2B62"/>
    <w:rsid w:val="5B5EDF94"/>
    <w:rsid w:val="5B64A32A"/>
    <w:rsid w:val="5B676FE7"/>
    <w:rsid w:val="5B67755F"/>
    <w:rsid w:val="5B6A8849"/>
    <w:rsid w:val="5B6E27E5"/>
    <w:rsid w:val="5B6F7DDC"/>
    <w:rsid w:val="5B6FB055"/>
    <w:rsid w:val="5B718344"/>
    <w:rsid w:val="5B724640"/>
    <w:rsid w:val="5B76AD22"/>
    <w:rsid w:val="5B77DB77"/>
    <w:rsid w:val="5B7C8F72"/>
    <w:rsid w:val="5B7CEA03"/>
    <w:rsid w:val="5B7D9928"/>
    <w:rsid w:val="5B809086"/>
    <w:rsid w:val="5B838109"/>
    <w:rsid w:val="5B840B91"/>
    <w:rsid w:val="5B8477DA"/>
    <w:rsid w:val="5B86486D"/>
    <w:rsid w:val="5B876134"/>
    <w:rsid w:val="5B8A6533"/>
    <w:rsid w:val="5B8D059F"/>
    <w:rsid w:val="5B8D266F"/>
    <w:rsid w:val="5B9186EA"/>
    <w:rsid w:val="5B9412CD"/>
    <w:rsid w:val="5BA102AE"/>
    <w:rsid w:val="5BA22EDB"/>
    <w:rsid w:val="5BA27A87"/>
    <w:rsid w:val="5BA3DA8C"/>
    <w:rsid w:val="5BA55702"/>
    <w:rsid w:val="5BA7400A"/>
    <w:rsid w:val="5BAA6DD6"/>
    <w:rsid w:val="5BAC84B1"/>
    <w:rsid w:val="5BAFCF20"/>
    <w:rsid w:val="5BB1F8DE"/>
    <w:rsid w:val="5BB5810D"/>
    <w:rsid w:val="5BB9C52C"/>
    <w:rsid w:val="5BB9E914"/>
    <w:rsid w:val="5BBC7757"/>
    <w:rsid w:val="5BC1E660"/>
    <w:rsid w:val="5BC3970C"/>
    <w:rsid w:val="5BC4C099"/>
    <w:rsid w:val="5BC66FEC"/>
    <w:rsid w:val="5BCED9B5"/>
    <w:rsid w:val="5BD13024"/>
    <w:rsid w:val="5BD2AB45"/>
    <w:rsid w:val="5BD83763"/>
    <w:rsid w:val="5BD882DB"/>
    <w:rsid w:val="5BDED05F"/>
    <w:rsid w:val="5BE26A90"/>
    <w:rsid w:val="5BE7E6F0"/>
    <w:rsid w:val="5BE84F28"/>
    <w:rsid w:val="5BE893D6"/>
    <w:rsid w:val="5BEAC6B9"/>
    <w:rsid w:val="5BF6AAB0"/>
    <w:rsid w:val="5BFA7D59"/>
    <w:rsid w:val="5BFFC05B"/>
    <w:rsid w:val="5C054BE0"/>
    <w:rsid w:val="5C081DDC"/>
    <w:rsid w:val="5C167523"/>
    <w:rsid w:val="5C1ACB19"/>
    <w:rsid w:val="5C1DD5D8"/>
    <w:rsid w:val="5C21AB3C"/>
    <w:rsid w:val="5C238C0F"/>
    <w:rsid w:val="5C2808FF"/>
    <w:rsid w:val="5C29A563"/>
    <w:rsid w:val="5C2B2A17"/>
    <w:rsid w:val="5C30A873"/>
    <w:rsid w:val="5C33CF92"/>
    <w:rsid w:val="5C340AE2"/>
    <w:rsid w:val="5C36DEE5"/>
    <w:rsid w:val="5C3A13C0"/>
    <w:rsid w:val="5C3AB6D1"/>
    <w:rsid w:val="5C3EB2A0"/>
    <w:rsid w:val="5C400730"/>
    <w:rsid w:val="5C43EB06"/>
    <w:rsid w:val="5C462DD5"/>
    <w:rsid w:val="5C47CECF"/>
    <w:rsid w:val="5C4A0EFB"/>
    <w:rsid w:val="5C4A1217"/>
    <w:rsid w:val="5C52E59C"/>
    <w:rsid w:val="5C53F429"/>
    <w:rsid w:val="5C570C5B"/>
    <w:rsid w:val="5C5F1BF0"/>
    <w:rsid w:val="5C5FDB21"/>
    <w:rsid w:val="5C67F695"/>
    <w:rsid w:val="5C6D77AF"/>
    <w:rsid w:val="5C725886"/>
    <w:rsid w:val="5C77606E"/>
    <w:rsid w:val="5C788DED"/>
    <w:rsid w:val="5C80B51D"/>
    <w:rsid w:val="5C8563F8"/>
    <w:rsid w:val="5C870095"/>
    <w:rsid w:val="5C873DF8"/>
    <w:rsid w:val="5C88F206"/>
    <w:rsid w:val="5C8A06A4"/>
    <w:rsid w:val="5C8DCEAE"/>
    <w:rsid w:val="5C91E0ED"/>
    <w:rsid w:val="5C962C5B"/>
    <w:rsid w:val="5C99AAC2"/>
    <w:rsid w:val="5C9A2350"/>
    <w:rsid w:val="5C9B5B3A"/>
    <w:rsid w:val="5C9C1792"/>
    <w:rsid w:val="5C9C6BFB"/>
    <w:rsid w:val="5C9E8023"/>
    <w:rsid w:val="5CA0C4A5"/>
    <w:rsid w:val="5CA0E13C"/>
    <w:rsid w:val="5CA4779A"/>
    <w:rsid w:val="5CA51F4D"/>
    <w:rsid w:val="5CAA786E"/>
    <w:rsid w:val="5CB072D3"/>
    <w:rsid w:val="5CB52072"/>
    <w:rsid w:val="5CB54E28"/>
    <w:rsid w:val="5CBAF2F9"/>
    <w:rsid w:val="5CBBB2DC"/>
    <w:rsid w:val="5CBBFB60"/>
    <w:rsid w:val="5CBD4E20"/>
    <w:rsid w:val="5CBE200E"/>
    <w:rsid w:val="5CBFB1F8"/>
    <w:rsid w:val="5CC1CA30"/>
    <w:rsid w:val="5CC68FF6"/>
    <w:rsid w:val="5CD0BC16"/>
    <w:rsid w:val="5CD3746C"/>
    <w:rsid w:val="5CD68486"/>
    <w:rsid w:val="5CD6D141"/>
    <w:rsid w:val="5CD72D88"/>
    <w:rsid w:val="5CDF47B8"/>
    <w:rsid w:val="5CDFC42D"/>
    <w:rsid w:val="5CE04FE1"/>
    <w:rsid w:val="5CE06FE6"/>
    <w:rsid w:val="5CE09BC7"/>
    <w:rsid w:val="5CE4836E"/>
    <w:rsid w:val="5CE500B4"/>
    <w:rsid w:val="5CEA2E7A"/>
    <w:rsid w:val="5CEABAF1"/>
    <w:rsid w:val="5CF42B8C"/>
    <w:rsid w:val="5CF9BF25"/>
    <w:rsid w:val="5CFD4647"/>
    <w:rsid w:val="5CFE50EA"/>
    <w:rsid w:val="5D030476"/>
    <w:rsid w:val="5D08C112"/>
    <w:rsid w:val="5D090AA2"/>
    <w:rsid w:val="5D09D135"/>
    <w:rsid w:val="5D0E3CF2"/>
    <w:rsid w:val="5D0EC025"/>
    <w:rsid w:val="5D10ED3E"/>
    <w:rsid w:val="5D12D5A2"/>
    <w:rsid w:val="5D145E92"/>
    <w:rsid w:val="5D161BD2"/>
    <w:rsid w:val="5D16D8F8"/>
    <w:rsid w:val="5D16F3C3"/>
    <w:rsid w:val="5D178EB8"/>
    <w:rsid w:val="5D193160"/>
    <w:rsid w:val="5D1DA628"/>
    <w:rsid w:val="5D1EFBE9"/>
    <w:rsid w:val="5D1F1E9E"/>
    <w:rsid w:val="5D23AD2C"/>
    <w:rsid w:val="5D287D5F"/>
    <w:rsid w:val="5D29C74C"/>
    <w:rsid w:val="5D2B3DCA"/>
    <w:rsid w:val="5D2BE2E7"/>
    <w:rsid w:val="5D2C317B"/>
    <w:rsid w:val="5D2C3902"/>
    <w:rsid w:val="5D2F1FAB"/>
    <w:rsid w:val="5D2F4725"/>
    <w:rsid w:val="5D3090AB"/>
    <w:rsid w:val="5D310D6B"/>
    <w:rsid w:val="5D3206C2"/>
    <w:rsid w:val="5D32C3E3"/>
    <w:rsid w:val="5D356C04"/>
    <w:rsid w:val="5D35CBF8"/>
    <w:rsid w:val="5D3B410F"/>
    <w:rsid w:val="5D3B80ED"/>
    <w:rsid w:val="5D3C8701"/>
    <w:rsid w:val="5D402F91"/>
    <w:rsid w:val="5D42BEA8"/>
    <w:rsid w:val="5D43159E"/>
    <w:rsid w:val="5D43EEB7"/>
    <w:rsid w:val="5D48D323"/>
    <w:rsid w:val="5D49E94A"/>
    <w:rsid w:val="5D4A8FDC"/>
    <w:rsid w:val="5D4D818B"/>
    <w:rsid w:val="5D4E98E2"/>
    <w:rsid w:val="5D519B7C"/>
    <w:rsid w:val="5D53809B"/>
    <w:rsid w:val="5D59D7F5"/>
    <w:rsid w:val="5D5B850F"/>
    <w:rsid w:val="5D5E2913"/>
    <w:rsid w:val="5D61AE2F"/>
    <w:rsid w:val="5D623939"/>
    <w:rsid w:val="5D625CBF"/>
    <w:rsid w:val="5D6393B0"/>
    <w:rsid w:val="5D6494EF"/>
    <w:rsid w:val="5D68B95E"/>
    <w:rsid w:val="5D6FAEB9"/>
    <w:rsid w:val="5D70BE9D"/>
    <w:rsid w:val="5D716C73"/>
    <w:rsid w:val="5D72CFD7"/>
    <w:rsid w:val="5D764C91"/>
    <w:rsid w:val="5D78DB51"/>
    <w:rsid w:val="5D78E5DF"/>
    <w:rsid w:val="5D7D7B70"/>
    <w:rsid w:val="5D80FA80"/>
    <w:rsid w:val="5D817B6D"/>
    <w:rsid w:val="5D844AFE"/>
    <w:rsid w:val="5D8D3634"/>
    <w:rsid w:val="5D8FEA5D"/>
    <w:rsid w:val="5D925D9B"/>
    <w:rsid w:val="5D93D761"/>
    <w:rsid w:val="5D9A0DB9"/>
    <w:rsid w:val="5D9C9452"/>
    <w:rsid w:val="5D9F75AC"/>
    <w:rsid w:val="5D9FD225"/>
    <w:rsid w:val="5DA36055"/>
    <w:rsid w:val="5DA38C02"/>
    <w:rsid w:val="5DA69510"/>
    <w:rsid w:val="5DA6E050"/>
    <w:rsid w:val="5DB06655"/>
    <w:rsid w:val="5DB1EEED"/>
    <w:rsid w:val="5DB3E95C"/>
    <w:rsid w:val="5DB7EFA2"/>
    <w:rsid w:val="5DB81490"/>
    <w:rsid w:val="5DB894CD"/>
    <w:rsid w:val="5DB95838"/>
    <w:rsid w:val="5DBA466C"/>
    <w:rsid w:val="5DBB9E05"/>
    <w:rsid w:val="5DBD259E"/>
    <w:rsid w:val="5DBE4228"/>
    <w:rsid w:val="5DBF5986"/>
    <w:rsid w:val="5DC30A4A"/>
    <w:rsid w:val="5DC3E75E"/>
    <w:rsid w:val="5DC5008B"/>
    <w:rsid w:val="5DC6F32B"/>
    <w:rsid w:val="5DC71A49"/>
    <w:rsid w:val="5DC9FAD5"/>
    <w:rsid w:val="5DD17391"/>
    <w:rsid w:val="5DDA7B16"/>
    <w:rsid w:val="5DE56BD9"/>
    <w:rsid w:val="5DF25E87"/>
    <w:rsid w:val="5DFA1C11"/>
    <w:rsid w:val="5DFB2143"/>
    <w:rsid w:val="5DFBBFFF"/>
    <w:rsid w:val="5DFC4BB6"/>
    <w:rsid w:val="5DFD8128"/>
    <w:rsid w:val="5E01D2A1"/>
    <w:rsid w:val="5E0E3777"/>
    <w:rsid w:val="5E0EE640"/>
    <w:rsid w:val="5E11381B"/>
    <w:rsid w:val="5E142067"/>
    <w:rsid w:val="5E14355E"/>
    <w:rsid w:val="5E153E2C"/>
    <w:rsid w:val="5E1CEB5F"/>
    <w:rsid w:val="5E1FFDEB"/>
    <w:rsid w:val="5E22C8EE"/>
    <w:rsid w:val="5E24F1E2"/>
    <w:rsid w:val="5E2624F2"/>
    <w:rsid w:val="5E2FBF17"/>
    <w:rsid w:val="5E3055B1"/>
    <w:rsid w:val="5E30959F"/>
    <w:rsid w:val="5E32CC6C"/>
    <w:rsid w:val="5E3366D7"/>
    <w:rsid w:val="5E35BCA8"/>
    <w:rsid w:val="5E383605"/>
    <w:rsid w:val="5E39B27A"/>
    <w:rsid w:val="5E4145BE"/>
    <w:rsid w:val="5E42575B"/>
    <w:rsid w:val="5E45F270"/>
    <w:rsid w:val="5E509ABC"/>
    <w:rsid w:val="5E5320E2"/>
    <w:rsid w:val="5E564E9B"/>
    <w:rsid w:val="5E6643E1"/>
    <w:rsid w:val="5E6B81E8"/>
    <w:rsid w:val="5E6CA554"/>
    <w:rsid w:val="5E70FD5F"/>
    <w:rsid w:val="5E718DDF"/>
    <w:rsid w:val="5E7280CF"/>
    <w:rsid w:val="5E762BF5"/>
    <w:rsid w:val="5E768781"/>
    <w:rsid w:val="5E78741D"/>
    <w:rsid w:val="5E7CC894"/>
    <w:rsid w:val="5E7FDE27"/>
    <w:rsid w:val="5E7FFF43"/>
    <w:rsid w:val="5E83E447"/>
    <w:rsid w:val="5E84977D"/>
    <w:rsid w:val="5E862C15"/>
    <w:rsid w:val="5E8A5480"/>
    <w:rsid w:val="5E8BEBDC"/>
    <w:rsid w:val="5E91259C"/>
    <w:rsid w:val="5E989C66"/>
    <w:rsid w:val="5E9B1C5E"/>
    <w:rsid w:val="5E9B405A"/>
    <w:rsid w:val="5E9BE0D5"/>
    <w:rsid w:val="5E9FE191"/>
    <w:rsid w:val="5EA22E94"/>
    <w:rsid w:val="5EA2F114"/>
    <w:rsid w:val="5EA6BA80"/>
    <w:rsid w:val="5EA81C7E"/>
    <w:rsid w:val="5EA890E3"/>
    <w:rsid w:val="5EA95A4F"/>
    <w:rsid w:val="5EAE8EA3"/>
    <w:rsid w:val="5EB20ADE"/>
    <w:rsid w:val="5EB28E1B"/>
    <w:rsid w:val="5EBAC946"/>
    <w:rsid w:val="5EBC6333"/>
    <w:rsid w:val="5EC0C8CB"/>
    <w:rsid w:val="5EC12914"/>
    <w:rsid w:val="5EC23088"/>
    <w:rsid w:val="5EC85496"/>
    <w:rsid w:val="5EC855BE"/>
    <w:rsid w:val="5EC92626"/>
    <w:rsid w:val="5ECEE37F"/>
    <w:rsid w:val="5ED5D038"/>
    <w:rsid w:val="5ED61712"/>
    <w:rsid w:val="5ED65FA4"/>
    <w:rsid w:val="5ED704C6"/>
    <w:rsid w:val="5EDAD3E6"/>
    <w:rsid w:val="5EDC3A94"/>
    <w:rsid w:val="5EE056CB"/>
    <w:rsid w:val="5EE407CB"/>
    <w:rsid w:val="5EEDBD75"/>
    <w:rsid w:val="5EF04AB1"/>
    <w:rsid w:val="5EF11784"/>
    <w:rsid w:val="5EF15BBD"/>
    <w:rsid w:val="5EF16A5D"/>
    <w:rsid w:val="5EF837DF"/>
    <w:rsid w:val="5EFA3FDB"/>
    <w:rsid w:val="5EFC99CD"/>
    <w:rsid w:val="5F0129B8"/>
    <w:rsid w:val="5F023B27"/>
    <w:rsid w:val="5F025056"/>
    <w:rsid w:val="5F065EFE"/>
    <w:rsid w:val="5F0C0AC6"/>
    <w:rsid w:val="5F0C37CD"/>
    <w:rsid w:val="5F0EE1E9"/>
    <w:rsid w:val="5F10A3A4"/>
    <w:rsid w:val="5F11F2DD"/>
    <w:rsid w:val="5F12F601"/>
    <w:rsid w:val="5F1485A7"/>
    <w:rsid w:val="5F1579A7"/>
    <w:rsid w:val="5F15C271"/>
    <w:rsid w:val="5F18288D"/>
    <w:rsid w:val="5F195202"/>
    <w:rsid w:val="5F1B5225"/>
    <w:rsid w:val="5F1E0F29"/>
    <w:rsid w:val="5F1E274C"/>
    <w:rsid w:val="5F277AA0"/>
    <w:rsid w:val="5F30DD96"/>
    <w:rsid w:val="5F35A8B3"/>
    <w:rsid w:val="5F3D9654"/>
    <w:rsid w:val="5F4BAEDF"/>
    <w:rsid w:val="5F4DD12D"/>
    <w:rsid w:val="5F4EA5CD"/>
    <w:rsid w:val="5F527552"/>
    <w:rsid w:val="5F531151"/>
    <w:rsid w:val="5F531AFF"/>
    <w:rsid w:val="5F550607"/>
    <w:rsid w:val="5F5A6D73"/>
    <w:rsid w:val="5F5CC776"/>
    <w:rsid w:val="5F63D6DB"/>
    <w:rsid w:val="5F686EA5"/>
    <w:rsid w:val="5F6A5F16"/>
    <w:rsid w:val="5F6B2FA4"/>
    <w:rsid w:val="5F6C67F2"/>
    <w:rsid w:val="5F6D17BE"/>
    <w:rsid w:val="5F6F2B3A"/>
    <w:rsid w:val="5F6FBF33"/>
    <w:rsid w:val="5F732DAC"/>
    <w:rsid w:val="5F7DB601"/>
    <w:rsid w:val="5F7DC867"/>
    <w:rsid w:val="5F867331"/>
    <w:rsid w:val="5F8A3CD8"/>
    <w:rsid w:val="5F918BE6"/>
    <w:rsid w:val="5F9426EC"/>
    <w:rsid w:val="5F951B91"/>
    <w:rsid w:val="5F968C40"/>
    <w:rsid w:val="5F9A073D"/>
    <w:rsid w:val="5F9FE444"/>
    <w:rsid w:val="5FA63E41"/>
    <w:rsid w:val="5FA8C51B"/>
    <w:rsid w:val="5FAA461B"/>
    <w:rsid w:val="5FAC1B7D"/>
    <w:rsid w:val="5FACE145"/>
    <w:rsid w:val="5FADDF37"/>
    <w:rsid w:val="5FAF7D8F"/>
    <w:rsid w:val="5FAFDE2B"/>
    <w:rsid w:val="5FB14402"/>
    <w:rsid w:val="5FB28C16"/>
    <w:rsid w:val="5FB3DDE9"/>
    <w:rsid w:val="5FBB449C"/>
    <w:rsid w:val="5FBD73A4"/>
    <w:rsid w:val="5FBF2801"/>
    <w:rsid w:val="5FC05A9C"/>
    <w:rsid w:val="5FC7D028"/>
    <w:rsid w:val="5FCA4E17"/>
    <w:rsid w:val="5FCED6CE"/>
    <w:rsid w:val="5FCF33ED"/>
    <w:rsid w:val="5FD1CA8C"/>
    <w:rsid w:val="5FD2A75C"/>
    <w:rsid w:val="5FD45800"/>
    <w:rsid w:val="5FD9A2CA"/>
    <w:rsid w:val="5FE25917"/>
    <w:rsid w:val="5FE9CF2E"/>
    <w:rsid w:val="5FEB93A1"/>
    <w:rsid w:val="5FEFD481"/>
    <w:rsid w:val="5FF0B77A"/>
    <w:rsid w:val="5FF38532"/>
    <w:rsid w:val="5FFBC45A"/>
    <w:rsid w:val="5FFBF54B"/>
    <w:rsid w:val="5FFC7B2B"/>
    <w:rsid w:val="5FFE10BC"/>
    <w:rsid w:val="60034838"/>
    <w:rsid w:val="6009FA8D"/>
    <w:rsid w:val="6009FD00"/>
    <w:rsid w:val="6011A966"/>
    <w:rsid w:val="60124C72"/>
    <w:rsid w:val="60155CF1"/>
    <w:rsid w:val="60175021"/>
    <w:rsid w:val="601B1BCE"/>
    <w:rsid w:val="601BDACB"/>
    <w:rsid w:val="601D997B"/>
    <w:rsid w:val="60249064"/>
    <w:rsid w:val="60271178"/>
    <w:rsid w:val="6029B68F"/>
    <w:rsid w:val="602B1EA2"/>
    <w:rsid w:val="602CBE51"/>
    <w:rsid w:val="603390D4"/>
    <w:rsid w:val="6036EB4E"/>
    <w:rsid w:val="6037CCA2"/>
    <w:rsid w:val="603E0A12"/>
    <w:rsid w:val="6044FD2D"/>
    <w:rsid w:val="60463047"/>
    <w:rsid w:val="6046473F"/>
    <w:rsid w:val="604AD647"/>
    <w:rsid w:val="604C987B"/>
    <w:rsid w:val="604CB84E"/>
    <w:rsid w:val="604EA026"/>
    <w:rsid w:val="6056FDFA"/>
    <w:rsid w:val="6057664C"/>
    <w:rsid w:val="60577CE2"/>
    <w:rsid w:val="605789F0"/>
    <w:rsid w:val="605CBC33"/>
    <w:rsid w:val="605E44FF"/>
    <w:rsid w:val="605FAFAE"/>
    <w:rsid w:val="6064EAE7"/>
    <w:rsid w:val="6066EB6C"/>
    <w:rsid w:val="6067718D"/>
    <w:rsid w:val="6068FC45"/>
    <w:rsid w:val="606CF8D2"/>
    <w:rsid w:val="606D96EB"/>
    <w:rsid w:val="60752EA1"/>
    <w:rsid w:val="60754CC7"/>
    <w:rsid w:val="60764CC5"/>
    <w:rsid w:val="607827F0"/>
    <w:rsid w:val="607941EF"/>
    <w:rsid w:val="607C2046"/>
    <w:rsid w:val="607F1A8A"/>
    <w:rsid w:val="60833BF7"/>
    <w:rsid w:val="60860727"/>
    <w:rsid w:val="60883FDF"/>
    <w:rsid w:val="60890F5B"/>
    <w:rsid w:val="60893F98"/>
    <w:rsid w:val="608B8340"/>
    <w:rsid w:val="608EA5D3"/>
    <w:rsid w:val="60920299"/>
    <w:rsid w:val="60931476"/>
    <w:rsid w:val="609497E1"/>
    <w:rsid w:val="6097E792"/>
    <w:rsid w:val="6099D3E3"/>
    <w:rsid w:val="609A6A3C"/>
    <w:rsid w:val="609E3AB7"/>
    <w:rsid w:val="609F4DA4"/>
    <w:rsid w:val="60A0C5F9"/>
    <w:rsid w:val="60A38F38"/>
    <w:rsid w:val="60A59110"/>
    <w:rsid w:val="60A7FC45"/>
    <w:rsid w:val="60AC89B6"/>
    <w:rsid w:val="60AE47F4"/>
    <w:rsid w:val="60B0036D"/>
    <w:rsid w:val="60B34F65"/>
    <w:rsid w:val="60B3E65C"/>
    <w:rsid w:val="60BBD835"/>
    <w:rsid w:val="60BE9718"/>
    <w:rsid w:val="60BED102"/>
    <w:rsid w:val="60C610F4"/>
    <w:rsid w:val="60C6E754"/>
    <w:rsid w:val="60C75188"/>
    <w:rsid w:val="60CB170F"/>
    <w:rsid w:val="60CBBC5B"/>
    <w:rsid w:val="60CBEDE7"/>
    <w:rsid w:val="60CFC1E9"/>
    <w:rsid w:val="60D257B3"/>
    <w:rsid w:val="60D3DE5A"/>
    <w:rsid w:val="60D594C6"/>
    <w:rsid w:val="60D5DFA6"/>
    <w:rsid w:val="60E1BE93"/>
    <w:rsid w:val="60E1F337"/>
    <w:rsid w:val="60E92928"/>
    <w:rsid w:val="60EBDCFE"/>
    <w:rsid w:val="60ED422F"/>
    <w:rsid w:val="60EEABF4"/>
    <w:rsid w:val="60EEAFE8"/>
    <w:rsid w:val="60F3333C"/>
    <w:rsid w:val="60F457EA"/>
    <w:rsid w:val="60F78A0C"/>
    <w:rsid w:val="60F8C0D4"/>
    <w:rsid w:val="610470B0"/>
    <w:rsid w:val="61056D63"/>
    <w:rsid w:val="6105786D"/>
    <w:rsid w:val="610A9DC0"/>
    <w:rsid w:val="61115F60"/>
    <w:rsid w:val="6114FF11"/>
    <w:rsid w:val="611ABDC0"/>
    <w:rsid w:val="611F8C74"/>
    <w:rsid w:val="612060BC"/>
    <w:rsid w:val="61206DF9"/>
    <w:rsid w:val="6121AB41"/>
    <w:rsid w:val="6122B1B3"/>
    <w:rsid w:val="6126368C"/>
    <w:rsid w:val="61265747"/>
    <w:rsid w:val="61283212"/>
    <w:rsid w:val="612870D5"/>
    <w:rsid w:val="6128E398"/>
    <w:rsid w:val="612F015E"/>
    <w:rsid w:val="613882B2"/>
    <w:rsid w:val="6138C465"/>
    <w:rsid w:val="613C93A4"/>
    <w:rsid w:val="614181BA"/>
    <w:rsid w:val="6147616F"/>
    <w:rsid w:val="6148E691"/>
    <w:rsid w:val="615247EF"/>
    <w:rsid w:val="61524BEA"/>
    <w:rsid w:val="615288AB"/>
    <w:rsid w:val="6153B90B"/>
    <w:rsid w:val="615688AE"/>
    <w:rsid w:val="6156C1F0"/>
    <w:rsid w:val="61596A8B"/>
    <w:rsid w:val="615AF2C9"/>
    <w:rsid w:val="615D40CC"/>
    <w:rsid w:val="615DA3BD"/>
    <w:rsid w:val="61628D7F"/>
    <w:rsid w:val="6164952A"/>
    <w:rsid w:val="6166B3CD"/>
    <w:rsid w:val="6166D6FD"/>
    <w:rsid w:val="6168196A"/>
    <w:rsid w:val="61690DE8"/>
    <w:rsid w:val="616A26A5"/>
    <w:rsid w:val="616B6DD3"/>
    <w:rsid w:val="616D3A31"/>
    <w:rsid w:val="6171E026"/>
    <w:rsid w:val="61760A35"/>
    <w:rsid w:val="61799813"/>
    <w:rsid w:val="6182840F"/>
    <w:rsid w:val="618424B3"/>
    <w:rsid w:val="6185FAD2"/>
    <w:rsid w:val="61873B18"/>
    <w:rsid w:val="6188D970"/>
    <w:rsid w:val="61894C4D"/>
    <w:rsid w:val="61909A36"/>
    <w:rsid w:val="61928A86"/>
    <w:rsid w:val="61936794"/>
    <w:rsid w:val="61980EA1"/>
    <w:rsid w:val="61982D31"/>
    <w:rsid w:val="619987FA"/>
    <w:rsid w:val="619BF375"/>
    <w:rsid w:val="619E6A4C"/>
    <w:rsid w:val="61A077BC"/>
    <w:rsid w:val="61A2D3CA"/>
    <w:rsid w:val="61A5176E"/>
    <w:rsid w:val="61A543EF"/>
    <w:rsid w:val="61A60C2C"/>
    <w:rsid w:val="61AABF82"/>
    <w:rsid w:val="61AB801C"/>
    <w:rsid w:val="61B236CD"/>
    <w:rsid w:val="61B289BA"/>
    <w:rsid w:val="61B3DCF1"/>
    <w:rsid w:val="61B46FD8"/>
    <w:rsid w:val="61B580F2"/>
    <w:rsid w:val="61B5AB2E"/>
    <w:rsid w:val="61BC7DF5"/>
    <w:rsid w:val="61BD44AB"/>
    <w:rsid w:val="61BEADD1"/>
    <w:rsid w:val="61BFED5B"/>
    <w:rsid w:val="61C67305"/>
    <w:rsid w:val="61C7BB85"/>
    <w:rsid w:val="61C812C0"/>
    <w:rsid w:val="61CC4C26"/>
    <w:rsid w:val="61CC8D13"/>
    <w:rsid w:val="61CD0089"/>
    <w:rsid w:val="61D04141"/>
    <w:rsid w:val="61D13E1E"/>
    <w:rsid w:val="61D1BDB0"/>
    <w:rsid w:val="61D28FA1"/>
    <w:rsid w:val="61D343C4"/>
    <w:rsid w:val="61D832AF"/>
    <w:rsid w:val="61D9C6B2"/>
    <w:rsid w:val="61DDE50D"/>
    <w:rsid w:val="61DE687D"/>
    <w:rsid w:val="61E0B99A"/>
    <w:rsid w:val="61E0DCA3"/>
    <w:rsid w:val="61E22A76"/>
    <w:rsid w:val="61E2DDF1"/>
    <w:rsid w:val="61E853F9"/>
    <w:rsid w:val="61EAFB89"/>
    <w:rsid w:val="61EBBFC7"/>
    <w:rsid w:val="61EF661A"/>
    <w:rsid w:val="61F4491D"/>
    <w:rsid w:val="61F5CF77"/>
    <w:rsid w:val="61F838BD"/>
    <w:rsid w:val="61F90082"/>
    <w:rsid w:val="61FA79C4"/>
    <w:rsid w:val="61FCB7C3"/>
    <w:rsid w:val="620441C2"/>
    <w:rsid w:val="6206D539"/>
    <w:rsid w:val="620AE998"/>
    <w:rsid w:val="62120D1A"/>
    <w:rsid w:val="6214E4E6"/>
    <w:rsid w:val="62194BF9"/>
    <w:rsid w:val="621FE20B"/>
    <w:rsid w:val="62210F1C"/>
    <w:rsid w:val="62211414"/>
    <w:rsid w:val="6221F91E"/>
    <w:rsid w:val="62266DD7"/>
    <w:rsid w:val="622A93E3"/>
    <w:rsid w:val="622B6054"/>
    <w:rsid w:val="622BBFAC"/>
    <w:rsid w:val="622C08F9"/>
    <w:rsid w:val="623195FB"/>
    <w:rsid w:val="62338522"/>
    <w:rsid w:val="6233ED49"/>
    <w:rsid w:val="623BDD66"/>
    <w:rsid w:val="623FDC00"/>
    <w:rsid w:val="62420B3F"/>
    <w:rsid w:val="62435EC3"/>
    <w:rsid w:val="6243A57D"/>
    <w:rsid w:val="6243B399"/>
    <w:rsid w:val="62489AE9"/>
    <w:rsid w:val="6249230D"/>
    <w:rsid w:val="6251122D"/>
    <w:rsid w:val="62528F2F"/>
    <w:rsid w:val="6254D7F7"/>
    <w:rsid w:val="6255148B"/>
    <w:rsid w:val="62560FD1"/>
    <w:rsid w:val="6256284F"/>
    <w:rsid w:val="6256C2A1"/>
    <w:rsid w:val="62576712"/>
    <w:rsid w:val="62596A94"/>
    <w:rsid w:val="6259BBC0"/>
    <w:rsid w:val="625CC2FE"/>
    <w:rsid w:val="625CDE42"/>
    <w:rsid w:val="625F35D6"/>
    <w:rsid w:val="626072BB"/>
    <w:rsid w:val="6260B40A"/>
    <w:rsid w:val="6262C68F"/>
    <w:rsid w:val="626371A5"/>
    <w:rsid w:val="6268FB45"/>
    <w:rsid w:val="6269E6CA"/>
    <w:rsid w:val="626A0159"/>
    <w:rsid w:val="626AE007"/>
    <w:rsid w:val="6276D09D"/>
    <w:rsid w:val="6276EC53"/>
    <w:rsid w:val="62799BF6"/>
    <w:rsid w:val="627B2BEF"/>
    <w:rsid w:val="627CC5CC"/>
    <w:rsid w:val="627F26C8"/>
    <w:rsid w:val="627FDAB5"/>
    <w:rsid w:val="6281F128"/>
    <w:rsid w:val="62845016"/>
    <w:rsid w:val="628CBC8D"/>
    <w:rsid w:val="628ED17F"/>
    <w:rsid w:val="628FD84D"/>
    <w:rsid w:val="628FEA00"/>
    <w:rsid w:val="62936D70"/>
    <w:rsid w:val="62952FA3"/>
    <w:rsid w:val="629C47A1"/>
    <w:rsid w:val="629C9ED8"/>
    <w:rsid w:val="629E7621"/>
    <w:rsid w:val="62A218BE"/>
    <w:rsid w:val="62A99E4F"/>
    <w:rsid w:val="62B744C8"/>
    <w:rsid w:val="62BBA0B4"/>
    <w:rsid w:val="62BBDED6"/>
    <w:rsid w:val="62C68026"/>
    <w:rsid w:val="62CC40E6"/>
    <w:rsid w:val="62CD974B"/>
    <w:rsid w:val="62CF8374"/>
    <w:rsid w:val="62D5853B"/>
    <w:rsid w:val="62D850A0"/>
    <w:rsid w:val="62D8E08D"/>
    <w:rsid w:val="62DA4266"/>
    <w:rsid w:val="62DD0F23"/>
    <w:rsid w:val="62DEC769"/>
    <w:rsid w:val="62DF17A8"/>
    <w:rsid w:val="62E0773E"/>
    <w:rsid w:val="62E0AF56"/>
    <w:rsid w:val="62E2B8A3"/>
    <w:rsid w:val="62E5F112"/>
    <w:rsid w:val="62E77FFF"/>
    <w:rsid w:val="62E84645"/>
    <w:rsid w:val="62EA3E90"/>
    <w:rsid w:val="62EB58F3"/>
    <w:rsid w:val="62F12052"/>
    <w:rsid w:val="62F52C01"/>
    <w:rsid w:val="62F81B58"/>
    <w:rsid w:val="62F81F97"/>
    <w:rsid w:val="63008618"/>
    <w:rsid w:val="6301EF4E"/>
    <w:rsid w:val="6307FA3D"/>
    <w:rsid w:val="63080976"/>
    <w:rsid w:val="630924E7"/>
    <w:rsid w:val="6309B4EC"/>
    <w:rsid w:val="630B1EC8"/>
    <w:rsid w:val="630BC275"/>
    <w:rsid w:val="630C1779"/>
    <w:rsid w:val="63141219"/>
    <w:rsid w:val="6314609D"/>
    <w:rsid w:val="63170E9C"/>
    <w:rsid w:val="63180561"/>
    <w:rsid w:val="631BDD80"/>
    <w:rsid w:val="631C36B4"/>
    <w:rsid w:val="631C544D"/>
    <w:rsid w:val="63200027"/>
    <w:rsid w:val="6320E732"/>
    <w:rsid w:val="6326FC79"/>
    <w:rsid w:val="63288050"/>
    <w:rsid w:val="6328F6EC"/>
    <w:rsid w:val="6335BEFF"/>
    <w:rsid w:val="6337141B"/>
    <w:rsid w:val="633FA148"/>
    <w:rsid w:val="63416792"/>
    <w:rsid w:val="6347C5A7"/>
    <w:rsid w:val="634A4049"/>
    <w:rsid w:val="634DFA23"/>
    <w:rsid w:val="63503626"/>
    <w:rsid w:val="6351AED0"/>
    <w:rsid w:val="635722FE"/>
    <w:rsid w:val="6359FD99"/>
    <w:rsid w:val="635A52E7"/>
    <w:rsid w:val="63600D48"/>
    <w:rsid w:val="6363DD60"/>
    <w:rsid w:val="6366CFD4"/>
    <w:rsid w:val="636AE648"/>
    <w:rsid w:val="63708828"/>
    <w:rsid w:val="6370F7D0"/>
    <w:rsid w:val="6372D710"/>
    <w:rsid w:val="6372EF99"/>
    <w:rsid w:val="6377EC16"/>
    <w:rsid w:val="637A2FBF"/>
    <w:rsid w:val="6381D740"/>
    <w:rsid w:val="638237D5"/>
    <w:rsid w:val="63848A0B"/>
    <w:rsid w:val="638765E1"/>
    <w:rsid w:val="638A1E73"/>
    <w:rsid w:val="638E025D"/>
    <w:rsid w:val="638E51BF"/>
    <w:rsid w:val="638F009A"/>
    <w:rsid w:val="63952D95"/>
    <w:rsid w:val="63963783"/>
    <w:rsid w:val="63997442"/>
    <w:rsid w:val="639AF04F"/>
    <w:rsid w:val="639B442E"/>
    <w:rsid w:val="639D6F3A"/>
    <w:rsid w:val="639D733E"/>
    <w:rsid w:val="639DA39D"/>
    <w:rsid w:val="63A0A210"/>
    <w:rsid w:val="63A14D44"/>
    <w:rsid w:val="63A233FB"/>
    <w:rsid w:val="63A53848"/>
    <w:rsid w:val="63A55B66"/>
    <w:rsid w:val="63AA8E3C"/>
    <w:rsid w:val="63AC417C"/>
    <w:rsid w:val="63B0F721"/>
    <w:rsid w:val="63B7C046"/>
    <w:rsid w:val="63B8ACC6"/>
    <w:rsid w:val="63B8BFC1"/>
    <w:rsid w:val="63B913A0"/>
    <w:rsid w:val="63B9C43B"/>
    <w:rsid w:val="63BBDF41"/>
    <w:rsid w:val="63BC0349"/>
    <w:rsid w:val="63C5D607"/>
    <w:rsid w:val="63CBDE03"/>
    <w:rsid w:val="63CCFC4D"/>
    <w:rsid w:val="63CDE92F"/>
    <w:rsid w:val="63CF0175"/>
    <w:rsid w:val="63D9131A"/>
    <w:rsid w:val="63DB9B6C"/>
    <w:rsid w:val="63E7CE75"/>
    <w:rsid w:val="63E92BEA"/>
    <w:rsid w:val="63F12BE4"/>
    <w:rsid w:val="63F13147"/>
    <w:rsid w:val="63F1A32F"/>
    <w:rsid w:val="63F3466D"/>
    <w:rsid w:val="63FB287B"/>
    <w:rsid w:val="63FB75B8"/>
    <w:rsid w:val="63FD8D2D"/>
    <w:rsid w:val="640522F3"/>
    <w:rsid w:val="640B4722"/>
    <w:rsid w:val="640FD002"/>
    <w:rsid w:val="6410FB14"/>
    <w:rsid w:val="64136E55"/>
    <w:rsid w:val="6413BC9E"/>
    <w:rsid w:val="6413FD1C"/>
    <w:rsid w:val="6417DCAA"/>
    <w:rsid w:val="6422894F"/>
    <w:rsid w:val="64233AE4"/>
    <w:rsid w:val="642988D2"/>
    <w:rsid w:val="6439D2FC"/>
    <w:rsid w:val="643A5A37"/>
    <w:rsid w:val="643D63BD"/>
    <w:rsid w:val="6443BC62"/>
    <w:rsid w:val="6449E116"/>
    <w:rsid w:val="644DEB77"/>
    <w:rsid w:val="644E405E"/>
    <w:rsid w:val="644F1148"/>
    <w:rsid w:val="644FC450"/>
    <w:rsid w:val="6450B585"/>
    <w:rsid w:val="64544C51"/>
    <w:rsid w:val="6455DC0C"/>
    <w:rsid w:val="6455FD4B"/>
    <w:rsid w:val="64579493"/>
    <w:rsid w:val="645C6F17"/>
    <w:rsid w:val="6468F80A"/>
    <w:rsid w:val="646CE166"/>
    <w:rsid w:val="646E34A6"/>
    <w:rsid w:val="646F34E8"/>
    <w:rsid w:val="64727752"/>
    <w:rsid w:val="64757105"/>
    <w:rsid w:val="647827B2"/>
    <w:rsid w:val="647D797F"/>
    <w:rsid w:val="647E6F14"/>
    <w:rsid w:val="6483C2F3"/>
    <w:rsid w:val="6487B734"/>
    <w:rsid w:val="64893BBE"/>
    <w:rsid w:val="648B41C7"/>
    <w:rsid w:val="648CC642"/>
    <w:rsid w:val="64915C2D"/>
    <w:rsid w:val="64941320"/>
    <w:rsid w:val="6494E3CB"/>
    <w:rsid w:val="649528C8"/>
    <w:rsid w:val="649B0904"/>
    <w:rsid w:val="649BC388"/>
    <w:rsid w:val="649F8FB2"/>
    <w:rsid w:val="64A01361"/>
    <w:rsid w:val="64A023D0"/>
    <w:rsid w:val="64A15709"/>
    <w:rsid w:val="64A6E4E5"/>
    <w:rsid w:val="64AE1706"/>
    <w:rsid w:val="64AFA045"/>
    <w:rsid w:val="64B975BA"/>
    <w:rsid w:val="64BA98EC"/>
    <w:rsid w:val="64C272EE"/>
    <w:rsid w:val="64C715A7"/>
    <w:rsid w:val="64CEC6FE"/>
    <w:rsid w:val="64CF3108"/>
    <w:rsid w:val="64CF8582"/>
    <w:rsid w:val="64D08428"/>
    <w:rsid w:val="64D0A982"/>
    <w:rsid w:val="64D113F3"/>
    <w:rsid w:val="64D47461"/>
    <w:rsid w:val="64D5D7C5"/>
    <w:rsid w:val="64D6064B"/>
    <w:rsid w:val="64D88FFF"/>
    <w:rsid w:val="64DA7B17"/>
    <w:rsid w:val="64DAA11D"/>
    <w:rsid w:val="64DB788C"/>
    <w:rsid w:val="64DC591C"/>
    <w:rsid w:val="64DC9877"/>
    <w:rsid w:val="64DDD238"/>
    <w:rsid w:val="64DE0F91"/>
    <w:rsid w:val="64E119E9"/>
    <w:rsid w:val="64E20E39"/>
    <w:rsid w:val="64EB6D6F"/>
    <w:rsid w:val="64F2B0D5"/>
    <w:rsid w:val="64F39086"/>
    <w:rsid w:val="64F75139"/>
    <w:rsid w:val="64FA7324"/>
    <w:rsid w:val="64FDFC0A"/>
    <w:rsid w:val="64FEFACE"/>
    <w:rsid w:val="64FF6E92"/>
    <w:rsid w:val="650197EC"/>
    <w:rsid w:val="6501FF8F"/>
    <w:rsid w:val="65026C89"/>
    <w:rsid w:val="65034D07"/>
    <w:rsid w:val="6503FFE1"/>
    <w:rsid w:val="65061DF1"/>
    <w:rsid w:val="65071FFD"/>
    <w:rsid w:val="6509355D"/>
    <w:rsid w:val="650C5E02"/>
    <w:rsid w:val="650C7B44"/>
    <w:rsid w:val="650CB70B"/>
    <w:rsid w:val="6514228C"/>
    <w:rsid w:val="65163E8B"/>
    <w:rsid w:val="6518166E"/>
    <w:rsid w:val="6518B098"/>
    <w:rsid w:val="6522D58D"/>
    <w:rsid w:val="6524FC44"/>
    <w:rsid w:val="652CAD4B"/>
    <w:rsid w:val="652CED73"/>
    <w:rsid w:val="652D6D86"/>
    <w:rsid w:val="652EF740"/>
    <w:rsid w:val="6536E9AA"/>
    <w:rsid w:val="65376122"/>
    <w:rsid w:val="65378D3A"/>
    <w:rsid w:val="653E0559"/>
    <w:rsid w:val="65426B4E"/>
    <w:rsid w:val="6546B344"/>
    <w:rsid w:val="65497237"/>
    <w:rsid w:val="654C5ED3"/>
    <w:rsid w:val="654F4EB6"/>
    <w:rsid w:val="65532055"/>
    <w:rsid w:val="65550239"/>
    <w:rsid w:val="65554F37"/>
    <w:rsid w:val="65564642"/>
    <w:rsid w:val="6556EA88"/>
    <w:rsid w:val="6557D25B"/>
    <w:rsid w:val="6558306A"/>
    <w:rsid w:val="655E0F1F"/>
    <w:rsid w:val="6564937D"/>
    <w:rsid w:val="656502AE"/>
    <w:rsid w:val="65653413"/>
    <w:rsid w:val="6566344A"/>
    <w:rsid w:val="6566A0E3"/>
    <w:rsid w:val="65695ADD"/>
    <w:rsid w:val="65763CC5"/>
    <w:rsid w:val="6576804F"/>
    <w:rsid w:val="65798A06"/>
    <w:rsid w:val="65825119"/>
    <w:rsid w:val="658512DA"/>
    <w:rsid w:val="65897AF0"/>
    <w:rsid w:val="6589F019"/>
    <w:rsid w:val="658AA8F4"/>
    <w:rsid w:val="658D4976"/>
    <w:rsid w:val="658ED0BD"/>
    <w:rsid w:val="658F4C84"/>
    <w:rsid w:val="658FC409"/>
    <w:rsid w:val="6590517E"/>
    <w:rsid w:val="65930C1F"/>
    <w:rsid w:val="6596620B"/>
    <w:rsid w:val="6597094D"/>
    <w:rsid w:val="659AA891"/>
    <w:rsid w:val="659ADFC8"/>
    <w:rsid w:val="659D2C2F"/>
    <w:rsid w:val="659EE52B"/>
    <w:rsid w:val="65A1877D"/>
    <w:rsid w:val="65A1E9FE"/>
    <w:rsid w:val="65A30B6B"/>
    <w:rsid w:val="65A4779E"/>
    <w:rsid w:val="65A6A216"/>
    <w:rsid w:val="65A72BE6"/>
    <w:rsid w:val="65A8202D"/>
    <w:rsid w:val="65A8DB02"/>
    <w:rsid w:val="65A91744"/>
    <w:rsid w:val="65A9286C"/>
    <w:rsid w:val="65AAB25D"/>
    <w:rsid w:val="65ADC095"/>
    <w:rsid w:val="65B368B2"/>
    <w:rsid w:val="65B95C3D"/>
    <w:rsid w:val="65BC8A38"/>
    <w:rsid w:val="65C00014"/>
    <w:rsid w:val="65C47795"/>
    <w:rsid w:val="65C78BAB"/>
    <w:rsid w:val="65CD9812"/>
    <w:rsid w:val="65CE149B"/>
    <w:rsid w:val="65D17C66"/>
    <w:rsid w:val="65D6E084"/>
    <w:rsid w:val="65D76184"/>
    <w:rsid w:val="65DDC562"/>
    <w:rsid w:val="65E2874B"/>
    <w:rsid w:val="65E4396A"/>
    <w:rsid w:val="65E44181"/>
    <w:rsid w:val="65E52936"/>
    <w:rsid w:val="65E538C0"/>
    <w:rsid w:val="65E620DF"/>
    <w:rsid w:val="65E8976E"/>
    <w:rsid w:val="65E95548"/>
    <w:rsid w:val="65EBA1AA"/>
    <w:rsid w:val="65F1C839"/>
    <w:rsid w:val="65F374C6"/>
    <w:rsid w:val="65F8F434"/>
    <w:rsid w:val="65FABD41"/>
    <w:rsid w:val="65FDB2B3"/>
    <w:rsid w:val="66001C7E"/>
    <w:rsid w:val="6601BD3C"/>
    <w:rsid w:val="6606956C"/>
    <w:rsid w:val="660928A5"/>
    <w:rsid w:val="6609C135"/>
    <w:rsid w:val="660ACE39"/>
    <w:rsid w:val="660F3D2F"/>
    <w:rsid w:val="6618158E"/>
    <w:rsid w:val="66195536"/>
    <w:rsid w:val="661CA3E4"/>
    <w:rsid w:val="661DEE1B"/>
    <w:rsid w:val="6620FB75"/>
    <w:rsid w:val="6623393B"/>
    <w:rsid w:val="66246FDF"/>
    <w:rsid w:val="66264CC9"/>
    <w:rsid w:val="662A21E9"/>
    <w:rsid w:val="662AD5E9"/>
    <w:rsid w:val="662C90C9"/>
    <w:rsid w:val="662CF52C"/>
    <w:rsid w:val="662F7CA9"/>
    <w:rsid w:val="663886E0"/>
    <w:rsid w:val="6638A4A0"/>
    <w:rsid w:val="66398330"/>
    <w:rsid w:val="663A918E"/>
    <w:rsid w:val="663BF715"/>
    <w:rsid w:val="663DB91C"/>
    <w:rsid w:val="6640E9C1"/>
    <w:rsid w:val="6641E02D"/>
    <w:rsid w:val="66431C9E"/>
    <w:rsid w:val="66446103"/>
    <w:rsid w:val="66453558"/>
    <w:rsid w:val="6648C2CD"/>
    <w:rsid w:val="66494AFE"/>
    <w:rsid w:val="664A9F20"/>
    <w:rsid w:val="664B6401"/>
    <w:rsid w:val="664C8BDE"/>
    <w:rsid w:val="66572F7B"/>
    <w:rsid w:val="6658C098"/>
    <w:rsid w:val="665B1D67"/>
    <w:rsid w:val="665D03E2"/>
    <w:rsid w:val="665ED805"/>
    <w:rsid w:val="6662886F"/>
    <w:rsid w:val="666E02E2"/>
    <w:rsid w:val="66740465"/>
    <w:rsid w:val="66761ED2"/>
    <w:rsid w:val="6677BB40"/>
    <w:rsid w:val="667AEA9C"/>
    <w:rsid w:val="667EB49B"/>
    <w:rsid w:val="667F918F"/>
    <w:rsid w:val="66803CB6"/>
    <w:rsid w:val="668AAF76"/>
    <w:rsid w:val="668FDE57"/>
    <w:rsid w:val="6691AFB9"/>
    <w:rsid w:val="6692C979"/>
    <w:rsid w:val="6694C68A"/>
    <w:rsid w:val="6694CEC0"/>
    <w:rsid w:val="66952C6C"/>
    <w:rsid w:val="6697315B"/>
    <w:rsid w:val="6698521E"/>
    <w:rsid w:val="669AF2A6"/>
    <w:rsid w:val="669CCA3C"/>
    <w:rsid w:val="669D737F"/>
    <w:rsid w:val="669EC5A2"/>
    <w:rsid w:val="66A2A4DF"/>
    <w:rsid w:val="66ADDF04"/>
    <w:rsid w:val="66B0C596"/>
    <w:rsid w:val="66B20404"/>
    <w:rsid w:val="66B41656"/>
    <w:rsid w:val="66B45347"/>
    <w:rsid w:val="66BA45BF"/>
    <w:rsid w:val="66BC9D72"/>
    <w:rsid w:val="66C2CE27"/>
    <w:rsid w:val="66CC5661"/>
    <w:rsid w:val="66CDEF88"/>
    <w:rsid w:val="66D15793"/>
    <w:rsid w:val="66D6119D"/>
    <w:rsid w:val="66D7749F"/>
    <w:rsid w:val="66D7B3A4"/>
    <w:rsid w:val="66D9559D"/>
    <w:rsid w:val="66D9BC33"/>
    <w:rsid w:val="66D9D5F0"/>
    <w:rsid w:val="66DAF6F6"/>
    <w:rsid w:val="66DD82A9"/>
    <w:rsid w:val="66E556AE"/>
    <w:rsid w:val="66E84858"/>
    <w:rsid w:val="66E94B6C"/>
    <w:rsid w:val="66E9F3A8"/>
    <w:rsid w:val="66EC5640"/>
    <w:rsid w:val="66ECEDC1"/>
    <w:rsid w:val="66F39B9E"/>
    <w:rsid w:val="66F83398"/>
    <w:rsid w:val="66F9D40C"/>
    <w:rsid w:val="66FE9B15"/>
    <w:rsid w:val="67056250"/>
    <w:rsid w:val="670E722E"/>
    <w:rsid w:val="670F09CA"/>
    <w:rsid w:val="671E3345"/>
    <w:rsid w:val="671E3B64"/>
    <w:rsid w:val="6720F52F"/>
    <w:rsid w:val="67217681"/>
    <w:rsid w:val="6731803B"/>
    <w:rsid w:val="6733EEDA"/>
    <w:rsid w:val="6736B54D"/>
    <w:rsid w:val="6739A78B"/>
    <w:rsid w:val="6739B611"/>
    <w:rsid w:val="673FF48B"/>
    <w:rsid w:val="674001BF"/>
    <w:rsid w:val="6744EDD8"/>
    <w:rsid w:val="6745930D"/>
    <w:rsid w:val="6745E4B7"/>
    <w:rsid w:val="6747A209"/>
    <w:rsid w:val="67509288"/>
    <w:rsid w:val="6752BD89"/>
    <w:rsid w:val="6758C5AB"/>
    <w:rsid w:val="6759EE13"/>
    <w:rsid w:val="6759F28B"/>
    <w:rsid w:val="675AD58A"/>
    <w:rsid w:val="675BDF83"/>
    <w:rsid w:val="675E2A4A"/>
    <w:rsid w:val="675FC316"/>
    <w:rsid w:val="6760F279"/>
    <w:rsid w:val="6764B6E5"/>
    <w:rsid w:val="676625C2"/>
    <w:rsid w:val="67677CD3"/>
    <w:rsid w:val="6769A784"/>
    <w:rsid w:val="676B31C7"/>
    <w:rsid w:val="676C65F8"/>
    <w:rsid w:val="67768386"/>
    <w:rsid w:val="67775F01"/>
    <w:rsid w:val="677949C2"/>
    <w:rsid w:val="677D7964"/>
    <w:rsid w:val="677DD8E1"/>
    <w:rsid w:val="677F7675"/>
    <w:rsid w:val="6782B8BB"/>
    <w:rsid w:val="67844295"/>
    <w:rsid w:val="67877F57"/>
    <w:rsid w:val="67892CB0"/>
    <w:rsid w:val="6794958E"/>
    <w:rsid w:val="6795A3C2"/>
    <w:rsid w:val="6799E272"/>
    <w:rsid w:val="679C98FA"/>
    <w:rsid w:val="67A2B2C5"/>
    <w:rsid w:val="67A9E9EA"/>
    <w:rsid w:val="67AFB29C"/>
    <w:rsid w:val="67B078D2"/>
    <w:rsid w:val="67B62C4D"/>
    <w:rsid w:val="67B668D4"/>
    <w:rsid w:val="67B7040B"/>
    <w:rsid w:val="67B75098"/>
    <w:rsid w:val="67BA0E00"/>
    <w:rsid w:val="67BBAAF3"/>
    <w:rsid w:val="67BE186C"/>
    <w:rsid w:val="67C0F5C7"/>
    <w:rsid w:val="67C429BC"/>
    <w:rsid w:val="67CC8D19"/>
    <w:rsid w:val="67CE56E7"/>
    <w:rsid w:val="67CF5D41"/>
    <w:rsid w:val="67CFEEE4"/>
    <w:rsid w:val="67D3AA27"/>
    <w:rsid w:val="67D61238"/>
    <w:rsid w:val="67DD9B87"/>
    <w:rsid w:val="67DE305F"/>
    <w:rsid w:val="67E03B20"/>
    <w:rsid w:val="67E0823F"/>
    <w:rsid w:val="67E227E9"/>
    <w:rsid w:val="67E7B578"/>
    <w:rsid w:val="67E7C6E9"/>
    <w:rsid w:val="67EC40B3"/>
    <w:rsid w:val="67ECC4EE"/>
    <w:rsid w:val="67EE0B9F"/>
    <w:rsid w:val="67F18E62"/>
    <w:rsid w:val="67F24263"/>
    <w:rsid w:val="67F287E0"/>
    <w:rsid w:val="67F586F7"/>
    <w:rsid w:val="67F5F9D7"/>
    <w:rsid w:val="67F855E7"/>
    <w:rsid w:val="67FA70CE"/>
    <w:rsid w:val="67FD2223"/>
    <w:rsid w:val="67FD45EE"/>
    <w:rsid w:val="67FF208F"/>
    <w:rsid w:val="6803CA26"/>
    <w:rsid w:val="68073C03"/>
    <w:rsid w:val="68074C98"/>
    <w:rsid w:val="68086BB8"/>
    <w:rsid w:val="6808E83D"/>
    <w:rsid w:val="680AE11A"/>
    <w:rsid w:val="681213BE"/>
    <w:rsid w:val="6812B10D"/>
    <w:rsid w:val="681346E7"/>
    <w:rsid w:val="6817B0DE"/>
    <w:rsid w:val="6819B468"/>
    <w:rsid w:val="681B3FBC"/>
    <w:rsid w:val="6828E450"/>
    <w:rsid w:val="682AD983"/>
    <w:rsid w:val="682B45CB"/>
    <w:rsid w:val="6832E494"/>
    <w:rsid w:val="6838192B"/>
    <w:rsid w:val="6839C32A"/>
    <w:rsid w:val="6839CD95"/>
    <w:rsid w:val="6840C7AB"/>
    <w:rsid w:val="68442997"/>
    <w:rsid w:val="684534BF"/>
    <w:rsid w:val="684F30D1"/>
    <w:rsid w:val="68557B78"/>
    <w:rsid w:val="68591293"/>
    <w:rsid w:val="68596E1C"/>
    <w:rsid w:val="6863C87F"/>
    <w:rsid w:val="6864A437"/>
    <w:rsid w:val="68681F61"/>
    <w:rsid w:val="6872E253"/>
    <w:rsid w:val="6880EBD5"/>
    <w:rsid w:val="68810439"/>
    <w:rsid w:val="688ABE66"/>
    <w:rsid w:val="688DFCEF"/>
    <w:rsid w:val="68909A74"/>
    <w:rsid w:val="68911EFD"/>
    <w:rsid w:val="68957F5B"/>
    <w:rsid w:val="6899F068"/>
    <w:rsid w:val="689CFC06"/>
    <w:rsid w:val="68A103D6"/>
    <w:rsid w:val="68A23D3F"/>
    <w:rsid w:val="68A265ED"/>
    <w:rsid w:val="68A2D163"/>
    <w:rsid w:val="68A43831"/>
    <w:rsid w:val="68A9EA4D"/>
    <w:rsid w:val="68AD4CB3"/>
    <w:rsid w:val="68B52746"/>
    <w:rsid w:val="68B61114"/>
    <w:rsid w:val="68B68386"/>
    <w:rsid w:val="68B6A44E"/>
    <w:rsid w:val="68B7D953"/>
    <w:rsid w:val="68B8B9BF"/>
    <w:rsid w:val="68C05B51"/>
    <w:rsid w:val="68C3946E"/>
    <w:rsid w:val="68C54CEB"/>
    <w:rsid w:val="68CB31C8"/>
    <w:rsid w:val="68D480E0"/>
    <w:rsid w:val="68D5E7A9"/>
    <w:rsid w:val="68D65AC4"/>
    <w:rsid w:val="68D6AF83"/>
    <w:rsid w:val="68D876A5"/>
    <w:rsid w:val="68D97085"/>
    <w:rsid w:val="68DCE97A"/>
    <w:rsid w:val="68DE3846"/>
    <w:rsid w:val="68DE3EA4"/>
    <w:rsid w:val="68DF6FB0"/>
    <w:rsid w:val="68E196BD"/>
    <w:rsid w:val="68E658E3"/>
    <w:rsid w:val="68E7D728"/>
    <w:rsid w:val="68E8AAF7"/>
    <w:rsid w:val="68ED6019"/>
    <w:rsid w:val="68F32BD9"/>
    <w:rsid w:val="68F47171"/>
    <w:rsid w:val="68F594E5"/>
    <w:rsid w:val="68F677B4"/>
    <w:rsid w:val="68F73392"/>
    <w:rsid w:val="68FA1AD2"/>
    <w:rsid w:val="68FA9A1C"/>
    <w:rsid w:val="68FAB545"/>
    <w:rsid w:val="68FB5B92"/>
    <w:rsid w:val="68FD444B"/>
    <w:rsid w:val="68FE05AD"/>
    <w:rsid w:val="69013115"/>
    <w:rsid w:val="6903013F"/>
    <w:rsid w:val="6903BFB8"/>
    <w:rsid w:val="69059B06"/>
    <w:rsid w:val="69087B52"/>
    <w:rsid w:val="6911410F"/>
    <w:rsid w:val="6915C233"/>
    <w:rsid w:val="6916592D"/>
    <w:rsid w:val="69171ED4"/>
    <w:rsid w:val="691CD11A"/>
    <w:rsid w:val="691F2426"/>
    <w:rsid w:val="691F4701"/>
    <w:rsid w:val="6929833D"/>
    <w:rsid w:val="69309B1C"/>
    <w:rsid w:val="6930FB58"/>
    <w:rsid w:val="69397854"/>
    <w:rsid w:val="69398688"/>
    <w:rsid w:val="693E819E"/>
    <w:rsid w:val="69458B82"/>
    <w:rsid w:val="69459279"/>
    <w:rsid w:val="6945B32C"/>
    <w:rsid w:val="69466E2A"/>
    <w:rsid w:val="69482E94"/>
    <w:rsid w:val="6948C349"/>
    <w:rsid w:val="694B718C"/>
    <w:rsid w:val="694BB446"/>
    <w:rsid w:val="69505967"/>
    <w:rsid w:val="6957E32B"/>
    <w:rsid w:val="695B7FDC"/>
    <w:rsid w:val="695F1531"/>
    <w:rsid w:val="6960B11C"/>
    <w:rsid w:val="6965D683"/>
    <w:rsid w:val="696A4B37"/>
    <w:rsid w:val="696C09C1"/>
    <w:rsid w:val="696D5E7F"/>
    <w:rsid w:val="696D9A30"/>
    <w:rsid w:val="6971F6CE"/>
    <w:rsid w:val="6974A3B2"/>
    <w:rsid w:val="6979313D"/>
    <w:rsid w:val="697DE224"/>
    <w:rsid w:val="697ECC0A"/>
    <w:rsid w:val="697F4A64"/>
    <w:rsid w:val="69845B96"/>
    <w:rsid w:val="6986A5FB"/>
    <w:rsid w:val="6988DB18"/>
    <w:rsid w:val="698C9623"/>
    <w:rsid w:val="6993EA76"/>
    <w:rsid w:val="699492D6"/>
    <w:rsid w:val="6995F218"/>
    <w:rsid w:val="6996A0F9"/>
    <w:rsid w:val="699FF371"/>
    <w:rsid w:val="69A465F5"/>
    <w:rsid w:val="69A507D7"/>
    <w:rsid w:val="69A8121E"/>
    <w:rsid w:val="69ABAEF0"/>
    <w:rsid w:val="69ABF823"/>
    <w:rsid w:val="69ACE481"/>
    <w:rsid w:val="69AD2801"/>
    <w:rsid w:val="69AD695B"/>
    <w:rsid w:val="69AE0174"/>
    <w:rsid w:val="69B636A8"/>
    <w:rsid w:val="69B8B159"/>
    <w:rsid w:val="69BA6129"/>
    <w:rsid w:val="69BEDE6D"/>
    <w:rsid w:val="69C227F6"/>
    <w:rsid w:val="69C2DD33"/>
    <w:rsid w:val="69C776FB"/>
    <w:rsid w:val="69C790D0"/>
    <w:rsid w:val="69C88D84"/>
    <w:rsid w:val="69CC01F5"/>
    <w:rsid w:val="69CD2103"/>
    <w:rsid w:val="69CD9A41"/>
    <w:rsid w:val="69CE0E30"/>
    <w:rsid w:val="69CE65B8"/>
    <w:rsid w:val="69D26CF2"/>
    <w:rsid w:val="69D2D762"/>
    <w:rsid w:val="69D9057B"/>
    <w:rsid w:val="69DFDA1F"/>
    <w:rsid w:val="69E17A3B"/>
    <w:rsid w:val="69E32AEA"/>
    <w:rsid w:val="69EA0A86"/>
    <w:rsid w:val="69ECAC3E"/>
    <w:rsid w:val="69ED317C"/>
    <w:rsid w:val="69EDEE6B"/>
    <w:rsid w:val="69EEA0B4"/>
    <w:rsid w:val="69F39B9B"/>
    <w:rsid w:val="69F6E9E1"/>
    <w:rsid w:val="69F7410C"/>
    <w:rsid w:val="69F8B549"/>
    <w:rsid w:val="69FC9144"/>
    <w:rsid w:val="6A001224"/>
    <w:rsid w:val="6A003507"/>
    <w:rsid w:val="6A06D995"/>
    <w:rsid w:val="6A0C1A0B"/>
    <w:rsid w:val="6A0CCCDA"/>
    <w:rsid w:val="6A0DAE8A"/>
    <w:rsid w:val="6A0E89D3"/>
    <w:rsid w:val="6A125F15"/>
    <w:rsid w:val="6A14868C"/>
    <w:rsid w:val="6A1A0A1F"/>
    <w:rsid w:val="6A1AFA3C"/>
    <w:rsid w:val="6A1D7AF3"/>
    <w:rsid w:val="6A20F2E4"/>
    <w:rsid w:val="6A241D6F"/>
    <w:rsid w:val="6A24AB5D"/>
    <w:rsid w:val="6A2765AD"/>
    <w:rsid w:val="6A284056"/>
    <w:rsid w:val="6A287283"/>
    <w:rsid w:val="6A2A1E75"/>
    <w:rsid w:val="6A2D8808"/>
    <w:rsid w:val="6A2F5AAE"/>
    <w:rsid w:val="6A308296"/>
    <w:rsid w:val="6A312A0C"/>
    <w:rsid w:val="6A314C49"/>
    <w:rsid w:val="6A3178B4"/>
    <w:rsid w:val="6A33E0C5"/>
    <w:rsid w:val="6A3DEFBB"/>
    <w:rsid w:val="6A3FF89B"/>
    <w:rsid w:val="6A42C3A5"/>
    <w:rsid w:val="6A4935CF"/>
    <w:rsid w:val="6A49D8FA"/>
    <w:rsid w:val="6A4ABE4A"/>
    <w:rsid w:val="6A4ACD98"/>
    <w:rsid w:val="6A4BBF10"/>
    <w:rsid w:val="6A4D89D6"/>
    <w:rsid w:val="6A4E75B7"/>
    <w:rsid w:val="6A4F6821"/>
    <w:rsid w:val="6A505616"/>
    <w:rsid w:val="6A541C94"/>
    <w:rsid w:val="6A549127"/>
    <w:rsid w:val="6A54F6BA"/>
    <w:rsid w:val="6A5602AF"/>
    <w:rsid w:val="6A573A34"/>
    <w:rsid w:val="6A58388B"/>
    <w:rsid w:val="6A5F6002"/>
    <w:rsid w:val="6A5F818E"/>
    <w:rsid w:val="6A6284A2"/>
    <w:rsid w:val="6A694DB7"/>
    <w:rsid w:val="6A6B35B6"/>
    <w:rsid w:val="6A7983D0"/>
    <w:rsid w:val="6A7DBC2F"/>
    <w:rsid w:val="6A7F98F7"/>
    <w:rsid w:val="6A818F7A"/>
    <w:rsid w:val="6A8B4EBB"/>
    <w:rsid w:val="6A915694"/>
    <w:rsid w:val="6A91AEE2"/>
    <w:rsid w:val="6A96ACCD"/>
    <w:rsid w:val="6AA7EBDA"/>
    <w:rsid w:val="6AA83765"/>
    <w:rsid w:val="6AA99128"/>
    <w:rsid w:val="6AADC692"/>
    <w:rsid w:val="6AB020FA"/>
    <w:rsid w:val="6AB248D7"/>
    <w:rsid w:val="6AB4C8C7"/>
    <w:rsid w:val="6AB6EA0D"/>
    <w:rsid w:val="6AB84BDC"/>
    <w:rsid w:val="6ABC2B17"/>
    <w:rsid w:val="6ABE11F5"/>
    <w:rsid w:val="6AC43294"/>
    <w:rsid w:val="6ACD4F7E"/>
    <w:rsid w:val="6AD1356D"/>
    <w:rsid w:val="6AD807BE"/>
    <w:rsid w:val="6AD921B9"/>
    <w:rsid w:val="6ADB1E48"/>
    <w:rsid w:val="6ADB75B9"/>
    <w:rsid w:val="6ADC0619"/>
    <w:rsid w:val="6ADE161B"/>
    <w:rsid w:val="6AE086EB"/>
    <w:rsid w:val="6AE3C732"/>
    <w:rsid w:val="6AE4A459"/>
    <w:rsid w:val="6AEC1DED"/>
    <w:rsid w:val="6AED317A"/>
    <w:rsid w:val="6AEF953A"/>
    <w:rsid w:val="6AF0D05B"/>
    <w:rsid w:val="6AF2985D"/>
    <w:rsid w:val="6AF43877"/>
    <w:rsid w:val="6AF6A114"/>
    <w:rsid w:val="6AF6D870"/>
    <w:rsid w:val="6AFCEA3E"/>
    <w:rsid w:val="6AFDC8BE"/>
    <w:rsid w:val="6B0426B1"/>
    <w:rsid w:val="6B04A5DB"/>
    <w:rsid w:val="6B059340"/>
    <w:rsid w:val="6B06E64D"/>
    <w:rsid w:val="6B07D14F"/>
    <w:rsid w:val="6B09983A"/>
    <w:rsid w:val="6B0AD21D"/>
    <w:rsid w:val="6B0C60AF"/>
    <w:rsid w:val="6B0F60E6"/>
    <w:rsid w:val="6B0FF2E9"/>
    <w:rsid w:val="6B11BE25"/>
    <w:rsid w:val="6B12524A"/>
    <w:rsid w:val="6B160BE9"/>
    <w:rsid w:val="6B1D8983"/>
    <w:rsid w:val="6B1E9AD8"/>
    <w:rsid w:val="6B1EB849"/>
    <w:rsid w:val="6B1F8F7C"/>
    <w:rsid w:val="6B21D6C1"/>
    <w:rsid w:val="6B2419C9"/>
    <w:rsid w:val="6B253868"/>
    <w:rsid w:val="6B25924A"/>
    <w:rsid w:val="6B26B327"/>
    <w:rsid w:val="6B328427"/>
    <w:rsid w:val="6B379040"/>
    <w:rsid w:val="6B3964E0"/>
    <w:rsid w:val="6B3C86EC"/>
    <w:rsid w:val="6B3CA4FB"/>
    <w:rsid w:val="6B3CDEF3"/>
    <w:rsid w:val="6B3D12CF"/>
    <w:rsid w:val="6B3D25EF"/>
    <w:rsid w:val="6B3E5235"/>
    <w:rsid w:val="6B41175C"/>
    <w:rsid w:val="6B415296"/>
    <w:rsid w:val="6B41CE04"/>
    <w:rsid w:val="6B43F37D"/>
    <w:rsid w:val="6B494343"/>
    <w:rsid w:val="6B4E1D04"/>
    <w:rsid w:val="6B4F452B"/>
    <w:rsid w:val="6B4F4FE3"/>
    <w:rsid w:val="6B4FBA70"/>
    <w:rsid w:val="6B5D7523"/>
    <w:rsid w:val="6B6150BF"/>
    <w:rsid w:val="6B67B1E1"/>
    <w:rsid w:val="6B68B5A4"/>
    <w:rsid w:val="6B68E040"/>
    <w:rsid w:val="6B69E9F3"/>
    <w:rsid w:val="6B6EC46C"/>
    <w:rsid w:val="6B6F359F"/>
    <w:rsid w:val="6B72E78A"/>
    <w:rsid w:val="6B77B8FD"/>
    <w:rsid w:val="6B7ACF31"/>
    <w:rsid w:val="6B7B8C5C"/>
    <w:rsid w:val="6B7DA8CA"/>
    <w:rsid w:val="6B7E89C1"/>
    <w:rsid w:val="6B7FA7EB"/>
    <w:rsid w:val="6B80D694"/>
    <w:rsid w:val="6B82B540"/>
    <w:rsid w:val="6B86817F"/>
    <w:rsid w:val="6B88CFCF"/>
    <w:rsid w:val="6B8CADD0"/>
    <w:rsid w:val="6B8CC28F"/>
    <w:rsid w:val="6B8D55DC"/>
    <w:rsid w:val="6B90CF92"/>
    <w:rsid w:val="6B915B06"/>
    <w:rsid w:val="6B95F93E"/>
    <w:rsid w:val="6B967D3B"/>
    <w:rsid w:val="6B97104A"/>
    <w:rsid w:val="6B979BFF"/>
    <w:rsid w:val="6B9910BE"/>
    <w:rsid w:val="6B99F0F2"/>
    <w:rsid w:val="6BA48503"/>
    <w:rsid w:val="6BAA4A11"/>
    <w:rsid w:val="6BAA4EC3"/>
    <w:rsid w:val="6BAB1AA4"/>
    <w:rsid w:val="6BB1F875"/>
    <w:rsid w:val="6BB4F68B"/>
    <w:rsid w:val="6BB6412F"/>
    <w:rsid w:val="6BB942A4"/>
    <w:rsid w:val="6BBD90C7"/>
    <w:rsid w:val="6BC31C44"/>
    <w:rsid w:val="6BC4BCCD"/>
    <w:rsid w:val="6BC9EB71"/>
    <w:rsid w:val="6BCA7AD2"/>
    <w:rsid w:val="6BCE0C9F"/>
    <w:rsid w:val="6BCF83A8"/>
    <w:rsid w:val="6BD0630E"/>
    <w:rsid w:val="6BD1D1E0"/>
    <w:rsid w:val="6BD2460D"/>
    <w:rsid w:val="6BD31E43"/>
    <w:rsid w:val="6BD9977B"/>
    <w:rsid w:val="6BE48741"/>
    <w:rsid w:val="6BEE14D8"/>
    <w:rsid w:val="6BEE798B"/>
    <w:rsid w:val="6BF1F566"/>
    <w:rsid w:val="6BF2FAA4"/>
    <w:rsid w:val="6BF9B507"/>
    <w:rsid w:val="6BFA9A8A"/>
    <w:rsid w:val="6BFAACC7"/>
    <w:rsid w:val="6BFEAAE6"/>
    <w:rsid w:val="6C008B45"/>
    <w:rsid w:val="6C014113"/>
    <w:rsid w:val="6C06E952"/>
    <w:rsid w:val="6C070EFE"/>
    <w:rsid w:val="6C0ACF4F"/>
    <w:rsid w:val="6C118E16"/>
    <w:rsid w:val="6C17C722"/>
    <w:rsid w:val="6C1D233C"/>
    <w:rsid w:val="6C231F1A"/>
    <w:rsid w:val="6C251E09"/>
    <w:rsid w:val="6C2BA58F"/>
    <w:rsid w:val="6C2D5D10"/>
    <w:rsid w:val="6C2E0FB1"/>
    <w:rsid w:val="6C2E9D11"/>
    <w:rsid w:val="6C3449B7"/>
    <w:rsid w:val="6C34F59E"/>
    <w:rsid w:val="6C3894FB"/>
    <w:rsid w:val="6C3AB610"/>
    <w:rsid w:val="6C3AFC59"/>
    <w:rsid w:val="6C3DA8EF"/>
    <w:rsid w:val="6C43ADF2"/>
    <w:rsid w:val="6C487210"/>
    <w:rsid w:val="6C4B3FC8"/>
    <w:rsid w:val="6C5224FE"/>
    <w:rsid w:val="6C5796F4"/>
    <w:rsid w:val="6C580F49"/>
    <w:rsid w:val="6C5B98C5"/>
    <w:rsid w:val="6C5C8307"/>
    <w:rsid w:val="6C5E25CA"/>
    <w:rsid w:val="6C5E8773"/>
    <w:rsid w:val="6C640652"/>
    <w:rsid w:val="6C6652C8"/>
    <w:rsid w:val="6C6876FF"/>
    <w:rsid w:val="6C6902A1"/>
    <w:rsid w:val="6C69B4E5"/>
    <w:rsid w:val="6C6AD40D"/>
    <w:rsid w:val="6C6B38F1"/>
    <w:rsid w:val="6C6D7758"/>
    <w:rsid w:val="6C6F339B"/>
    <w:rsid w:val="6C736CBD"/>
    <w:rsid w:val="6C7477B2"/>
    <w:rsid w:val="6C7517E2"/>
    <w:rsid w:val="6C7910A1"/>
    <w:rsid w:val="6C7BBAAF"/>
    <w:rsid w:val="6C7D2431"/>
    <w:rsid w:val="6C7FCA1F"/>
    <w:rsid w:val="6C80A996"/>
    <w:rsid w:val="6C80D668"/>
    <w:rsid w:val="6C81C713"/>
    <w:rsid w:val="6C8483EB"/>
    <w:rsid w:val="6C86371F"/>
    <w:rsid w:val="6C86CC0A"/>
    <w:rsid w:val="6C89EB5E"/>
    <w:rsid w:val="6C8AA08B"/>
    <w:rsid w:val="6C8E47EF"/>
    <w:rsid w:val="6C91BDCA"/>
    <w:rsid w:val="6C955A32"/>
    <w:rsid w:val="6C9E198B"/>
    <w:rsid w:val="6CA3B937"/>
    <w:rsid w:val="6CA470BA"/>
    <w:rsid w:val="6CAA1614"/>
    <w:rsid w:val="6CAEDA94"/>
    <w:rsid w:val="6CB0BDE2"/>
    <w:rsid w:val="6CB8EC50"/>
    <w:rsid w:val="6CB957BB"/>
    <w:rsid w:val="6CBC51D3"/>
    <w:rsid w:val="6CC01573"/>
    <w:rsid w:val="6CC64DB8"/>
    <w:rsid w:val="6CC80439"/>
    <w:rsid w:val="6CCD075C"/>
    <w:rsid w:val="6CD294BE"/>
    <w:rsid w:val="6CD7715E"/>
    <w:rsid w:val="6CE05DC2"/>
    <w:rsid w:val="6CE63C10"/>
    <w:rsid w:val="6CE786F4"/>
    <w:rsid w:val="6CE81F66"/>
    <w:rsid w:val="6CE858AC"/>
    <w:rsid w:val="6CEDC764"/>
    <w:rsid w:val="6CF09AFB"/>
    <w:rsid w:val="6CF3D1C8"/>
    <w:rsid w:val="6CF57095"/>
    <w:rsid w:val="6CF67BEE"/>
    <w:rsid w:val="6CFB1615"/>
    <w:rsid w:val="6CFB35FE"/>
    <w:rsid w:val="6CFDBD98"/>
    <w:rsid w:val="6D000B7D"/>
    <w:rsid w:val="6D005A8B"/>
    <w:rsid w:val="6D027278"/>
    <w:rsid w:val="6D0E4750"/>
    <w:rsid w:val="6D0F2B60"/>
    <w:rsid w:val="6D10C1E6"/>
    <w:rsid w:val="6D1871A5"/>
    <w:rsid w:val="6D18BE64"/>
    <w:rsid w:val="6D1980FD"/>
    <w:rsid w:val="6D1ED610"/>
    <w:rsid w:val="6D21DEA0"/>
    <w:rsid w:val="6D2238C2"/>
    <w:rsid w:val="6D234F7C"/>
    <w:rsid w:val="6D2C0837"/>
    <w:rsid w:val="6D2E7E24"/>
    <w:rsid w:val="6D2EE235"/>
    <w:rsid w:val="6D3694AC"/>
    <w:rsid w:val="6D37E23E"/>
    <w:rsid w:val="6D3B6869"/>
    <w:rsid w:val="6D3BF53D"/>
    <w:rsid w:val="6D3C76F7"/>
    <w:rsid w:val="6D3CCD43"/>
    <w:rsid w:val="6D3FCDA4"/>
    <w:rsid w:val="6D4A8781"/>
    <w:rsid w:val="6D4B47D6"/>
    <w:rsid w:val="6D4DD4BF"/>
    <w:rsid w:val="6D534ADD"/>
    <w:rsid w:val="6D55D9CA"/>
    <w:rsid w:val="6D5AD771"/>
    <w:rsid w:val="6D60DF40"/>
    <w:rsid w:val="6D60DFE5"/>
    <w:rsid w:val="6D61CEAE"/>
    <w:rsid w:val="6D65A42A"/>
    <w:rsid w:val="6D6F6DDB"/>
    <w:rsid w:val="6D7578D6"/>
    <w:rsid w:val="6D7D37AF"/>
    <w:rsid w:val="6D8192E2"/>
    <w:rsid w:val="6D81C125"/>
    <w:rsid w:val="6D8F01BF"/>
    <w:rsid w:val="6D9CAACD"/>
    <w:rsid w:val="6D9D6793"/>
    <w:rsid w:val="6D9D8FC8"/>
    <w:rsid w:val="6DA3D531"/>
    <w:rsid w:val="6DA56AFE"/>
    <w:rsid w:val="6DBA0D2A"/>
    <w:rsid w:val="6DC259C5"/>
    <w:rsid w:val="6DCB65A8"/>
    <w:rsid w:val="6DD1DBED"/>
    <w:rsid w:val="6DD345EC"/>
    <w:rsid w:val="6DDC3E12"/>
    <w:rsid w:val="6DE5AF3B"/>
    <w:rsid w:val="6DE84421"/>
    <w:rsid w:val="6DEFC56D"/>
    <w:rsid w:val="6DF2A72C"/>
    <w:rsid w:val="6DF46D58"/>
    <w:rsid w:val="6DF496B2"/>
    <w:rsid w:val="6DF76E18"/>
    <w:rsid w:val="6DF7F716"/>
    <w:rsid w:val="6DFAD012"/>
    <w:rsid w:val="6DFD120A"/>
    <w:rsid w:val="6DFE10BF"/>
    <w:rsid w:val="6E06E2B6"/>
    <w:rsid w:val="6E09CEF7"/>
    <w:rsid w:val="6E0ED8C5"/>
    <w:rsid w:val="6E124B5D"/>
    <w:rsid w:val="6E13A5C0"/>
    <w:rsid w:val="6E177778"/>
    <w:rsid w:val="6E1B1057"/>
    <w:rsid w:val="6E1C823F"/>
    <w:rsid w:val="6E201759"/>
    <w:rsid w:val="6E2086C6"/>
    <w:rsid w:val="6E2170BA"/>
    <w:rsid w:val="6E229D4F"/>
    <w:rsid w:val="6E258E0E"/>
    <w:rsid w:val="6E272472"/>
    <w:rsid w:val="6E2AFB8C"/>
    <w:rsid w:val="6E2B346C"/>
    <w:rsid w:val="6E2DA4CF"/>
    <w:rsid w:val="6E371D8E"/>
    <w:rsid w:val="6E3ACD6F"/>
    <w:rsid w:val="6E3FD016"/>
    <w:rsid w:val="6E45DAC4"/>
    <w:rsid w:val="6E4671B9"/>
    <w:rsid w:val="6E477D85"/>
    <w:rsid w:val="6E5534A9"/>
    <w:rsid w:val="6E5C72AC"/>
    <w:rsid w:val="6E5F8195"/>
    <w:rsid w:val="6E61D376"/>
    <w:rsid w:val="6E635363"/>
    <w:rsid w:val="6E664BDF"/>
    <w:rsid w:val="6E690F01"/>
    <w:rsid w:val="6E69AF97"/>
    <w:rsid w:val="6E69D4EB"/>
    <w:rsid w:val="6E6AFEA1"/>
    <w:rsid w:val="6E6C1228"/>
    <w:rsid w:val="6E6C37F7"/>
    <w:rsid w:val="6E7161A1"/>
    <w:rsid w:val="6E73EC0D"/>
    <w:rsid w:val="6E7766C5"/>
    <w:rsid w:val="6E78D0BB"/>
    <w:rsid w:val="6E7C730E"/>
    <w:rsid w:val="6E7CCC2A"/>
    <w:rsid w:val="6E7EEEC3"/>
    <w:rsid w:val="6E81912F"/>
    <w:rsid w:val="6E81CA22"/>
    <w:rsid w:val="6E82A992"/>
    <w:rsid w:val="6E841C39"/>
    <w:rsid w:val="6E86B2E6"/>
    <w:rsid w:val="6E8957BD"/>
    <w:rsid w:val="6E895DD4"/>
    <w:rsid w:val="6E8CFEB8"/>
    <w:rsid w:val="6E900549"/>
    <w:rsid w:val="6E901655"/>
    <w:rsid w:val="6E950345"/>
    <w:rsid w:val="6EA090E0"/>
    <w:rsid w:val="6EA19CF8"/>
    <w:rsid w:val="6EA2B609"/>
    <w:rsid w:val="6EA69A98"/>
    <w:rsid w:val="6EA74317"/>
    <w:rsid w:val="6EA773E6"/>
    <w:rsid w:val="6EAAC0ED"/>
    <w:rsid w:val="6EAEF34D"/>
    <w:rsid w:val="6EAFBD86"/>
    <w:rsid w:val="6EB482ED"/>
    <w:rsid w:val="6EB4E0CD"/>
    <w:rsid w:val="6EBB1229"/>
    <w:rsid w:val="6EBC1143"/>
    <w:rsid w:val="6EBC6427"/>
    <w:rsid w:val="6EC04E1A"/>
    <w:rsid w:val="6EC76D39"/>
    <w:rsid w:val="6EC9AA72"/>
    <w:rsid w:val="6ECA8161"/>
    <w:rsid w:val="6ED04FD6"/>
    <w:rsid w:val="6ED12D5A"/>
    <w:rsid w:val="6ED87D95"/>
    <w:rsid w:val="6EE095C6"/>
    <w:rsid w:val="6EE2BD50"/>
    <w:rsid w:val="6EE8E144"/>
    <w:rsid w:val="6EE92EA0"/>
    <w:rsid w:val="6EEBEEB9"/>
    <w:rsid w:val="6EEEEE35"/>
    <w:rsid w:val="6EEF29C2"/>
    <w:rsid w:val="6EF2680E"/>
    <w:rsid w:val="6EF43D71"/>
    <w:rsid w:val="6EF67814"/>
    <w:rsid w:val="6EF74353"/>
    <w:rsid w:val="6EFFC0D7"/>
    <w:rsid w:val="6F015144"/>
    <w:rsid w:val="6F07416D"/>
    <w:rsid w:val="6F089970"/>
    <w:rsid w:val="6F116ADA"/>
    <w:rsid w:val="6F12BEE9"/>
    <w:rsid w:val="6F15BFE2"/>
    <w:rsid w:val="6F1F9423"/>
    <w:rsid w:val="6F1FAEEF"/>
    <w:rsid w:val="6F2254DC"/>
    <w:rsid w:val="6F242E9D"/>
    <w:rsid w:val="6F25832F"/>
    <w:rsid w:val="6F275607"/>
    <w:rsid w:val="6F2D1C0C"/>
    <w:rsid w:val="6F2EDDD7"/>
    <w:rsid w:val="6F2FD264"/>
    <w:rsid w:val="6F34D2DB"/>
    <w:rsid w:val="6F358009"/>
    <w:rsid w:val="6F368AB6"/>
    <w:rsid w:val="6F3C09C4"/>
    <w:rsid w:val="6F4261A0"/>
    <w:rsid w:val="6F44218D"/>
    <w:rsid w:val="6F449EEA"/>
    <w:rsid w:val="6F46D317"/>
    <w:rsid w:val="6F470C56"/>
    <w:rsid w:val="6F475C33"/>
    <w:rsid w:val="6F476E98"/>
    <w:rsid w:val="6F4903EC"/>
    <w:rsid w:val="6F4C94AE"/>
    <w:rsid w:val="6F4CBACC"/>
    <w:rsid w:val="6F4CFB4E"/>
    <w:rsid w:val="6F4DE010"/>
    <w:rsid w:val="6F4ECE9D"/>
    <w:rsid w:val="6F4EFACC"/>
    <w:rsid w:val="6F518748"/>
    <w:rsid w:val="6F52662B"/>
    <w:rsid w:val="6F52A3F4"/>
    <w:rsid w:val="6F5A3846"/>
    <w:rsid w:val="6F5B04C5"/>
    <w:rsid w:val="6F613AA8"/>
    <w:rsid w:val="6F63026D"/>
    <w:rsid w:val="6F6B485C"/>
    <w:rsid w:val="6F6DE7C5"/>
    <w:rsid w:val="6F6E422F"/>
    <w:rsid w:val="6F6F5465"/>
    <w:rsid w:val="6F737E64"/>
    <w:rsid w:val="6F748CA9"/>
    <w:rsid w:val="6F75C442"/>
    <w:rsid w:val="6F75CEFD"/>
    <w:rsid w:val="6F7A7EA7"/>
    <w:rsid w:val="6F7B7E5A"/>
    <w:rsid w:val="6F7E49ED"/>
    <w:rsid w:val="6F7F4302"/>
    <w:rsid w:val="6F817527"/>
    <w:rsid w:val="6F8315E1"/>
    <w:rsid w:val="6F86077B"/>
    <w:rsid w:val="6F8620ED"/>
    <w:rsid w:val="6F8C20E3"/>
    <w:rsid w:val="6F932AEA"/>
    <w:rsid w:val="6F960783"/>
    <w:rsid w:val="6F98035B"/>
    <w:rsid w:val="6F98F7ED"/>
    <w:rsid w:val="6F9BAE43"/>
    <w:rsid w:val="6F9BC5A9"/>
    <w:rsid w:val="6FA31BA3"/>
    <w:rsid w:val="6FA50CFE"/>
    <w:rsid w:val="6FA6F286"/>
    <w:rsid w:val="6FAF5416"/>
    <w:rsid w:val="6FB04142"/>
    <w:rsid w:val="6FB14F97"/>
    <w:rsid w:val="6FB18BF3"/>
    <w:rsid w:val="6FB379D6"/>
    <w:rsid w:val="6FB95E63"/>
    <w:rsid w:val="6FBE66F8"/>
    <w:rsid w:val="6FBEC577"/>
    <w:rsid w:val="6FBF378C"/>
    <w:rsid w:val="6FBFD0C1"/>
    <w:rsid w:val="6FCACA49"/>
    <w:rsid w:val="6FCB1330"/>
    <w:rsid w:val="6FD343C6"/>
    <w:rsid w:val="6FD8183E"/>
    <w:rsid w:val="6FD861D5"/>
    <w:rsid w:val="6FD87518"/>
    <w:rsid w:val="6FD87CC5"/>
    <w:rsid w:val="6FDBEEAC"/>
    <w:rsid w:val="6FDC6682"/>
    <w:rsid w:val="6FE20967"/>
    <w:rsid w:val="6FE3B528"/>
    <w:rsid w:val="6FE50BE0"/>
    <w:rsid w:val="6FE8B084"/>
    <w:rsid w:val="6FE9C0E4"/>
    <w:rsid w:val="6FEB8937"/>
    <w:rsid w:val="6FF1FA89"/>
    <w:rsid w:val="6FF4C5E1"/>
    <w:rsid w:val="6FFAC7F6"/>
    <w:rsid w:val="6FFB0583"/>
    <w:rsid w:val="6FFB7B58"/>
    <w:rsid w:val="6FFE0BEE"/>
    <w:rsid w:val="6FFFE0DB"/>
    <w:rsid w:val="700326EC"/>
    <w:rsid w:val="7008013B"/>
    <w:rsid w:val="700868E0"/>
    <w:rsid w:val="700D740A"/>
    <w:rsid w:val="7010A778"/>
    <w:rsid w:val="70138D40"/>
    <w:rsid w:val="7013C8D3"/>
    <w:rsid w:val="70147946"/>
    <w:rsid w:val="70161BC4"/>
    <w:rsid w:val="701DB3FE"/>
    <w:rsid w:val="7020F28C"/>
    <w:rsid w:val="70227280"/>
    <w:rsid w:val="702434BD"/>
    <w:rsid w:val="702850DE"/>
    <w:rsid w:val="702B54F7"/>
    <w:rsid w:val="702BCA38"/>
    <w:rsid w:val="702D6EBD"/>
    <w:rsid w:val="7034C124"/>
    <w:rsid w:val="7039514A"/>
    <w:rsid w:val="703C46B1"/>
    <w:rsid w:val="703D075B"/>
    <w:rsid w:val="703DE37E"/>
    <w:rsid w:val="70416C73"/>
    <w:rsid w:val="70438697"/>
    <w:rsid w:val="7043BDB4"/>
    <w:rsid w:val="7045B4D8"/>
    <w:rsid w:val="7046B518"/>
    <w:rsid w:val="704F1DF6"/>
    <w:rsid w:val="7051F12B"/>
    <w:rsid w:val="705595D3"/>
    <w:rsid w:val="7057FB4B"/>
    <w:rsid w:val="7059FC2F"/>
    <w:rsid w:val="705B119C"/>
    <w:rsid w:val="7060EBB1"/>
    <w:rsid w:val="7061D0C5"/>
    <w:rsid w:val="70623A9B"/>
    <w:rsid w:val="7066F13E"/>
    <w:rsid w:val="706CF6B1"/>
    <w:rsid w:val="7070ED93"/>
    <w:rsid w:val="7076E457"/>
    <w:rsid w:val="70773223"/>
    <w:rsid w:val="70775DDB"/>
    <w:rsid w:val="7077646A"/>
    <w:rsid w:val="7077DC47"/>
    <w:rsid w:val="7078D235"/>
    <w:rsid w:val="707B215C"/>
    <w:rsid w:val="707CDEFE"/>
    <w:rsid w:val="707CEF3A"/>
    <w:rsid w:val="707FE1E1"/>
    <w:rsid w:val="70803582"/>
    <w:rsid w:val="70856367"/>
    <w:rsid w:val="708A5213"/>
    <w:rsid w:val="708A8635"/>
    <w:rsid w:val="708CAD5F"/>
    <w:rsid w:val="708D1C3C"/>
    <w:rsid w:val="708D6395"/>
    <w:rsid w:val="708ECBB4"/>
    <w:rsid w:val="708F2C5E"/>
    <w:rsid w:val="7091B492"/>
    <w:rsid w:val="7091DDEE"/>
    <w:rsid w:val="709308C3"/>
    <w:rsid w:val="709309F6"/>
    <w:rsid w:val="70953CAE"/>
    <w:rsid w:val="70973B55"/>
    <w:rsid w:val="7097A15D"/>
    <w:rsid w:val="70989E10"/>
    <w:rsid w:val="709A90D6"/>
    <w:rsid w:val="709D3293"/>
    <w:rsid w:val="70A41FF4"/>
    <w:rsid w:val="70A4A2A9"/>
    <w:rsid w:val="70A85A42"/>
    <w:rsid w:val="70A9B740"/>
    <w:rsid w:val="70AA262D"/>
    <w:rsid w:val="70AA5987"/>
    <w:rsid w:val="70ADFC75"/>
    <w:rsid w:val="70AE1428"/>
    <w:rsid w:val="70AFF5D5"/>
    <w:rsid w:val="70B0DEC2"/>
    <w:rsid w:val="70B6618C"/>
    <w:rsid w:val="70B8F6B8"/>
    <w:rsid w:val="70BBF9C2"/>
    <w:rsid w:val="70C083A0"/>
    <w:rsid w:val="70C408F4"/>
    <w:rsid w:val="70C6DECD"/>
    <w:rsid w:val="70C757CB"/>
    <w:rsid w:val="70C77762"/>
    <w:rsid w:val="70C7A2FA"/>
    <w:rsid w:val="70CB6202"/>
    <w:rsid w:val="70D9E7EE"/>
    <w:rsid w:val="70E012C8"/>
    <w:rsid w:val="70E22E97"/>
    <w:rsid w:val="70E6F408"/>
    <w:rsid w:val="70F163F8"/>
    <w:rsid w:val="70F483DA"/>
    <w:rsid w:val="70F84108"/>
    <w:rsid w:val="70FD73E8"/>
    <w:rsid w:val="70FE308E"/>
    <w:rsid w:val="70FE3B33"/>
    <w:rsid w:val="7101475F"/>
    <w:rsid w:val="7102AB59"/>
    <w:rsid w:val="7104A6FA"/>
    <w:rsid w:val="710EF3D5"/>
    <w:rsid w:val="7114F016"/>
    <w:rsid w:val="71151F4A"/>
    <w:rsid w:val="71165B81"/>
    <w:rsid w:val="7117790A"/>
    <w:rsid w:val="711CAF47"/>
    <w:rsid w:val="711CD624"/>
    <w:rsid w:val="711E0D89"/>
    <w:rsid w:val="712035B3"/>
    <w:rsid w:val="7124ED8E"/>
    <w:rsid w:val="71254C3F"/>
    <w:rsid w:val="7126820B"/>
    <w:rsid w:val="7129F552"/>
    <w:rsid w:val="713082CD"/>
    <w:rsid w:val="7130A405"/>
    <w:rsid w:val="71358EB0"/>
    <w:rsid w:val="7136E3DD"/>
    <w:rsid w:val="7144834F"/>
    <w:rsid w:val="714773AB"/>
    <w:rsid w:val="714898B1"/>
    <w:rsid w:val="714D6F86"/>
    <w:rsid w:val="71516BF0"/>
    <w:rsid w:val="71525FC1"/>
    <w:rsid w:val="715777E8"/>
    <w:rsid w:val="715A6D31"/>
    <w:rsid w:val="715C3F6E"/>
    <w:rsid w:val="715CEDDE"/>
    <w:rsid w:val="7160A8D4"/>
    <w:rsid w:val="71618993"/>
    <w:rsid w:val="7164B55F"/>
    <w:rsid w:val="71671E9C"/>
    <w:rsid w:val="716A734C"/>
    <w:rsid w:val="716DCCB9"/>
    <w:rsid w:val="716E1F64"/>
    <w:rsid w:val="71719159"/>
    <w:rsid w:val="7175F049"/>
    <w:rsid w:val="7176BC94"/>
    <w:rsid w:val="71781A9C"/>
    <w:rsid w:val="71784A4B"/>
    <w:rsid w:val="717953C3"/>
    <w:rsid w:val="717AC864"/>
    <w:rsid w:val="7180CBA7"/>
    <w:rsid w:val="71826334"/>
    <w:rsid w:val="71862344"/>
    <w:rsid w:val="7186F21D"/>
    <w:rsid w:val="7186F741"/>
    <w:rsid w:val="71886D15"/>
    <w:rsid w:val="71894F6D"/>
    <w:rsid w:val="718AF459"/>
    <w:rsid w:val="718C5B90"/>
    <w:rsid w:val="71922FD5"/>
    <w:rsid w:val="71962E03"/>
    <w:rsid w:val="71973CE3"/>
    <w:rsid w:val="71976D86"/>
    <w:rsid w:val="719B1E06"/>
    <w:rsid w:val="719EE68A"/>
    <w:rsid w:val="719FA507"/>
    <w:rsid w:val="71A1C4BD"/>
    <w:rsid w:val="71A6EDAA"/>
    <w:rsid w:val="71A6F1AC"/>
    <w:rsid w:val="71AFE49E"/>
    <w:rsid w:val="71B0CACD"/>
    <w:rsid w:val="71B1504C"/>
    <w:rsid w:val="71B94842"/>
    <w:rsid w:val="71BD204B"/>
    <w:rsid w:val="71C042F8"/>
    <w:rsid w:val="71C26941"/>
    <w:rsid w:val="71C32E1B"/>
    <w:rsid w:val="71C37B23"/>
    <w:rsid w:val="71C5D95C"/>
    <w:rsid w:val="71C68E79"/>
    <w:rsid w:val="71D2FA77"/>
    <w:rsid w:val="71D5C8EF"/>
    <w:rsid w:val="71D73377"/>
    <w:rsid w:val="71DFF0E5"/>
    <w:rsid w:val="71E08213"/>
    <w:rsid w:val="71E3B91E"/>
    <w:rsid w:val="71E44335"/>
    <w:rsid w:val="71E46CB1"/>
    <w:rsid w:val="71E4BBC8"/>
    <w:rsid w:val="71E81FCA"/>
    <w:rsid w:val="71EB49F3"/>
    <w:rsid w:val="71F05E5D"/>
    <w:rsid w:val="71FBFBE2"/>
    <w:rsid w:val="71FEA883"/>
    <w:rsid w:val="72005CB5"/>
    <w:rsid w:val="7202FEC4"/>
    <w:rsid w:val="7204C6C0"/>
    <w:rsid w:val="7204E8EA"/>
    <w:rsid w:val="7207EBDE"/>
    <w:rsid w:val="7208F68E"/>
    <w:rsid w:val="720B51B2"/>
    <w:rsid w:val="72147B60"/>
    <w:rsid w:val="721B0F8E"/>
    <w:rsid w:val="721B455E"/>
    <w:rsid w:val="721FEDAF"/>
    <w:rsid w:val="722A857F"/>
    <w:rsid w:val="7232D429"/>
    <w:rsid w:val="723C25E4"/>
    <w:rsid w:val="723C4FC6"/>
    <w:rsid w:val="723EABA0"/>
    <w:rsid w:val="72451158"/>
    <w:rsid w:val="7245C104"/>
    <w:rsid w:val="724936CE"/>
    <w:rsid w:val="7249FA84"/>
    <w:rsid w:val="724B82A8"/>
    <w:rsid w:val="724C6C71"/>
    <w:rsid w:val="724F3C75"/>
    <w:rsid w:val="7254241A"/>
    <w:rsid w:val="72547A73"/>
    <w:rsid w:val="7259540C"/>
    <w:rsid w:val="725A12B3"/>
    <w:rsid w:val="725B6569"/>
    <w:rsid w:val="725FAC07"/>
    <w:rsid w:val="72625CCA"/>
    <w:rsid w:val="7262C398"/>
    <w:rsid w:val="726471C4"/>
    <w:rsid w:val="7265C8F1"/>
    <w:rsid w:val="7268824A"/>
    <w:rsid w:val="726AF679"/>
    <w:rsid w:val="726D526A"/>
    <w:rsid w:val="726FEFDE"/>
    <w:rsid w:val="727D50E9"/>
    <w:rsid w:val="727D7C48"/>
    <w:rsid w:val="727E477E"/>
    <w:rsid w:val="72808881"/>
    <w:rsid w:val="72845FCC"/>
    <w:rsid w:val="72865F2E"/>
    <w:rsid w:val="728832DF"/>
    <w:rsid w:val="72894E67"/>
    <w:rsid w:val="728F0151"/>
    <w:rsid w:val="728F39A0"/>
    <w:rsid w:val="728FC96D"/>
    <w:rsid w:val="72911604"/>
    <w:rsid w:val="7291AAD6"/>
    <w:rsid w:val="72921392"/>
    <w:rsid w:val="7292FCAB"/>
    <w:rsid w:val="72975E99"/>
    <w:rsid w:val="729B5D17"/>
    <w:rsid w:val="729DBC5A"/>
    <w:rsid w:val="729E8F42"/>
    <w:rsid w:val="729EB939"/>
    <w:rsid w:val="72A2BF54"/>
    <w:rsid w:val="72A54EA2"/>
    <w:rsid w:val="72A60A90"/>
    <w:rsid w:val="72A94A34"/>
    <w:rsid w:val="72ADB27B"/>
    <w:rsid w:val="72AE8A8B"/>
    <w:rsid w:val="72AFF09E"/>
    <w:rsid w:val="72B7A6FF"/>
    <w:rsid w:val="72B7AAAC"/>
    <w:rsid w:val="72BAE80F"/>
    <w:rsid w:val="72C20D8D"/>
    <w:rsid w:val="72C40101"/>
    <w:rsid w:val="72C41C25"/>
    <w:rsid w:val="72C6A58C"/>
    <w:rsid w:val="72C6AC56"/>
    <w:rsid w:val="72D005EE"/>
    <w:rsid w:val="72D009F8"/>
    <w:rsid w:val="72D1594E"/>
    <w:rsid w:val="72D2B4D4"/>
    <w:rsid w:val="72D36E5E"/>
    <w:rsid w:val="72D695FE"/>
    <w:rsid w:val="72DA305D"/>
    <w:rsid w:val="72DAA9AC"/>
    <w:rsid w:val="72DAB26C"/>
    <w:rsid w:val="72DD3D14"/>
    <w:rsid w:val="72E0B90D"/>
    <w:rsid w:val="72E464B9"/>
    <w:rsid w:val="72ED7E4D"/>
    <w:rsid w:val="72EF0BC7"/>
    <w:rsid w:val="72F06B73"/>
    <w:rsid w:val="72F70CDD"/>
    <w:rsid w:val="72FC4EBF"/>
    <w:rsid w:val="72FCC8CE"/>
    <w:rsid w:val="72FD356B"/>
    <w:rsid w:val="73013786"/>
    <w:rsid w:val="73075062"/>
    <w:rsid w:val="73090C02"/>
    <w:rsid w:val="7309121D"/>
    <w:rsid w:val="730A1DF0"/>
    <w:rsid w:val="730F06F4"/>
    <w:rsid w:val="7312E3E3"/>
    <w:rsid w:val="73146B1D"/>
    <w:rsid w:val="731527AB"/>
    <w:rsid w:val="7315538B"/>
    <w:rsid w:val="73165803"/>
    <w:rsid w:val="7316F72A"/>
    <w:rsid w:val="7317A0F6"/>
    <w:rsid w:val="7318E60A"/>
    <w:rsid w:val="7319CF06"/>
    <w:rsid w:val="731A2A1D"/>
    <w:rsid w:val="731AAC49"/>
    <w:rsid w:val="731C7CDB"/>
    <w:rsid w:val="731DDE87"/>
    <w:rsid w:val="731F1DB8"/>
    <w:rsid w:val="731F9C75"/>
    <w:rsid w:val="732BEC8C"/>
    <w:rsid w:val="732D29F7"/>
    <w:rsid w:val="732E4AD7"/>
    <w:rsid w:val="7338A8B7"/>
    <w:rsid w:val="733BA3A2"/>
    <w:rsid w:val="733DA062"/>
    <w:rsid w:val="73430534"/>
    <w:rsid w:val="734D8CA6"/>
    <w:rsid w:val="73504CB7"/>
    <w:rsid w:val="7350B2FC"/>
    <w:rsid w:val="73555159"/>
    <w:rsid w:val="73592D7F"/>
    <w:rsid w:val="73649EA7"/>
    <w:rsid w:val="7364AEAE"/>
    <w:rsid w:val="7364F3BA"/>
    <w:rsid w:val="7366DA0C"/>
    <w:rsid w:val="7367107C"/>
    <w:rsid w:val="736A7D36"/>
    <w:rsid w:val="736B2D73"/>
    <w:rsid w:val="736C914E"/>
    <w:rsid w:val="736D92DC"/>
    <w:rsid w:val="736E9220"/>
    <w:rsid w:val="73706691"/>
    <w:rsid w:val="73756098"/>
    <w:rsid w:val="73767723"/>
    <w:rsid w:val="73796868"/>
    <w:rsid w:val="7379F98A"/>
    <w:rsid w:val="737BBCB7"/>
    <w:rsid w:val="737CACE0"/>
    <w:rsid w:val="737F969F"/>
    <w:rsid w:val="7382F5C8"/>
    <w:rsid w:val="738811BC"/>
    <w:rsid w:val="739CEAFB"/>
    <w:rsid w:val="739EE237"/>
    <w:rsid w:val="73A07875"/>
    <w:rsid w:val="73A181DC"/>
    <w:rsid w:val="73A51E58"/>
    <w:rsid w:val="73A582CE"/>
    <w:rsid w:val="73A7CAB2"/>
    <w:rsid w:val="73AA741C"/>
    <w:rsid w:val="73AA8ACA"/>
    <w:rsid w:val="73AC90AC"/>
    <w:rsid w:val="73AD73E5"/>
    <w:rsid w:val="73AF1F9B"/>
    <w:rsid w:val="73AF8582"/>
    <w:rsid w:val="73B00D6C"/>
    <w:rsid w:val="73B13532"/>
    <w:rsid w:val="73B59060"/>
    <w:rsid w:val="73B7021A"/>
    <w:rsid w:val="73BA2A66"/>
    <w:rsid w:val="73BA5321"/>
    <w:rsid w:val="73BA9B50"/>
    <w:rsid w:val="73BB4D19"/>
    <w:rsid w:val="73BC043F"/>
    <w:rsid w:val="73BCEF73"/>
    <w:rsid w:val="73BD1DF3"/>
    <w:rsid w:val="73BEAAC0"/>
    <w:rsid w:val="73BEC6EE"/>
    <w:rsid w:val="73C20B84"/>
    <w:rsid w:val="73C446DD"/>
    <w:rsid w:val="73C7805C"/>
    <w:rsid w:val="73CC71D9"/>
    <w:rsid w:val="73D22618"/>
    <w:rsid w:val="73DC2D0D"/>
    <w:rsid w:val="73DCEAF5"/>
    <w:rsid w:val="73E36655"/>
    <w:rsid w:val="73E4BC03"/>
    <w:rsid w:val="73EA0892"/>
    <w:rsid w:val="73EAFFA4"/>
    <w:rsid w:val="73EC5BC9"/>
    <w:rsid w:val="73ED0779"/>
    <w:rsid w:val="73F20C0A"/>
    <w:rsid w:val="73F691E7"/>
    <w:rsid w:val="73F6A9D8"/>
    <w:rsid w:val="73F6F2EA"/>
    <w:rsid w:val="73F97421"/>
    <w:rsid w:val="73FC84E8"/>
    <w:rsid w:val="73FFD063"/>
    <w:rsid w:val="740066F9"/>
    <w:rsid w:val="74030726"/>
    <w:rsid w:val="7405A7E9"/>
    <w:rsid w:val="74068DF1"/>
    <w:rsid w:val="7406EF5F"/>
    <w:rsid w:val="74091184"/>
    <w:rsid w:val="740CDE49"/>
    <w:rsid w:val="74112EBD"/>
    <w:rsid w:val="7411592D"/>
    <w:rsid w:val="741C72CA"/>
    <w:rsid w:val="741CDDA0"/>
    <w:rsid w:val="741FEBB2"/>
    <w:rsid w:val="74263AFC"/>
    <w:rsid w:val="74281C3A"/>
    <w:rsid w:val="742ACAD9"/>
    <w:rsid w:val="742DA78A"/>
    <w:rsid w:val="742DFBD3"/>
    <w:rsid w:val="742FDC25"/>
    <w:rsid w:val="7431669F"/>
    <w:rsid w:val="743493F2"/>
    <w:rsid w:val="74351226"/>
    <w:rsid w:val="74358C98"/>
    <w:rsid w:val="74386B82"/>
    <w:rsid w:val="743917BA"/>
    <w:rsid w:val="7439E9BF"/>
    <w:rsid w:val="743BF1B9"/>
    <w:rsid w:val="743E53CB"/>
    <w:rsid w:val="743E9B2B"/>
    <w:rsid w:val="74438A6F"/>
    <w:rsid w:val="744A7B7F"/>
    <w:rsid w:val="744B84E0"/>
    <w:rsid w:val="744E4B87"/>
    <w:rsid w:val="7455ACA4"/>
    <w:rsid w:val="745836B4"/>
    <w:rsid w:val="745BE161"/>
    <w:rsid w:val="746215BB"/>
    <w:rsid w:val="74678CD8"/>
    <w:rsid w:val="7467E4D8"/>
    <w:rsid w:val="746AACA7"/>
    <w:rsid w:val="74776DC8"/>
    <w:rsid w:val="74784101"/>
    <w:rsid w:val="74787105"/>
    <w:rsid w:val="747BC7DD"/>
    <w:rsid w:val="74807E7A"/>
    <w:rsid w:val="748527E8"/>
    <w:rsid w:val="748A2787"/>
    <w:rsid w:val="748C0CF0"/>
    <w:rsid w:val="748F74BD"/>
    <w:rsid w:val="7490BF23"/>
    <w:rsid w:val="74917365"/>
    <w:rsid w:val="74935287"/>
    <w:rsid w:val="74957650"/>
    <w:rsid w:val="7496EBB5"/>
    <w:rsid w:val="7497C5FB"/>
    <w:rsid w:val="74983A79"/>
    <w:rsid w:val="749A7829"/>
    <w:rsid w:val="749F3E51"/>
    <w:rsid w:val="74A5084F"/>
    <w:rsid w:val="74A613D6"/>
    <w:rsid w:val="74A688D1"/>
    <w:rsid w:val="74A870E8"/>
    <w:rsid w:val="74A8D67E"/>
    <w:rsid w:val="74AAD41A"/>
    <w:rsid w:val="74ABEFBE"/>
    <w:rsid w:val="74AEEC87"/>
    <w:rsid w:val="74AFB7E5"/>
    <w:rsid w:val="74B6227A"/>
    <w:rsid w:val="74B6B295"/>
    <w:rsid w:val="74BB58E0"/>
    <w:rsid w:val="74BBEA93"/>
    <w:rsid w:val="74BC1C35"/>
    <w:rsid w:val="74C3C610"/>
    <w:rsid w:val="74D16027"/>
    <w:rsid w:val="74D3F4E1"/>
    <w:rsid w:val="74D4631A"/>
    <w:rsid w:val="74D71ACC"/>
    <w:rsid w:val="74E78713"/>
    <w:rsid w:val="74E9AA95"/>
    <w:rsid w:val="74F2C969"/>
    <w:rsid w:val="74F5D462"/>
    <w:rsid w:val="74F76B39"/>
    <w:rsid w:val="74FB7C4D"/>
    <w:rsid w:val="74FC1FCF"/>
    <w:rsid w:val="7503ABA4"/>
    <w:rsid w:val="7504CECB"/>
    <w:rsid w:val="7507276C"/>
    <w:rsid w:val="750775A6"/>
    <w:rsid w:val="750C167B"/>
    <w:rsid w:val="750CD960"/>
    <w:rsid w:val="750F1C3A"/>
    <w:rsid w:val="7510D4C1"/>
    <w:rsid w:val="7511263E"/>
    <w:rsid w:val="75149255"/>
    <w:rsid w:val="75169336"/>
    <w:rsid w:val="7516ED72"/>
    <w:rsid w:val="75193140"/>
    <w:rsid w:val="751D42A6"/>
    <w:rsid w:val="751FFD74"/>
    <w:rsid w:val="752046A9"/>
    <w:rsid w:val="7520767F"/>
    <w:rsid w:val="7524B715"/>
    <w:rsid w:val="75255B55"/>
    <w:rsid w:val="752646B7"/>
    <w:rsid w:val="7526A929"/>
    <w:rsid w:val="75323602"/>
    <w:rsid w:val="7535DB9D"/>
    <w:rsid w:val="753FF7A7"/>
    <w:rsid w:val="7541BABD"/>
    <w:rsid w:val="7544E386"/>
    <w:rsid w:val="754771A3"/>
    <w:rsid w:val="754995F7"/>
    <w:rsid w:val="754D6483"/>
    <w:rsid w:val="75575F61"/>
    <w:rsid w:val="7558F8EF"/>
    <w:rsid w:val="755DD655"/>
    <w:rsid w:val="755EF1E7"/>
    <w:rsid w:val="756257EE"/>
    <w:rsid w:val="7562CF91"/>
    <w:rsid w:val="756D3F90"/>
    <w:rsid w:val="7572B74E"/>
    <w:rsid w:val="75765773"/>
    <w:rsid w:val="75791252"/>
    <w:rsid w:val="757A72B7"/>
    <w:rsid w:val="757ED58A"/>
    <w:rsid w:val="758087A8"/>
    <w:rsid w:val="7582E9D5"/>
    <w:rsid w:val="75895F5E"/>
    <w:rsid w:val="758A4C93"/>
    <w:rsid w:val="758C2DBD"/>
    <w:rsid w:val="758FD2CD"/>
    <w:rsid w:val="75924B47"/>
    <w:rsid w:val="759728A8"/>
    <w:rsid w:val="75978520"/>
    <w:rsid w:val="759908B6"/>
    <w:rsid w:val="759D7976"/>
    <w:rsid w:val="75A4F4E0"/>
    <w:rsid w:val="75A77D72"/>
    <w:rsid w:val="75A97AD9"/>
    <w:rsid w:val="75AE976B"/>
    <w:rsid w:val="75AEF81B"/>
    <w:rsid w:val="75B3A6D3"/>
    <w:rsid w:val="75B3E8ED"/>
    <w:rsid w:val="75B5BF0A"/>
    <w:rsid w:val="75B62295"/>
    <w:rsid w:val="75B62341"/>
    <w:rsid w:val="75BABD1D"/>
    <w:rsid w:val="75BC3A0B"/>
    <w:rsid w:val="75BFFF1B"/>
    <w:rsid w:val="75C96DE8"/>
    <w:rsid w:val="75CD0750"/>
    <w:rsid w:val="75D50366"/>
    <w:rsid w:val="75D634FE"/>
    <w:rsid w:val="75D7EBFD"/>
    <w:rsid w:val="75DEC4C1"/>
    <w:rsid w:val="75E0D562"/>
    <w:rsid w:val="75EA3A61"/>
    <w:rsid w:val="75EB1ADC"/>
    <w:rsid w:val="75EE8990"/>
    <w:rsid w:val="75F1BEE3"/>
    <w:rsid w:val="75F40433"/>
    <w:rsid w:val="7600A000"/>
    <w:rsid w:val="76012638"/>
    <w:rsid w:val="7604944A"/>
    <w:rsid w:val="76063231"/>
    <w:rsid w:val="76070107"/>
    <w:rsid w:val="7608A5E9"/>
    <w:rsid w:val="760BBA3F"/>
    <w:rsid w:val="76133E9F"/>
    <w:rsid w:val="7613E82A"/>
    <w:rsid w:val="761687D0"/>
    <w:rsid w:val="761F5ADD"/>
    <w:rsid w:val="7620A3FC"/>
    <w:rsid w:val="762149E6"/>
    <w:rsid w:val="762548F9"/>
    <w:rsid w:val="7628D9A9"/>
    <w:rsid w:val="7630FFFF"/>
    <w:rsid w:val="7631C882"/>
    <w:rsid w:val="7632BB17"/>
    <w:rsid w:val="763405B9"/>
    <w:rsid w:val="76368963"/>
    <w:rsid w:val="763D6E2E"/>
    <w:rsid w:val="763E19E0"/>
    <w:rsid w:val="763E3CB5"/>
    <w:rsid w:val="7642149B"/>
    <w:rsid w:val="76434BDB"/>
    <w:rsid w:val="7646182A"/>
    <w:rsid w:val="76479C3C"/>
    <w:rsid w:val="764AEC59"/>
    <w:rsid w:val="764F0D8F"/>
    <w:rsid w:val="765076CF"/>
    <w:rsid w:val="765172C0"/>
    <w:rsid w:val="76559943"/>
    <w:rsid w:val="765676B0"/>
    <w:rsid w:val="76578FEC"/>
    <w:rsid w:val="765C4D23"/>
    <w:rsid w:val="765EEAAB"/>
    <w:rsid w:val="7660BFBC"/>
    <w:rsid w:val="76636F60"/>
    <w:rsid w:val="7669457F"/>
    <w:rsid w:val="766A8B8C"/>
    <w:rsid w:val="766BBB60"/>
    <w:rsid w:val="766DC2B2"/>
    <w:rsid w:val="766F7885"/>
    <w:rsid w:val="7670B1FB"/>
    <w:rsid w:val="7673601B"/>
    <w:rsid w:val="7676E806"/>
    <w:rsid w:val="7677D8EC"/>
    <w:rsid w:val="76786EF4"/>
    <w:rsid w:val="767A4CA9"/>
    <w:rsid w:val="767A6B54"/>
    <w:rsid w:val="76819331"/>
    <w:rsid w:val="76823F93"/>
    <w:rsid w:val="7685CCC4"/>
    <w:rsid w:val="7687F9C8"/>
    <w:rsid w:val="76898F75"/>
    <w:rsid w:val="768AE64A"/>
    <w:rsid w:val="7691104B"/>
    <w:rsid w:val="7695140A"/>
    <w:rsid w:val="76976C32"/>
    <w:rsid w:val="769851E2"/>
    <w:rsid w:val="769BEBA7"/>
    <w:rsid w:val="769CCAB3"/>
    <w:rsid w:val="769CED9C"/>
    <w:rsid w:val="769E1F20"/>
    <w:rsid w:val="76A0979F"/>
    <w:rsid w:val="76ACA444"/>
    <w:rsid w:val="76B1AB04"/>
    <w:rsid w:val="76B35E0E"/>
    <w:rsid w:val="76B88CEA"/>
    <w:rsid w:val="76B94CCA"/>
    <w:rsid w:val="76B9C0DC"/>
    <w:rsid w:val="76BED760"/>
    <w:rsid w:val="76BF48A2"/>
    <w:rsid w:val="76BF6D09"/>
    <w:rsid w:val="76C22B63"/>
    <w:rsid w:val="76C5D08A"/>
    <w:rsid w:val="76C871B7"/>
    <w:rsid w:val="76C87A60"/>
    <w:rsid w:val="76C99C66"/>
    <w:rsid w:val="76D4E2A1"/>
    <w:rsid w:val="76DA02C4"/>
    <w:rsid w:val="76DA3E11"/>
    <w:rsid w:val="76E14891"/>
    <w:rsid w:val="76E174F5"/>
    <w:rsid w:val="76E3DC16"/>
    <w:rsid w:val="76E673A0"/>
    <w:rsid w:val="76E6ED3A"/>
    <w:rsid w:val="76E70AEC"/>
    <w:rsid w:val="76EA03B4"/>
    <w:rsid w:val="76EA6839"/>
    <w:rsid w:val="76EA7480"/>
    <w:rsid w:val="76EF4222"/>
    <w:rsid w:val="76F71CE1"/>
    <w:rsid w:val="76F7FA20"/>
    <w:rsid w:val="76FD3497"/>
    <w:rsid w:val="76FD69CF"/>
    <w:rsid w:val="76FE4830"/>
    <w:rsid w:val="770893F6"/>
    <w:rsid w:val="770D7877"/>
    <w:rsid w:val="770E7866"/>
    <w:rsid w:val="770ECEE7"/>
    <w:rsid w:val="7711649C"/>
    <w:rsid w:val="7712D2AE"/>
    <w:rsid w:val="7713C2C4"/>
    <w:rsid w:val="7713C8C1"/>
    <w:rsid w:val="77156943"/>
    <w:rsid w:val="77160AFB"/>
    <w:rsid w:val="771A011E"/>
    <w:rsid w:val="771E7753"/>
    <w:rsid w:val="77253B1F"/>
    <w:rsid w:val="77290E75"/>
    <w:rsid w:val="772B2219"/>
    <w:rsid w:val="772F02DF"/>
    <w:rsid w:val="77333ACB"/>
    <w:rsid w:val="773991B5"/>
    <w:rsid w:val="773F3645"/>
    <w:rsid w:val="773FA754"/>
    <w:rsid w:val="77453A3F"/>
    <w:rsid w:val="77465773"/>
    <w:rsid w:val="774AC263"/>
    <w:rsid w:val="774AF1B7"/>
    <w:rsid w:val="774B96C2"/>
    <w:rsid w:val="7756A1E4"/>
    <w:rsid w:val="775A663B"/>
    <w:rsid w:val="7768B4AE"/>
    <w:rsid w:val="776AFA49"/>
    <w:rsid w:val="776B1392"/>
    <w:rsid w:val="776B5A69"/>
    <w:rsid w:val="776E2E3B"/>
    <w:rsid w:val="777506C3"/>
    <w:rsid w:val="777B5A41"/>
    <w:rsid w:val="778194B3"/>
    <w:rsid w:val="77831ADC"/>
    <w:rsid w:val="7783E743"/>
    <w:rsid w:val="77872CF3"/>
    <w:rsid w:val="778A9F9D"/>
    <w:rsid w:val="7791CC21"/>
    <w:rsid w:val="7794367E"/>
    <w:rsid w:val="7797E174"/>
    <w:rsid w:val="7797F10C"/>
    <w:rsid w:val="779B8988"/>
    <w:rsid w:val="779BDB7E"/>
    <w:rsid w:val="779E34A4"/>
    <w:rsid w:val="77A39348"/>
    <w:rsid w:val="77A48655"/>
    <w:rsid w:val="77A4F399"/>
    <w:rsid w:val="77A96013"/>
    <w:rsid w:val="77AA17F4"/>
    <w:rsid w:val="77AB9D1A"/>
    <w:rsid w:val="77B02AC3"/>
    <w:rsid w:val="77B9EB3E"/>
    <w:rsid w:val="77BB394F"/>
    <w:rsid w:val="77C59975"/>
    <w:rsid w:val="77C6651B"/>
    <w:rsid w:val="77C6ED16"/>
    <w:rsid w:val="77CCD867"/>
    <w:rsid w:val="77CD5487"/>
    <w:rsid w:val="77D248B0"/>
    <w:rsid w:val="77D4C199"/>
    <w:rsid w:val="77D60320"/>
    <w:rsid w:val="77D76550"/>
    <w:rsid w:val="77D9E818"/>
    <w:rsid w:val="77DA8250"/>
    <w:rsid w:val="77DC9E6D"/>
    <w:rsid w:val="77DF309A"/>
    <w:rsid w:val="77E03E73"/>
    <w:rsid w:val="77E1228B"/>
    <w:rsid w:val="77E53746"/>
    <w:rsid w:val="77E5A57E"/>
    <w:rsid w:val="77EABCA9"/>
    <w:rsid w:val="77EB69CF"/>
    <w:rsid w:val="77F0DA35"/>
    <w:rsid w:val="77F264D6"/>
    <w:rsid w:val="77F4D089"/>
    <w:rsid w:val="77F80C19"/>
    <w:rsid w:val="77FDF621"/>
    <w:rsid w:val="77FEBE4A"/>
    <w:rsid w:val="7800894F"/>
    <w:rsid w:val="7806439B"/>
    <w:rsid w:val="78066385"/>
    <w:rsid w:val="78066557"/>
    <w:rsid w:val="780B50E3"/>
    <w:rsid w:val="780C9449"/>
    <w:rsid w:val="780CB8F5"/>
    <w:rsid w:val="780DCB82"/>
    <w:rsid w:val="780DFEEC"/>
    <w:rsid w:val="781085EF"/>
    <w:rsid w:val="7817AF9E"/>
    <w:rsid w:val="7819AB66"/>
    <w:rsid w:val="781C1D90"/>
    <w:rsid w:val="781F1D39"/>
    <w:rsid w:val="7820EDA1"/>
    <w:rsid w:val="78222412"/>
    <w:rsid w:val="7822565C"/>
    <w:rsid w:val="7823DA12"/>
    <w:rsid w:val="7824A159"/>
    <w:rsid w:val="7824C3B6"/>
    <w:rsid w:val="782A22AC"/>
    <w:rsid w:val="782B5E80"/>
    <w:rsid w:val="782FD7E5"/>
    <w:rsid w:val="7831F495"/>
    <w:rsid w:val="78350476"/>
    <w:rsid w:val="783BBCDD"/>
    <w:rsid w:val="783BEE1A"/>
    <w:rsid w:val="783FBC5A"/>
    <w:rsid w:val="78423C16"/>
    <w:rsid w:val="7844F1D2"/>
    <w:rsid w:val="7845B7A1"/>
    <w:rsid w:val="784B4194"/>
    <w:rsid w:val="784F60B8"/>
    <w:rsid w:val="7850F5E5"/>
    <w:rsid w:val="78515833"/>
    <w:rsid w:val="78540F1B"/>
    <w:rsid w:val="7856FD55"/>
    <w:rsid w:val="78578038"/>
    <w:rsid w:val="785B9EA7"/>
    <w:rsid w:val="785F0A1E"/>
    <w:rsid w:val="7867DC78"/>
    <w:rsid w:val="786D1EE3"/>
    <w:rsid w:val="786D2ECD"/>
    <w:rsid w:val="786E853D"/>
    <w:rsid w:val="786F60C0"/>
    <w:rsid w:val="786FD7DC"/>
    <w:rsid w:val="7871DB84"/>
    <w:rsid w:val="78727A8D"/>
    <w:rsid w:val="7872DEA9"/>
    <w:rsid w:val="78760900"/>
    <w:rsid w:val="7878993A"/>
    <w:rsid w:val="787EA2B5"/>
    <w:rsid w:val="7880AAB7"/>
    <w:rsid w:val="7880E519"/>
    <w:rsid w:val="78832628"/>
    <w:rsid w:val="7886DA20"/>
    <w:rsid w:val="788A8A65"/>
    <w:rsid w:val="788AE7D6"/>
    <w:rsid w:val="78948A06"/>
    <w:rsid w:val="7897F927"/>
    <w:rsid w:val="789BA276"/>
    <w:rsid w:val="78A0E9E6"/>
    <w:rsid w:val="78A33135"/>
    <w:rsid w:val="78A3C55F"/>
    <w:rsid w:val="78A50826"/>
    <w:rsid w:val="78A7B7E0"/>
    <w:rsid w:val="78AA5B5F"/>
    <w:rsid w:val="78ACB21D"/>
    <w:rsid w:val="78AE097C"/>
    <w:rsid w:val="78B0F292"/>
    <w:rsid w:val="78B2595E"/>
    <w:rsid w:val="78BD3479"/>
    <w:rsid w:val="78C05F1E"/>
    <w:rsid w:val="78C39F57"/>
    <w:rsid w:val="78C5998E"/>
    <w:rsid w:val="78C7AA81"/>
    <w:rsid w:val="78C8D3D2"/>
    <w:rsid w:val="78CD92AA"/>
    <w:rsid w:val="78D21470"/>
    <w:rsid w:val="78D2A9D8"/>
    <w:rsid w:val="78D5D567"/>
    <w:rsid w:val="78D5DBAE"/>
    <w:rsid w:val="78D860A7"/>
    <w:rsid w:val="78D9168C"/>
    <w:rsid w:val="78DB6DCC"/>
    <w:rsid w:val="78DDCCD1"/>
    <w:rsid w:val="78DF940F"/>
    <w:rsid w:val="78E14E2A"/>
    <w:rsid w:val="78E4D5B9"/>
    <w:rsid w:val="78EC0620"/>
    <w:rsid w:val="78ECEB8F"/>
    <w:rsid w:val="78EE3787"/>
    <w:rsid w:val="78EEE987"/>
    <w:rsid w:val="78F23057"/>
    <w:rsid w:val="78F26DB4"/>
    <w:rsid w:val="78F27063"/>
    <w:rsid w:val="78FE2FC2"/>
    <w:rsid w:val="79012A67"/>
    <w:rsid w:val="790217B2"/>
    <w:rsid w:val="79040D93"/>
    <w:rsid w:val="7908C946"/>
    <w:rsid w:val="790BF903"/>
    <w:rsid w:val="790D7C53"/>
    <w:rsid w:val="790F67A6"/>
    <w:rsid w:val="790F79BB"/>
    <w:rsid w:val="7910E43F"/>
    <w:rsid w:val="7912C3D6"/>
    <w:rsid w:val="7914A7AC"/>
    <w:rsid w:val="79188214"/>
    <w:rsid w:val="791B460A"/>
    <w:rsid w:val="791B9A92"/>
    <w:rsid w:val="792492CF"/>
    <w:rsid w:val="7929512F"/>
    <w:rsid w:val="7929AF39"/>
    <w:rsid w:val="792E7197"/>
    <w:rsid w:val="79318F98"/>
    <w:rsid w:val="79341678"/>
    <w:rsid w:val="793763DA"/>
    <w:rsid w:val="793A0734"/>
    <w:rsid w:val="793A5F3C"/>
    <w:rsid w:val="793D97F4"/>
    <w:rsid w:val="7943C85C"/>
    <w:rsid w:val="79456D25"/>
    <w:rsid w:val="7947B6FB"/>
    <w:rsid w:val="794AE7C3"/>
    <w:rsid w:val="7956D8B2"/>
    <w:rsid w:val="7958D1FF"/>
    <w:rsid w:val="795A5C7B"/>
    <w:rsid w:val="795B024D"/>
    <w:rsid w:val="795C525B"/>
    <w:rsid w:val="795C6A3E"/>
    <w:rsid w:val="79603974"/>
    <w:rsid w:val="7965F375"/>
    <w:rsid w:val="7967666C"/>
    <w:rsid w:val="796ACA37"/>
    <w:rsid w:val="7971EC2A"/>
    <w:rsid w:val="797B01E6"/>
    <w:rsid w:val="797C1E0D"/>
    <w:rsid w:val="797CFBC5"/>
    <w:rsid w:val="797D35AB"/>
    <w:rsid w:val="7980EC4F"/>
    <w:rsid w:val="7984FA9F"/>
    <w:rsid w:val="79861C31"/>
    <w:rsid w:val="79874035"/>
    <w:rsid w:val="798ABE83"/>
    <w:rsid w:val="798F946C"/>
    <w:rsid w:val="79934347"/>
    <w:rsid w:val="799500D8"/>
    <w:rsid w:val="799C750E"/>
    <w:rsid w:val="799ECA8F"/>
    <w:rsid w:val="79AB3767"/>
    <w:rsid w:val="79BA6EF7"/>
    <w:rsid w:val="79C77B37"/>
    <w:rsid w:val="79CF4ACD"/>
    <w:rsid w:val="79CFA930"/>
    <w:rsid w:val="79D3BC27"/>
    <w:rsid w:val="79D5394A"/>
    <w:rsid w:val="79DA7855"/>
    <w:rsid w:val="79E68DFE"/>
    <w:rsid w:val="79E9019E"/>
    <w:rsid w:val="79EACA55"/>
    <w:rsid w:val="79ED3180"/>
    <w:rsid w:val="79EE88A8"/>
    <w:rsid w:val="79F0B483"/>
    <w:rsid w:val="79F237FB"/>
    <w:rsid w:val="79F4906B"/>
    <w:rsid w:val="79F56399"/>
    <w:rsid w:val="79F6C72F"/>
    <w:rsid w:val="79F84BBA"/>
    <w:rsid w:val="79FA516A"/>
    <w:rsid w:val="79FFE710"/>
    <w:rsid w:val="7A00395D"/>
    <w:rsid w:val="7A03D6B2"/>
    <w:rsid w:val="7A0552CB"/>
    <w:rsid w:val="7A0715CC"/>
    <w:rsid w:val="7A0A0C18"/>
    <w:rsid w:val="7A0D082E"/>
    <w:rsid w:val="7A0EE57E"/>
    <w:rsid w:val="7A1C26D0"/>
    <w:rsid w:val="7A1EF1F4"/>
    <w:rsid w:val="7A226972"/>
    <w:rsid w:val="7A22D89F"/>
    <w:rsid w:val="7A2304ED"/>
    <w:rsid w:val="7A29F094"/>
    <w:rsid w:val="7A2CF9B8"/>
    <w:rsid w:val="7A2D5B00"/>
    <w:rsid w:val="7A2DC738"/>
    <w:rsid w:val="7A34753F"/>
    <w:rsid w:val="7A37140C"/>
    <w:rsid w:val="7A3D7F10"/>
    <w:rsid w:val="7A3F99A0"/>
    <w:rsid w:val="7A4392E6"/>
    <w:rsid w:val="7A44DC1F"/>
    <w:rsid w:val="7A498B66"/>
    <w:rsid w:val="7A4B4922"/>
    <w:rsid w:val="7A4C2534"/>
    <w:rsid w:val="7A4C637D"/>
    <w:rsid w:val="7A4C9179"/>
    <w:rsid w:val="7A4C99C4"/>
    <w:rsid w:val="7A4DE08E"/>
    <w:rsid w:val="7A514EA3"/>
    <w:rsid w:val="7A598D8E"/>
    <w:rsid w:val="7A5AC8AC"/>
    <w:rsid w:val="7A5C86CB"/>
    <w:rsid w:val="7A6281A6"/>
    <w:rsid w:val="7A635FA5"/>
    <w:rsid w:val="7A638B57"/>
    <w:rsid w:val="7A6437B1"/>
    <w:rsid w:val="7A691D3A"/>
    <w:rsid w:val="7A6B3F08"/>
    <w:rsid w:val="7A6D8FCC"/>
    <w:rsid w:val="7A778950"/>
    <w:rsid w:val="7A77F43E"/>
    <w:rsid w:val="7A7932E1"/>
    <w:rsid w:val="7A7953A9"/>
    <w:rsid w:val="7A797A56"/>
    <w:rsid w:val="7A7A5B00"/>
    <w:rsid w:val="7A7AAD44"/>
    <w:rsid w:val="7A7CD562"/>
    <w:rsid w:val="7A7F4874"/>
    <w:rsid w:val="7A8488B3"/>
    <w:rsid w:val="7A885E4F"/>
    <w:rsid w:val="7A8B935E"/>
    <w:rsid w:val="7A90885C"/>
    <w:rsid w:val="7A936409"/>
    <w:rsid w:val="7A97C3B8"/>
    <w:rsid w:val="7A996D75"/>
    <w:rsid w:val="7A9E50B2"/>
    <w:rsid w:val="7A9F5117"/>
    <w:rsid w:val="7AA0D746"/>
    <w:rsid w:val="7AA120B9"/>
    <w:rsid w:val="7AA76B7E"/>
    <w:rsid w:val="7AAA8FFC"/>
    <w:rsid w:val="7AABDB1F"/>
    <w:rsid w:val="7AAE983A"/>
    <w:rsid w:val="7AB07CF5"/>
    <w:rsid w:val="7AB59DBB"/>
    <w:rsid w:val="7ABA0CBD"/>
    <w:rsid w:val="7ABFCA88"/>
    <w:rsid w:val="7AC31478"/>
    <w:rsid w:val="7AC5EC2F"/>
    <w:rsid w:val="7AC97B5F"/>
    <w:rsid w:val="7ACB43A4"/>
    <w:rsid w:val="7ACCF5BF"/>
    <w:rsid w:val="7AD1DA32"/>
    <w:rsid w:val="7AD296A8"/>
    <w:rsid w:val="7AD4E712"/>
    <w:rsid w:val="7AD75F3C"/>
    <w:rsid w:val="7AD771D7"/>
    <w:rsid w:val="7ADBB772"/>
    <w:rsid w:val="7ADBCA59"/>
    <w:rsid w:val="7AE48F75"/>
    <w:rsid w:val="7AE7AD33"/>
    <w:rsid w:val="7AE8FA31"/>
    <w:rsid w:val="7AE95E51"/>
    <w:rsid w:val="7AEEDACC"/>
    <w:rsid w:val="7AF1C92A"/>
    <w:rsid w:val="7AF48E41"/>
    <w:rsid w:val="7AF83027"/>
    <w:rsid w:val="7AFF2EB0"/>
    <w:rsid w:val="7B003586"/>
    <w:rsid w:val="7B011949"/>
    <w:rsid w:val="7B025F6E"/>
    <w:rsid w:val="7B0F1D0F"/>
    <w:rsid w:val="7B0F50D6"/>
    <w:rsid w:val="7B10B19C"/>
    <w:rsid w:val="7B115131"/>
    <w:rsid w:val="7B1255C7"/>
    <w:rsid w:val="7B16090D"/>
    <w:rsid w:val="7B16C13E"/>
    <w:rsid w:val="7B18B7BE"/>
    <w:rsid w:val="7B1B7347"/>
    <w:rsid w:val="7B24EFFD"/>
    <w:rsid w:val="7B2553E4"/>
    <w:rsid w:val="7B2836FE"/>
    <w:rsid w:val="7B2BDC9F"/>
    <w:rsid w:val="7B319328"/>
    <w:rsid w:val="7B3310D0"/>
    <w:rsid w:val="7B3556CE"/>
    <w:rsid w:val="7B35B06D"/>
    <w:rsid w:val="7B39FBD4"/>
    <w:rsid w:val="7B3DB32B"/>
    <w:rsid w:val="7B3F9366"/>
    <w:rsid w:val="7B447F5B"/>
    <w:rsid w:val="7B4734BF"/>
    <w:rsid w:val="7B4954D7"/>
    <w:rsid w:val="7B4AD46E"/>
    <w:rsid w:val="7B4C14FD"/>
    <w:rsid w:val="7B4EA8A1"/>
    <w:rsid w:val="7B4FAA13"/>
    <w:rsid w:val="7B5166BD"/>
    <w:rsid w:val="7B51E74A"/>
    <w:rsid w:val="7B58420D"/>
    <w:rsid w:val="7B593328"/>
    <w:rsid w:val="7B5A2A4B"/>
    <w:rsid w:val="7B5EADAB"/>
    <w:rsid w:val="7B64EF36"/>
    <w:rsid w:val="7B6A9C1E"/>
    <w:rsid w:val="7B6C9531"/>
    <w:rsid w:val="7B6D51D4"/>
    <w:rsid w:val="7B7023C9"/>
    <w:rsid w:val="7B70FAF2"/>
    <w:rsid w:val="7B757904"/>
    <w:rsid w:val="7B78F1E7"/>
    <w:rsid w:val="7B79189A"/>
    <w:rsid w:val="7B7C7FA3"/>
    <w:rsid w:val="7B7DCE30"/>
    <w:rsid w:val="7B81B11A"/>
    <w:rsid w:val="7B85BACF"/>
    <w:rsid w:val="7B88D2BA"/>
    <w:rsid w:val="7B8E8CD7"/>
    <w:rsid w:val="7B9D6FD9"/>
    <w:rsid w:val="7BA02982"/>
    <w:rsid w:val="7BA0BA90"/>
    <w:rsid w:val="7BA2A534"/>
    <w:rsid w:val="7BA2A8A9"/>
    <w:rsid w:val="7BA3A2CA"/>
    <w:rsid w:val="7BA53D97"/>
    <w:rsid w:val="7BA6A71E"/>
    <w:rsid w:val="7BAC2F9E"/>
    <w:rsid w:val="7BAC4BBB"/>
    <w:rsid w:val="7BACC8C4"/>
    <w:rsid w:val="7BADEF75"/>
    <w:rsid w:val="7BAE70B0"/>
    <w:rsid w:val="7BAFC6BB"/>
    <w:rsid w:val="7BB9FA60"/>
    <w:rsid w:val="7BBCAE5C"/>
    <w:rsid w:val="7BBCCE1A"/>
    <w:rsid w:val="7BC0351D"/>
    <w:rsid w:val="7BC3C911"/>
    <w:rsid w:val="7BC4F4C4"/>
    <w:rsid w:val="7BC7C078"/>
    <w:rsid w:val="7BCB620C"/>
    <w:rsid w:val="7BCBE924"/>
    <w:rsid w:val="7BD1B048"/>
    <w:rsid w:val="7BD26E98"/>
    <w:rsid w:val="7BD35E08"/>
    <w:rsid w:val="7BD8BA3A"/>
    <w:rsid w:val="7BDE278B"/>
    <w:rsid w:val="7BDE36F3"/>
    <w:rsid w:val="7BDE82B6"/>
    <w:rsid w:val="7BE5E185"/>
    <w:rsid w:val="7BE957B4"/>
    <w:rsid w:val="7BE9AA50"/>
    <w:rsid w:val="7BF28036"/>
    <w:rsid w:val="7BF2AB91"/>
    <w:rsid w:val="7BF34EC7"/>
    <w:rsid w:val="7BF540F9"/>
    <w:rsid w:val="7BF60486"/>
    <w:rsid w:val="7BF6CF9E"/>
    <w:rsid w:val="7BF7AD6E"/>
    <w:rsid w:val="7C0B7879"/>
    <w:rsid w:val="7C0FB997"/>
    <w:rsid w:val="7C0FF420"/>
    <w:rsid w:val="7C11B509"/>
    <w:rsid w:val="7C1472EF"/>
    <w:rsid w:val="7C14D459"/>
    <w:rsid w:val="7C1BFDD0"/>
    <w:rsid w:val="7C1CC4F7"/>
    <w:rsid w:val="7C1CCF1C"/>
    <w:rsid w:val="7C1DCE4D"/>
    <w:rsid w:val="7C1F0649"/>
    <w:rsid w:val="7C319072"/>
    <w:rsid w:val="7C31F0CF"/>
    <w:rsid w:val="7C353EC7"/>
    <w:rsid w:val="7C3758D6"/>
    <w:rsid w:val="7C4059A5"/>
    <w:rsid w:val="7C468AE2"/>
    <w:rsid w:val="7C4D3438"/>
    <w:rsid w:val="7C4DA659"/>
    <w:rsid w:val="7C51551C"/>
    <w:rsid w:val="7C51909F"/>
    <w:rsid w:val="7C5C4BA9"/>
    <w:rsid w:val="7C5E21C1"/>
    <w:rsid w:val="7C605443"/>
    <w:rsid w:val="7C66E1B0"/>
    <w:rsid w:val="7C686066"/>
    <w:rsid w:val="7C6AD35C"/>
    <w:rsid w:val="7C6B150F"/>
    <w:rsid w:val="7C6C1AEC"/>
    <w:rsid w:val="7C6F19C4"/>
    <w:rsid w:val="7C6F510D"/>
    <w:rsid w:val="7C722D38"/>
    <w:rsid w:val="7C7A3A98"/>
    <w:rsid w:val="7C8993B3"/>
    <w:rsid w:val="7C89BE80"/>
    <w:rsid w:val="7C8A25E0"/>
    <w:rsid w:val="7C8B51D7"/>
    <w:rsid w:val="7C8DA8FE"/>
    <w:rsid w:val="7C912A2B"/>
    <w:rsid w:val="7C923E2F"/>
    <w:rsid w:val="7C9319DD"/>
    <w:rsid w:val="7C956E48"/>
    <w:rsid w:val="7C97D628"/>
    <w:rsid w:val="7C98BF46"/>
    <w:rsid w:val="7CA1BA92"/>
    <w:rsid w:val="7CA4191C"/>
    <w:rsid w:val="7CA917BC"/>
    <w:rsid w:val="7CAE444A"/>
    <w:rsid w:val="7CB17CB8"/>
    <w:rsid w:val="7CB2F331"/>
    <w:rsid w:val="7CB2FB43"/>
    <w:rsid w:val="7CB79E03"/>
    <w:rsid w:val="7CB937AE"/>
    <w:rsid w:val="7CB9CF74"/>
    <w:rsid w:val="7CC1E539"/>
    <w:rsid w:val="7CC291C5"/>
    <w:rsid w:val="7CC5BE16"/>
    <w:rsid w:val="7CC5CF83"/>
    <w:rsid w:val="7CC70260"/>
    <w:rsid w:val="7CC733B1"/>
    <w:rsid w:val="7CC7B16E"/>
    <w:rsid w:val="7CCDE45B"/>
    <w:rsid w:val="7CCE3921"/>
    <w:rsid w:val="7CCEAE13"/>
    <w:rsid w:val="7CD526DF"/>
    <w:rsid w:val="7CD9A7EC"/>
    <w:rsid w:val="7CDA5067"/>
    <w:rsid w:val="7CDF5468"/>
    <w:rsid w:val="7CE0FE52"/>
    <w:rsid w:val="7CE32A57"/>
    <w:rsid w:val="7CE47122"/>
    <w:rsid w:val="7CE5926E"/>
    <w:rsid w:val="7CE72A2F"/>
    <w:rsid w:val="7CE7D096"/>
    <w:rsid w:val="7CEA4181"/>
    <w:rsid w:val="7CEAAD47"/>
    <w:rsid w:val="7CEAC3BA"/>
    <w:rsid w:val="7CEC36B4"/>
    <w:rsid w:val="7CEED208"/>
    <w:rsid w:val="7CF05E86"/>
    <w:rsid w:val="7CF55921"/>
    <w:rsid w:val="7CF74FF3"/>
    <w:rsid w:val="7CFA6EE0"/>
    <w:rsid w:val="7CFF065A"/>
    <w:rsid w:val="7D01E85C"/>
    <w:rsid w:val="7D03E6FC"/>
    <w:rsid w:val="7D0643C9"/>
    <w:rsid w:val="7D0C3D69"/>
    <w:rsid w:val="7D0C9999"/>
    <w:rsid w:val="7D146BFF"/>
    <w:rsid w:val="7D162716"/>
    <w:rsid w:val="7D1B11A8"/>
    <w:rsid w:val="7D1B1A5E"/>
    <w:rsid w:val="7D1BA2BC"/>
    <w:rsid w:val="7D219DA2"/>
    <w:rsid w:val="7D24388E"/>
    <w:rsid w:val="7D2C411E"/>
    <w:rsid w:val="7D2D51A7"/>
    <w:rsid w:val="7D320A8B"/>
    <w:rsid w:val="7D355848"/>
    <w:rsid w:val="7D396C9B"/>
    <w:rsid w:val="7D3DC68C"/>
    <w:rsid w:val="7D3EC855"/>
    <w:rsid w:val="7D3F1713"/>
    <w:rsid w:val="7D3FD0E4"/>
    <w:rsid w:val="7D434AAC"/>
    <w:rsid w:val="7D457D26"/>
    <w:rsid w:val="7D469BD1"/>
    <w:rsid w:val="7D4DD763"/>
    <w:rsid w:val="7D4F9553"/>
    <w:rsid w:val="7D4FA4B1"/>
    <w:rsid w:val="7D5000D1"/>
    <w:rsid w:val="7D540678"/>
    <w:rsid w:val="7D5413AD"/>
    <w:rsid w:val="7D566085"/>
    <w:rsid w:val="7D568186"/>
    <w:rsid w:val="7D5751EE"/>
    <w:rsid w:val="7D5E4E4C"/>
    <w:rsid w:val="7D5F7026"/>
    <w:rsid w:val="7D67FDFB"/>
    <w:rsid w:val="7D6B6E75"/>
    <w:rsid w:val="7D6FD1CB"/>
    <w:rsid w:val="7D702428"/>
    <w:rsid w:val="7D727463"/>
    <w:rsid w:val="7D76FB6F"/>
    <w:rsid w:val="7D832A5F"/>
    <w:rsid w:val="7D839F5E"/>
    <w:rsid w:val="7D841AC2"/>
    <w:rsid w:val="7D844044"/>
    <w:rsid w:val="7D86EB54"/>
    <w:rsid w:val="7D8D90F2"/>
    <w:rsid w:val="7D9192DA"/>
    <w:rsid w:val="7D932D57"/>
    <w:rsid w:val="7D967F62"/>
    <w:rsid w:val="7D982E7F"/>
    <w:rsid w:val="7D9A66BE"/>
    <w:rsid w:val="7D9C40F2"/>
    <w:rsid w:val="7D9C9173"/>
    <w:rsid w:val="7D9FBD5B"/>
    <w:rsid w:val="7DA359FC"/>
    <w:rsid w:val="7DA5C779"/>
    <w:rsid w:val="7DA6AE36"/>
    <w:rsid w:val="7DA6D11B"/>
    <w:rsid w:val="7DAA74C0"/>
    <w:rsid w:val="7DACDE2E"/>
    <w:rsid w:val="7DADDB3C"/>
    <w:rsid w:val="7DB08A52"/>
    <w:rsid w:val="7DB1072A"/>
    <w:rsid w:val="7DB12F2F"/>
    <w:rsid w:val="7DB23690"/>
    <w:rsid w:val="7DB65DE7"/>
    <w:rsid w:val="7DB7C8AC"/>
    <w:rsid w:val="7DBBEA58"/>
    <w:rsid w:val="7DBCAED3"/>
    <w:rsid w:val="7DBF3D3A"/>
    <w:rsid w:val="7DC905DB"/>
    <w:rsid w:val="7DC9FEE6"/>
    <w:rsid w:val="7DCA6AD0"/>
    <w:rsid w:val="7DCAD90D"/>
    <w:rsid w:val="7DD292B8"/>
    <w:rsid w:val="7DD59372"/>
    <w:rsid w:val="7DD8FAB3"/>
    <w:rsid w:val="7DDF6FB1"/>
    <w:rsid w:val="7DDFD983"/>
    <w:rsid w:val="7DE117EF"/>
    <w:rsid w:val="7DE1B4EF"/>
    <w:rsid w:val="7DE2387A"/>
    <w:rsid w:val="7DE2AD90"/>
    <w:rsid w:val="7DE2B79A"/>
    <w:rsid w:val="7DE45810"/>
    <w:rsid w:val="7DE88CC7"/>
    <w:rsid w:val="7DEB830E"/>
    <w:rsid w:val="7DEE44E6"/>
    <w:rsid w:val="7DEF17EF"/>
    <w:rsid w:val="7DEF203F"/>
    <w:rsid w:val="7DF3E946"/>
    <w:rsid w:val="7E029E3A"/>
    <w:rsid w:val="7E02CC97"/>
    <w:rsid w:val="7E06C5DD"/>
    <w:rsid w:val="7E086340"/>
    <w:rsid w:val="7E0A535E"/>
    <w:rsid w:val="7E0A749E"/>
    <w:rsid w:val="7E124416"/>
    <w:rsid w:val="7E1D73A3"/>
    <w:rsid w:val="7E1E986E"/>
    <w:rsid w:val="7E200201"/>
    <w:rsid w:val="7E21766F"/>
    <w:rsid w:val="7E2373AE"/>
    <w:rsid w:val="7E268799"/>
    <w:rsid w:val="7E271166"/>
    <w:rsid w:val="7E293F2D"/>
    <w:rsid w:val="7E29FF08"/>
    <w:rsid w:val="7E2BAC47"/>
    <w:rsid w:val="7E2BF206"/>
    <w:rsid w:val="7E2C0A7D"/>
    <w:rsid w:val="7E2D8B5C"/>
    <w:rsid w:val="7E32F26C"/>
    <w:rsid w:val="7E34A406"/>
    <w:rsid w:val="7E376A4D"/>
    <w:rsid w:val="7E3954EA"/>
    <w:rsid w:val="7E3CA896"/>
    <w:rsid w:val="7E3E7D5A"/>
    <w:rsid w:val="7E40D317"/>
    <w:rsid w:val="7E410C1B"/>
    <w:rsid w:val="7E422ABF"/>
    <w:rsid w:val="7E48285C"/>
    <w:rsid w:val="7E49C426"/>
    <w:rsid w:val="7E4AAF94"/>
    <w:rsid w:val="7E4F9C98"/>
    <w:rsid w:val="7E524367"/>
    <w:rsid w:val="7E584B49"/>
    <w:rsid w:val="7E593037"/>
    <w:rsid w:val="7E5DA48B"/>
    <w:rsid w:val="7E612BA2"/>
    <w:rsid w:val="7E61613C"/>
    <w:rsid w:val="7E61DC72"/>
    <w:rsid w:val="7E62EE81"/>
    <w:rsid w:val="7E632D6D"/>
    <w:rsid w:val="7E68703E"/>
    <w:rsid w:val="7E68FB83"/>
    <w:rsid w:val="7E75F71F"/>
    <w:rsid w:val="7E764AFA"/>
    <w:rsid w:val="7E794655"/>
    <w:rsid w:val="7E7CBB17"/>
    <w:rsid w:val="7E7E7A7A"/>
    <w:rsid w:val="7E7EE3A8"/>
    <w:rsid w:val="7E813018"/>
    <w:rsid w:val="7E84C145"/>
    <w:rsid w:val="7E8842D9"/>
    <w:rsid w:val="7E8B4341"/>
    <w:rsid w:val="7E8BFEA5"/>
    <w:rsid w:val="7E91471E"/>
    <w:rsid w:val="7E966CC5"/>
    <w:rsid w:val="7E9A3F17"/>
    <w:rsid w:val="7E9C5423"/>
    <w:rsid w:val="7E9CCBB1"/>
    <w:rsid w:val="7EA5712B"/>
    <w:rsid w:val="7EA8AD02"/>
    <w:rsid w:val="7EAA82BE"/>
    <w:rsid w:val="7EAA9080"/>
    <w:rsid w:val="7EB2BE75"/>
    <w:rsid w:val="7EB2E412"/>
    <w:rsid w:val="7EB4A39D"/>
    <w:rsid w:val="7EB6F1A6"/>
    <w:rsid w:val="7EB75044"/>
    <w:rsid w:val="7EB88577"/>
    <w:rsid w:val="7EB8EF4C"/>
    <w:rsid w:val="7EBB80EB"/>
    <w:rsid w:val="7EBB9607"/>
    <w:rsid w:val="7EBCB3B8"/>
    <w:rsid w:val="7EBE0558"/>
    <w:rsid w:val="7EC37565"/>
    <w:rsid w:val="7EC6E222"/>
    <w:rsid w:val="7EC7B06D"/>
    <w:rsid w:val="7ECCD73E"/>
    <w:rsid w:val="7ED0588B"/>
    <w:rsid w:val="7ED15E23"/>
    <w:rsid w:val="7ED19CFD"/>
    <w:rsid w:val="7ED20BA1"/>
    <w:rsid w:val="7ED32955"/>
    <w:rsid w:val="7ED7AB41"/>
    <w:rsid w:val="7EDC3A3B"/>
    <w:rsid w:val="7EDD8B59"/>
    <w:rsid w:val="7EDD94D2"/>
    <w:rsid w:val="7EDE94C6"/>
    <w:rsid w:val="7EE19799"/>
    <w:rsid w:val="7EE269DC"/>
    <w:rsid w:val="7EE81CEF"/>
    <w:rsid w:val="7EE90788"/>
    <w:rsid w:val="7EE92812"/>
    <w:rsid w:val="7EE9BCEF"/>
    <w:rsid w:val="7EED5E6D"/>
    <w:rsid w:val="7EEFED83"/>
    <w:rsid w:val="7EF0C693"/>
    <w:rsid w:val="7EF6575B"/>
    <w:rsid w:val="7EF8B60C"/>
    <w:rsid w:val="7EFBB146"/>
    <w:rsid w:val="7EFBC336"/>
    <w:rsid w:val="7F007C23"/>
    <w:rsid w:val="7F013281"/>
    <w:rsid w:val="7F031ECF"/>
    <w:rsid w:val="7F03EBC8"/>
    <w:rsid w:val="7F04E7BA"/>
    <w:rsid w:val="7F07CA69"/>
    <w:rsid w:val="7F07F834"/>
    <w:rsid w:val="7F0BCD67"/>
    <w:rsid w:val="7F0D693D"/>
    <w:rsid w:val="7F0F8A33"/>
    <w:rsid w:val="7F0FAC94"/>
    <w:rsid w:val="7F104FB3"/>
    <w:rsid w:val="7F10B34A"/>
    <w:rsid w:val="7F118381"/>
    <w:rsid w:val="7F11BBBF"/>
    <w:rsid w:val="7F1239C4"/>
    <w:rsid w:val="7F12E271"/>
    <w:rsid w:val="7F16D7F3"/>
    <w:rsid w:val="7F1A78CA"/>
    <w:rsid w:val="7F1AB164"/>
    <w:rsid w:val="7F1BBF36"/>
    <w:rsid w:val="7F24C735"/>
    <w:rsid w:val="7F298EE0"/>
    <w:rsid w:val="7F2A3EC3"/>
    <w:rsid w:val="7F30823C"/>
    <w:rsid w:val="7F32E86C"/>
    <w:rsid w:val="7F360B28"/>
    <w:rsid w:val="7F387D75"/>
    <w:rsid w:val="7F3BD298"/>
    <w:rsid w:val="7F3D55FD"/>
    <w:rsid w:val="7F3F4BC7"/>
    <w:rsid w:val="7F4000EF"/>
    <w:rsid w:val="7F40D179"/>
    <w:rsid w:val="7F40EE2E"/>
    <w:rsid w:val="7F443FEF"/>
    <w:rsid w:val="7F455B3A"/>
    <w:rsid w:val="7F4EF68C"/>
    <w:rsid w:val="7F53FE34"/>
    <w:rsid w:val="7F548C4A"/>
    <w:rsid w:val="7F56BC94"/>
    <w:rsid w:val="7F5865A7"/>
    <w:rsid w:val="7F5C234B"/>
    <w:rsid w:val="7F5C3600"/>
    <w:rsid w:val="7F61505A"/>
    <w:rsid w:val="7F6C90F0"/>
    <w:rsid w:val="7F6D5AA5"/>
    <w:rsid w:val="7F70C996"/>
    <w:rsid w:val="7F72B217"/>
    <w:rsid w:val="7F732DD6"/>
    <w:rsid w:val="7F73A5A6"/>
    <w:rsid w:val="7F77573D"/>
    <w:rsid w:val="7F7A7CC5"/>
    <w:rsid w:val="7F7EE2C9"/>
    <w:rsid w:val="7F7FA063"/>
    <w:rsid w:val="7F819A22"/>
    <w:rsid w:val="7F851EBD"/>
    <w:rsid w:val="7F8B7C38"/>
    <w:rsid w:val="7F9060DC"/>
    <w:rsid w:val="7F90E1C2"/>
    <w:rsid w:val="7F930B17"/>
    <w:rsid w:val="7F97E7E1"/>
    <w:rsid w:val="7F990B8C"/>
    <w:rsid w:val="7F9A1C7F"/>
    <w:rsid w:val="7F9BC7C6"/>
    <w:rsid w:val="7F9D867B"/>
    <w:rsid w:val="7FA49764"/>
    <w:rsid w:val="7FA4F1B4"/>
    <w:rsid w:val="7FA622B0"/>
    <w:rsid w:val="7FA6C20F"/>
    <w:rsid w:val="7FA7C266"/>
    <w:rsid w:val="7FAD7095"/>
    <w:rsid w:val="7FAF10A0"/>
    <w:rsid w:val="7FB049C7"/>
    <w:rsid w:val="7FB0CFC9"/>
    <w:rsid w:val="7FB1605E"/>
    <w:rsid w:val="7FB69FAE"/>
    <w:rsid w:val="7FB95280"/>
    <w:rsid w:val="7FC16241"/>
    <w:rsid w:val="7FC553A6"/>
    <w:rsid w:val="7FC8EBBF"/>
    <w:rsid w:val="7FD5A80C"/>
    <w:rsid w:val="7FD8BD2F"/>
    <w:rsid w:val="7FD8EF41"/>
    <w:rsid w:val="7FDB8447"/>
    <w:rsid w:val="7FDE74A5"/>
    <w:rsid w:val="7FE11FDD"/>
    <w:rsid w:val="7FE15CED"/>
    <w:rsid w:val="7FE39C2B"/>
    <w:rsid w:val="7FE60AA4"/>
    <w:rsid w:val="7FE60AB4"/>
    <w:rsid w:val="7FE75918"/>
    <w:rsid w:val="7FE76F98"/>
    <w:rsid w:val="7FF8744E"/>
    <w:rsid w:val="7FFB608A"/>
    <w:rsid w:val="7FFC2D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15:docId w15:val="{7994363F-2491-414F-884D-3611BB95A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15D"/>
    <w:pPr>
      <w:spacing w:after="240" w:line="240" w:lineRule="auto"/>
      <w:jc w:val="both"/>
    </w:pPr>
    <w:rPr>
      <w:rFonts w:ascii="Times New Roman" w:hAnsi="Times New Roman" w:cs="Times New Roman"/>
      <w:sz w:val="24"/>
      <w:szCs w:val="24"/>
    </w:rPr>
  </w:style>
  <w:style w:type="paragraph" w:styleId="Heading1">
    <w:name w:val="heading 1"/>
    <w:aliases w:val="H: 1"/>
    <w:basedOn w:val="Normal"/>
    <w:next w:val="Text1"/>
    <w:link w:val="Heading1Char"/>
    <w:qFormat/>
    <w:rsid w:val="006B087E"/>
    <w:pPr>
      <w:keepNext/>
      <w:numPr>
        <w:numId w:val="488"/>
      </w:numPr>
      <w:spacing w:before="240"/>
      <w:outlineLvl w:val="0"/>
    </w:pPr>
    <w:rPr>
      <w:rFonts w:eastAsia="Times New Roman"/>
      <w:b/>
      <w:smallCaps/>
      <w:szCs w:val="20"/>
    </w:rPr>
  </w:style>
  <w:style w:type="paragraph" w:styleId="Heading2">
    <w:name w:val="heading 2"/>
    <w:aliases w:val="H: 2"/>
    <w:basedOn w:val="Normal"/>
    <w:next w:val="Text2"/>
    <w:link w:val="Heading2Char"/>
    <w:qFormat/>
    <w:rsid w:val="006B087E"/>
    <w:pPr>
      <w:keepNext/>
      <w:numPr>
        <w:ilvl w:val="1"/>
        <w:numId w:val="488"/>
      </w:numPr>
      <w:outlineLvl w:val="1"/>
    </w:pPr>
    <w:rPr>
      <w:rFonts w:eastAsia="Times New Roman"/>
      <w:b/>
      <w:szCs w:val="20"/>
    </w:rPr>
  </w:style>
  <w:style w:type="paragraph" w:styleId="Heading3">
    <w:name w:val="heading 3"/>
    <w:aliases w:val="H 3"/>
    <w:basedOn w:val="Normal"/>
    <w:next w:val="Normal"/>
    <w:link w:val="Heading3Char"/>
    <w:qFormat/>
    <w:rsid w:val="006B087E"/>
    <w:pPr>
      <w:keepNext/>
      <w:numPr>
        <w:ilvl w:val="2"/>
        <w:numId w:val="488"/>
      </w:numPr>
      <w:outlineLvl w:val="2"/>
    </w:pPr>
    <w:rPr>
      <w:rFonts w:eastAsia="Times New Roman"/>
      <w:i/>
      <w:szCs w:val="20"/>
    </w:rPr>
  </w:style>
  <w:style w:type="paragraph" w:styleId="Heading4">
    <w:name w:val="heading 4"/>
    <w:basedOn w:val="Normal"/>
    <w:next w:val="Normal"/>
    <w:link w:val="Heading4Char"/>
    <w:qFormat/>
    <w:rsid w:val="006B087E"/>
    <w:pPr>
      <w:keepNext/>
      <w:numPr>
        <w:ilvl w:val="3"/>
        <w:numId w:val="488"/>
      </w:numPr>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numPr>
        <w:ilvl w:val="4"/>
        <w:numId w:val="488"/>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427075"/>
    <w:pPr>
      <w:keepNext/>
      <w:keepLines/>
      <w:numPr>
        <w:ilvl w:val="5"/>
        <w:numId w:val="488"/>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701B62"/>
    <w:pPr>
      <w:keepNext/>
      <w:keepLines/>
      <w:numPr>
        <w:ilvl w:val="6"/>
        <w:numId w:val="488"/>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01B62"/>
    <w:pPr>
      <w:keepNext/>
      <w:keepLines/>
      <w:numPr>
        <w:ilvl w:val="7"/>
        <w:numId w:val="48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01B62"/>
    <w:pPr>
      <w:keepNext/>
      <w:keepLines/>
      <w:numPr>
        <w:ilvl w:val="8"/>
        <w:numId w:val="48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 1 Char"/>
    <w:basedOn w:val="DefaultParagraphFont"/>
    <w:link w:val="Heading1"/>
    <w:rsid w:val="006B087E"/>
    <w:rPr>
      <w:rFonts w:ascii="Times New Roman" w:eastAsia="Times New Roman" w:hAnsi="Times New Roman" w:cs="Times New Roman"/>
      <w:b/>
      <w:smallCaps/>
      <w:sz w:val="24"/>
      <w:szCs w:val="20"/>
    </w:rPr>
  </w:style>
  <w:style w:type="character" w:customStyle="1" w:styleId="Heading2Char">
    <w:name w:val="Heading 2 Char"/>
    <w:aliases w:val="H: 2 Char"/>
    <w:basedOn w:val="DefaultParagraphFont"/>
    <w:link w:val="Heading2"/>
    <w:rsid w:val="006B087E"/>
    <w:rPr>
      <w:rFonts w:ascii="Times New Roman" w:eastAsia="Times New Roman" w:hAnsi="Times New Roman" w:cs="Times New Roman"/>
      <w:b/>
      <w:sz w:val="24"/>
      <w:szCs w:val="20"/>
    </w:rPr>
  </w:style>
  <w:style w:type="character" w:customStyle="1" w:styleId="Heading3Char">
    <w:name w:val="Heading 3 Char"/>
    <w:aliases w:val="H 3 Char"/>
    <w:basedOn w:val="DefaultParagraphFont"/>
    <w:link w:val="Heading3"/>
    <w:rsid w:val="006B087E"/>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rsid w:val="006B087E"/>
    <w:pPr>
      <w:numPr>
        <w:numId w:val="19"/>
      </w:numPr>
      <w:tabs>
        <w:tab w:val="clear" w:pos="283"/>
      </w:tabs>
      <w:ind w:left="720" w:hanging="360"/>
    </w:pPr>
    <w:rPr>
      <w:rFonts w:eastAsia="Times New Roman"/>
      <w:szCs w:val="20"/>
    </w:rPr>
  </w:style>
  <w:style w:type="paragraph" w:customStyle="1" w:styleId="ListDash1">
    <w:name w:val="List Dash 1"/>
    <w:basedOn w:val="Text1"/>
    <w:rsid w:val="006B087E"/>
    <w:pPr>
      <w:numPr>
        <w:numId w:val="13"/>
      </w:numPr>
      <w:tabs>
        <w:tab w:val="clear" w:pos="765"/>
      </w:tabs>
      <w:ind w:left="432" w:hanging="432"/>
    </w:pPr>
  </w:style>
  <w:style w:type="table" w:styleId="TableGrid">
    <w:name w:val="Table Grid"/>
    <w:aliases w:val="Document Table,CV1"/>
    <w:basedOn w:val="TableNormal"/>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rsid w:val="00B35BA0"/>
    <w:pPr>
      <w:numPr>
        <w:numId w:val="0"/>
      </w:numPr>
      <w:spacing w:after="480"/>
      <w:jc w:val="center"/>
    </w:pPr>
    <w:rPr>
      <w:sz w:val="32"/>
    </w:rPr>
  </w:style>
  <w:style w:type="character" w:customStyle="1" w:styleId="AnnexTitleChar">
    <w:name w:val="Annex Title Char"/>
    <w:basedOn w:val="DefaultParagraphFont"/>
    <w:link w:val="AnnexTitle"/>
    <w:rsid w:val="00B35BA0"/>
    <w:rPr>
      <w:rFonts w:ascii="Times New Roman" w:eastAsia="Times New Roman" w:hAnsi="Times New Roman" w:cs="Times New Roman"/>
      <w:b/>
      <w:smallCaps/>
      <w:sz w:val="32"/>
      <w:szCs w:val="20"/>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sz w:val="24"/>
      <w:szCs w:val="24"/>
    </w:rPr>
  </w:style>
  <w:style w:type="paragraph" w:styleId="Title">
    <w:name w:val="Title"/>
    <w:aliases w:val="Cover- 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Cover- 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aliases w:val="H: TEXT"/>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styleId="CommentReference">
    <w:name w:val="annotation reference"/>
    <w:basedOn w:val="DefaultParagraphFont"/>
    <w:uiPriority w:val="99"/>
    <w:semiHidden/>
    <w:unhideWhenUsed/>
    <w:rsid w:val="002252CF"/>
    <w:rPr>
      <w:sz w:val="16"/>
      <w:szCs w:val="16"/>
    </w:rPr>
  </w:style>
  <w:style w:type="paragraph" w:styleId="CommentText">
    <w:name w:val="annotation text"/>
    <w:basedOn w:val="Normal"/>
    <w:link w:val="CommentTextChar"/>
    <w:uiPriority w:val="99"/>
    <w:unhideWhenUsed/>
    <w:rsid w:val="002252CF"/>
    <w:rPr>
      <w:sz w:val="20"/>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3">
    <w:name w:val="toc 3"/>
    <w:basedOn w:val="Normal"/>
    <w:next w:val="Normal"/>
    <w:autoRedefine/>
    <w:uiPriority w:val="39"/>
    <w:unhideWhenUsed/>
    <w:rsid w:val="00DF786B"/>
    <w:pPr>
      <w:spacing w:after="100"/>
      <w:ind w:left="480"/>
    </w:pPr>
  </w:style>
  <w:style w:type="paragraph" w:customStyle="1" w:styleId="Point0">
    <w:name w:val="Point 0"/>
    <w:basedOn w:val="Normal"/>
    <w:rsid w:val="004649A2"/>
    <w:pPr>
      <w:spacing w:before="120" w:after="120"/>
      <w:ind w:left="850" w:hanging="850"/>
    </w:pPr>
    <w:rPr>
      <w:szCs w:val="22"/>
    </w:rPr>
  </w:style>
  <w:style w:type="paragraph" w:customStyle="1" w:styleId="Tiret0">
    <w:name w:val="Tiret 0"/>
    <w:basedOn w:val="Point0"/>
    <w:rsid w:val="0005481B"/>
    <w:pPr>
      <w:numPr>
        <w:numId w:val="100"/>
      </w:numPr>
      <w:tabs>
        <w:tab w:val="clear" w:pos="850"/>
      </w:tabs>
      <w:ind w:left="720" w:hanging="360"/>
    </w:pPr>
  </w:style>
  <w:style w:type="paragraph" w:styleId="ListNumber2">
    <w:name w:val="List Number 2"/>
    <w:basedOn w:val="Normal"/>
    <w:rsid w:val="006B0672"/>
    <w:pPr>
      <w:numPr>
        <w:numId w:val="101"/>
      </w:numPr>
      <w:tabs>
        <w:tab w:val="clear" w:pos="1560"/>
      </w:tabs>
      <w:spacing w:before="120" w:after="120"/>
      <w:ind w:left="720" w:hanging="360"/>
    </w:pPr>
    <w:rPr>
      <w:rFonts w:eastAsia="Times New Roman"/>
      <w:szCs w:val="22"/>
      <w:lang w:val="fr-FR" w:eastAsia="en-GB"/>
    </w:rPr>
  </w:style>
  <w:style w:type="paragraph" w:customStyle="1" w:styleId="ListNumber2Level2">
    <w:name w:val="List Number 2 (Level 2)"/>
    <w:basedOn w:val="Text2"/>
    <w:rsid w:val="006B0672"/>
    <w:pPr>
      <w:numPr>
        <w:ilvl w:val="1"/>
        <w:numId w:val="101"/>
      </w:numPr>
      <w:tabs>
        <w:tab w:val="clear" w:pos="2268"/>
        <w:tab w:val="clear" w:pos="2302"/>
      </w:tabs>
      <w:spacing w:before="120" w:after="120"/>
      <w:ind w:left="1440" w:hanging="360"/>
    </w:pPr>
    <w:rPr>
      <w:szCs w:val="22"/>
      <w:lang w:val="fr-FR" w:eastAsia="en-GB"/>
    </w:rPr>
  </w:style>
  <w:style w:type="paragraph" w:customStyle="1" w:styleId="ListNumber2Level3">
    <w:name w:val="List Number 2 (Level 3)"/>
    <w:basedOn w:val="Text2"/>
    <w:rsid w:val="006B0672"/>
    <w:pPr>
      <w:numPr>
        <w:ilvl w:val="2"/>
        <w:numId w:val="101"/>
      </w:numPr>
      <w:tabs>
        <w:tab w:val="clear" w:pos="2302"/>
        <w:tab w:val="clear" w:pos="2977"/>
      </w:tabs>
      <w:spacing w:before="120" w:after="120"/>
      <w:ind w:left="2160" w:hanging="180"/>
    </w:pPr>
    <w:rPr>
      <w:szCs w:val="22"/>
      <w:lang w:val="fr-FR" w:eastAsia="en-GB"/>
    </w:rPr>
  </w:style>
  <w:style w:type="paragraph" w:customStyle="1" w:styleId="ListNumber2Level4">
    <w:name w:val="List Number 2 (Level 4)"/>
    <w:basedOn w:val="Text2"/>
    <w:rsid w:val="006B0672"/>
    <w:pPr>
      <w:numPr>
        <w:ilvl w:val="3"/>
        <w:numId w:val="101"/>
      </w:numPr>
      <w:tabs>
        <w:tab w:val="clear" w:pos="2302"/>
        <w:tab w:val="clear" w:pos="3686"/>
      </w:tabs>
      <w:spacing w:before="120" w:after="120"/>
      <w:ind w:left="2880" w:hanging="360"/>
    </w:pPr>
    <w:rPr>
      <w:szCs w:val="22"/>
      <w:lang w:val="fr-FR" w:eastAsia="en-GB"/>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qFormat/>
    <w:rsid w:val="006B0672"/>
    <w:pPr>
      <w:spacing w:after="160" w:line="240" w:lineRule="exact"/>
      <w:jc w:val="left"/>
    </w:pPr>
    <w:rPr>
      <w:rFonts w:asciiTheme="minorHAnsi" w:hAnsiTheme="minorHAnsi" w:cstheme="minorBidi"/>
      <w:sz w:val="22"/>
      <w:szCs w:val="22"/>
      <w:vertAlign w:val="superscript"/>
      <w:lang w:val="en-US"/>
    </w:rPr>
  </w:style>
  <w:style w:type="paragraph" w:customStyle="1" w:styleId="oj-normal">
    <w:name w:val="oj-normal"/>
    <w:basedOn w:val="Normal"/>
    <w:rsid w:val="00CE523F"/>
    <w:pPr>
      <w:spacing w:before="100" w:beforeAutospacing="1" w:after="100" w:afterAutospacing="1"/>
      <w:jc w:val="left"/>
    </w:pPr>
    <w:rPr>
      <w:rFonts w:eastAsia="Times New Roman"/>
      <w:lang w:val="en-IE" w:eastAsia="en-IE"/>
    </w:rPr>
  </w:style>
  <w:style w:type="paragraph" w:customStyle="1" w:styleId="Normal1">
    <w:name w:val="Normal1"/>
    <w:basedOn w:val="Normal"/>
    <w:rsid w:val="008E2741"/>
    <w:pPr>
      <w:spacing w:before="100" w:beforeAutospacing="1" w:after="100" w:afterAutospacing="1"/>
      <w:jc w:val="left"/>
    </w:pPr>
    <w:rPr>
      <w:rFonts w:eastAsia="Times New Roman"/>
      <w:lang w:val="en-IE" w:eastAsia="en-IE"/>
    </w:rPr>
  </w:style>
  <w:style w:type="character" w:customStyle="1" w:styleId="footnotereference0">
    <w:name w:val="footnotereference"/>
    <w:basedOn w:val="DefaultParagraphFont"/>
    <w:rsid w:val="00CE523F"/>
  </w:style>
  <w:style w:type="paragraph" w:customStyle="1" w:styleId="ManualHeading2">
    <w:name w:val="Manual Heading 2"/>
    <w:basedOn w:val="Normal"/>
    <w:next w:val="Text1"/>
    <w:rsid w:val="00333E60"/>
    <w:pPr>
      <w:keepNext/>
      <w:tabs>
        <w:tab w:val="left" w:pos="850"/>
      </w:tabs>
      <w:spacing w:before="120" w:after="120"/>
      <w:ind w:left="850" w:hanging="850"/>
      <w:outlineLvl w:val="1"/>
    </w:pPr>
    <w:rPr>
      <w:b/>
      <w:szCs w:val="22"/>
    </w:rPr>
  </w:style>
  <w:style w:type="character" w:styleId="Mention">
    <w:name w:val="Mention"/>
    <w:basedOn w:val="DefaultParagraphFont"/>
    <w:uiPriority w:val="99"/>
    <w:unhideWhenUsed/>
    <w:rsid w:val="000A6816"/>
    <w:rPr>
      <w:color w:val="2B579A"/>
      <w:shd w:val="clear" w:color="auto" w:fill="E1DFDD"/>
    </w:rPr>
  </w:style>
  <w:style w:type="paragraph" w:styleId="NormalWeb">
    <w:name w:val="Normal (Web)"/>
    <w:basedOn w:val="Normal"/>
    <w:uiPriority w:val="99"/>
    <w:unhideWhenUsed/>
    <w:rsid w:val="00FD4B11"/>
    <w:pPr>
      <w:spacing w:before="100" w:beforeAutospacing="1" w:after="100" w:afterAutospacing="1"/>
      <w:jc w:val="left"/>
    </w:pPr>
    <w:rPr>
      <w:rFonts w:eastAsia="Times New Roman"/>
      <w:lang w:val="en-IE" w:eastAsia="en-IE"/>
    </w:rPr>
  </w:style>
  <w:style w:type="character" w:styleId="Strong">
    <w:name w:val="Strong"/>
    <w:basedOn w:val="DefaultParagraphFont"/>
    <w:uiPriority w:val="22"/>
    <w:qFormat/>
    <w:rsid w:val="00FD4B11"/>
    <w:rPr>
      <w:b/>
      <w:bCs/>
    </w:rPr>
  </w:style>
  <w:style w:type="paragraph" w:customStyle="1" w:styleId="Languesfaisantfoi">
    <w:name w:val="Langues faisant foi"/>
    <w:basedOn w:val="Normal"/>
    <w:next w:val="Normal"/>
    <w:rsid w:val="00801A80"/>
    <w:pPr>
      <w:spacing w:before="360"/>
      <w:jc w:val="center"/>
    </w:pPr>
    <w:rPr>
      <w:szCs w:val="22"/>
    </w:rPr>
  </w:style>
  <w:style w:type="paragraph" w:customStyle="1" w:styleId="LanguesfaisantfoiPagedecouverture">
    <w:name w:val="Langues faisant foi (Page de couverture)"/>
    <w:basedOn w:val="Normal"/>
    <w:next w:val="Normal"/>
    <w:rsid w:val="00801A80"/>
    <w:pPr>
      <w:spacing w:before="360"/>
      <w:jc w:val="center"/>
    </w:pPr>
    <w:rPr>
      <w:szCs w:val="22"/>
    </w:rPr>
  </w:style>
  <w:style w:type="paragraph" w:customStyle="1" w:styleId="IntrtEEE">
    <w:name w:val="Intérêt EEE"/>
    <w:basedOn w:val="Languesfaisantfoi"/>
    <w:next w:val="Normal"/>
    <w:rsid w:val="00801A80"/>
    <w:pPr>
      <w:spacing w:after="0"/>
    </w:pPr>
  </w:style>
  <w:style w:type="paragraph" w:customStyle="1" w:styleId="IntrtEEEPagedecouverture">
    <w:name w:val="Intérêt EEE (Page de couverture)"/>
    <w:basedOn w:val="IntrtEEE"/>
    <w:next w:val="Normal"/>
    <w:rsid w:val="00801A80"/>
  </w:style>
  <w:style w:type="paragraph" w:customStyle="1" w:styleId="paragraph">
    <w:name w:val="paragraph"/>
    <w:basedOn w:val="Normal"/>
    <w:rsid w:val="009374F8"/>
    <w:pPr>
      <w:spacing w:before="100" w:beforeAutospacing="1" w:after="100" w:afterAutospacing="1"/>
      <w:jc w:val="left"/>
    </w:pPr>
    <w:rPr>
      <w:rFonts w:eastAsia="Times New Roman"/>
      <w:lang w:val="en-IE" w:eastAsia="en-IE"/>
    </w:rPr>
  </w:style>
  <w:style w:type="character" w:customStyle="1" w:styleId="normaltextrun">
    <w:name w:val="normaltextrun"/>
    <w:basedOn w:val="DefaultParagraphFont"/>
    <w:rsid w:val="009374F8"/>
  </w:style>
  <w:style w:type="character" w:customStyle="1" w:styleId="eop">
    <w:name w:val="eop"/>
    <w:basedOn w:val="DefaultParagraphFont"/>
    <w:rsid w:val="009374F8"/>
  </w:style>
  <w:style w:type="character" w:customStyle="1" w:styleId="superscript">
    <w:name w:val="superscript"/>
    <w:basedOn w:val="DefaultParagraphFont"/>
    <w:rsid w:val="009374F8"/>
  </w:style>
  <w:style w:type="paragraph" w:styleId="ListNumber">
    <w:name w:val="List Number"/>
    <w:basedOn w:val="Normal"/>
    <w:uiPriority w:val="1"/>
    <w:qFormat/>
    <w:rsid w:val="00416328"/>
    <w:pPr>
      <w:numPr>
        <w:numId w:val="150"/>
      </w:numPr>
      <w:spacing w:before="80" w:after="80" w:line="264" w:lineRule="auto"/>
      <w:ind w:left="720" w:hanging="720"/>
      <w:jc w:val="left"/>
    </w:pPr>
    <w:rPr>
      <w:rFonts w:ascii="Arial" w:eastAsia="Times New Roman" w:hAnsi="Arial"/>
      <w:lang w:eastAsia="de-DE"/>
    </w:rPr>
  </w:style>
  <w:style w:type="paragraph" w:customStyle="1" w:styleId="ListNumberLevel2">
    <w:name w:val="List Number (Level 2)"/>
    <w:basedOn w:val="ListNumber"/>
    <w:uiPriority w:val="1"/>
    <w:qFormat/>
    <w:rsid w:val="00416328"/>
    <w:pPr>
      <w:numPr>
        <w:ilvl w:val="1"/>
      </w:numPr>
      <w:ind w:left="1080" w:hanging="360"/>
    </w:pPr>
  </w:style>
  <w:style w:type="paragraph" w:customStyle="1" w:styleId="ListNumberLevel3">
    <w:name w:val="List Number (Level 3)"/>
    <w:basedOn w:val="ListNumber"/>
    <w:uiPriority w:val="1"/>
    <w:qFormat/>
    <w:rsid w:val="00416328"/>
    <w:pPr>
      <w:numPr>
        <w:ilvl w:val="2"/>
      </w:numPr>
      <w:ind w:left="1800" w:hanging="180"/>
    </w:pPr>
  </w:style>
  <w:style w:type="paragraph" w:customStyle="1" w:styleId="ListNumberLevel4">
    <w:name w:val="List Number (Level 4)"/>
    <w:basedOn w:val="ListNumber"/>
    <w:uiPriority w:val="1"/>
    <w:qFormat/>
    <w:rsid w:val="00416328"/>
    <w:pPr>
      <w:numPr>
        <w:ilvl w:val="3"/>
      </w:numPr>
      <w:ind w:left="2520" w:hanging="360"/>
    </w:pPr>
  </w:style>
  <w:style w:type="paragraph" w:customStyle="1" w:styleId="ListNumberLevel5">
    <w:name w:val="List Number (Level 5)"/>
    <w:uiPriority w:val="1"/>
    <w:qFormat/>
    <w:rsid w:val="00416328"/>
    <w:pPr>
      <w:numPr>
        <w:ilvl w:val="4"/>
        <w:numId w:val="150"/>
      </w:numPr>
      <w:spacing w:before="80" w:after="80" w:line="264" w:lineRule="auto"/>
      <w:ind w:left="3240" w:hanging="360"/>
    </w:pPr>
    <w:rPr>
      <w:rFonts w:ascii="Arial" w:eastAsia="Times New Roman" w:hAnsi="Arial" w:cs="Times New Roman"/>
      <w:sz w:val="24"/>
      <w:szCs w:val="24"/>
      <w:lang w:eastAsia="de-DE"/>
    </w:rPr>
  </w:style>
  <w:style w:type="paragraph" w:styleId="Caption">
    <w:name w:val="caption"/>
    <w:aliases w:val="Char Car,Caption - Centre Graphic,Char Char Char,Caption1 Char Char Char Char Char Char Char Char,Caption1 Char Char Char Char Char Char Char Char Tegn Tegn Tegn Tegn Tegn,Caption1 Char Char Char Char Char Char Char Char Tegn Tegn Tegn,C,5,label"/>
    <w:next w:val="Normal"/>
    <w:link w:val="CaptionChar"/>
    <w:uiPriority w:val="35"/>
    <w:unhideWhenUsed/>
    <w:qFormat/>
    <w:rsid w:val="001F52A0"/>
    <w:pPr>
      <w:spacing w:before="120" w:line="240" w:lineRule="auto"/>
    </w:pPr>
    <w:rPr>
      <w:rFonts w:ascii="Arial" w:eastAsia="Times New Roman" w:hAnsi="Arial" w:cs="Times New Roman"/>
      <w:b/>
      <w:sz w:val="20"/>
      <w:szCs w:val="24"/>
      <w:lang w:eastAsia="de-DE"/>
    </w:rPr>
  </w:style>
  <w:style w:type="paragraph" w:customStyle="1" w:styleId="CaptionSourceorCopyright">
    <w:name w:val="Caption Source or Copyright"/>
    <w:uiPriority w:val="99"/>
    <w:qFormat/>
    <w:rsid w:val="001F52A0"/>
    <w:pPr>
      <w:spacing w:before="120" w:after="120" w:line="264" w:lineRule="auto"/>
    </w:pPr>
    <w:rPr>
      <w:rFonts w:ascii="Arial" w:eastAsia="Times New Roman" w:hAnsi="Arial" w:cs="Times New Roman"/>
      <w:sz w:val="20"/>
      <w:szCs w:val="24"/>
      <w:lang w:eastAsia="de-DE"/>
    </w:r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Exposant 3 Point Char Char Char"/>
    <w:basedOn w:val="Normal"/>
    <w:uiPriority w:val="99"/>
    <w:rsid w:val="00F9487F"/>
    <w:pPr>
      <w:spacing w:after="160" w:line="240" w:lineRule="exact"/>
      <w:ind w:left="357" w:hanging="357"/>
      <w:jc w:val="left"/>
    </w:pPr>
    <w:rPr>
      <w:rFonts w:asciiTheme="minorHAnsi" w:hAnsiTheme="minorHAnsi" w:cstheme="minorBidi"/>
      <w:sz w:val="22"/>
      <w:szCs w:val="22"/>
      <w:vertAlign w:val="superscript"/>
    </w:rPr>
  </w:style>
  <w:style w:type="character" w:customStyle="1" w:styleId="langEN">
    <w:name w:val="lang_EN"/>
    <w:semiHidden/>
    <w:rsid w:val="00B47C7E"/>
    <w:rPr>
      <w:lang w:val="en-GB"/>
    </w:rPr>
  </w:style>
  <w:style w:type="paragraph" w:customStyle="1" w:styleId="Datainchart">
    <w:name w:val="Data in chart"/>
    <w:link w:val="DatainchartChar"/>
    <w:autoRedefine/>
    <w:uiPriority w:val="1"/>
    <w:qFormat/>
    <w:rsid w:val="008F1623"/>
    <w:pPr>
      <w:spacing w:before="120" w:after="120" w:line="360" w:lineRule="auto"/>
    </w:pPr>
    <w:rPr>
      <w:rFonts w:ascii="Times New Roman" w:eastAsia="Times New Roman" w:hAnsi="Times New Roman" w:cs="Times New Roman"/>
      <w:noProof/>
      <w:color w:val="000000" w:themeColor="text1"/>
      <w:sz w:val="24"/>
      <w:szCs w:val="24"/>
      <w:lang w:eastAsia="de-DE"/>
    </w:rPr>
  </w:style>
  <w:style w:type="character" w:customStyle="1" w:styleId="DatainchartChar">
    <w:name w:val="Data in chart Char"/>
    <w:basedOn w:val="DefaultParagraphFont"/>
    <w:link w:val="Datainchart"/>
    <w:uiPriority w:val="1"/>
    <w:rsid w:val="008F1623"/>
    <w:rPr>
      <w:rFonts w:ascii="Times New Roman" w:eastAsia="Times New Roman" w:hAnsi="Times New Roman" w:cs="Times New Roman"/>
      <w:noProof/>
      <w:color w:val="000000" w:themeColor="text1"/>
      <w:sz w:val="24"/>
      <w:szCs w:val="24"/>
      <w:lang w:eastAsia="de-DE"/>
    </w:rPr>
  </w:style>
  <w:style w:type="character" w:customStyle="1" w:styleId="Bold">
    <w:name w:val="Bold"/>
    <w:uiPriority w:val="1"/>
    <w:qFormat/>
    <w:rsid w:val="00D777C9"/>
    <w:rPr>
      <w:b/>
      <w:bCs/>
    </w:rPr>
  </w:style>
  <w:style w:type="paragraph" w:customStyle="1" w:styleId="HeaderBottomBorder">
    <w:name w:val="Header BottomBorder"/>
    <w:rsid w:val="00032387"/>
    <w:pPr>
      <w:pBdr>
        <w:bottom w:val="single" w:sz="8" w:space="12" w:color="1F497D" w:themeColor="text2"/>
      </w:pBdr>
      <w:spacing w:before="120" w:after="120" w:line="264" w:lineRule="auto"/>
      <w:jc w:val="center"/>
    </w:pPr>
    <w:rPr>
      <w:rFonts w:ascii="Arial" w:eastAsia="Times New Roman" w:hAnsi="Arial" w:cs="Times New Roman"/>
      <w:color w:val="1F497D" w:themeColor="text2"/>
      <w:sz w:val="20"/>
      <w:szCs w:val="24"/>
      <w:lang w:eastAsia="de-DE"/>
    </w:rPr>
  </w:style>
  <w:style w:type="character" w:customStyle="1" w:styleId="CaptionChar">
    <w:name w:val="Caption Char"/>
    <w:aliases w:val="Char Car Char,Caption - Centre Graphic Char,Char Char Char Char,Caption1 Char Char Char Char Char Char Char Char Char,Caption1 Char Char Char Char Char Char Char Char Tegn Tegn Tegn Tegn Tegn Char,C Char,5 Char,label Char"/>
    <w:basedOn w:val="DefaultParagraphFont"/>
    <w:link w:val="Caption"/>
    <w:uiPriority w:val="35"/>
    <w:qFormat/>
    <w:rsid w:val="00032387"/>
    <w:rPr>
      <w:rFonts w:ascii="Arial" w:eastAsia="Times New Roman" w:hAnsi="Arial" w:cs="Times New Roman"/>
      <w:b/>
      <w:sz w:val="20"/>
      <w:szCs w:val="24"/>
      <w:lang w:eastAsia="de-DE"/>
    </w:rPr>
  </w:style>
  <w:style w:type="table" w:styleId="GridTable4-Accent1">
    <w:name w:val="Grid Table 4 Accent 1"/>
    <w:basedOn w:val="TableNormal"/>
    <w:uiPriority w:val="49"/>
    <w:rsid w:val="00586D4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Subtitle">
    <w:name w:val="Subtitle"/>
    <w:aliases w:val="Source / Subtitle"/>
    <w:next w:val="Normal"/>
    <w:link w:val="SubtitleChar"/>
    <w:uiPriority w:val="11"/>
    <w:qFormat/>
    <w:rsid w:val="00586D40"/>
    <w:pPr>
      <w:spacing w:after="240" w:line="240" w:lineRule="atLeast"/>
    </w:pPr>
    <w:rPr>
      <w:rFonts w:ascii="Corbel" w:eastAsia="Corbel" w:hAnsi="Corbel" w:cs="Times New Roman"/>
      <w:color w:val="595653"/>
      <w:sz w:val="16"/>
      <w:szCs w:val="24"/>
    </w:rPr>
  </w:style>
  <w:style w:type="character" w:customStyle="1" w:styleId="SubtitleChar">
    <w:name w:val="Subtitle Char"/>
    <w:aliases w:val="Source / Subtitle Char"/>
    <w:basedOn w:val="DefaultParagraphFont"/>
    <w:link w:val="Subtitle"/>
    <w:uiPriority w:val="11"/>
    <w:rsid w:val="00586D40"/>
    <w:rPr>
      <w:rFonts w:ascii="Corbel" w:eastAsia="Corbel" w:hAnsi="Corbel" w:cs="Times New Roman"/>
      <w:color w:val="595653"/>
      <w:sz w:val="16"/>
      <w:szCs w:val="24"/>
    </w:rPr>
  </w:style>
  <w:style w:type="paragraph" w:customStyle="1" w:styleId="TABLEFONT">
    <w:name w:val="TABLE FONT"/>
    <w:autoRedefine/>
    <w:qFormat/>
    <w:rsid w:val="00BB182A"/>
    <w:pPr>
      <w:spacing w:before="60" w:after="60" w:line="240" w:lineRule="auto"/>
    </w:pPr>
    <w:rPr>
      <w:rFonts w:ascii="Times New Roman" w:eastAsia="Times New Roman" w:hAnsi="Times New Roman" w:cs="Times New Roman"/>
      <w:b/>
      <w:iCs/>
      <w:color w:val="353332"/>
      <w:sz w:val="16"/>
      <w:szCs w:val="16"/>
      <w:lang w:eastAsia="en-GB"/>
    </w:rPr>
  </w:style>
  <w:style w:type="table" w:customStyle="1" w:styleId="TableGridLight1">
    <w:name w:val="Table Grid Light1"/>
    <w:aliases w:val="PPMI List"/>
    <w:basedOn w:val="TableNormal"/>
    <w:uiPriority w:val="40"/>
    <w:rsid w:val="00B24BA2"/>
    <w:pPr>
      <w:spacing w:after="0" w:line="240" w:lineRule="auto"/>
    </w:pPr>
    <w:rPr>
      <w:rFonts w:ascii="Corbel" w:eastAsia="Corbel" w:hAnsi="Corbel" w:cs="Times New Roman"/>
      <w:sz w:val="16"/>
      <w:szCs w:val="20"/>
      <w:lang w:eastAsia="en-GB"/>
    </w:rPr>
    <w:tblPr>
      <w:tblStyleRowBandSize w:val="1"/>
    </w:tblPr>
    <w:tblStylePr w:type="firstRow">
      <w:rPr>
        <w:rFonts w:ascii="Microsoft YaHei UI" w:hAnsi="Microsoft YaHei UI"/>
        <w:b/>
        <w:i w:val="0"/>
        <w:caps/>
        <w:smallCaps w:val="0"/>
        <w:strike w:val="0"/>
        <w:dstrike w:val="0"/>
        <w:vanish w:val="0"/>
        <w:sz w:val="20"/>
        <w:vertAlign w:val="baseline"/>
      </w:rPr>
      <w:tblPr/>
      <w:tcPr>
        <w:tcBorders>
          <w:bottom w:val="single" w:sz="4" w:space="0" w:color="FCB342"/>
        </w:tcBorders>
      </w:tcPr>
    </w:tblStylePr>
    <w:tblStylePr w:type="firstCol">
      <w:rPr>
        <w:rFonts w:ascii="Microsoft YaHei UI" w:hAnsi="Microsoft YaHei UI"/>
        <w:b/>
        <w:i w:val="0"/>
        <w:caps w:val="0"/>
        <w:smallCaps w:val="0"/>
        <w:strike w:val="0"/>
        <w:dstrike w:val="0"/>
        <w:vanish w:val="0"/>
        <w:sz w:val="16"/>
        <w:vertAlign w:val="baseline"/>
      </w:rPr>
    </w:tblStylePr>
    <w:tblStylePr w:type="band1Horz">
      <w:tblPr/>
      <w:tcPr>
        <w:shd w:val="clear" w:color="auto" w:fill="F2F2F2"/>
      </w:tcPr>
    </w:tblStylePr>
  </w:style>
  <w:style w:type="paragraph" w:customStyle="1" w:styleId="HTABLE">
    <w:name w:val="H: TABLE"/>
    <w:basedOn w:val="TABLEFONT"/>
    <w:qFormat/>
    <w:rsid w:val="00586D40"/>
  </w:style>
  <w:style w:type="paragraph" w:customStyle="1" w:styleId="font-claude-response-body">
    <w:name w:val="font-claude-response-body"/>
    <w:basedOn w:val="Normal"/>
    <w:rsid w:val="00586D40"/>
    <w:pPr>
      <w:spacing w:before="100" w:beforeAutospacing="1" w:after="100" w:afterAutospacing="1"/>
      <w:jc w:val="left"/>
    </w:pPr>
    <w:rPr>
      <w:rFonts w:eastAsia="Times New Roman"/>
      <w:lang w:val="en-IE" w:eastAsia="en-IE"/>
    </w:rPr>
  </w:style>
  <w:style w:type="character" w:customStyle="1" w:styleId="Heading6Char">
    <w:name w:val="Heading 6 Char"/>
    <w:basedOn w:val="DefaultParagraphFont"/>
    <w:link w:val="Heading6"/>
    <w:uiPriority w:val="9"/>
    <w:rsid w:val="00427075"/>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rsid w:val="00701B62"/>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701B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01B62"/>
    <w:rPr>
      <w:rFonts w:asciiTheme="majorHAnsi" w:eastAsiaTheme="majorEastAsia" w:hAnsiTheme="majorHAnsi" w:cstheme="majorBidi"/>
      <w:i/>
      <w:iCs/>
      <w:color w:val="272727" w:themeColor="text1" w:themeTint="D8"/>
      <w:sz w:val="21"/>
      <w:szCs w:val="21"/>
    </w:rPr>
  </w:style>
  <w:style w:type="numbering" w:styleId="111111">
    <w:name w:val="Outline List 2"/>
    <w:basedOn w:val="NoList"/>
    <w:uiPriority w:val="99"/>
    <w:semiHidden/>
    <w:unhideWhenUsed/>
    <w:rsid w:val="00E37E25"/>
  </w:style>
  <w:style w:type="character" w:styleId="PageNumber">
    <w:name w:val="page number"/>
    <w:uiPriority w:val="99"/>
    <w:unhideWhenUsed/>
    <w:rsid w:val="00E37E25"/>
    <w:rPr>
      <w:rFonts w:ascii="Corbel" w:hAnsi="Corbel"/>
      <w:b w:val="0"/>
      <w:i w:val="0"/>
      <w:sz w:val="16"/>
    </w:rPr>
  </w:style>
  <w:style w:type="paragraph" w:styleId="Quote">
    <w:name w:val="Quote"/>
    <w:basedOn w:val="Normal"/>
    <w:next w:val="Normal"/>
    <w:link w:val="QuoteChar"/>
    <w:uiPriority w:val="29"/>
    <w:qFormat/>
    <w:rsid w:val="00E37E25"/>
    <w:pPr>
      <w:pBdr>
        <w:top w:val="single" w:sz="6" w:space="10" w:color="FCB342"/>
      </w:pBdr>
      <w:spacing w:before="100" w:after="100" w:line="310" w:lineRule="atLeast"/>
      <w:ind w:left="567"/>
      <w:jc w:val="left"/>
    </w:pPr>
    <w:rPr>
      <w:rFonts w:ascii="Palatino Linotype" w:eastAsia="Times New Roman" w:hAnsi="Palatino Linotype"/>
      <w:b/>
      <w:bCs/>
      <w:color w:val="1F1E1D"/>
      <w:sz w:val="26"/>
      <w:szCs w:val="26"/>
      <w:lang w:eastAsia="lt-LT"/>
    </w:rPr>
  </w:style>
  <w:style w:type="character" w:customStyle="1" w:styleId="QuoteChar">
    <w:name w:val="Quote Char"/>
    <w:basedOn w:val="DefaultParagraphFont"/>
    <w:link w:val="Quote"/>
    <w:uiPriority w:val="29"/>
    <w:rsid w:val="00E37E25"/>
    <w:rPr>
      <w:rFonts w:ascii="Palatino Linotype" w:eastAsia="Times New Roman" w:hAnsi="Palatino Linotype" w:cs="Times New Roman"/>
      <w:b/>
      <w:bCs/>
      <w:color w:val="1F1E1D"/>
      <w:sz w:val="26"/>
      <w:szCs w:val="26"/>
      <w:lang w:eastAsia="lt-LT"/>
    </w:rPr>
  </w:style>
  <w:style w:type="character" w:styleId="SubtleEmphasis">
    <w:name w:val="Subtle Emphasis"/>
    <w:uiPriority w:val="19"/>
    <w:rsid w:val="00E37E25"/>
    <w:rPr>
      <w:rFonts w:ascii="Corbel" w:hAnsi="Corbel"/>
      <w:b/>
      <w:iCs/>
      <w:color w:val="353332"/>
      <w:sz w:val="20"/>
      <w:szCs w:val="20"/>
    </w:rPr>
  </w:style>
  <w:style w:type="character" w:styleId="Emphasis">
    <w:name w:val="Emphasis"/>
    <w:uiPriority w:val="20"/>
    <w:qFormat/>
    <w:rsid w:val="00E37E25"/>
    <w:rPr>
      <w:rFonts w:ascii="Palatino" w:hAnsi="Palatino"/>
      <w:b/>
      <w:i w:val="0"/>
      <w:iCs/>
      <w:sz w:val="20"/>
    </w:rPr>
  </w:style>
  <w:style w:type="paragraph" w:customStyle="1" w:styleId="HFIGURE">
    <w:name w:val="H: FIGURE"/>
    <w:next w:val="Normal"/>
    <w:rsid w:val="003B5903"/>
    <w:pPr>
      <w:numPr>
        <w:numId w:val="226"/>
      </w:numPr>
      <w:pBdr>
        <w:bottom w:val="single" w:sz="2" w:space="5" w:color="auto"/>
      </w:pBdr>
      <w:tabs>
        <w:tab w:val="clear" w:pos="936"/>
      </w:tabs>
      <w:spacing w:before="480" w:after="600" w:line="270" w:lineRule="atLeast"/>
      <w:ind w:left="567" w:hanging="567"/>
    </w:pPr>
    <w:rPr>
      <w:rFonts w:ascii="Corbel" w:eastAsia="Times New Roman" w:hAnsi="Corbel" w:cs="Times New Roman"/>
      <w:b/>
      <w:bCs/>
      <w:caps/>
      <w:color w:val="0A0A08"/>
      <w:sz w:val="20"/>
      <w:szCs w:val="20"/>
      <w:lang w:eastAsia="lt-LT"/>
    </w:rPr>
  </w:style>
  <w:style w:type="numbering" w:customStyle="1" w:styleId="CurrentList1">
    <w:name w:val="Current List1"/>
    <w:uiPriority w:val="99"/>
    <w:rsid w:val="00E37E25"/>
  </w:style>
  <w:style w:type="paragraph" w:customStyle="1" w:styleId="HTABLES">
    <w:name w:val="H: TABLES"/>
    <w:basedOn w:val="HFIGURE"/>
    <w:next w:val="Normal"/>
    <w:rsid w:val="003B5903"/>
    <w:pPr>
      <w:numPr>
        <w:numId w:val="227"/>
      </w:numPr>
      <w:tabs>
        <w:tab w:val="clear" w:pos="851"/>
        <w:tab w:val="num" w:pos="624"/>
        <w:tab w:val="num" w:pos="936"/>
      </w:tabs>
    </w:pPr>
  </w:style>
  <w:style w:type="paragraph" w:styleId="TOC4">
    <w:name w:val="toc 4"/>
    <w:basedOn w:val="Normal"/>
    <w:next w:val="Normal"/>
    <w:autoRedefine/>
    <w:uiPriority w:val="39"/>
    <w:unhideWhenUsed/>
    <w:rsid w:val="00E37E25"/>
    <w:pPr>
      <w:spacing w:after="270" w:line="270" w:lineRule="atLeast"/>
      <w:ind w:left="600"/>
    </w:pPr>
    <w:rPr>
      <w:rFonts w:ascii="Corbel" w:eastAsia="Times New Roman" w:hAnsi="Corbel"/>
      <w:color w:val="353332"/>
      <w:sz w:val="20"/>
      <w:szCs w:val="20"/>
      <w:lang w:eastAsia="en-GB"/>
    </w:rPr>
  </w:style>
  <w:style w:type="paragraph" w:styleId="TOC5">
    <w:name w:val="toc 5"/>
    <w:basedOn w:val="Normal"/>
    <w:next w:val="Normal"/>
    <w:autoRedefine/>
    <w:uiPriority w:val="39"/>
    <w:unhideWhenUsed/>
    <w:rsid w:val="00E37E25"/>
    <w:pPr>
      <w:spacing w:after="270" w:line="270" w:lineRule="atLeast"/>
      <w:ind w:left="800"/>
    </w:pPr>
    <w:rPr>
      <w:rFonts w:ascii="Corbel" w:eastAsia="Times New Roman" w:hAnsi="Corbel"/>
      <w:color w:val="353332"/>
      <w:sz w:val="20"/>
      <w:szCs w:val="20"/>
      <w:lang w:eastAsia="en-GB"/>
    </w:rPr>
  </w:style>
  <w:style w:type="paragraph" w:styleId="TOC6">
    <w:name w:val="toc 6"/>
    <w:basedOn w:val="Normal"/>
    <w:next w:val="Normal"/>
    <w:autoRedefine/>
    <w:uiPriority w:val="39"/>
    <w:unhideWhenUsed/>
    <w:rsid w:val="00E37E25"/>
    <w:pPr>
      <w:spacing w:after="270" w:line="270" w:lineRule="atLeast"/>
      <w:ind w:left="1000"/>
    </w:pPr>
    <w:rPr>
      <w:rFonts w:ascii="Corbel" w:eastAsia="Times New Roman" w:hAnsi="Corbel"/>
      <w:color w:val="353332"/>
      <w:sz w:val="20"/>
      <w:szCs w:val="20"/>
      <w:lang w:eastAsia="en-GB"/>
    </w:rPr>
  </w:style>
  <w:style w:type="paragraph" w:styleId="TOC7">
    <w:name w:val="toc 7"/>
    <w:basedOn w:val="Normal"/>
    <w:next w:val="Normal"/>
    <w:autoRedefine/>
    <w:uiPriority w:val="39"/>
    <w:unhideWhenUsed/>
    <w:rsid w:val="00E37E25"/>
    <w:pPr>
      <w:spacing w:after="270" w:line="270" w:lineRule="atLeast"/>
      <w:ind w:left="1200"/>
    </w:pPr>
    <w:rPr>
      <w:rFonts w:ascii="Corbel" w:eastAsia="Times New Roman" w:hAnsi="Corbel"/>
      <w:color w:val="353332"/>
      <w:sz w:val="20"/>
      <w:szCs w:val="20"/>
      <w:lang w:eastAsia="en-GB"/>
    </w:rPr>
  </w:style>
  <w:style w:type="paragraph" w:styleId="TOC8">
    <w:name w:val="toc 8"/>
    <w:basedOn w:val="Normal"/>
    <w:next w:val="Normal"/>
    <w:autoRedefine/>
    <w:uiPriority w:val="39"/>
    <w:unhideWhenUsed/>
    <w:rsid w:val="00E37E25"/>
    <w:pPr>
      <w:spacing w:after="270" w:line="270" w:lineRule="atLeast"/>
      <w:ind w:left="1400"/>
    </w:pPr>
    <w:rPr>
      <w:rFonts w:ascii="Corbel" w:eastAsia="Times New Roman" w:hAnsi="Corbel"/>
      <w:color w:val="353332"/>
      <w:sz w:val="20"/>
      <w:szCs w:val="20"/>
      <w:lang w:eastAsia="en-GB"/>
    </w:rPr>
  </w:style>
  <w:style w:type="paragraph" w:styleId="TOC9">
    <w:name w:val="toc 9"/>
    <w:basedOn w:val="Normal"/>
    <w:next w:val="Normal"/>
    <w:autoRedefine/>
    <w:uiPriority w:val="39"/>
    <w:unhideWhenUsed/>
    <w:rsid w:val="00E37E25"/>
    <w:pPr>
      <w:spacing w:after="270" w:line="270" w:lineRule="atLeast"/>
      <w:ind w:left="1600"/>
    </w:pPr>
    <w:rPr>
      <w:rFonts w:ascii="Corbel" w:eastAsia="Times New Roman" w:hAnsi="Corbel"/>
      <w:color w:val="353332"/>
      <w:sz w:val="20"/>
      <w:szCs w:val="20"/>
      <w:lang w:eastAsia="en-GB"/>
    </w:rPr>
  </w:style>
  <w:style w:type="paragraph" w:customStyle="1" w:styleId="HeaderText">
    <w:name w:val="Header Text"/>
    <w:basedOn w:val="Header"/>
    <w:link w:val="HeaderTextChar"/>
    <w:rsid w:val="00E37E25"/>
    <w:pPr>
      <w:pBdr>
        <w:bottom w:val="single" w:sz="2" w:space="5" w:color="auto"/>
      </w:pBdr>
      <w:tabs>
        <w:tab w:val="clear" w:pos="4535"/>
        <w:tab w:val="clear" w:pos="9071"/>
        <w:tab w:val="center" w:pos="4680"/>
        <w:tab w:val="right" w:pos="9360"/>
      </w:tabs>
      <w:spacing w:after="270" w:line="270" w:lineRule="atLeast"/>
      <w:jc w:val="left"/>
    </w:pPr>
    <w:rPr>
      <w:rFonts w:ascii="Corbel" w:eastAsia="Times New Roman" w:hAnsi="Corbel"/>
      <w:b/>
      <w:color w:val="1F1E1D"/>
      <w:sz w:val="16"/>
      <w:szCs w:val="14"/>
      <w:lang w:eastAsia="lt-LT"/>
    </w:rPr>
  </w:style>
  <w:style w:type="character" w:customStyle="1" w:styleId="HeaderTextChar">
    <w:name w:val="Header Text Char"/>
    <w:link w:val="HeaderText"/>
    <w:rsid w:val="00E37E25"/>
    <w:rPr>
      <w:rFonts w:ascii="Corbel" w:eastAsia="Times New Roman" w:hAnsi="Corbel" w:cs="Times New Roman"/>
      <w:b/>
      <w:color w:val="1F1E1D"/>
      <w:sz w:val="16"/>
      <w:szCs w:val="14"/>
      <w:lang w:eastAsia="lt-LT"/>
    </w:rPr>
  </w:style>
  <w:style w:type="table" w:customStyle="1" w:styleId="GridTable3-Accent61">
    <w:name w:val="Grid Table 3 - Accent 61"/>
    <w:basedOn w:val="TableNormal"/>
    <w:uiPriority w:val="48"/>
    <w:rsid w:val="00E37E25"/>
    <w:pPr>
      <w:spacing w:after="0" w:line="240" w:lineRule="auto"/>
    </w:pPr>
    <w:rPr>
      <w:rFonts w:ascii="Corbel" w:eastAsia="Corbel" w:hAnsi="Corbel" w:cs="Times New Roman"/>
      <w:sz w:val="20"/>
      <w:szCs w:val="20"/>
      <w:lang w:eastAsia="en-GB"/>
    </w:rPr>
    <w:tblPr>
      <w:tblStyleRowBandSize w:val="1"/>
      <w:tblStyleColBandSize w:val="1"/>
      <w:tblBorders>
        <w:top w:val="single" w:sz="4" w:space="0" w:color="FEEC9F"/>
        <w:left w:val="single" w:sz="4" w:space="0" w:color="FEEC9F"/>
        <w:bottom w:val="single" w:sz="4" w:space="0" w:color="FEEC9F"/>
        <w:right w:val="single" w:sz="4" w:space="0" w:color="FEEC9F"/>
        <w:insideH w:val="single" w:sz="4" w:space="0" w:color="FEEC9F"/>
        <w:insideV w:val="single" w:sz="4" w:space="0" w:color="FEEC9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EF8DF"/>
      </w:tcPr>
    </w:tblStylePr>
    <w:tblStylePr w:type="band1Horz">
      <w:tblPr/>
      <w:tcPr>
        <w:shd w:val="clear" w:color="auto" w:fill="FEF8DF"/>
      </w:tcPr>
    </w:tblStylePr>
    <w:tblStylePr w:type="neCell">
      <w:tblPr/>
      <w:tcPr>
        <w:tcBorders>
          <w:bottom w:val="single" w:sz="4" w:space="0" w:color="FEEC9F"/>
        </w:tcBorders>
      </w:tcPr>
    </w:tblStylePr>
    <w:tblStylePr w:type="nwCell">
      <w:tblPr/>
      <w:tcPr>
        <w:tcBorders>
          <w:bottom w:val="single" w:sz="4" w:space="0" w:color="FEEC9F"/>
        </w:tcBorders>
      </w:tcPr>
    </w:tblStylePr>
    <w:tblStylePr w:type="seCell">
      <w:tblPr/>
      <w:tcPr>
        <w:tcBorders>
          <w:top w:val="single" w:sz="4" w:space="0" w:color="FEEC9F"/>
        </w:tcBorders>
      </w:tcPr>
    </w:tblStylePr>
    <w:tblStylePr w:type="swCell">
      <w:tblPr/>
      <w:tcPr>
        <w:tcBorders>
          <w:top w:val="single" w:sz="4" w:space="0" w:color="FEEC9F"/>
        </w:tcBorders>
      </w:tcPr>
    </w:tblStylePr>
  </w:style>
  <w:style w:type="table" w:customStyle="1" w:styleId="ListTable1Light1">
    <w:name w:val="List Table 1 Light1"/>
    <w:basedOn w:val="TableNormal"/>
    <w:uiPriority w:val="46"/>
    <w:rsid w:val="00E37E25"/>
    <w:pPr>
      <w:spacing w:after="0" w:line="240" w:lineRule="auto"/>
    </w:pPr>
    <w:rPr>
      <w:rFonts w:ascii="Corbel" w:eastAsia="Corbel" w:hAnsi="Corbel" w:cs="Times New Roman"/>
      <w:sz w:val="20"/>
      <w:szCs w:val="20"/>
      <w:lang w:eastAsia="en-GB"/>
    </w:rPr>
    <w:tblPr>
      <w:tblStyleRowBandSize w:val="1"/>
      <w:tblStyleColBandSize w:val="1"/>
    </w:tblPr>
    <w:tblStylePr w:type="firstRow">
      <w:rPr>
        <w:b/>
        <w:bCs/>
      </w:rPr>
      <w:tblPr/>
      <w:tcPr>
        <w:tcBorders>
          <w:bottom w:val="single" w:sz="4" w:space="0" w:color="7C7774"/>
        </w:tcBorders>
      </w:tcPr>
    </w:tblStylePr>
    <w:tblStylePr w:type="lastRow">
      <w:rPr>
        <w:b/>
        <w:bCs/>
      </w:rPr>
      <w:tblPr/>
      <w:tcPr>
        <w:tcBorders>
          <w:top w:val="single" w:sz="4" w:space="0" w:color="7C7774"/>
        </w:tcBorders>
      </w:tcPr>
    </w:tblStylePr>
    <w:tblStylePr w:type="firstCol">
      <w:rPr>
        <w:b/>
        <w:bCs/>
      </w:rPr>
    </w:tblStylePr>
    <w:tblStylePr w:type="lastCol">
      <w:rPr>
        <w:b/>
        <w:bCs/>
      </w:rPr>
    </w:tblStylePr>
    <w:tblStylePr w:type="band1Vert">
      <w:tblPr/>
      <w:tcPr>
        <w:shd w:val="clear" w:color="auto" w:fill="D3D1D0"/>
      </w:tcPr>
    </w:tblStylePr>
    <w:tblStylePr w:type="band1Horz">
      <w:tblPr/>
      <w:tcPr>
        <w:shd w:val="clear" w:color="auto" w:fill="D3D1D0"/>
      </w:tcPr>
    </w:tblStylePr>
  </w:style>
  <w:style w:type="table" w:customStyle="1" w:styleId="ListTable7Colorful1">
    <w:name w:val="List Table 7 Colorful1"/>
    <w:basedOn w:val="TableNormal"/>
    <w:uiPriority w:val="52"/>
    <w:rsid w:val="00E37E25"/>
    <w:pPr>
      <w:spacing w:after="0" w:line="240" w:lineRule="auto"/>
    </w:pPr>
    <w:rPr>
      <w:rFonts w:ascii="Corbel" w:eastAsia="Corbel" w:hAnsi="Corbel" w:cs="Times New Roman"/>
      <w:color w:val="1F1E1D"/>
      <w:sz w:val="16"/>
      <w:szCs w:val="20"/>
      <w:lang w:eastAsia="en-GB"/>
    </w:rPr>
    <w:tblPr>
      <w:tblStyleRowBandSize w:val="1"/>
      <w:tblStyleColBandSize w:val="1"/>
    </w:tblPr>
    <w:tcPr>
      <w:shd w:val="clear" w:color="auto" w:fill="auto"/>
    </w:tcPr>
    <w:tblStylePr w:type="firstRow">
      <w:pPr>
        <w:wordWrap/>
        <w:spacing w:beforeLines="0" w:before="40" w:beforeAutospacing="0" w:afterLines="0" w:after="80" w:afterAutospacing="0" w:line="190" w:lineRule="exact"/>
      </w:pPr>
      <w:rPr>
        <w:rFonts w:ascii="Microsoft YaHei UI" w:hAnsi="Microsoft YaHei UI" w:cs="Times New Roman"/>
        <w:b/>
        <w:i w:val="0"/>
        <w:iCs/>
        <w:caps/>
        <w:smallCaps w:val="0"/>
        <w:strike w:val="0"/>
        <w:dstrike w:val="0"/>
        <w:vanish w:val="0"/>
        <w:color w:val="353332"/>
        <w:sz w:val="16"/>
        <w:vertAlign w:val="baseline"/>
      </w:rPr>
      <w:tblPr/>
      <w:tcPr>
        <w:tcBorders>
          <w:bottom w:val="single" w:sz="4" w:space="0" w:color="FCB342"/>
        </w:tcBorders>
        <w:shd w:val="clear" w:color="auto" w:fill="auto"/>
      </w:tcPr>
    </w:tblStylePr>
    <w:tblStylePr w:type="lastRow">
      <w:pPr>
        <w:wordWrap/>
        <w:spacing w:beforeLines="0" w:before="40" w:beforeAutospacing="0" w:afterLines="0" w:after="80" w:afterAutospacing="0" w:line="190" w:lineRule="exact"/>
      </w:pPr>
      <w:rPr>
        <w:rFonts w:ascii="Microsoft YaHei UI" w:hAnsi="Microsoft YaHei UI" w:cs="Times New Roman"/>
        <w:b w:val="0"/>
        <w:i w:val="0"/>
        <w:iCs/>
        <w:color w:val="353332"/>
        <w:sz w:val="16"/>
      </w:rPr>
    </w:tblStylePr>
    <w:tblStylePr w:type="firstCol">
      <w:pPr>
        <w:wordWrap/>
        <w:spacing w:beforeLines="0" w:before="40" w:beforeAutospacing="0" w:afterLines="0" w:after="80" w:afterAutospacing="0" w:line="190" w:lineRule="atLeast"/>
        <w:jc w:val="right"/>
      </w:pPr>
      <w:rPr>
        <w:rFonts w:ascii="Microsoft YaHei UI" w:hAnsi="Microsoft YaHei UI" w:cs="Times New Roman"/>
        <w:b/>
        <w:i w:val="0"/>
        <w:iCs/>
        <w:caps w:val="0"/>
        <w:smallCaps w:val="0"/>
        <w:strike w:val="0"/>
        <w:dstrike w:val="0"/>
        <w:vanish w:val="0"/>
        <w:color w:val="353332"/>
        <w:sz w:val="16"/>
        <w:vertAlign w:val="baseline"/>
      </w:rPr>
      <w:tblPr/>
      <w:tcPr>
        <w:tcBorders>
          <w:top w:val="nil"/>
          <w:left w:val="nil"/>
          <w:bottom w:val="nil"/>
          <w:right w:val="nil"/>
          <w:insideH w:val="nil"/>
          <w:insideV w:val="nil"/>
          <w:tl2br w:val="nil"/>
          <w:tr2bl w:val="nil"/>
        </w:tcBorders>
        <w:shd w:val="clear" w:color="auto" w:fill="F2F2F2"/>
      </w:tcPr>
    </w:tblStylePr>
    <w:tblStylePr w:type="lastCol">
      <w:pPr>
        <w:wordWrap/>
        <w:spacing w:beforeLines="0" w:before="40" w:beforeAutospacing="0" w:afterLines="0" w:after="80" w:afterAutospacing="0" w:line="190" w:lineRule="exact"/>
      </w:pPr>
      <w:rPr>
        <w:rFonts w:ascii="Microsoft YaHei UI" w:eastAsia="Times New Roman" w:hAnsi="Microsoft YaHei UI" w:cs="Times New Roman"/>
        <w:i w:val="0"/>
        <w:iCs/>
        <w:sz w:val="16"/>
      </w:rPr>
      <w:tblPr/>
      <w:tcPr>
        <w:tcBorders>
          <w:left w:val="single" w:sz="4" w:space="0" w:color="1F1E1D"/>
        </w:tcBorders>
        <w:shd w:val="clear" w:color="auto" w:fill="FFFFFF"/>
      </w:tcPr>
    </w:tblStylePr>
    <w:tblStylePr w:type="band1Vert">
      <w:pPr>
        <w:wordWrap/>
        <w:spacing w:beforeLines="0" w:before="40" w:beforeAutospacing="0" w:afterLines="0" w:after="80" w:afterAutospacing="0" w:line="190" w:lineRule="exact"/>
      </w:pPr>
      <w:rPr>
        <w:rFonts w:ascii="Microsoft YaHei UI" w:hAnsi="Microsoft YaHei UI"/>
        <w:sz w:val="16"/>
      </w:rPr>
      <w:tblPr/>
      <w:tcPr>
        <w:tcBorders>
          <w:top w:val="nil"/>
          <w:bottom w:val="nil"/>
        </w:tcBorders>
        <w:shd w:val="clear" w:color="auto" w:fill="auto"/>
      </w:tcPr>
    </w:tblStylePr>
    <w:tblStylePr w:type="band2Vert">
      <w:pPr>
        <w:wordWrap/>
        <w:spacing w:beforeLines="0" w:before="40" w:beforeAutospacing="0" w:afterLines="0" w:after="80" w:afterAutospacing="0" w:line="190" w:lineRule="exact"/>
      </w:pPr>
      <w:rPr>
        <w:rFonts w:ascii="Microsoft YaHei UI" w:hAnsi="Microsoft YaHei UI"/>
        <w:sz w:val="16"/>
      </w:rPr>
      <w:tblPr/>
      <w:tcPr>
        <w:tcBorders>
          <w:top w:val="nil"/>
          <w:bottom w:val="nil"/>
        </w:tcBorders>
        <w:shd w:val="clear" w:color="auto" w:fill="auto"/>
      </w:tcPr>
    </w:tblStylePr>
    <w:tblStylePr w:type="band1Horz">
      <w:pPr>
        <w:wordWrap/>
        <w:spacing w:beforeLines="0" w:before="40" w:beforeAutospacing="0" w:afterLines="0" w:after="80" w:afterAutospacing="0" w:line="190" w:lineRule="exact"/>
      </w:pPr>
      <w:rPr>
        <w:rFonts w:ascii="Microsoft YaHei UI" w:hAnsi="Microsoft YaHei UI"/>
        <w:color w:val="353332"/>
        <w:sz w:val="16"/>
      </w:rPr>
      <w:tblPr/>
      <w:tcPr>
        <w:tcBorders>
          <w:bottom w:val="single" w:sz="4" w:space="0" w:color="918D8A"/>
        </w:tcBorders>
        <w:shd w:val="clear" w:color="auto" w:fill="auto"/>
      </w:tcPr>
    </w:tblStylePr>
    <w:tblStylePr w:type="band2Horz">
      <w:pPr>
        <w:wordWrap/>
        <w:spacing w:beforeLines="0" w:before="40" w:beforeAutospacing="0" w:afterLines="0" w:after="80" w:afterAutospacing="0" w:line="190" w:lineRule="exact"/>
      </w:pPr>
      <w:rPr>
        <w:rFonts w:ascii="Microsoft YaHei UI" w:hAnsi="Microsoft YaHei UI"/>
        <w:sz w:val="16"/>
      </w:rPr>
      <w:tblPr/>
      <w:tcPr>
        <w:tcBorders>
          <w:bottom w:val="single" w:sz="4" w:space="0" w:color="918D8A"/>
        </w:tcBorders>
        <w:shd w:val="clear" w:color="auto" w:fill="auto"/>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rPr>
        <w:rFonts w:ascii="Microsoft YaHei UI" w:hAnsi="Microsoft YaHei UI"/>
        <w:sz w:val="16"/>
      </w:rPr>
      <w:tblPr/>
      <w:tcPr>
        <w:tcBorders>
          <w:right w:val="nil"/>
        </w:tcBorders>
      </w:tcPr>
    </w:tblStylePr>
  </w:style>
  <w:style w:type="table" w:customStyle="1" w:styleId="ListTable7Colorful-Accent51">
    <w:name w:val="List Table 7 Colorful - Accent 51"/>
    <w:basedOn w:val="TableNormal"/>
    <w:uiPriority w:val="52"/>
    <w:rsid w:val="00E37E25"/>
    <w:pPr>
      <w:spacing w:after="0" w:line="240" w:lineRule="auto"/>
    </w:pPr>
    <w:rPr>
      <w:rFonts w:ascii="Corbel" w:eastAsia="Corbel" w:hAnsi="Corbel" w:cs="Times New Roman"/>
      <w:color w:val="EA8E03"/>
      <w:sz w:val="20"/>
      <w:szCs w:val="20"/>
      <w:lang w:eastAsia="en-GB"/>
    </w:rPr>
    <w:tblPr>
      <w:tblStyleRowBandSize w:val="1"/>
      <w:tblStyleColBandSize w:val="1"/>
    </w:tblPr>
    <w:tblStylePr w:type="firstRow">
      <w:rPr>
        <w:rFonts w:ascii="Microsoft YaHei UI" w:eastAsia="Times New Roman" w:hAnsi="Microsoft YaHei UI" w:cs="Times New Roman"/>
        <w:i/>
        <w:iCs/>
        <w:sz w:val="26"/>
      </w:rPr>
      <w:tblPr/>
      <w:tcPr>
        <w:tcBorders>
          <w:bottom w:val="single" w:sz="4" w:space="0" w:color="FCB342"/>
        </w:tcBorders>
        <w:shd w:val="clear" w:color="auto" w:fill="FFFFFF"/>
      </w:tcPr>
    </w:tblStylePr>
    <w:tblStylePr w:type="lastRow">
      <w:rPr>
        <w:rFonts w:ascii="Microsoft YaHei UI" w:eastAsia="Times New Roman" w:hAnsi="Microsoft YaHei UI" w:cs="Times New Roman"/>
        <w:i/>
        <w:iCs/>
        <w:sz w:val="26"/>
      </w:rPr>
      <w:tblPr/>
      <w:tcPr>
        <w:tcBorders>
          <w:top w:val="single" w:sz="4" w:space="0" w:color="FCB342"/>
        </w:tcBorders>
        <w:shd w:val="clear" w:color="auto" w:fill="FFFFFF"/>
      </w:tcPr>
    </w:tblStylePr>
    <w:tblStylePr w:type="firstCol">
      <w:pPr>
        <w:jc w:val="right"/>
      </w:pPr>
      <w:rPr>
        <w:rFonts w:ascii="Microsoft YaHei UI" w:eastAsia="Times New Roman" w:hAnsi="Microsoft YaHei UI" w:cs="Times New Roman"/>
        <w:i/>
        <w:iCs/>
        <w:sz w:val="26"/>
      </w:rPr>
      <w:tblPr/>
      <w:tcPr>
        <w:tcBorders>
          <w:right w:val="single" w:sz="4" w:space="0" w:color="FCB342"/>
        </w:tcBorders>
        <w:shd w:val="clear" w:color="auto" w:fill="FFFFFF"/>
      </w:tcPr>
    </w:tblStylePr>
    <w:tblStylePr w:type="lastCol">
      <w:rPr>
        <w:rFonts w:ascii="Microsoft YaHei UI" w:eastAsia="Times New Roman" w:hAnsi="Microsoft YaHei UI" w:cs="Times New Roman"/>
        <w:i/>
        <w:iCs/>
        <w:sz w:val="26"/>
      </w:rPr>
      <w:tblPr/>
      <w:tcPr>
        <w:tcBorders>
          <w:left w:val="single" w:sz="4" w:space="0" w:color="FCB342"/>
        </w:tcBorders>
        <w:shd w:val="clear" w:color="auto" w:fill="FFFFFF"/>
      </w:tcPr>
    </w:tblStylePr>
    <w:tblStylePr w:type="band1Vert">
      <w:tblPr/>
      <w:tcPr>
        <w:shd w:val="clear" w:color="auto" w:fill="FEEFD8"/>
      </w:tcPr>
    </w:tblStylePr>
    <w:tblStylePr w:type="band1Horz">
      <w:tblPr/>
      <w:tcPr>
        <w:shd w:val="clear" w:color="auto" w:fill="FEEFD8"/>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E37E25"/>
    <w:pPr>
      <w:spacing w:after="0" w:line="240" w:lineRule="auto"/>
    </w:pPr>
    <w:rPr>
      <w:rFonts w:ascii="Corbel" w:eastAsia="Corbel" w:hAnsi="Corbel" w:cs="Times New Roman"/>
      <w:color w:val="187587"/>
      <w:sz w:val="20"/>
      <w:szCs w:val="20"/>
      <w:lang w:eastAsia="en-GB"/>
    </w:rPr>
    <w:tblPr>
      <w:tblStyleRowBandSize w:val="1"/>
      <w:tblStyleColBandSize w:val="1"/>
    </w:tblPr>
    <w:tblStylePr w:type="firstRow">
      <w:rPr>
        <w:rFonts w:ascii="Microsoft YaHei UI" w:eastAsia="Times New Roman" w:hAnsi="Microsoft YaHei UI" w:cs="Times New Roman"/>
        <w:i/>
        <w:iCs/>
        <w:sz w:val="26"/>
      </w:rPr>
      <w:tblPr/>
      <w:tcPr>
        <w:tcBorders>
          <w:bottom w:val="single" w:sz="4" w:space="0" w:color="209EB5"/>
        </w:tcBorders>
        <w:shd w:val="clear" w:color="auto" w:fill="FFFFFF"/>
      </w:tcPr>
    </w:tblStylePr>
    <w:tblStylePr w:type="lastRow">
      <w:rPr>
        <w:rFonts w:ascii="Microsoft YaHei UI" w:eastAsia="Times New Roman" w:hAnsi="Microsoft YaHei UI" w:cs="Times New Roman"/>
        <w:i/>
        <w:iCs/>
        <w:sz w:val="26"/>
      </w:rPr>
      <w:tblPr/>
      <w:tcPr>
        <w:tcBorders>
          <w:top w:val="single" w:sz="4" w:space="0" w:color="209EB5"/>
        </w:tcBorders>
        <w:shd w:val="clear" w:color="auto" w:fill="FFFFFF"/>
      </w:tcPr>
    </w:tblStylePr>
    <w:tblStylePr w:type="firstCol">
      <w:pPr>
        <w:jc w:val="right"/>
      </w:pPr>
      <w:rPr>
        <w:rFonts w:ascii="Microsoft YaHei UI" w:eastAsia="Times New Roman" w:hAnsi="Microsoft YaHei UI" w:cs="Times New Roman"/>
        <w:i/>
        <w:iCs/>
        <w:sz w:val="26"/>
      </w:rPr>
      <w:tblPr/>
      <w:tcPr>
        <w:tcBorders>
          <w:right w:val="single" w:sz="4" w:space="0" w:color="209EB5"/>
        </w:tcBorders>
        <w:shd w:val="clear" w:color="auto" w:fill="FFFFFF"/>
      </w:tcPr>
    </w:tblStylePr>
    <w:tblStylePr w:type="lastCol">
      <w:rPr>
        <w:rFonts w:ascii="Microsoft YaHei UI" w:eastAsia="Times New Roman" w:hAnsi="Microsoft YaHei UI" w:cs="Times New Roman"/>
        <w:i/>
        <w:iCs/>
        <w:sz w:val="26"/>
      </w:rPr>
      <w:tblPr/>
      <w:tcPr>
        <w:tcBorders>
          <w:left w:val="single" w:sz="4" w:space="0" w:color="209EB5"/>
        </w:tcBorders>
        <w:shd w:val="clear" w:color="auto" w:fill="FFFFFF"/>
      </w:tcPr>
    </w:tblStylePr>
    <w:tblStylePr w:type="band1Vert">
      <w:tblPr/>
      <w:tcPr>
        <w:shd w:val="clear" w:color="auto" w:fill="CCEFF6"/>
      </w:tcPr>
    </w:tblStylePr>
    <w:tblStylePr w:type="band1Horz">
      <w:tblPr/>
      <w:tcPr>
        <w:shd w:val="clear" w:color="auto" w:fill="CCEF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E37E25"/>
    <w:pPr>
      <w:spacing w:after="0" w:line="240" w:lineRule="auto"/>
    </w:pPr>
    <w:rPr>
      <w:rFonts w:ascii="Corbel" w:eastAsia="Corbel" w:hAnsi="Corbel" w:cs="Times New Roman"/>
      <w:sz w:val="20"/>
      <w:szCs w:val="20"/>
      <w:lang w:eastAsia="en-GB"/>
    </w:rPr>
    <w:tblPr>
      <w:tblStyleRowBandSize w:val="1"/>
      <w:tblStyleColBandSize w:val="1"/>
    </w:tblPr>
    <w:tcPr>
      <w:shd w:val="clear" w:color="auto" w:fill="auto"/>
    </w:tcPr>
    <w:tblStylePr w:type="firstRow">
      <w:rPr>
        <w:b/>
        <w:bCs/>
        <w:caps/>
      </w:rPr>
      <w:tblPr/>
      <w:tcPr>
        <w:tcBorders>
          <w:bottom w:val="single" w:sz="4" w:space="0" w:color="FCB342"/>
        </w:tcBorders>
        <w:shd w:val="clear" w:color="auto" w:fill="auto"/>
      </w:tcPr>
    </w:tblStylePr>
    <w:tblStylePr w:type="lastRow">
      <w:rPr>
        <w:rFonts w:ascii="Microsoft YaHei UI" w:hAnsi="Microsoft YaHei UI"/>
        <w:b/>
        <w:bCs/>
        <w:caps/>
        <w:color w:val="353332"/>
        <w:sz w:val="16"/>
      </w:rPr>
      <w:tblPr/>
      <w:tcPr>
        <w:tcBorders>
          <w:top w:val="nil"/>
          <w:bottom w:val="nil"/>
        </w:tcBorders>
        <w:shd w:val="clear" w:color="auto" w:fill="auto"/>
      </w:tcPr>
    </w:tblStylePr>
    <w:tblStylePr w:type="firstCol">
      <w:rPr>
        <w:rFonts w:ascii="Microsoft YaHei UI" w:hAnsi="Microsoft YaHei UI"/>
        <w:b/>
        <w:bCs/>
        <w:i w:val="0"/>
        <w:caps w:val="0"/>
        <w:sz w:val="16"/>
      </w:rPr>
      <w:tblPr/>
      <w:tcPr>
        <w:tcBorders>
          <w:top w:val="nil"/>
          <w:left w:val="nil"/>
          <w:bottom w:val="nil"/>
          <w:right w:val="nil"/>
          <w:insideH w:val="nil"/>
          <w:insideV w:val="nil"/>
          <w:tl2br w:val="nil"/>
          <w:tr2bl w:val="nil"/>
        </w:tcBorders>
        <w:shd w:val="clear" w:color="auto" w:fill="F2F2F2"/>
      </w:tcPr>
    </w:tblStylePr>
    <w:tblStylePr w:type="lastCol">
      <w:rPr>
        <w:b/>
        <w:bCs/>
        <w:caps/>
      </w:rPr>
    </w:tblStylePr>
    <w:tblStylePr w:type="band1Horz">
      <w:tblPr/>
      <w:tcPr>
        <w:tcBorders>
          <w:top w:val="nil"/>
          <w:left w:val="nil"/>
          <w:bottom w:val="single" w:sz="4" w:space="0" w:color="C8C6C4"/>
          <w:right w:val="nil"/>
          <w:insideH w:val="nil"/>
          <w:insideV w:val="nil"/>
          <w:tl2br w:val="nil"/>
          <w:tr2bl w:val="nil"/>
        </w:tcBorders>
        <w:shd w:val="clear" w:color="auto" w:fill="auto"/>
      </w:tcPr>
    </w:tblStylePr>
    <w:tblStylePr w:type="band2Horz">
      <w:tblPr/>
      <w:tcPr>
        <w:tcBorders>
          <w:top w:val="nil"/>
          <w:left w:val="nil"/>
          <w:bottom w:val="single" w:sz="4" w:space="0" w:color="C8C6C4"/>
          <w:right w:val="nil"/>
          <w:insideH w:val="nil"/>
          <w:insideV w:val="nil"/>
          <w:tl2br w:val="nil"/>
          <w:tr2bl w:val="nil"/>
        </w:tcBorders>
        <w:shd w:val="clear" w:color="auto" w:fill="auto"/>
      </w:tcPr>
    </w:tblStylePr>
    <w:tblStylePr w:type="neCell">
      <w:tblPr/>
      <w:tcPr>
        <w:tcBorders>
          <w:left w:val="nil"/>
        </w:tcBorders>
      </w:tcPr>
    </w:tblStylePr>
    <w:tblStylePr w:type="nwCell">
      <w:tblPr/>
      <w:tcPr>
        <w:tcBorders>
          <w:right w:val="nil"/>
        </w:tcBorders>
      </w:tcPr>
    </w:tblStylePr>
  </w:style>
  <w:style w:type="table" w:customStyle="1" w:styleId="PlainTable21">
    <w:name w:val="Plain Table 21"/>
    <w:basedOn w:val="TableNormal"/>
    <w:uiPriority w:val="42"/>
    <w:rsid w:val="00E37E25"/>
    <w:pPr>
      <w:spacing w:after="0" w:line="240" w:lineRule="auto"/>
    </w:pPr>
    <w:rPr>
      <w:rFonts w:ascii="Corbel" w:eastAsia="Corbel" w:hAnsi="Corbel" w:cs="Times New Roman"/>
      <w:color w:val="353332"/>
      <w:sz w:val="16"/>
      <w:szCs w:val="20"/>
      <w:lang w:eastAsia="en-GB"/>
    </w:rPr>
    <w:tblPr>
      <w:tblStyleRowBandSize w:val="1"/>
      <w:tblStyleColBandSize w:val="1"/>
      <w:tblBorders>
        <w:top w:val="single" w:sz="4" w:space="0" w:color="918D8A"/>
        <w:bottom w:val="single" w:sz="4" w:space="0" w:color="918D8A"/>
      </w:tblBorders>
    </w:tblPr>
    <w:tblStylePr w:type="firstRow">
      <w:rPr>
        <w:rFonts w:ascii="Microsoft YaHei UI" w:hAnsi="Microsoft YaHei UI"/>
        <w:b/>
        <w:bCs/>
        <w:caps/>
        <w:smallCaps w:val="0"/>
        <w:strike w:val="0"/>
        <w:dstrike w:val="0"/>
        <w:vanish w:val="0"/>
        <w:sz w:val="16"/>
        <w:vertAlign w:val="baseline"/>
      </w:rPr>
      <w:tblPr/>
      <w:tcPr>
        <w:tcBorders>
          <w:top w:val="single" w:sz="4" w:space="0" w:color="FCB342"/>
          <w:left w:val="nil"/>
          <w:bottom w:val="single" w:sz="4" w:space="0" w:color="FCB342"/>
          <w:right w:val="nil"/>
        </w:tcBorders>
      </w:tcPr>
    </w:tblStylePr>
    <w:tblStylePr w:type="lastRow">
      <w:rPr>
        <w:b/>
        <w:bCs/>
      </w:rPr>
      <w:tblPr/>
      <w:tcPr>
        <w:tcBorders>
          <w:top w:val="single" w:sz="4" w:space="0" w:color="918D8A"/>
        </w:tcBorders>
      </w:tcPr>
    </w:tblStylePr>
    <w:tblStylePr w:type="firstCol">
      <w:rPr>
        <w:b/>
        <w:bCs/>
      </w:rPr>
    </w:tblStylePr>
    <w:tblStylePr w:type="lastCol">
      <w:rPr>
        <w:b/>
        <w:bCs/>
      </w:rPr>
    </w:tblStylePr>
    <w:tblStylePr w:type="band1Vert">
      <w:tblPr/>
      <w:tcPr>
        <w:tcBorders>
          <w:left w:val="single" w:sz="4" w:space="0" w:color="918D8A"/>
          <w:bottom w:val="single" w:sz="4" w:space="0" w:color="C8C6C4"/>
          <w:right w:val="single" w:sz="4" w:space="0" w:color="918D8A"/>
        </w:tcBorders>
      </w:tcPr>
    </w:tblStylePr>
    <w:tblStylePr w:type="band2Vert">
      <w:tblPr/>
      <w:tcPr>
        <w:tcBorders>
          <w:top w:val="nil"/>
          <w:left w:val="single" w:sz="2" w:space="0" w:color="C8C6C4"/>
          <w:bottom w:val="single" w:sz="4" w:space="0" w:color="C8C6C4"/>
          <w:right w:val="single" w:sz="2" w:space="0" w:color="C8C6C4"/>
        </w:tcBorders>
      </w:tcPr>
    </w:tblStylePr>
    <w:tblStylePr w:type="band1Horz">
      <w:tblPr/>
      <w:tcPr>
        <w:tcBorders>
          <w:top w:val="single" w:sz="4" w:space="0" w:color="C8C6C4"/>
          <w:bottom w:val="nil"/>
        </w:tcBorders>
      </w:tcPr>
    </w:tblStylePr>
    <w:tblStylePr w:type="band2Horz">
      <w:tblPr/>
      <w:tcPr>
        <w:tcBorders>
          <w:top w:val="single" w:sz="4" w:space="0" w:color="C8C6C4"/>
          <w:bottom w:val="nil"/>
        </w:tcBorders>
      </w:tcPr>
    </w:tblStylePr>
  </w:style>
  <w:style w:type="table" w:customStyle="1" w:styleId="PlainTable11">
    <w:name w:val="Plain Table 11"/>
    <w:basedOn w:val="TableNormal"/>
    <w:uiPriority w:val="41"/>
    <w:rsid w:val="00E37E25"/>
    <w:pPr>
      <w:spacing w:after="0" w:line="240" w:lineRule="auto"/>
    </w:pPr>
    <w:rPr>
      <w:rFonts w:ascii="Corbel" w:eastAsia="Corbel" w:hAnsi="Corbel" w:cs="Times New Roman"/>
      <w:sz w:val="20"/>
      <w:szCs w:val="20"/>
      <w:lang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ascii="Microsoft YaHei UI" w:hAnsi="Microsoft YaHei UI"/>
        <w:b/>
        <w:bCs/>
        <w:i w:val="0"/>
        <w:caps/>
        <w:smallCaps w:val="0"/>
        <w:strike w:val="0"/>
        <w:dstrike w:val="0"/>
        <w:vanish w:val="0"/>
        <w:sz w:val="16"/>
        <w:vertAlign w:val="baseline"/>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PlainText">
    <w:name w:val="Plain Text"/>
    <w:basedOn w:val="Normal"/>
    <w:link w:val="PlainTextChar"/>
    <w:uiPriority w:val="99"/>
    <w:unhideWhenUsed/>
    <w:rsid w:val="00E37E25"/>
    <w:pPr>
      <w:spacing w:after="270"/>
    </w:pPr>
    <w:rPr>
      <w:rFonts w:ascii="Courier" w:eastAsia="Times New Roman" w:hAnsi="Courier"/>
      <w:color w:val="353332"/>
      <w:sz w:val="21"/>
      <w:szCs w:val="21"/>
      <w:lang w:eastAsia="en-GB"/>
    </w:rPr>
  </w:style>
  <w:style w:type="character" w:customStyle="1" w:styleId="PlainTextChar">
    <w:name w:val="Plain Text Char"/>
    <w:basedOn w:val="DefaultParagraphFont"/>
    <w:link w:val="PlainText"/>
    <w:uiPriority w:val="99"/>
    <w:rsid w:val="00E37E25"/>
    <w:rPr>
      <w:rFonts w:ascii="Courier" w:eastAsia="Times New Roman" w:hAnsi="Courier" w:cs="Times New Roman"/>
      <w:color w:val="353332"/>
      <w:sz w:val="21"/>
      <w:szCs w:val="21"/>
      <w:lang w:eastAsia="en-GB"/>
    </w:rPr>
  </w:style>
  <w:style w:type="paragraph" w:customStyle="1" w:styleId="HNAME">
    <w:name w:val="H: NAME"/>
    <w:basedOn w:val="NoSpacing"/>
    <w:rsid w:val="00E37E25"/>
    <w:pPr>
      <w:spacing w:before="160" w:after="240" w:line="270" w:lineRule="atLeast"/>
    </w:pPr>
    <w:rPr>
      <w:rFonts w:ascii="Corbel" w:eastAsia="Times New Roman" w:hAnsi="Corbel" w:cs="Times New Roman"/>
      <w:b/>
      <w:bCs/>
      <w:caps/>
      <w:color w:val="353332"/>
      <w:spacing w:val="2"/>
      <w:sz w:val="20"/>
      <w:szCs w:val="32"/>
      <w:lang w:eastAsia="lt-LT"/>
    </w:rPr>
  </w:style>
  <w:style w:type="paragraph" w:customStyle="1" w:styleId="HSUBTITLE">
    <w:name w:val="H: SUBTITLE"/>
    <w:basedOn w:val="NoSpacing"/>
    <w:rsid w:val="00E37E25"/>
    <w:pPr>
      <w:spacing w:before="160" w:after="240" w:line="270" w:lineRule="atLeast"/>
    </w:pPr>
    <w:rPr>
      <w:rFonts w:ascii="Corbel" w:eastAsia="Times New Roman" w:hAnsi="Corbel" w:cs="Times New Roman"/>
      <w:b/>
      <w:bCs/>
      <w:caps/>
      <w:color w:val="808080"/>
      <w:spacing w:val="2"/>
      <w:sz w:val="20"/>
      <w:szCs w:val="32"/>
      <w:lang w:eastAsia="lt-LT"/>
    </w:rPr>
  </w:style>
  <w:style w:type="paragraph" w:customStyle="1" w:styleId="BOXHEADING">
    <w:name w:val="BOX: HEADING"/>
    <w:next w:val="Normal"/>
    <w:qFormat/>
    <w:rsid w:val="003B5903"/>
    <w:pPr>
      <w:numPr>
        <w:numId w:val="229"/>
      </w:numPr>
      <w:pBdr>
        <w:bottom w:val="single" w:sz="2" w:space="5" w:color="FCB342"/>
      </w:pBdr>
      <w:tabs>
        <w:tab w:val="clear" w:pos="624"/>
        <w:tab w:val="num" w:pos="720"/>
      </w:tabs>
      <w:spacing w:before="280" w:after="360" w:line="270" w:lineRule="atLeast"/>
      <w:ind w:left="720" w:hanging="360"/>
    </w:pPr>
    <w:rPr>
      <w:rFonts w:ascii="Corbel" w:eastAsia="Times New Roman" w:hAnsi="Corbel" w:cs="Times New Roman"/>
      <w:b/>
      <w:bCs/>
      <w:caps/>
      <w:color w:val="353332"/>
      <w:sz w:val="20"/>
      <w:szCs w:val="20"/>
      <w:lang w:eastAsia="lt-LT"/>
    </w:rPr>
  </w:style>
  <w:style w:type="paragraph" w:styleId="TableofFigures">
    <w:name w:val="table of figures"/>
    <w:next w:val="Normal"/>
    <w:uiPriority w:val="99"/>
    <w:unhideWhenUsed/>
    <w:rsid w:val="00E37E25"/>
    <w:pPr>
      <w:spacing w:after="0" w:line="240" w:lineRule="auto"/>
    </w:pPr>
    <w:rPr>
      <w:rFonts w:ascii="Corbel" w:eastAsia="Times New Roman" w:hAnsi="Corbel" w:cs="Times New Roman"/>
      <w:bCs/>
      <w:noProof/>
      <w:color w:val="1F1E1D"/>
      <w:sz w:val="20"/>
      <w:lang w:eastAsia="en-GB"/>
    </w:rPr>
  </w:style>
  <w:style w:type="paragraph" w:customStyle="1" w:styleId="BasicParagraph">
    <w:name w:val="[Basic Paragraph]"/>
    <w:basedOn w:val="Normal"/>
    <w:uiPriority w:val="99"/>
    <w:rsid w:val="00E37E25"/>
    <w:pPr>
      <w:widowControl w:val="0"/>
      <w:autoSpaceDE w:val="0"/>
      <w:autoSpaceDN w:val="0"/>
      <w:adjustRightInd w:val="0"/>
      <w:spacing w:after="270" w:line="288" w:lineRule="auto"/>
      <w:jc w:val="left"/>
      <w:textAlignment w:val="center"/>
    </w:pPr>
    <w:rPr>
      <w:rFonts w:ascii="Palatino Linotype" w:eastAsia="Corbel" w:hAnsi="Palatino Linotype" w:cs="Times-Roman"/>
      <w:color w:val="000000"/>
      <w:sz w:val="20"/>
      <w:lang w:val="en-US"/>
    </w:rPr>
  </w:style>
  <w:style w:type="character" w:styleId="SubtleReference">
    <w:name w:val="Subtle Reference"/>
    <w:uiPriority w:val="31"/>
    <w:rsid w:val="00E37E25"/>
    <w:rPr>
      <w:color w:val="808080"/>
    </w:rPr>
  </w:style>
  <w:style w:type="paragraph" w:customStyle="1" w:styleId="Cover-subtitle">
    <w:name w:val="Cover- subtitle"/>
    <w:next w:val="Normal"/>
    <w:qFormat/>
    <w:rsid w:val="00E37E25"/>
    <w:pPr>
      <w:spacing w:line="250" w:lineRule="atLeast"/>
      <w:ind w:left="936" w:right="3402"/>
    </w:pPr>
    <w:rPr>
      <w:rFonts w:ascii="Corbel" w:eastAsia="Times New Roman" w:hAnsi="Corbel" w:cs="Times New Roman"/>
      <w:bCs/>
      <w:color w:val="808080"/>
      <w:sz w:val="20"/>
      <w:szCs w:val="32"/>
      <w:lang w:eastAsia="lt-LT"/>
    </w:rPr>
  </w:style>
  <w:style w:type="table" w:customStyle="1" w:styleId="PlainTable41">
    <w:name w:val="Plain Table 41"/>
    <w:basedOn w:val="TableNormal"/>
    <w:uiPriority w:val="44"/>
    <w:rsid w:val="00E37E25"/>
    <w:pPr>
      <w:spacing w:after="0" w:line="240" w:lineRule="auto"/>
    </w:pPr>
    <w:rPr>
      <w:rFonts w:ascii="Corbel" w:eastAsia="Corbel" w:hAnsi="Corbel" w:cs="Times New Roman"/>
      <w:sz w:val="16"/>
      <w:szCs w:val="20"/>
      <w:lang w:eastAsia="en-GB"/>
    </w:rPr>
    <w:tblPr>
      <w:tblStyleRowBandSize w:val="1"/>
      <w:tblStyleColBandSize w:val="1"/>
    </w:tblPr>
    <w:tblStylePr w:type="firstRow">
      <w:rPr>
        <w:rFonts w:ascii="Microsoft YaHei UI" w:hAnsi="Microsoft YaHei UI"/>
        <w:b/>
        <w:bCs/>
        <w:caps/>
        <w:smallCaps w:val="0"/>
        <w:strike w:val="0"/>
        <w:dstrike w:val="0"/>
        <w:vanish w:val="0"/>
        <w:sz w:val="16"/>
        <w:vertAlign w:val="baseline"/>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E37E25"/>
    <w:pPr>
      <w:spacing w:after="0" w:line="240" w:lineRule="auto"/>
    </w:pPr>
    <w:rPr>
      <w:rFonts w:ascii="Corbel" w:eastAsia="Corbel" w:hAnsi="Corbel" w:cs="Times New Roman"/>
      <w:sz w:val="20"/>
      <w:szCs w:val="20"/>
      <w:lang w:eastAsia="en-GB"/>
    </w:rPr>
    <w:tblPr>
      <w:tblStyleRowBandSize w:val="1"/>
      <w:tblStyleColBandSize w:val="1"/>
    </w:tblPr>
    <w:tblStylePr w:type="firstRow">
      <w:rPr>
        <w:rFonts w:ascii="Microsoft YaHei UI" w:eastAsia="Times New Roman" w:hAnsi="Microsoft YaHei UI" w:cs="Times New Roman"/>
        <w:i/>
        <w:iCs/>
        <w:sz w:val="26"/>
      </w:rPr>
      <w:tblPr/>
      <w:tcPr>
        <w:tcBorders>
          <w:bottom w:val="single" w:sz="4" w:space="0" w:color="918D8A"/>
        </w:tcBorders>
        <w:shd w:val="clear" w:color="auto" w:fill="FFFFFF"/>
      </w:tcPr>
    </w:tblStylePr>
    <w:tblStylePr w:type="lastRow">
      <w:rPr>
        <w:rFonts w:ascii="Microsoft YaHei UI" w:eastAsia="Times New Roman" w:hAnsi="Microsoft YaHei UI" w:cs="Times New Roman"/>
        <w:i/>
        <w:iCs/>
        <w:sz w:val="26"/>
      </w:rPr>
      <w:tblPr/>
      <w:tcPr>
        <w:tcBorders>
          <w:top w:val="single" w:sz="4" w:space="0" w:color="918D8A"/>
        </w:tcBorders>
        <w:shd w:val="clear" w:color="auto" w:fill="FFFFFF"/>
      </w:tcPr>
    </w:tblStylePr>
    <w:tblStylePr w:type="firstCol">
      <w:pPr>
        <w:jc w:val="right"/>
      </w:pPr>
      <w:rPr>
        <w:rFonts w:ascii="Microsoft YaHei UI" w:eastAsia="Times New Roman" w:hAnsi="Microsoft YaHei UI" w:cs="Times New Roman"/>
        <w:i/>
        <w:iCs/>
        <w:sz w:val="26"/>
      </w:rPr>
      <w:tblPr/>
      <w:tcPr>
        <w:tcBorders>
          <w:right w:val="single" w:sz="4" w:space="0" w:color="918D8A"/>
        </w:tcBorders>
        <w:shd w:val="clear" w:color="auto" w:fill="FFFFFF"/>
      </w:tcPr>
    </w:tblStylePr>
    <w:tblStylePr w:type="lastCol">
      <w:rPr>
        <w:rFonts w:ascii="Microsoft YaHei UI" w:eastAsia="Times New Roman" w:hAnsi="Microsoft YaHei UI" w:cs="Times New Roman"/>
        <w:i/>
        <w:iCs/>
        <w:sz w:val="26"/>
      </w:rPr>
      <w:tblPr/>
      <w:tcPr>
        <w:tcBorders>
          <w:left w:val="single" w:sz="4" w:space="0" w:color="918D8A"/>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leNormal"/>
    <w:uiPriority w:val="46"/>
    <w:rsid w:val="00E37E25"/>
    <w:pPr>
      <w:spacing w:after="0" w:line="240" w:lineRule="auto"/>
    </w:pPr>
    <w:rPr>
      <w:rFonts w:ascii="Corbel" w:eastAsia="Corbel" w:hAnsi="Corbel" w:cs="Times New Roman"/>
      <w:sz w:val="20"/>
      <w:szCs w:val="20"/>
      <w:lang w:eastAsia="en-GB"/>
    </w:rPr>
    <w:tblPr>
      <w:tblStyleRowBandSize w:val="1"/>
      <w:tblStyleColBandSize w:val="1"/>
      <w:tblBorders>
        <w:top w:val="single" w:sz="4" w:space="0" w:color="A8A4A2"/>
        <w:left w:val="single" w:sz="4" w:space="0" w:color="A8A4A2"/>
        <w:bottom w:val="single" w:sz="4" w:space="0" w:color="A8A4A2"/>
        <w:right w:val="single" w:sz="4" w:space="0" w:color="A8A4A2"/>
        <w:insideH w:val="single" w:sz="4" w:space="0" w:color="A8A4A2"/>
        <w:insideV w:val="single" w:sz="4" w:space="0" w:color="A8A4A2"/>
      </w:tblBorders>
    </w:tblPr>
    <w:tblStylePr w:type="firstRow">
      <w:rPr>
        <w:b/>
        <w:bCs/>
      </w:rPr>
      <w:tblPr/>
      <w:tcPr>
        <w:tcBorders>
          <w:bottom w:val="single" w:sz="12" w:space="0" w:color="7C7774"/>
        </w:tcBorders>
      </w:tcPr>
    </w:tblStylePr>
    <w:tblStylePr w:type="lastRow">
      <w:rPr>
        <w:b/>
        <w:bCs/>
      </w:rPr>
      <w:tblPr/>
      <w:tcPr>
        <w:tcBorders>
          <w:top w:val="double" w:sz="2" w:space="0" w:color="7C7774"/>
        </w:tcBorders>
      </w:tcPr>
    </w:tblStylePr>
    <w:tblStylePr w:type="firstCol">
      <w:rPr>
        <w:b/>
        <w:bCs/>
      </w:rPr>
    </w:tblStylePr>
    <w:tblStylePr w:type="lastCol">
      <w:rPr>
        <w:b/>
        <w:bCs/>
      </w:rPr>
    </w:tblStylePr>
  </w:style>
  <w:style w:type="paragraph" w:customStyle="1" w:styleId="NumberedList">
    <w:name w:val="Numbered List"/>
    <w:qFormat/>
    <w:rsid w:val="003B5903"/>
    <w:pPr>
      <w:numPr>
        <w:numId w:val="228"/>
      </w:numPr>
      <w:spacing w:after="0" w:line="270" w:lineRule="atLeast"/>
      <w:ind w:left="720" w:hanging="360"/>
    </w:pPr>
    <w:rPr>
      <w:rFonts w:ascii="Palatino" w:eastAsia="Times New Roman" w:hAnsi="Palatino" w:cs="Times New Roman"/>
      <w:color w:val="353332"/>
      <w:sz w:val="20"/>
      <w:szCs w:val="24"/>
      <w:lang w:eastAsia="en-GB"/>
    </w:rPr>
  </w:style>
  <w:style w:type="paragraph" w:styleId="TableofAuthorities">
    <w:name w:val="table of authorities"/>
    <w:basedOn w:val="TableofFigures"/>
    <w:next w:val="Normal"/>
    <w:uiPriority w:val="99"/>
    <w:semiHidden/>
    <w:unhideWhenUsed/>
    <w:rsid w:val="00E37E25"/>
    <w:pPr>
      <w:ind w:left="200" w:hanging="200"/>
    </w:pPr>
  </w:style>
  <w:style w:type="character" w:styleId="PlaceholderText">
    <w:name w:val="Placeholder Text"/>
    <w:basedOn w:val="DefaultParagraphFont"/>
    <w:uiPriority w:val="99"/>
    <w:semiHidden/>
    <w:rsid w:val="00E37E25"/>
    <w:rPr>
      <w:color w:val="808080"/>
    </w:rPr>
  </w:style>
  <w:style w:type="character" w:customStyle="1" w:styleId="citation-136">
    <w:name w:val="citation-136"/>
    <w:basedOn w:val="DefaultParagraphFont"/>
    <w:rsid w:val="00E37E25"/>
  </w:style>
  <w:style w:type="character" w:customStyle="1" w:styleId="citation-124">
    <w:name w:val="citation-124"/>
    <w:basedOn w:val="DefaultParagraphFont"/>
    <w:rsid w:val="00E37E25"/>
  </w:style>
  <w:style w:type="character" w:customStyle="1" w:styleId="citation-123">
    <w:name w:val="citation-123"/>
    <w:basedOn w:val="DefaultParagraphFont"/>
    <w:rsid w:val="00E37E25"/>
  </w:style>
  <w:style w:type="character" w:customStyle="1" w:styleId="citation-122">
    <w:name w:val="citation-122"/>
    <w:basedOn w:val="DefaultParagraphFont"/>
    <w:rsid w:val="00E37E25"/>
  </w:style>
  <w:style w:type="character" w:customStyle="1" w:styleId="citation-121">
    <w:name w:val="citation-121"/>
    <w:basedOn w:val="DefaultParagraphFont"/>
    <w:rsid w:val="00E37E25"/>
  </w:style>
  <w:style w:type="character" w:customStyle="1" w:styleId="citation-120">
    <w:name w:val="citation-120"/>
    <w:basedOn w:val="DefaultParagraphFont"/>
    <w:rsid w:val="00E37E25"/>
  </w:style>
  <w:style w:type="character" w:customStyle="1" w:styleId="citation-119">
    <w:name w:val="citation-119"/>
    <w:basedOn w:val="DefaultParagraphFont"/>
    <w:rsid w:val="00E37E25"/>
  </w:style>
  <w:style w:type="character" w:customStyle="1" w:styleId="citation-118">
    <w:name w:val="citation-118"/>
    <w:basedOn w:val="DefaultParagraphFont"/>
    <w:rsid w:val="00E37E25"/>
  </w:style>
  <w:style w:type="character" w:customStyle="1" w:styleId="citation-117">
    <w:name w:val="citation-117"/>
    <w:basedOn w:val="DefaultParagraphFont"/>
    <w:rsid w:val="00E37E25"/>
  </w:style>
  <w:style w:type="character" w:customStyle="1" w:styleId="citation-116">
    <w:name w:val="citation-116"/>
    <w:basedOn w:val="DefaultParagraphFont"/>
    <w:rsid w:val="00E37E25"/>
  </w:style>
  <w:style w:type="character" w:customStyle="1" w:styleId="citation-115">
    <w:name w:val="citation-115"/>
    <w:basedOn w:val="DefaultParagraphFont"/>
    <w:rsid w:val="00E37E25"/>
  </w:style>
  <w:style w:type="character" w:customStyle="1" w:styleId="citation-114">
    <w:name w:val="citation-114"/>
    <w:basedOn w:val="DefaultParagraphFont"/>
    <w:rsid w:val="00E37E25"/>
  </w:style>
  <w:style w:type="character" w:customStyle="1" w:styleId="citation-108">
    <w:name w:val="citation-108"/>
    <w:basedOn w:val="DefaultParagraphFont"/>
    <w:rsid w:val="00E37E25"/>
  </w:style>
  <w:style w:type="character" w:customStyle="1" w:styleId="citation-107">
    <w:name w:val="citation-107"/>
    <w:basedOn w:val="DefaultParagraphFont"/>
    <w:rsid w:val="00E37E25"/>
  </w:style>
  <w:style w:type="character" w:customStyle="1" w:styleId="citation-106">
    <w:name w:val="citation-106"/>
    <w:basedOn w:val="DefaultParagraphFont"/>
    <w:rsid w:val="00E37E25"/>
  </w:style>
  <w:style w:type="character" w:customStyle="1" w:styleId="citation-105">
    <w:name w:val="citation-105"/>
    <w:basedOn w:val="DefaultParagraphFont"/>
    <w:rsid w:val="00E37E25"/>
  </w:style>
  <w:style w:type="character" w:customStyle="1" w:styleId="citation-172">
    <w:name w:val="citation-172"/>
    <w:basedOn w:val="DefaultParagraphFont"/>
    <w:rsid w:val="00E37E25"/>
  </w:style>
  <w:style w:type="character" w:customStyle="1" w:styleId="citation-197">
    <w:name w:val="citation-197"/>
    <w:basedOn w:val="DefaultParagraphFont"/>
    <w:rsid w:val="00E37E25"/>
  </w:style>
  <w:style w:type="character" w:customStyle="1" w:styleId="citation-196">
    <w:name w:val="citation-196"/>
    <w:basedOn w:val="DefaultParagraphFont"/>
    <w:rsid w:val="00E37E25"/>
  </w:style>
  <w:style w:type="character" w:customStyle="1" w:styleId="citation-195">
    <w:name w:val="citation-195"/>
    <w:basedOn w:val="DefaultParagraphFont"/>
    <w:rsid w:val="00E37E25"/>
  </w:style>
  <w:style w:type="character" w:customStyle="1" w:styleId="citation-194">
    <w:name w:val="citation-194"/>
    <w:basedOn w:val="DefaultParagraphFont"/>
    <w:rsid w:val="00E37E25"/>
  </w:style>
  <w:style w:type="character" w:customStyle="1" w:styleId="citation-193">
    <w:name w:val="citation-193"/>
    <w:basedOn w:val="DefaultParagraphFont"/>
    <w:rsid w:val="00E37E25"/>
  </w:style>
  <w:style w:type="character" w:customStyle="1" w:styleId="citation-192">
    <w:name w:val="citation-192"/>
    <w:basedOn w:val="DefaultParagraphFont"/>
    <w:rsid w:val="00E37E25"/>
  </w:style>
  <w:style w:type="character" w:customStyle="1" w:styleId="citation-191">
    <w:name w:val="citation-191"/>
    <w:basedOn w:val="DefaultParagraphFont"/>
    <w:rsid w:val="00E37E25"/>
  </w:style>
  <w:style w:type="character" w:customStyle="1" w:styleId="citation-190">
    <w:name w:val="citation-190"/>
    <w:basedOn w:val="DefaultParagraphFont"/>
    <w:rsid w:val="00E37E25"/>
  </w:style>
  <w:style w:type="paragraph" w:styleId="BodyText">
    <w:name w:val="Body Text"/>
    <w:basedOn w:val="Normal"/>
    <w:link w:val="BodyTextChar"/>
    <w:qFormat/>
    <w:rsid w:val="00E37E25"/>
    <w:pPr>
      <w:spacing w:before="180" w:after="180"/>
      <w:jc w:val="left"/>
    </w:pPr>
    <w:rPr>
      <w:rFonts w:asciiTheme="minorHAnsi" w:hAnsiTheme="minorHAnsi" w:cstheme="minorBidi"/>
      <w:lang w:val="en-US"/>
    </w:rPr>
  </w:style>
  <w:style w:type="character" w:customStyle="1" w:styleId="BodyTextChar">
    <w:name w:val="Body Text Char"/>
    <w:basedOn w:val="DefaultParagraphFont"/>
    <w:link w:val="BodyText"/>
    <w:rsid w:val="00E37E25"/>
    <w:rPr>
      <w:sz w:val="24"/>
      <w:szCs w:val="24"/>
      <w:lang w:val="en-US"/>
    </w:rPr>
  </w:style>
  <w:style w:type="paragraph" w:customStyle="1" w:styleId="FirstParagraph">
    <w:name w:val="First Paragraph"/>
    <w:basedOn w:val="BodyText"/>
    <w:next w:val="BodyText"/>
    <w:qFormat/>
    <w:rsid w:val="00E37E25"/>
  </w:style>
  <w:style w:type="paragraph" w:customStyle="1" w:styleId="whitespace-normal">
    <w:name w:val="whitespace-normal"/>
    <w:basedOn w:val="Normal"/>
    <w:rsid w:val="00E37E25"/>
    <w:pPr>
      <w:spacing w:before="100" w:beforeAutospacing="1" w:after="100" w:afterAutospacing="1"/>
      <w:jc w:val="left"/>
    </w:pPr>
    <w:rPr>
      <w:rFonts w:eastAsia="Times New Roman"/>
      <w:lang w:val="en-US"/>
    </w:rPr>
  </w:style>
  <w:style w:type="character" w:customStyle="1" w:styleId="citation-11">
    <w:name w:val="citation-11"/>
    <w:basedOn w:val="DefaultParagraphFont"/>
    <w:rsid w:val="00E37E25"/>
  </w:style>
  <w:style w:type="character" w:customStyle="1" w:styleId="citation-10">
    <w:name w:val="citation-10"/>
    <w:basedOn w:val="DefaultParagraphFont"/>
    <w:rsid w:val="00E37E25"/>
  </w:style>
  <w:style w:type="character" w:customStyle="1" w:styleId="citation-13">
    <w:name w:val="citation-13"/>
    <w:basedOn w:val="DefaultParagraphFont"/>
    <w:rsid w:val="00E37E25"/>
  </w:style>
  <w:style w:type="character" w:customStyle="1" w:styleId="citation-9">
    <w:name w:val="citation-9"/>
    <w:basedOn w:val="DefaultParagraphFont"/>
    <w:rsid w:val="00E37E25"/>
  </w:style>
  <w:style w:type="character" w:customStyle="1" w:styleId="citation-8">
    <w:name w:val="citation-8"/>
    <w:basedOn w:val="DefaultParagraphFont"/>
    <w:rsid w:val="00E37E25"/>
  </w:style>
  <w:style w:type="character" w:customStyle="1" w:styleId="citation-7">
    <w:name w:val="citation-7"/>
    <w:basedOn w:val="DefaultParagraphFont"/>
    <w:rsid w:val="00E37E25"/>
  </w:style>
  <w:style w:type="character" w:customStyle="1" w:styleId="citation-84">
    <w:name w:val="citation-84"/>
    <w:basedOn w:val="DefaultParagraphFont"/>
    <w:rsid w:val="00E37E25"/>
  </w:style>
  <w:style w:type="character" w:customStyle="1" w:styleId="citation-83">
    <w:name w:val="citation-83"/>
    <w:basedOn w:val="DefaultParagraphFont"/>
    <w:rsid w:val="00E37E25"/>
  </w:style>
  <w:style w:type="table" w:customStyle="1" w:styleId="NormalGrid">
    <w:name w:val="Normal Grid"/>
    <w:basedOn w:val="TableNormal"/>
    <w:uiPriority w:val="39"/>
    <w:rsid w:val="00E37E25"/>
    <w:pPr>
      <w:spacing w:after="0" w:line="240" w:lineRule="auto"/>
    </w:pPr>
    <w:rPr>
      <w:rFonts w:ascii="Georgia"/>
      <w:sz w:val="21"/>
      <w:lang w:val="en-US"/>
    </w:rPr>
    <w:tblPr>
      <w:tblCellMar>
        <w:top w:w="80" w:type="dxa"/>
        <w:left w:w="160" w:type="dxa"/>
        <w:bottom w:w="80" w:type="dxa"/>
        <w:right w:w="160" w:type="dxa"/>
      </w:tblCellMar>
    </w:tblPr>
  </w:style>
  <w:style w:type="character" w:customStyle="1" w:styleId="mopen">
    <w:name w:val="mopen"/>
    <w:basedOn w:val="DefaultParagraphFont"/>
    <w:rsid w:val="00E37E25"/>
  </w:style>
  <w:style w:type="character" w:customStyle="1" w:styleId="delimsizing">
    <w:name w:val="delimsizing"/>
    <w:basedOn w:val="DefaultParagraphFont"/>
    <w:rsid w:val="00E37E25"/>
  </w:style>
  <w:style w:type="character" w:customStyle="1" w:styleId="mord">
    <w:name w:val="mord"/>
    <w:basedOn w:val="DefaultParagraphFont"/>
    <w:rsid w:val="00E37E25"/>
  </w:style>
  <w:style w:type="character" w:customStyle="1" w:styleId="vlist-s">
    <w:name w:val="vlist-s"/>
    <w:basedOn w:val="DefaultParagraphFont"/>
    <w:rsid w:val="00E37E25"/>
  </w:style>
  <w:style w:type="character" w:customStyle="1" w:styleId="mclose">
    <w:name w:val="mclose"/>
    <w:basedOn w:val="DefaultParagraphFont"/>
    <w:rsid w:val="00E37E25"/>
  </w:style>
  <w:style w:type="character" w:customStyle="1" w:styleId="mbin">
    <w:name w:val="mbin"/>
    <w:basedOn w:val="DefaultParagraphFont"/>
    <w:rsid w:val="00E37E25"/>
  </w:style>
  <w:style w:type="character" w:customStyle="1" w:styleId="mrel">
    <w:name w:val="mrel"/>
    <w:basedOn w:val="DefaultParagraphFont"/>
    <w:rsid w:val="00E37E25"/>
  </w:style>
  <w:style w:type="character" w:customStyle="1" w:styleId="FootnotetextChar0">
    <w:name w:val="Footnotetext Char"/>
    <w:uiPriority w:val="99"/>
    <w:unhideWhenUsed/>
    <w:rsid w:val="00B853F3"/>
    <w:rPr>
      <w:sz w:val="20"/>
    </w:rPr>
  </w:style>
  <w:style w:type="paragraph" w:customStyle="1" w:styleId="pf0">
    <w:name w:val="pf0"/>
    <w:basedOn w:val="Normal"/>
    <w:rsid w:val="00A75DF6"/>
    <w:pPr>
      <w:spacing w:before="100" w:beforeAutospacing="1" w:after="100" w:afterAutospacing="1"/>
      <w:jc w:val="left"/>
    </w:pPr>
    <w:rPr>
      <w:rFonts w:eastAsia="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2946">
      <w:bodyDiv w:val="1"/>
      <w:marLeft w:val="0"/>
      <w:marRight w:val="0"/>
      <w:marTop w:val="0"/>
      <w:marBottom w:val="0"/>
      <w:divBdr>
        <w:top w:val="none" w:sz="0" w:space="0" w:color="auto"/>
        <w:left w:val="none" w:sz="0" w:space="0" w:color="auto"/>
        <w:bottom w:val="none" w:sz="0" w:space="0" w:color="auto"/>
        <w:right w:val="none" w:sz="0" w:space="0" w:color="auto"/>
      </w:divBdr>
    </w:div>
    <w:div w:id="14623550">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36047117">
      <w:bodyDiv w:val="1"/>
      <w:marLeft w:val="0"/>
      <w:marRight w:val="0"/>
      <w:marTop w:val="0"/>
      <w:marBottom w:val="0"/>
      <w:divBdr>
        <w:top w:val="none" w:sz="0" w:space="0" w:color="auto"/>
        <w:left w:val="none" w:sz="0" w:space="0" w:color="auto"/>
        <w:bottom w:val="none" w:sz="0" w:space="0" w:color="auto"/>
        <w:right w:val="none" w:sz="0" w:space="0" w:color="auto"/>
      </w:divBdr>
    </w:div>
    <w:div w:id="42099503">
      <w:bodyDiv w:val="1"/>
      <w:marLeft w:val="0"/>
      <w:marRight w:val="0"/>
      <w:marTop w:val="0"/>
      <w:marBottom w:val="0"/>
      <w:divBdr>
        <w:top w:val="none" w:sz="0" w:space="0" w:color="auto"/>
        <w:left w:val="none" w:sz="0" w:space="0" w:color="auto"/>
        <w:bottom w:val="none" w:sz="0" w:space="0" w:color="auto"/>
        <w:right w:val="none" w:sz="0" w:space="0" w:color="auto"/>
      </w:divBdr>
    </w:div>
    <w:div w:id="57480722">
      <w:bodyDiv w:val="1"/>
      <w:marLeft w:val="0"/>
      <w:marRight w:val="0"/>
      <w:marTop w:val="0"/>
      <w:marBottom w:val="0"/>
      <w:divBdr>
        <w:top w:val="none" w:sz="0" w:space="0" w:color="auto"/>
        <w:left w:val="none" w:sz="0" w:space="0" w:color="auto"/>
        <w:bottom w:val="none" w:sz="0" w:space="0" w:color="auto"/>
        <w:right w:val="none" w:sz="0" w:space="0" w:color="auto"/>
      </w:divBdr>
    </w:div>
    <w:div w:id="58746818">
      <w:bodyDiv w:val="1"/>
      <w:marLeft w:val="0"/>
      <w:marRight w:val="0"/>
      <w:marTop w:val="0"/>
      <w:marBottom w:val="0"/>
      <w:divBdr>
        <w:top w:val="none" w:sz="0" w:space="0" w:color="auto"/>
        <w:left w:val="none" w:sz="0" w:space="0" w:color="auto"/>
        <w:bottom w:val="none" w:sz="0" w:space="0" w:color="auto"/>
        <w:right w:val="none" w:sz="0" w:space="0" w:color="auto"/>
      </w:divBdr>
    </w:div>
    <w:div w:id="74060159">
      <w:bodyDiv w:val="1"/>
      <w:marLeft w:val="0"/>
      <w:marRight w:val="0"/>
      <w:marTop w:val="0"/>
      <w:marBottom w:val="0"/>
      <w:divBdr>
        <w:top w:val="none" w:sz="0" w:space="0" w:color="auto"/>
        <w:left w:val="none" w:sz="0" w:space="0" w:color="auto"/>
        <w:bottom w:val="none" w:sz="0" w:space="0" w:color="auto"/>
        <w:right w:val="none" w:sz="0" w:space="0" w:color="auto"/>
      </w:divBdr>
    </w:div>
    <w:div w:id="78411212">
      <w:bodyDiv w:val="1"/>
      <w:marLeft w:val="0"/>
      <w:marRight w:val="0"/>
      <w:marTop w:val="0"/>
      <w:marBottom w:val="0"/>
      <w:divBdr>
        <w:top w:val="none" w:sz="0" w:space="0" w:color="auto"/>
        <w:left w:val="none" w:sz="0" w:space="0" w:color="auto"/>
        <w:bottom w:val="none" w:sz="0" w:space="0" w:color="auto"/>
        <w:right w:val="none" w:sz="0" w:space="0" w:color="auto"/>
      </w:divBdr>
    </w:div>
    <w:div w:id="78600944">
      <w:bodyDiv w:val="1"/>
      <w:marLeft w:val="0"/>
      <w:marRight w:val="0"/>
      <w:marTop w:val="0"/>
      <w:marBottom w:val="0"/>
      <w:divBdr>
        <w:top w:val="none" w:sz="0" w:space="0" w:color="auto"/>
        <w:left w:val="none" w:sz="0" w:space="0" w:color="auto"/>
        <w:bottom w:val="none" w:sz="0" w:space="0" w:color="auto"/>
        <w:right w:val="none" w:sz="0" w:space="0" w:color="auto"/>
      </w:divBdr>
    </w:div>
    <w:div w:id="85198372">
      <w:bodyDiv w:val="1"/>
      <w:marLeft w:val="0"/>
      <w:marRight w:val="0"/>
      <w:marTop w:val="0"/>
      <w:marBottom w:val="0"/>
      <w:divBdr>
        <w:top w:val="none" w:sz="0" w:space="0" w:color="auto"/>
        <w:left w:val="none" w:sz="0" w:space="0" w:color="auto"/>
        <w:bottom w:val="none" w:sz="0" w:space="0" w:color="auto"/>
        <w:right w:val="none" w:sz="0" w:space="0" w:color="auto"/>
      </w:divBdr>
    </w:div>
    <w:div w:id="108015613">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17384669">
      <w:bodyDiv w:val="1"/>
      <w:marLeft w:val="0"/>
      <w:marRight w:val="0"/>
      <w:marTop w:val="0"/>
      <w:marBottom w:val="0"/>
      <w:divBdr>
        <w:top w:val="none" w:sz="0" w:space="0" w:color="auto"/>
        <w:left w:val="none" w:sz="0" w:space="0" w:color="auto"/>
        <w:bottom w:val="none" w:sz="0" w:space="0" w:color="auto"/>
        <w:right w:val="none" w:sz="0" w:space="0" w:color="auto"/>
      </w:divBdr>
    </w:div>
    <w:div w:id="117726749">
      <w:bodyDiv w:val="1"/>
      <w:marLeft w:val="0"/>
      <w:marRight w:val="0"/>
      <w:marTop w:val="0"/>
      <w:marBottom w:val="0"/>
      <w:divBdr>
        <w:top w:val="none" w:sz="0" w:space="0" w:color="auto"/>
        <w:left w:val="none" w:sz="0" w:space="0" w:color="auto"/>
        <w:bottom w:val="none" w:sz="0" w:space="0" w:color="auto"/>
        <w:right w:val="none" w:sz="0" w:space="0" w:color="auto"/>
      </w:divBdr>
      <w:divsChild>
        <w:div w:id="1487697407">
          <w:marLeft w:val="0"/>
          <w:marRight w:val="0"/>
          <w:marTop w:val="0"/>
          <w:marBottom w:val="0"/>
          <w:divBdr>
            <w:top w:val="none" w:sz="0" w:space="0" w:color="auto"/>
            <w:left w:val="none" w:sz="0" w:space="0" w:color="auto"/>
            <w:bottom w:val="none" w:sz="0" w:space="0" w:color="auto"/>
            <w:right w:val="none" w:sz="0" w:space="0" w:color="auto"/>
          </w:divBdr>
        </w:div>
        <w:div w:id="1670475353">
          <w:marLeft w:val="0"/>
          <w:marRight w:val="0"/>
          <w:marTop w:val="0"/>
          <w:marBottom w:val="0"/>
          <w:divBdr>
            <w:top w:val="none" w:sz="0" w:space="0" w:color="auto"/>
            <w:left w:val="none" w:sz="0" w:space="0" w:color="auto"/>
            <w:bottom w:val="none" w:sz="0" w:space="0" w:color="auto"/>
            <w:right w:val="none" w:sz="0" w:space="0" w:color="auto"/>
          </w:divBdr>
        </w:div>
      </w:divsChild>
    </w:div>
    <w:div w:id="122580303">
      <w:bodyDiv w:val="1"/>
      <w:marLeft w:val="0"/>
      <w:marRight w:val="0"/>
      <w:marTop w:val="0"/>
      <w:marBottom w:val="0"/>
      <w:divBdr>
        <w:top w:val="none" w:sz="0" w:space="0" w:color="auto"/>
        <w:left w:val="none" w:sz="0" w:space="0" w:color="auto"/>
        <w:bottom w:val="none" w:sz="0" w:space="0" w:color="auto"/>
        <w:right w:val="none" w:sz="0" w:space="0" w:color="auto"/>
      </w:divBdr>
      <w:divsChild>
        <w:div w:id="1545143126">
          <w:marLeft w:val="0"/>
          <w:marRight w:val="0"/>
          <w:marTop w:val="0"/>
          <w:marBottom w:val="0"/>
          <w:divBdr>
            <w:top w:val="none" w:sz="0" w:space="0" w:color="auto"/>
            <w:left w:val="none" w:sz="0" w:space="0" w:color="auto"/>
            <w:bottom w:val="none" w:sz="0" w:space="0" w:color="auto"/>
            <w:right w:val="none" w:sz="0" w:space="0" w:color="auto"/>
          </w:divBdr>
          <w:divsChild>
            <w:div w:id="174745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3750">
      <w:bodyDiv w:val="1"/>
      <w:marLeft w:val="0"/>
      <w:marRight w:val="0"/>
      <w:marTop w:val="0"/>
      <w:marBottom w:val="0"/>
      <w:divBdr>
        <w:top w:val="none" w:sz="0" w:space="0" w:color="auto"/>
        <w:left w:val="none" w:sz="0" w:space="0" w:color="auto"/>
        <w:bottom w:val="none" w:sz="0" w:space="0" w:color="auto"/>
        <w:right w:val="none" w:sz="0" w:space="0" w:color="auto"/>
      </w:divBdr>
    </w:div>
    <w:div w:id="135807294">
      <w:bodyDiv w:val="1"/>
      <w:marLeft w:val="0"/>
      <w:marRight w:val="0"/>
      <w:marTop w:val="0"/>
      <w:marBottom w:val="0"/>
      <w:divBdr>
        <w:top w:val="none" w:sz="0" w:space="0" w:color="auto"/>
        <w:left w:val="none" w:sz="0" w:space="0" w:color="auto"/>
        <w:bottom w:val="none" w:sz="0" w:space="0" w:color="auto"/>
        <w:right w:val="none" w:sz="0" w:space="0" w:color="auto"/>
      </w:divBdr>
    </w:div>
    <w:div w:id="159664789">
      <w:bodyDiv w:val="1"/>
      <w:marLeft w:val="0"/>
      <w:marRight w:val="0"/>
      <w:marTop w:val="0"/>
      <w:marBottom w:val="0"/>
      <w:divBdr>
        <w:top w:val="none" w:sz="0" w:space="0" w:color="auto"/>
        <w:left w:val="none" w:sz="0" w:space="0" w:color="auto"/>
        <w:bottom w:val="none" w:sz="0" w:space="0" w:color="auto"/>
        <w:right w:val="none" w:sz="0" w:space="0" w:color="auto"/>
      </w:divBdr>
    </w:div>
    <w:div w:id="161511097">
      <w:bodyDiv w:val="1"/>
      <w:marLeft w:val="0"/>
      <w:marRight w:val="0"/>
      <w:marTop w:val="0"/>
      <w:marBottom w:val="0"/>
      <w:divBdr>
        <w:top w:val="none" w:sz="0" w:space="0" w:color="auto"/>
        <w:left w:val="none" w:sz="0" w:space="0" w:color="auto"/>
        <w:bottom w:val="none" w:sz="0" w:space="0" w:color="auto"/>
        <w:right w:val="none" w:sz="0" w:space="0" w:color="auto"/>
      </w:divBdr>
    </w:div>
    <w:div w:id="187106196">
      <w:bodyDiv w:val="1"/>
      <w:marLeft w:val="0"/>
      <w:marRight w:val="0"/>
      <w:marTop w:val="0"/>
      <w:marBottom w:val="0"/>
      <w:divBdr>
        <w:top w:val="none" w:sz="0" w:space="0" w:color="auto"/>
        <w:left w:val="none" w:sz="0" w:space="0" w:color="auto"/>
        <w:bottom w:val="none" w:sz="0" w:space="0" w:color="auto"/>
        <w:right w:val="none" w:sz="0" w:space="0" w:color="auto"/>
      </w:divBdr>
    </w:div>
    <w:div w:id="193541526">
      <w:bodyDiv w:val="1"/>
      <w:marLeft w:val="0"/>
      <w:marRight w:val="0"/>
      <w:marTop w:val="0"/>
      <w:marBottom w:val="0"/>
      <w:divBdr>
        <w:top w:val="none" w:sz="0" w:space="0" w:color="auto"/>
        <w:left w:val="none" w:sz="0" w:space="0" w:color="auto"/>
        <w:bottom w:val="none" w:sz="0" w:space="0" w:color="auto"/>
        <w:right w:val="none" w:sz="0" w:space="0" w:color="auto"/>
      </w:divBdr>
    </w:div>
    <w:div w:id="218782887">
      <w:bodyDiv w:val="1"/>
      <w:marLeft w:val="0"/>
      <w:marRight w:val="0"/>
      <w:marTop w:val="0"/>
      <w:marBottom w:val="0"/>
      <w:divBdr>
        <w:top w:val="none" w:sz="0" w:space="0" w:color="auto"/>
        <w:left w:val="none" w:sz="0" w:space="0" w:color="auto"/>
        <w:bottom w:val="none" w:sz="0" w:space="0" w:color="auto"/>
        <w:right w:val="none" w:sz="0" w:space="0" w:color="auto"/>
      </w:divBdr>
    </w:div>
    <w:div w:id="222327493">
      <w:bodyDiv w:val="1"/>
      <w:marLeft w:val="0"/>
      <w:marRight w:val="0"/>
      <w:marTop w:val="0"/>
      <w:marBottom w:val="0"/>
      <w:divBdr>
        <w:top w:val="none" w:sz="0" w:space="0" w:color="auto"/>
        <w:left w:val="none" w:sz="0" w:space="0" w:color="auto"/>
        <w:bottom w:val="none" w:sz="0" w:space="0" w:color="auto"/>
        <w:right w:val="none" w:sz="0" w:space="0" w:color="auto"/>
      </w:divBdr>
    </w:div>
    <w:div w:id="246231687">
      <w:bodyDiv w:val="1"/>
      <w:marLeft w:val="0"/>
      <w:marRight w:val="0"/>
      <w:marTop w:val="0"/>
      <w:marBottom w:val="0"/>
      <w:divBdr>
        <w:top w:val="none" w:sz="0" w:space="0" w:color="auto"/>
        <w:left w:val="none" w:sz="0" w:space="0" w:color="auto"/>
        <w:bottom w:val="none" w:sz="0" w:space="0" w:color="auto"/>
        <w:right w:val="none" w:sz="0" w:space="0" w:color="auto"/>
      </w:divBdr>
      <w:divsChild>
        <w:div w:id="451482514">
          <w:marLeft w:val="0"/>
          <w:marRight w:val="0"/>
          <w:marTop w:val="0"/>
          <w:marBottom w:val="0"/>
          <w:divBdr>
            <w:top w:val="none" w:sz="0" w:space="0" w:color="auto"/>
            <w:left w:val="none" w:sz="0" w:space="0" w:color="auto"/>
            <w:bottom w:val="none" w:sz="0" w:space="0" w:color="auto"/>
            <w:right w:val="none" w:sz="0" w:space="0" w:color="auto"/>
          </w:divBdr>
        </w:div>
        <w:div w:id="712192536">
          <w:marLeft w:val="0"/>
          <w:marRight w:val="0"/>
          <w:marTop w:val="0"/>
          <w:marBottom w:val="0"/>
          <w:divBdr>
            <w:top w:val="none" w:sz="0" w:space="0" w:color="auto"/>
            <w:left w:val="none" w:sz="0" w:space="0" w:color="auto"/>
            <w:bottom w:val="none" w:sz="0" w:space="0" w:color="auto"/>
            <w:right w:val="none" w:sz="0" w:space="0" w:color="auto"/>
          </w:divBdr>
        </w:div>
        <w:div w:id="1457065363">
          <w:marLeft w:val="0"/>
          <w:marRight w:val="0"/>
          <w:marTop w:val="0"/>
          <w:marBottom w:val="0"/>
          <w:divBdr>
            <w:top w:val="none" w:sz="0" w:space="0" w:color="auto"/>
            <w:left w:val="none" w:sz="0" w:space="0" w:color="auto"/>
            <w:bottom w:val="none" w:sz="0" w:space="0" w:color="auto"/>
            <w:right w:val="none" w:sz="0" w:space="0" w:color="auto"/>
          </w:divBdr>
        </w:div>
        <w:div w:id="1768305274">
          <w:marLeft w:val="0"/>
          <w:marRight w:val="0"/>
          <w:marTop w:val="0"/>
          <w:marBottom w:val="0"/>
          <w:divBdr>
            <w:top w:val="none" w:sz="0" w:space="0" w:color="auto"/>
            <w:left w:val="none" w:sz="0" w:space="0" w:color="auto"/>
            <w:bottom w:val="none" w:sz="0" w:space="0" w:color="auto"/>
            <w:right w:val="none" w:sz="0" w:space="0" w:color="auto"/>
          </w:divBdr>
        </w:div>
      </w:divsChild>
    </w:div>
    <w:div w:id="247928466">
      <w:bodyDiv w:val="1"/>
      <w:marLeft w:val="0"/>
      <w:marRight w:val="0"/>
      <w:marTop w:val="0"/>
      <w:marBottom w:val="0"/>
      <w:divBdr>
        <w:top w:val="none" w:sz="0" w:space="0" w:color="auto"/>
        <w:left w:val="none" w:sz="0" w:space="0" w:color="auto"/>
        <w:bottom w:val="none" w:sz="0" w:space="0" w:color="auto"/>
        <w:right w:val="none" w:sz="0" w:space="0" w:color="auto"/>
      </w:divBdr>
    </w:div>
    <w:div w:id="249970762">
      <w:bodyDiv w:val="1"/>
      <w:marLeft w:val="0"/>
      <w:marRight w:val="0"/>
      <w:marTop w:val="0"/>
      <w:marBottom w:val="0"/>
      <w:divBdr>
        <w:top w:val="none" w:sz="0" w:space="0" w:color="auto"/>
        <w:left w:val="none" w:sz="0" w:space="0" w:color="auto"/>
        <w:bottom w:val="none" w:sz="0" w:space="0" w:color="auto"/>
        <w:right w:val="none" w:sz="0" w:space="0" w:color="auto"/>
      </w:divBdr>
    </w:div>
    <w:div w:id="259530189">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80768750">
      <w:bodyDiv w:val="1"/>
      <w:marLeft w:val="0"/>
      <w:marRight w:val="0"/>
      <w:marTop w:val="0"/>
      <w:marBottom w:val="0"/>
      <w:divBdr>
        <w:top w:val="none" w:sz="0" w:space="0" w:color="auto"/>
        <w:left w:val="none" w:sz="0" w:space="0" w:color="auto"/>
        <w:bottom w:val="none" w:sz="0" w:space="0" w:color="auto"/>
        <w:right w:val="none" w:sz="0" w:space="0" w:color="auto"/>
      </w:divBdr>
    </w:div>
    <w:div w:id="299698864">
      <w:bodyDiv w:val="1"/>
      <w:marLeft w:val="0"/>
      <w:marRight w:val="0"/>
      <w:marTop w:val="0"/>
      <w:marBottom w:val="0"/>
      <w:divBdr>
        <w:top w:val="none" w:sz="0" w:space="0" w:color="auto"/>
        <w:left w:val="none" w:sz="0" w:space="0" w:color="auto"/>
        <w:bottom w:val="none" w:sz="0" w:space="0" w:color="auto"/>
        <w:right w:val="none" w:sz="0" w:space="0" w:color="auto"/>
      </w:divBdr>
    </w:div>
    <w:div w:id="324356460">
      <w:bodyDiv w:val="1"/>
      <w:marLeft w:val="0"/>
      <w:marRight w:val="0"/>
      <w:marTop w:val="0"/>
      <w:marBottom w:val="0"/>
      <w:divBdr>
        <w:top w:val="none" w:sz="0" w:space="0" w:color="auto"/>
        <w:left w:val="none" w:sz="0" w:space="0" w:color="auto"/>
        <w:bottom w:val="none" w:sz="0" w:space="0" w:color="auto"/>
        <w:right w:val="none" w:sz="0" w:space="0" w:color="auto"/>
      </w:divBdr>
    </w:div>
    <w:div w:id="333651920">
      <w:bodyDiv w:val="1"/>
      <w:marLeft w:val="0"/>
      <w:marRight w:val="0"/>
      <w:marTop w:val="0"/>
      <w:marBottom w:val="0"/>
      <w:divBdr>
        <w:top w:val="none" w:sz="0" w:space="0" w:color="auto"/>
        <w:left w:val="none" w:sz="0" w:space="0" w:color="auto"/>
        <w:bottom w:val="none" w:sz="0" w:space="0" w:color="auto"/>
        <w:right w:val="none" w:sz="0" w:space="0" w:color="auto"/>
      </w:divBdr>
      <w:divsChild>
        <w:div w:id="1120538149">
          <w:marLeft w:val="0"/>
          <w:marRight w:val="0"/>
          <w:marTop w:val="0"/>
          <w:marBottom w:val="0"/>
          <w:divBdr>
            <w:top w:val="none" w:sz="0" w:space="0" w:color="auto"/>
            <w:left w:val="none" w:sz="0" w:space="0" w:color="auto"/>
            <w:bottom w:val="none" w:sz="0" w:space="0" w:color="auto"/>
            <w:right w:val="none" w:sz="0" w:space="0" w:color="auto"/>
          </w:divBdr>
        </w:div>
      </w:divsChild>
    </w:div>
    <w:div w:id="334960987">
      <w:bodyDiv w:val="1"/>
      <w:marLeft w:val="0"/>
      <w:marRight w:val="0"/>
      <w:marTop w:val="0"/>
      <w:marBottom w:val="0"/>
      <w:divBdr>
        <w:top w:val="none" w:sz="0" w:space="0" w:color="auto"/>
        <w:left w:val="none" w:sz="0" w:space="0" w:color="auto"/>
        <w:bottom w:val="none" w:sz="0" w:space="0" w:color="auto"/>
        <w:right w:val="none" w:sz="0" w:space="0" w:color="auto"/>
      </w:divBdr>
    </w:div>
    <w:div w:id="337121107">
      <w:bodyDiv w:val="1"/>
      <w:marLeft w:val="0"/>
      <w:marRight w:val="0"/>
      <w:marTop w:val="0"/>
      <w:marBottom w:val="0"/>
      <w:divBdr>
        <w:top w:val="none" w:sz="0" w:space="0" w:color="auto"/>
        <w:left w:val="none" w:sz="0" w:space="0" w:color="auto"/>
        <w:bottom w:val="none" w:sz="0" w:space="0" w:color="auto"/>
        <w:right w:val="none" w:sz="0" w:space="0" w:color="auto"/>
      </w:divBdr>
    </w:div>
    <w:div w:id="346030140">
      <w:bodyDiv w:val="1"/>
      <w:marLeft w:val="0"/>
      <w:marRight w:val="0"/>
      <w:marTop w:val="0"/>
      <w:marBottom w:val="0"/>
      <w:divBdr>
        <w:top w:val="none" w:sz="0" w:space="0" w:color="auto"/>
        <w:left w:val="none" w:sz="0" w:space="0" w:color="auto"/>
        <w:bottom w:val="none" w:sz="0" w:space="0" w:color="auto"/>
        <w:right w:val="none" w:sz="0" w:space="0" w:color="auto"/>
      </w:divBdr>
    </w:div>
    <w:div w:id="368338395">
      <w:bodyDiv w:val="1"/>
      <w:marLeft w:val="0"/>
      <w:marRight w:val="0"/>
      <w:marTop w:val="0"/>
      <w:marBottom w:val="0"/>
      <w:divBdr>
        <w:top w:val="none" w:sz="0" w:space="0" w:color="auto"/>
        <w:left w:val="none" w:sz="0" w:space="0" w:color="auto"/>
        <w:bottom w:val="none" w:sz="0" w:space="0" w:color="auto"/>
        <w:right w:val="none" w:sz="0" w:space="0" w:color="auto"/>
      </w:divBdr>
    </w:div>
    <w:div w:id="374623545">
      <w:bodyDiv w:val="1"/>
      <w:marLeft w:val="0"/>
      <w:marRight w:val="0"/>
      <w:marTop w:val="0"/>
      <w:marBottom w:val="0"/>
      <w:divBdr>
        <w:top w:val="none" w:sz="0" w:space="0" w:color="auto"/>
        <w:left w:val="none" w:sz="0" w:space="0" w:color="auto"/>
        <w:bottom w:val="none" w:sz="0" w:space="0" w:color="auto"/>
        <w:right w:val="none" w:sz="0" w:space="0" w:color="auto"/>
      </w:divBdr>
    </w:div>
    <w:div w:id="379061901">
      <w:bodyDiv w:val="1"/>
      <w:marLeft w:val="0"/>
      <w:marRight w:val="0"/>
      <w:marTop w:val="0"/>
      <w:marBottom w:val="0"/>
      <w:divBdr>
        <w:top w:val="none" w:sz="0" w:space="0" w:color="auto"/>
        <w:left w:val="none" w:sz="0" w:space="0" w:color="auto"/>
        <w:bottom w:val="none" w:sz="0" w:space="0" w:color="auto"/>
        <w:right w:val="none" w:sz="0" w:space="0" w:color="auto"/>
      </w:divBdr>
      <w:divsChild>
        <w:div w:id="1593009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9944094">
      <w:bodyDiv w:val="1"/>
      <w:marLeft w:val="0"/>
      <w:marRight w:val="0"/>
      <w:marTop w:val="0"/>
      <w:marBottom w:val="0"/>
      <w:divBdr>
        <w:top w:val="none" w:sz="0" w:space="0" w:color="auto"/>
        <w:left w:val="none" w:sz="0" w:space="0" w:color="auto"/>
        <w:bottom w:val="none" w:sz="0" w:space="0" w:color="auto"/>
        <w:right w:val="none" w:sz="0" w:space="0" w:color="auto"/>
      </w:divBdr>
    </w:div>
    <w:div w:id="380325013">
      <w:bodyDiv w:val="1"/>
      <w:marLeft w:val="0"/>
      <w:marRight w:val="0"/>
      <w:marTop w:val="0"/>
      <w:marBottom w:val="0"/>
      <w:divBdr>
        <w:top w:val="none" w:sz="0" w:space="0" w:color="auto"/>
        <w:left w:val="none" w:sz="0" w:space="0" w:color="auto"/>
        <w:bottom w:val="none" w:sz="0" w:space="0" w:color="auto"/>
        <w:right w:val="none" w:sz="0" w:space="0" w:color="auto"/>
      </w:divBdr>
      <w:divsChild>
        <w:div w:id="1038698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242039">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03988269">
      <w:bodyDiv w:val="1"/>
      <w:marLeft w:val="0"/>
      <w:marRight w:val="0"/>
      <w:marTop w:val="0"/>
      <w:marBottom w:val="0"/>
      <w:divBdr>
        <w:top w:val="none" w:sz="0" w:space="0" w:color="auto"/>
        <w:left w:val="none" w:sz="0" w:space="0" w:color="auto"/>
        <w:bottom w:val="none" w:sz="0" w:space="0" w:color="auto"/>
        <w:right w:val="none" w:sz="0" w:space="0" w:color="auto"/>
      </w:divBdr>
    </w:div>
    <w:div w:id="404374951">
      <w:bodyDiv w:val="1"/>
      <w:marLeft w:val="0"/>
      <w:marRight w:val="0"/>
      <w:marTop w:val="0"/>
      <w:marBottom w:val="0"/>
      <w:divBdr>
        <w:top w:val="none" w:sz="0" w:space="0" w:color="auto"/>
        <w:left w:val="none" w:sz="0" w:space="0" w:color="auto"/>
        <w:bottom w:val="none" w:sz="0" w:space="0" w:color="auto"/>
        <w:right w:val="none" w:sz="0" w:space="0" w:color="auto"/>
      </w:divBdr>
    </w:div>
    <w:div w:id="420376343">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27194246">
      <w:bodyDiv w:val="1"/>
      <w:marLeft w:val="0"/>
      <w:marRight w:val="0"/>
      <w:marTop w:val="0"/>
      <w:marBottom w:val="0"/>
      <w:divBdr>
        <w:top w:val="none" w:sz="0" w:space="0" w:color="auto"/>
        <w:left w:val="none" w:sz="0" w:space="0" w:color="auto"/>
        <w:bottom w:val="none" w:sz="0" w:space="0" w:color="auto"/>
        <w:right w:val="none" w:sz="0" w:space="0" w:color="auto"/>
      </w:divBdr>
      <w:divsChild>
        <w:div w:id="1727338772">
          <w:marLeft w:val="0"/>
          <w:marRight w:val="0"/>
          <w:marTop w:val="0"/>
          <w:marBottom w:val="0"/>
          <w:divBdr>
            <w:top w:val="none" w:sz="0" w:space="0" w:color="auto"/>
            <w:left w:val="none" w:sz="0" w:space="0" w:color="auto"/>
            <w:bottom w:val="none" w:sz="0" w:space="0" w:color="auto"/>
            <w:right w:val="none" w:sz="0" w:space="0" w:color="auto"/>
          </w:divBdr>
          <w:divsChild>
            <w:div w:id="38137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82645">
      <w:bodyDiv w:val="1"/>
      <w:marLeft w:val="0"/>
      <w:marRight w:val="0"/>
      <w:marTop w:val="0"/>
      <w:marBottom w:val="0"/>
      <w:divBdr>
        <w:top w:val="none" w:sz="0" w:space="0" w:color="auto"/>
        <w:left w:val="none" w:sz="0" w:space="0" w:color="auto"/>
        <w:bottom w:val="none" w:sz="0" w:space="0" w:color="auto"/>
        <w:right w:val="none" w:sz="0" w:space="0" w:color="auto"/>
      </w:divBdr>
    </w:div>
    <w:div w:id="432748203">
      <w:bodyDiv w:val="1"/>
      <w:marLeft w:val="0"/>
      <w:marRight w:val="0"/>
      <w:marTop w:val="0"/>
      <w:marBottom w:val="0"/>
      <w:divBdr>
        <w:top w:val="none" w:sz="0" w:space="0" w:color="auto"/>
        <w:left w:val="none" w:sz="0" w:space="0" w:color="auto"/>
        <w:bottom w:val="none" w:sz="0" w:space="0" w:color="auto"/>
        <w:right w:val="none" w:sz="0" w:space="0" w:color="auto"/>
      </w:divBdr>
      <w:divsChild>
        <w:div w:id="80299600">
          <w:marLeft w:val="0"/>
          <w:marRight w:val="0"/>
          <w:marTop w:val="0"/>
          <w:marBottom w:val="0"/>
          <w:divBdr>
            <w:top w:val="none" w:sz="0" w:space="0" w:color="auto"/>
            <w:left w:val="none" w:sz="0" w:space="0" w:color="auto"/>
            <w:bottom w:val="none" w:sz="0" w:space="0" w:color="auto"/>
            <w:right w:val="none" w:sz="0" w:space="0" w:color="auto"/>
          </w:divBdr>
          <w:divsChild>
            <w:div w:id="18007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559205">
      <w:bodyDiv w:val="1"/>
      <w:marLeft w:val="0"/>
      <w:marRight w:val="0"/>
      <w:marTop w:val="0"/>
      <w:marBottom w:val="0"/>
      <w:divBdr>
        <w:top w:val="none" w:sz="0" w:space="0" w:color="auto"/>
        <w:left w:val="none" w:sz="0" w:space="0" w:color="auto"/>
        <w:bottom w:val="none" w:sz="0" w:space="0" w:color="auto"/>
        <w:right w:val="none" w:sz="0" w:space="0" w:color="auto"/>
      </w:divBdr>
    </w:div>
    <w:div w:id="436215132">
      <w:bodyDiv w:val="1"/>
      <w:marLeft w:val="0"/>
      <w:marRight w:val="0"/>
      <w:marTop w:val="0"/>
      <w:marBottom w:val="0"/>
      <w:divBdr>
        <w:top w:val="none" w:sz="0" w:space="0" w:color="auto"/>
        <w:left w:val="none" w:sz="0" w:space="0" w:color="auto"/>
        <w:bottom w:val="none" w:sz="0" w:space="0" w:color="auto"/>
        <w:right w:val="none" w:sz="0" w:space="0" w:color="auto"/>
      </w:divBdr>
      <w:divsChild>
        <w:div w:id="263225313">
          <w:marLeft w:val="0"/>
          <w:marRight w:val="0"/>
          <w:marTop w:val="0"/>
          <w:marBottom w:val="0"/>
          <w:divBdr>
            <w:top w:val="none" w:sz="0" w:space="0" w:color="auto"/>
            <w:left w:val="none" w:sz="0" w:space="0" w:color="auto"/>
            <w:bottom w:val="none" w:sz="0" w:space="0" w:color="auto"/>
            <w:right w:val="none" w:sz="0" w:space="0" w:color="auto"/>
          </w:divBdr>
        </w:div>
        <w:div w:id="870649657">
          <w:marLeft w:val="0"/>
          <w:marRight w:val="0"/>
          <w:marTop w:val="0"/>
          <w:marBottom w:val="0"/>
          <w:divBdr>
            <w:top w:val="none" w:sz="0" w:space="0" w:color="auto"/>
            <w:left w:val="none" w:sz="0" w:space="0" w:color="auto"/>
            <w:bottom w:val="none" w:sz="0" w:space="0" w:color="auto"/>
            <w:right w:val="none" w:sz="0" w:space="0" w:color="auto"/>
          </w:divBdr>
        </w:div>
      </w:divsChild>
    </w:div>
    <w:div w:id="438721654">
      <w:bodyDiv w:val="1"/>
      <w:marLeft w:val="0"/>
      <w:marRight w:val="0"/>
      <w:marTop w:val="0"/>
      <w:marBottom w:val="0"/>
      <w:divBdr>
        <w:top w:val="none" w:sz="0" w:space="0" w:color="auto"/>
        <w:left w:val="none" w:sz="0" w:space="0" w:color="auto"/>
        <w:bottom w:val="none" w:sz="0" w:space="0" w:color="auto"/>
        <w:right w:val="none" w:sz="0" w:space="0" w:color="auto"/>
      </w:divBdr>
      <w:divsChild>
        <w:div w:id="308705312">
          <w:marLeft w:val="0"/>
          <w:marRight w:val="0"/>
          <w:marTop w:val="0"/>
          <w:marBottom w:val="0"/>
          <w:divBdr>
            <w:top w:val="none" w:sz="0" w:space="0" w:color="auto"/>
            <w:left w:val="none" w:sz="0" w:space="0" w:color="auto"/>
            <w:bottom w:val="none" w:sz="0" w:space="0" w:color="auto"/>
            <w:right w:val="none" w:sz="0" w:space="0" w:color="auto"/>
          </w:divBdr>
        </w:div>
        <w:div w:id="328868897">
          <w:marLeft w:val="0"/>
          <w:marRight w:val="0"/>
          <w:marTop w:val="0"/>
          <w:marBottom w:val="0"/>
          <w:divBdr>
            <w:top w:val="none" w:sz="0" w:space="0" w:color="auto"/>
            <w:left w:val="none" w:sz="0" w:space="0" w:color="auto"/>
            <w:bottom w:val="none" w:sz="0" w:space="0" w:color="auto"/>
            <w:right w:val="none" w:sz="0" w:space="0" w:color="auto"/>
          </w:divBdr>
        </w:div>
      </w:divsChild>
    </w:div>
    <w:div w:id="440998614">
      <w:bodyDiv w:val="1"/>
      <w:marLeft w:val="0"/>
      <w:marRight w:val="0"/>
      <w:marTop w:val="0"/>
      <w:marBottom w:val="0"/>
      <w:divBdr>
        <w:top w:val="none" w:sz="0" w:space="0" w:color="auto"/>
        <w:left w:val="none" w:sz="0" w:space="0" w:color="auto"/>
        <w:bottom w:val="none" w:sz="0" w:space="0" w:color="auto"/>
        <w:right w:val="none" w:sz="0" w:space="0" w:color="auto"/>
      </w:divBdr>
      <w:divsChild>
        <w:div w:id="586961554">
          <w:marLeft w:val="0"/>
          <w:marRight w:val="0"/>
          <w:marTop w:val="0"/>
          <w:marBottom w:val="0"/>
          <w:divBdr>
            <w:top w:val="none" w:sz="0" w:space="0" w:color="auto"/>
            <w:left w:val="none" w:sz="0" w:space="0" w:color="auto"/>
            <w:bottom w:val="none" w:sz="0" w:space="0" w:color="auto"/>
            <w:right w:val="none" w:sz="0" w:space="0" w:color="auto"/>
          </w:divBdr>
        </w:div>
      </w:divsChild>
    </w:div>
    <w:div w:id="451242201">
      <w:bodyDiv w:val="1"/>
      <w:marLeft w:val="0"/>
      <w:marRight w:val="0"/>
      <w:marTop w:val="0"/>
      <w:marBottom w:val="0"/>
      <w:divBdr>
        <w:top w:val="none" w:sz="0" w:space="0" w:color="auto"/>
        <w:left w:val="none" w:sz="0" w:space="0" w:color="auto"/>
        <w:bottom w:val="none" w:sz="0" w:space="0" w:color="auto"/>
        <w:right w:val="none" w:sz="0" w:space="0" w:color="auto"/>
      </w:divBdr>
    </w:div>
    <w:div w:id="459306673">
      <w:bodyDiv w:val="1"/>
      <w:marLeft w:val="0"/>
      <w:marRight w:val="0"/>
      <w:marTop w:val="0"/>
      <w:marBottom w:val="0"/>
      <w:divBdr>
        <w:top w:val="none" w:sz="0" w:space="0" w:color="auto"/>
        <w:left w:val="none" w:sz="0" w:space="0" w:color="auto"/>
        <w:bottom w:val="none" w:sz="0" w:space="0" w:color="auto"/>
        <w:right w:val="none" w:sz="0" w:space="0" w:color="auto"/>
      </w:divBdr>
    </w:div>
    <w:div w:id="460343870">
      <w:bodyDiv w:val="1"/>
      <w:marLeft w:val="0"/>
      <w:marRight w:val="0"/>
      <w:marTop w:val="0"/>
      <w:marBottom w:val="0"/>
      <w:divBdr>
        <w:top w:val="none" w:sz="0" w:space="0" w:color="auto"/>
        <w:left w:val="none" w:sz="0" w:space="0" w:color="auto"/>
        <w:bottom w:val="none" w:sz="0" w:space="0" w:color="auto"/>
        <w:right w:val="none" w:sz="0" w:space="0" w:color="auto"/>
      </w:divBdr>
    </w:div>
    <w:div w:id="486437732">
      <w:bodyDiv w:val="1"/>
      <w:marLeft w:val="0"/>
      <w:marRight w:val="0"/>
      <w:marTop w:val="0"/>
      <w:marBottom w:val="0"/>
      <w:divBdr>
        <w:top w:val="none" w:sz="0" w:space="0" w:color="auto"/>
        <w:left w:val="none" w:sz="0" w:space="0" w:color="auto"/>
        <w:bottom w:val="none" w:sz="0" w:space="0" w:color="auto"/>
        <w:right w:val="none" w:sz="0" w:space="0" w:color="auto"/>
      </w:divBdr>
    </w:div>
    <w:div w:id="493884365">
      <w:bodyDiv w:val="1"/>
      <w:marLeft w:val="0"/>
      <w:marRight w:val="0"/>
      <w:marTop w:val="0"/>
      <w:marBottom w:val="0"/>
      <w:divBdr>
        <w:top w:val="none" w:sz="0" w:space="0" w:color="auto"/>
        <w:left w:val="none" w:sz="0" w:space="0" w:color="auto"/>
        <w:bottom w:val="none" w:sz="0" w:space="0" w:color="auto"/>
        <w:right w:val="none" w:sz="0" w:space="0" w:color="auto"/>
      </w:divBdr>
    </w:div>
    <w:div w:id="524369077">
      <w:bodyDiv w:val="1"/>
      <w:marLeft w:val="0"/>
      <w:marRight w:val="0"/>
      <w:marTop w:val="0"/>
      <w:marBottom w:val="0"/>
      <w:divBdr>
        <w:top w:val="none" w:sz="0" w:space="0" w:color="auto"/>
        <w:left w:val="none" w:sz="0" w:space="0" w:color="auto"/>
        <w:bottom w:val="none" w:sz="0" w:space="0" w:color="auto"/>
        <w:right w:val="none" w:sz="0" w:space="0" w:color="auto"/>
      </w:divBdr>
    </w:div>
    <w:div w:id="530071732">
      <w:bodyDiv w:val="1"/>
      <w:marLeft w:val="0"/>
      <w:marRight w:val="0"/>
      <w:marTop w:val="0"/>
      <w:marBottom w:val="0"/>
      <w:divBdr>
        <w:top w:val="none" w:sz="0" w:space="0" w:color="auto"/>
        <w:left w:val="none" w:sz="0" w:space="0" w:color="auto"/>
        <w:bottom w:val="none" w:sz="0" w:space="0" w:color="auto"/>
        <w:right w:val="none" w:sz="0" w:space="0" w:color="auto"/>
      </w:divBdr>
    </w:div>
    <w:div w:id="536508507">
      <w:bodyDiv w:val="1"/>
      <w:marLeft w:val="0"/>
      <w:marRight w:val="0"/>
      <w:marTop w:val="0"/>
      <w:marBottom w:val="0"/>
      <w:divBdr>
        <w:top w:val="none" w:sz="0" w:space="0" w:color="auto"/>
        <w:left w:val="none" w:sz="0" w:space="0" w:color="auto"/>
        <w:bottom w:val="none" w:sz="0" w:space="0" w:color="auto"/>
        <w:right w:val="none" w:sz="0" w:space="0" w:color="auto"/>
      </w:divBdr>
    </w:div>
    <w:div w:id="550846050">
      <w:bodyDiv w:val="1"/>
      <w:marLeft w:val="0"/>
      <w:marRight w:val="0"/>
      <w:marTop w:val="0"/>
      <w:marBottom w:val="0"/>
      <w:divBdr>
        <w:top w:val="none" w:sz="0" w:space="0" w:color="auto"/>
        <w:left w:val="none" w:sz="0" w:space="0" w:color="auto"/>
        <w:bottom w:val="none" w:sz="0" w:space="0" w:color="auto"/>
        <w:right w:val="none" w:sz="0" w:space="0" w:color="auto"/>
      </w:divBdr>
    </w:div>
    <w:div w:id="552153228">
      <w:bodyDiv w:val="1"/>
      <w:marLeft w:val="0"/>
      <w:marRight w:val="0"/>
      <w:marTop w:val="0"/>
      <w:marBottom w:val="0"/>
      <w:divBdr>
        <w:top w:val="none" w:sz="0" w:space="0" w:color="auto"/>
        <w:left w:val="none" w:sz="0" w:space="0" w:color="auto"/>
        <w:bottom w:val="none" w:sz="0" w:space="0" w:color="auto"/>
        <w:right w:val="none" w:sz="0" w:space="0" w:color="auto"/>
      </w:divBdr>
    </w:div>
    <w:div w:id="563027085">
      <w:bodyDiv w:val="1"/>
      <w:marLeft w:val="0"/>
      <w:marRight w:val="0"/>
      <w:marTop w:val="0"/>
      <w:marBottom w:val="0"/>
      <w:divBdr>
        <w:top w:val="none" w:sz="0" w:space="0" w:color="auto"/>
        <w:left w:val="none" w:sz="0" w:space="0" w:color="auto"/>
        <w:bottom w:val="none" w:sz="0" w:space="0" w:color="auto"/>
        <w:right w:val="none" w:sz="0" w:space="0" w:color="auto"/>
      </w:divBdr>
    </w:div>
    <w:div w:id="583152150">
      <w:bodyDiv w:val="1"/>
      <w:marLeft w:val="0"/>
      <w:marRight w:val="0"/>
      <w:marTop w:val="0"/>
      <w:marBottom w:val="0"/>
      <w:divBdr>
        <w:top w:val="none" w:sz="0" w:space="0" w:color="auto"/>
        <w:left w:val="none" w:sz="0" w:space="0" w:color="auto"/>
        <w:bottom w:val="none" w:sz="0" w:space="0" w:color="auto"/>
        <w:right w:val="none" w:sz="0" w:space="0" w:color="auto"/>
      </w:divBdr>
      <w:divsChild>
        <w:div w:id="999306188">
          <w:marLeft w:val="0"/>
          <w:marRight w:val="0"/>
          <w:marTop w:val="0"/>
          <w:marBottom w:val="0"/>
          <w:divBdr>
            <w:top w:val="none" w:sz="0" w:space="0" w:color="auto"/>
            <w:left w:val="none" w:sz="0" w:space="0" w:color="auto"/>
            <w:bottom w:val="none" w:sz="0" w:space="0" w:color="auto"/>
            <w:right w:val="none" w:sz="0" w:space="0" w:color="auto"/>
          </w:divBdr>
          <w:divsChild>
            <w:div w:id="200366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93891">
      <w:bodyDiv w:val="1"/>
      <w:marLeft w:val="0"/>
      <w:marRight w:val="0"/>
      <w:marTop w:val="0"/>
      <w:marBottom w:val="0"/>
      <w:divBdr>
        <w:top w:val="none" w:sz="0" w:space="0" w:color="auto"/>
        <w:left w:val="none" w:sz="0" w:space="0" w:color="auto"/>
        <w:bottom w:val="none" w:sz="0" w:space="0" w:color="auto"/>
        <w:right w:val="none" w:sz="0" w:space="0" w:color="auto"/>
      </w:divBdr>
    </w:div>
    <w:div w:id="588201502">
      <w:bodyDiv w:val="1"/>
      <w:marLeft w:val="0"/>
      <w:marRight w:val="0"/>
      <w:marTop w:val="0"/>
      <w:marBottom w:val="0"/>
      <w:divBdr>
        <w:top w:val="none" w:sz="0" w:space="0" w:color="auto"/>
        <w:left w:val="none" w:sz="0" w:space="0" w:color="auto"/>
        <w:bottom w:val="none" w:sz="0" w:space="0" w:color="auto"/>
        <w:right w:val="none" w:sz="0" w:space="0" w:color="auto"/>
      </w:divBdr>
    </w:div>
    <w:div w:id="591861236">
      <w:bodyDiv w:val="1"/>
      <w:marLeft w:val="0"/>
      <w:marRight w:val="0"/>
      <w:marTop w:val="0"/>
      <w:marBottom w:val="0"/>
      <w:divBdr>
        <w:top w:val="none" w:sz="0" w:space="0" w:color="auto"/>
        <w:left w:val="none" w:sz="0" w:space="0" w:color="auto"/>
        <w:bottom w:val="none" w:sz="0" w:space="0" w:color="auto"/>
        <w:right w:val="none" w:sz="0" w:space="0" w:color="auto"/>
      </w:divBdr>
    </w:div>
    <w:div w:id="616760398">
      <w:bodyDiv w:val="1"/>
      <w:marLeft w:val="0"/>
      <w:marRight w:val="0"/>
      <w:marTop w:val="0"/>
      <w:marBottom w:val="0"/>
      <w:divBdr>
        <w:top w:val="none" w:sz="0" w:space="0" w:color="auto"/>
        <w:left w:val="none" w:sz="0" w:space="0" w:color="auto"/>
        <w:bottom w:val="none" w:sz="0" w:space="0" w:color="auto"/>
        <w:right w:val="none" w:sz="0" w:space="0" w:color="auto"/>
      </w:divBdr>
    </w:div>
    <w:div w:id="622463565">
      <w:bodyDiv w:val="1"/>
      <w:marLeft w:val="0"/>
      <w:marRight w:val="0"/>
      <w:marTop w:val="0"/>
      <w:marBottom w:val="0"/>
      <w:divBdr>
        <w:top w:val="none" w:sz="0" w:space="0" w:color="auto"/>
        <w:left w:val="none" w:sz="0" w:space="0" w:color="auto"/>
        <w:bottom w:val="none" w:sz="0" w:space="0" w:color="auto"/>
        <w:right w:val="none" w:sz="0" w:space="0" w:color="auto"/>
      </w:divBdr>
    </w:div>
    <w:div w:id="633486534">
      <w:bodyDiv w:val="1"/>
      <w:marLeft w:val="0"/>
      <w:marRight w:val="0"/>
      <w:marTop w:val="0"/>
      <w:marBottom w:val="0"/>
      <w:divBdr>
        <w:top w:val="none" w:sz="0" w:space="0" w:color="auto"/>
        <w:left w:val="none" w:sz="0" w:space="0" w:color="auto"/>
        <w:bottom w:val="none" w:sz="0" w:space="0" w:color="auto"/>
        <w:right w:val="none" w:sz="0" w:space="0" w:color="auto"/>
      </w:divBdr>
    </w:div>
    <w:div w:id="636298036">
      <w:bodyDiv w:val="1"/>
      <w:marLeft w:val="0"/>
      <w:marRight w:val="0"/>
      <w:marTop w:val="0"/>
      <w:marBottom w:val="0"/>
      <w:divBdr>
        <w:top w:val="none" w:sz="0" w:space="0" w:color="auto"/>
        <w:left w:val="none" w:sz="0" w:space="0" w:color="auto"/>
        <w:bottom w:val="none" w:sz="0" w:space="0" w:color="auto"/>
        <w:right w:val="none" w:sz="0" w:space="0" w:color="auto"/>
      </w:divBdr>
    </w:div>
    <w:div w:id="651643999">
      <w:bodyDiv w:val="1"/>
      <w:marLeft w:val="0"/>
      <w:marRight w:val="0"/>
      <w:marTop w:val="0"/>
      <w:marBottom w:val="0"/>
      <w:divBdr>
        <w:top w:val="none" w:sz="0" w:space="0" w:color="auto"/>
        <w:left w:val="none" w:sz="0" w:space="0" w:color="auto"/>
        <w:bottom w:val="none" w:sz="0" w:space="0" w:color="auto"/>
        <w:right w:val="none" w:sz="0" w:space="0" w:color="auto"/>
      </w:divBdr>
    </w:div>
    <w:div w:id="666250510">
      <w:bodyDiv w:val="1"/>
      <w:marLeft w:val="0"/>
      <w:marRight w:val="0"/>
      <w:marTop w:val="0"/>
      <w:marBottom w:val="0"/>
      <w:divBdr>
        <w:top w:val="none" w:sz="0" w:space="0" w:color="auto"/>
        <w:left w:val="none" w:sz="0" w:space="0" w:color="auto"/>
        <w:bottom w:val="none" w:sz="0" w:space="0" w:color="auto"/>
        <w:right w:val="none" w:sz="0" w:space="0" w:color="auto"/>
      </w:divBdr>
    </w:div>
    <w:div w:id="668800599">
      <w:bodyDiv w:val="1"/>
      <w:marLeft w:val="0"/>
      <w:marRight w:val="0"/>
      <w:marTop w:val="0"/>
      <w:marBottom w:val="0"/>
      <w:divBdr>
        <w:top w:val="none" w:sz="0" w:space="0" w:color="auto"/>
        <w:left w:val="none" w:sz="0" w:space="0" w:color="auto"/>
        <w:bottom w:val="none" w:sz="0" w:space="0" w:color="auto"/>
        <w:right w:val="none" w:sz="0" w:space="0" w:color="auto"/>
      </w:divBdr>
    </w:div>
    <w:div w:id="670446166">
      <w:bodyDiv w:val="1"/>
      <w:marLeft w:val="0"/>
      <w:marRight w:val="0"/>
      <w:marTop w:val="0"/>
      <w:marBottom w:val="0"/>
      <w:divBdr>
        <w:top w:val="none" w:sz="0" w:space="0" w:color="auto"/>
        <w:left w:val="none" w:sz="0" w:space="0" w:color="auto"/>
        <w:bottom w:val="none" w:sz="0" w:space="0" w:color="auto"/>
        <w:right w:val="none" w:sz="0" w:space="0" w:color="auto"/>
      </w:divBdr>
    </w:div>
    <w:div w:id="673069624">
      <w:bodyDiv w:val="1"/>
      <w:marLeft w:val="0"/>
      <w:marRight w:val="0"/>
      <w:marTop w:val="0"/>
      <w:marBottom w:val="0"/>
      <w:divBdr>
        <w:top w:val="none" w:sz="0" w:space="0" w:color="auto"/>
        <w:left w:val="none" w:sz="0" w:space="0" w:color="auto"/>
        <w:bottom w:val="none" w:sz="0" w:space="0" w:color="auto"/>
        <w:right w:val="none" w:sz="0" w:space="0" w:color="auto"/>
      </w:divBdr>
      <w:divsChild>
        <w:div w:id="708648053">
          <w:marLeft w:val="0"/>
          <w:marRight w:val="0"/>
          <w:marTop w:val="0"/>
          <w:marBottom w:val="0"/>
          <w:divBdr>
            <w:top w:val="none" w:sz="0" w:space="0" w:color="auto"/>
            <w:left w:val="none" w:sz="0" w:space="0" w:color="auto"/>
            <w:bottom w:val="none" w:sz="0" w:space="0" w:color="auto"/>
            <w:right w:val="none" w:sz="0" w:space="0" w:color="auto"/>
          </w:divBdr>
        </w:div>
        <w:div w:id="995034480">
          <w:marLeft w:val="0"/>
          <w:marRight w:val="0"/>
          <w:marTop w:val="0"/>
          <w:marBottom w:val="0"/>
          <w:divBdr>
            <w:top w:val="none" w:sz="0" w:space="0" w:color="auto"/>
            <w:left w:val="none" w:sz="0" w:space="0" w:color="auto"/>
            <w:bottom w:val="none" w:sz="0" w:space="0" w:color="auto"/>
            <w:right w:val="none" w:sz="0" w:space="0" w:color="auto"/>
          </w:divBdr>
        </w:div>
      </w:divsChild>
    </w:div>
    <w:div w:id="679621709">
      <w:bodyDiv w:val="1"/>
      <w:marLeft w:val="0"/>
      <w:marRight w:val="0"/>
      <w:marTop w:val="0"/>
      <w:marBottom w:val="0"/>
      <w:divBdr>
        <w:top w:val="none" w:sz="0" w:space="0" w:color="auto"/>
        <w:left w:val="none" w:sz="0" w:space="0" w:color="auto"/>
        <w:bottom w:val="none" w:sz="0" w:space="0" w:color="auto"/>
        <w:right w:val="none" w:sz="0" w:space="0" w:color="auto"/>
      </w:divBdr>
    </w:div>
    <w:div w:id="694428894">
      <w:bodyDiv w:val="1"/>
      <w:marLeft w:val="0"/>
      <w:marRight w:val="0"/>
      <w:marTop w:val="0"/>
      <w:marBottom w:val="0"/>
      <w:divBdr>
        <w:top w:val="none" w:sz="0" w:space="0" w:color="auto"/>
        <w:left w:val="none" w:sz="0" w:space="0" w:color="auto"/>
        <w:bottom w:val="none" w:sz="0" w:space="0" w:color="auto"/>
        <w:right w:val="none" w:sz="0" w:space="0" w:color="auto"/>
      </w:divBdr>
    </w:div>
    <w:div w:id="703675058">
      <w:bodyDiv w:val="1"/>
      <w:marLeft w:val="0"/>
      <w:marRight w:val="0"/>
      <w:marTop w:val="0"/>
      <w:marBottom w:val="0"/>
      <w:divBdr>
        <w:top w:val="none" w:sz="0" w:space="0" w:color="auto"/>
        <w:left w:val="none" w:sz="0" w:space="0" w:color="auto"/>
        <w:bottom w:val="none" w:sz="0" w:space="0" w:color="auto"/>
        <w:right w:val="none" w:sz="0" w:space="0" w:color="auto"/>
      </w:divBdr>
    </w:div>
    <w:div w:id="708382467">
      <w:bodyDiv w:val="1"/>
      <w:marLeft w:val="0"/>
      <w:marRight w:val="0"/>
      <w:marTop w:val="0"/>
      <w:marBottom w:val="0"/>
      <w:divBdr>
        <w:top w:val="none" w:sz="0" w:space="0" w:color="auto"/>
        <w:left w:val="none" w:sz="0" w:space="0" w:color="auto"/>
        <w:bottom w:val="none" w:sz="0" w:space="0" w:color="auto"/>
        <w:right w:val="none" w:sz="0" w:space="0" w:color="auto"/>
      </w:divBdr>
      <w:divsChild>
        <w:div w:id="78135589">
          <w:marLeft w:val="0"/>
          <w:marRight w:val="0"/>
          <w:marTop w:val="0"/>
          <w:marBottom w:val="0"/>
          <w:divBdr>
            <w:top w:val="none" w:sz="0" w:space="0" w:color="auto"/>
            <w:left w:val="none" w:sz="0" w:space="0" w:color="auto"/>
            <w:bottom w:val="none" w:sz="0" w:space="0" w:color="auto"/>
            <w:right w:val="none" w:sz="0" w:space="0" w:color="auto"/>
          </w:divBdr>
        </w:div>
        <w:div w:id="167912522">
          <w:marLeft w:val="0"/>
          <w:marRight w:val="0"/>
          <w:marTop w:val="0"/>
          <w:marBottom w:val="0"/>
          <w:divBdr>
            <w:top w:val="none" w:sz="0" w:space="0" w:color="auto"/>
            <w:left w:val="none" w:sz="0" w:space="0" w:color="auto"/>
            <w:bottom w:val="none" w:sz="0" w:space="0" w:color="auto"/>
            <w:right w:val="none" w:sz="0" w:space="0" w:color="auto"/>
          </w:divBdr>
        </w:div>
        <w:div w:id="233636167">
          <w:marLeft w:val="0"/>
          <w:marRight w:val="0"/>
          <w:marTop w:val="0"/>
          <w:marBottom w:val="0"/>
          <w:divBdr>
            <w:top w:val="none" w:sz="0" w:space="0" w:color="auto"/>
            <w:left w:val="none" w:sz="0" w:space="0" w:color="auto"/>
            <w:bottom w:val="none" w:sz="0" w:space="0" w:color="auto"/>
            <w:right w:val="none" w:sz="0" w:space="0" w:color="auto"/>
          </w:divBdr>
        </w:div>
        <w:div w:id="250818343">
          <w:marLeft w:val="0"/>
          <w:marRight w:val="0"/>
          <w:marTop w:val="0"/>
          <w:marBottom w:val="0"/>
          <w:divBdr>
            <w:top w:val="none" w:sz="0" w:space="0" w:color="auto"/>
            <w:left w:val="none" w:sz="0" w:space="0" w:color="auto"/>
            <w:bottom w:val="none" w:sz="0" w:space="0" w:color="auto"/>
            <w:right w:val="none" w:sz="0" w:space="0" w:color="auto"/>
          </w:divBdr>
        </w:div>
        <w:div w:id="320549144">
          <w:marLeft w:val="0"/>
          <w:marRight w:val="0"/>
          <w:marTop w:val="0"/>
          <w:marBottom w:val="0"/>
          <w:divBdr>
            <w:top w:val="none" w:sz="0" w:space="0" w:color="auto"/>
            <w:left w:val="none" w:sz="0" w:space="0" w:color="auto"/>
            <w:bottom w:val="none" w:sz="0" w:space="0" w:color="auto"/>
            <w:right w:val="none" w:sz="0" w:space="0" w:color="auto"/>
          </w:divBdr>
        </w:div>
        <w:div w:id="329525232">
          <w:marLeft w:val="0"/>
          <w:marRight w:val="0"/>
          <w:marTop w:val="0"/>
          <w:marBottom w:val="0"/>
          <w:divBdr>
            <w:top w:val="none" w:sz="0" w:space="0" w:color="auto"/>
            <w:left w:val="none" w:sz="0" w:space="0" w:color="auto"/>
            <w:bottom w:val="none" w:sz="0" w:space="0" w:color="auto"/>
            <w:right w:val="none" w:sz="0" w:space="0" w:color="auto"/>
          </w:divBdr>
        </w:div>
        <w:div w:id="437219795">
          <w:marLeft w:val="0"/>
          <w:marRight w:val="0"/>
          <w:marTop w:val="0"/>
          <w:marBottom w:val="0"/>
          <w:divBdr>
            <w:top w:val="none" w:sz="0" w:space="0" w:color="auto"/>
            <w:left w:val="none" w:sz="0" w:space="0" w:color="auto"/>
            <w:bottom w:val="none" w:sz="0" w:space="0" w:color="auto"/>
            <w:right w:val="none" w:sz="0" w:space="0" w:color="auto"/>
          </w:divBdr>
        </w:div>
        <w:div w:id="470945024">
          <w:marLeft w:val="0"/>
          <w:marRight w:val="0"/>
          <w:marTop w:val="0"/>
          <w:marBottom w:val="0"/>
          <w:divBdr>
            <w:top w:val="none" w:sz="0" w:space="0" w:color="auto"/>
            <w:left w:val="none" w:sz="0" w:space="0" w:color="auto"/>
            <w:bottom w:val="none" w:sz="0" w:space="0" w:color="auto"/>
            <w:right w:val="none" w:sz="0" w:space="0" w:color="auto"/>
          </w:divBdr>
        </w:div>
        <w:div w:id="478574984">
          <w:marLeft w:val="0"/>
          <w:marRight w:val="0"/>
          <w:marTop w:val="0"/>
          <w:marBottom w:val="0"/>
          <w:divBdr>
            <w:top w:val="none" w:sz="0" w:space="0" w:color="auto"/>
            <w:left w:val="none" w:sz="0" w:space="0" w:color="auto"/>
            <w:bottom w:val="none" w:sz="0" w:space="0" w:color="auto"/>
            <w:right w:val="none" w:sz="0" w:space="0" w:color="auto"/>
          </w:divBdr>
        </w:div>
        <w:div w:id="481122046">
          <w:marLeft w:val="0"/>
          <w:marRight w:val="0"/>
          <w:marTop w:val="0"/>
          <w:marBottom w:val="0"/>
          <w:divBdr>
            <w:top w:val="none" w:sz="0" w:space="0" w:color="auto"/>
            <w:left w:val="none" w:sz="0" w:space="0" w:color="auto"/>
            <w:bottom w:val="none" w:sz="0" w:space="0" w:color="auto"/>
            <w:right w:val="none" w:sz="0" w:space="0" w:color="auto"/>
          </w:divBdr>
        </w:div>
        <w:div w:id="496962681">
          <w:marLeft w:val="0"/>
          <w:marRight w:val="0"/>
          <w:marTop w:val="0"/>
          <w:marBottom w:val="0"/>
          <w:divBdr>
            <w:top w:val="none" w:sz="0" w:space="0" w:color="auto"/>
            <w:left w:val="none" w:sz="0" w:space="0" w:color="auto"/>
            <w:bottom w:val="none" w:sz="0" w:space="0" w:color="auto"/>
            <w:right w:val="none" w:sz="0" w:space="0" w:color="auto"/>
          </w:divBdr>
        </w:div>
        <w:div w:id="502597960">
          <w:marLeft w:val="0"/>
          <w:marRight w:val="0"/>
          <w:marTop w:val="0"/>
          <w:marBottom w:val="0"/>
          <w:divBdr>
            <w:top w:val="none" w:sz="0" w:space="0" w:color="auto"/>
            <w:left w:val="none" w:sz="0" w:space="0" w:color="auto"/>
            <w:bottom w:val="none" w:sz="0" w:space="0" w:color="auto"/>
            <w:right w:val="none" w:sz="0" w:space="0" w:color="auto"/>
          </w:divBdr>
        </w:div>
        <w:div w:id="527331551">
          <w:marLeft w:val="0"/>
          <w:marRight w:val="0"/>
          <w:marTop w:val="0"/>
          <w:marBottom w:val="0"/>
          <w:divBdr>
            <w:top w:val="none" w:sz="0" w:space="0" w:color="auto"/>
            <w:left w:val="none" w:sz="0" w:space="0" w:color="auto"/>
            <w:bottom w:val="none" w:sz="0" w:space="0" w:color="auto"/>
            <w:right w:val="none" w:sz="0" w:space="0" w:color="auto"/>
          </w:divBdr>
        </w:div>
        <w:div w:id="572933235">
          <w:marLeft w:val="0"/>
          <w:marRight w:val="0"/>
          <w:marTop w:val="0"/>
          <w:marBottom w:val="0"/>
          <w:divBdr>
            <w:top w:val="none" w:sz="0" w:space="0" w:color="auto"/>
            <w:left w:val="none" w:sz="0" w:space="0" w:color="auto"/>
            <w:bottom w:val="none" w:sz="0" w:space="0" w:color="auto"/>
            <w:right w:val="none" w:sz="0" w:space="0" w:color="auto"/>
          </w:divBdr>
        </w:div>
        <w:div w:id="597829646">
          <w:marLeft w:val="0"/>
          <w:marRight w:val="0"/>
          <w:marTop w:val="0"/>
          <w:marBottom w:val="0"/>
          <w:divBdr>
            <w:top w:val="none" w:sz="0" w:space="0" w:color="auto"/>
            <w:left w:val="none" w:sz="0" w:space="0" w:color="auto"/>
            <w:bottom w:val="none" w:sz="0" w:space="0" w:color="auto"/>
            <w:right w:val="none" w:sz="0" w:space="0" w:color="auto"/>
          </w:divBdr>
        </w:div>
        <w:div w:id="598486613">
          <w:marLeft w:val="0"/>
          <w:marRight w:val="0"/>
          <w:marTop w:val="0"/>
          <w:marBottom w:val="0"/>
          <w:divBdr>
            <w:top w:val="none" w:sz="0" w:space="0" w:color="auto"/>
            <w:left w:val="none" w:sz="0" w:space="0" w:color="auto"/>
            <w:bottom w:val="none" w:sz="0" w:space="0" w:color="auto"/>
            <w:right w:val="none" w:sz="0" w:space="0" w:color="auto"/>
          </w:divBdr>
        </w:div>
        <w:div w:id="619990479">
          <w:marLeft w:val="0"/>
          <w:marRight w:val="0"/>
          <w:marTop w:val="0"/>
          <w:marBottom w:val="0"/>
          <w:divBdr>
            <w:top w:val="none" w:sz="0" w:space="0" w:color="auto"/>
            <w:left w:val="none" w:sz="0" w:space="0" w:color="auto"/>
            <w:bottom w:val="none" w:sz="0" w:space="0" w:color="auto"/>
            <w:right w:val="none" w:sz="0" w:space="0" w:color="auto"/>
          </w:divBdr>
        </w:div>
        <w:div w:id="660736782">
          <w:marLeft w:val="0"/>
          <w:marRight w:val="0"/>
          <w:marTop w:val="0"/>
          <w:marBottom w:val="0"/>
          <w:divBdr>
            <w:top w:val="none" w:sz="0" w:space="0" w:color="auto"/>
            <w:left w:val="none" w:sz="0" w:space="0" w:color="auto"/>
            <w:bottom w:val="none" w:sz="0" w:space="0" w:color="auto"/>
            <w:right w:val="none" w:sz="0" w:space="0" w:color="auto"/>
          </w:divBdr>
          <w:divsChild>
            <w:div w:id="204683414">
              <w:marLeft w:val="0"/>
              <w:marRight w:val="0"/>
              <w:marTop w:val="0"/>
              <w:marBottom w:val="0"/>
              <w:divBdr>
                <w:top w:val="none" w:sz="0" w:space="0" w:color="auto"/>
                <w:left w:val="none" w:sz="0" w:space="0" w:color="auto"/>
                <w:bottom w:val="none" w:sz="0" w:space="0" w:color="auto"/>
                <w:right w:val="none" w:sz="0" w:space="0" w:color="auto"/>
              </w:divBdr>
            </w:div>
            <w:div w:id="245656949">
              <w:marLeft w:val="0"/>
              <w:marRight w:val="0"/>
              <w:marTop w:val="0"/>
              <w:marBottom w:val="0"/>
              <w:divBdr>
                <w:top w:val="none" w:sz="0" w:space="0" w:color="auto"/>
                <w:left w:val="none" w:sz="0" w:space="0" w:color="auto"/>
                <w:bottom w:val="none" w:sz="0" w:space="0" w:color="auto"/>
                <w:right w:val="none" w:sz="0" w:space="0" w:color="auto"/>
              </w:divBdr>
            </w:div>
            <w:div w:id="306933684">
              <w:marLeft w:val="0"/>
              <w:marRight w:val="0"/>
              <w:marTop w:val="0"/>
              <w:marBottom w:val="0"/>
              <w:divBdr>
                <w:top w:val="none" w:sz="0" w:space="0" w:color="auto"/>
                <w:left w:val="none" w:sz="0" w:space="0" w:color="auto"/>
                <w:bottom w:val="none" w:sz="0" w:space="0" w:color="auto"/>
                <w:right w:val="none" w:sz="0" w:space="0" w:color="auto"/>
              </w:divBdr>
            </w:div>
            <w:div w:id="767000363">
              <w:marLeft w:val="0"/>
              <w:marRight w:val="0"/>
              <w:marTop w:val="0"/>
              <w:marBottom w:val="0"/>
              <w:divBdr>
                <w:top w:val="none" w:sz="0" w:space="0" w:color="auto"/>
                <w:left w:val="none" w:sz="0" w:space="0" w:color="auto"/>
                <w:bottom w:val="none" w:sz="0" w:space="0" w:color="auto"/>
                <w:right w:val="none" w:sz="0" w:space="0" w:color="auto"/>
              </w:divBdr>
            </w:div>
            <w:div w:id="939145961">
              <w:marLeft w:val="0"/>
              <w:marRight w:val="0"/>
              <w:marTop w:val="0"/>
              <w:marBottom w:val="0"/>
              <w:divBdr>
                <w:top w:val="none" w:sz="0" w:space="0" w:color="auto"/>
                <w:left w:val="none" w:sz="0" w:space="0" w:color="auto"/>
                <w:bottom w:val="none" w:sz="0" w:space="0" w:color="auto"/>
                <w:right w:val="none" w:sz="0" w:space="0" w:color="auto"/>
              </w:divBdr>
            </w:div>
            <w:div w:id="1041394888">
              <w:marLeft w:val="0"/>
              <w:marRight w:val="0"/>
              <w:marTop w:val="0"/>
              <w:marBottom w:val="0"/>
              <w:divBdr>
                <w:top w:val="none" w:sz="0" w:space="0" w:color="auto"/>
                <w:left w:val="none" w:sz="0" w:space="0" w:color="auto"/>
                <w:bottom w:val="none" w:sz="0" w:space="0" w:color="auto"/>
                <w:right w:val="none" w:sz="0" w:space="0" w:color="auto"/>
              </w:divBdr>
            </w:div>
            <w:div w:id="1064645491">
              <w:marLeft w:val="0"/>
              <w:marRight w:val="0"/>
              <w:marTop w:val="0"/>
              <w:marBottom w:val="0"/>
              <w:divBdr>
                <w:top w:val="none" w:sz="0" w:space="0" w:color="auto"/>
                <w:left w:val="none" w:sz="0" w:space="0" w:color="auto"/>
                <w:bottom w:val="none" w:sz="0" w:space="0" w:color="auto"/>
                <w:right w:val="none" w:sz="0" w:space="0" w:color="auto"/>
              </w:divBdr>
            </w:div>
            <w:div w:id="1143079638">
              <w:marLeft w:val="0"/>
              <w:marRight w:val="0"/>
              <w:marTop w:val="0"/>
              <w:marBottom w:val="0"/>
              <w:divBdr>
                <w:top w:val="none" w:sz="0" w:space="0" w:color="auto"/>
                <w:left w:val="none" w:sz="0" w:space="0" w:color="auto"/>
                <w:bottom w:val="none" w:sz="0" w:space="0" w:color="auto"/>
                <w:right w:val="none" w:sz="0" w:space="0" w:color="auto"/>
              </w:divBdr>
            </w:div>
            <w:div w:id="1262451169">
              <w:marLeft w:val="0"/>
              <w:marRight w:val="0"/>
              <w:marTop w:val="0"/>
              <w:marBottom w:val="0"/>
              <w:divBdr>
                <w:top w:val="none" w:sz="0" w:space="0" w:color="auto"/>
                <w:left w:val="none" w:sz="0" w:space="0" w:color="auto"/>
                <w:bottom w:val="none" w:sz="0" w:space="0" w:color="auto"/>
                <w:right w:val="none" w:sz="0" w:space="0" w:color="auto"/>
              </w:divBdr>
            </w:div>
            <w:div w:id="1411149293">
              <w:marLeft w:val="0"/>
              <w:marRight w:val="0"/>
              <w:marTop w:val="0"/>
              <w:marBottom w:val="0"/>
              <w:divBdr>
                <w:top w:val="none" w:sz="0" w:space="0" w:color="auto"/>
                <w:left w:val="none" w:sz="0" w:space="0" w:color="auto"/>
                <w:bottom w:val="none" w:sz="0" w:space="0" w:color="auto"/>
                <w:right w:val="none" w:sz="0" w:space="0" w:color="auto"/>
              </w:divBdr>
            </w:div>
            <w:div w:id="1419137317">
              <w:marLeft w:val="0"/>
              <w:marRight w:val="0"/>
              <w:marTop w:val="0"/>
              <w:marBottom w:val="0"/>
              <w:divBdr>
                <w:top w:val="none" w:sz="0" w:space="0" w:color="auto"/>
                <w:left w:val="none" w:sz="0" w:space="0" w:color="auto"/>
                <w:bottom w:val="none" w:sz="0" w:space="0" w:color="auto"/>
                <w:right w:val="none" w:sz="0" w:space="0" w:color="auto"/>
              </w:divBdr>
            </w:div>
            <w:div w:id="1462571556">
              <w:marLeft w:val="0"/>
              <w:marRight w:val="0"/>
              <w:marTop w:val="0"/>
              <w:marBottom w:val="0"/>
              <w:divBdr>
                <w:top w:val="none" w:sz="0" w:space="0" w:color="auto"/>
                <w:left w:val="none" w:sz="0" w:space="0" w:color="auto"/>
                <w:bottom w:val="none" w:sz="0" w:space="0" w:color="auto"/>
                <w:right w:val="none" w:sz="0" w:space="0" w:color="auto"/>
              </w:divBdr>
            </w:div>
            <w:div w:id="1477801810">
              <w:marLeft w:val="0"/>
              <w:marRight w:val="0"/>
              <w:marTop w:val="0"/>
              <w:marBottom w:val="0"/>
              <w:divBdr>
                <w:top w:val="none" w:sz="0" w:space="0" w:color="auto"/>
                <w:left w:val="none" w:sz="0" w:space="0" w:color="auto"/>
                <w:bottom w:val="none" w:sz="0" w:space="0" w:color="auto"/>
                <w:right w:val="none" w:sz="0" w:space="0" w:color="auto"/>
              </w:divBdr>
            </w:div>
            <w:div w:id="1547257794">
              <w:marLeft w:val="0"/>
              <w:marRight w:val="0"/>
              <w:marTop w:val="0"/>
              <w:marBottom w:val="0"/>
              <w:divBdr>
                <w:top w:val="none" w:sz="0" w:space="0" w:color="auto"/>
                <w:left w:val="none" w:sz="0" w:space="0" w:color="auto"/>
                <w:bottom w:val="none" w:sz="0" w:space="0" w:color="auto"/>
                <w:right w:val="none" w:sz="0" w:space="0" w:color="auto"/>
              </w:divBdr>
            </w:div>
            <w:div w:id="1745254414">
              <w:marLeft w:val="0"/>
              <w:marRight w:val="0"/>
              <w:marTop w:val="0"/>
              <w:marBottom w:val="0"/>
              <w:divBdr>
                <w:top w:val="none" w:sz="0" w:space="0" w:color="auto"/>
                <w:left w:val="none" w:sz="0" w:space="0" w:color="auto"/>
                <w:bottom w:val="none" w:sz="0" w:space="0" w:color="auto"/>
                <w:right w:val="none" w:sz="0" w:space="0" w:color="auto"/>
              </w:divBdr>
            </w:div>
            <w:div w:id="1819566855">
              <w:marLeft w:val="0"/>
              <w:marRight w:val="0"/>
              <w:marTop w:val="0"/>
              <w:marBottom w:val="0"/>
              <w:divBdr>
                <w:top w:val="none" w:sz="0" w:space="0" w:color="auto"/>
                <w:left w:val="none" w:sz="0" w:space="0" w:color="auto"/>
                <w:bottom w:val="none" w:sz="0" w:space="0" w:color="auto"/>
                <w:right w:val="none" w:sz="0" w:space="0" w:color="auto"/>
              </w:divBdr>
            </w:div>
            <w:div w:id="1937640177">
              <w:marLeft w:val="0"/>
              <w:marRight w:val="0"/>
              <w:marTop w:val="0"/>
              <w:marBottom w:val="0"/>
              <w:divBdr>
                <w:top w:val="none" w:sz="0" w:space="0" w:color="auto"/>
                <w:left w:val="none" w:sz="0" w:space="0" w:color="auto"/>
                <w:bottom w:val="none" w:sz="0" w:space="0" w:color="auto"/>
                <w:right w:val="none" w:sz="0" w:space="0" w:color="auto"/>
              </w:divBdr>
            </w:div>
            <w:div w:id="1946766751">
              <w:marLeft w:val="0"/>
              <w:marRight w:val="0"/>
              <w:marTop w:val="0"/>
              <w:marBottom w:val="0"/>
              <w:divBdr>
                <w:top w:val="none" w:sz="0" w:space="0" w:color="auto"/>
                <w:left w:val="none" w:sz="0" w:space="0" w:color="auto"/>
                <w:bottom w:val="none" w:sz="0" w:space="0" w:color="auto"/>
                <w:right w:val="none" w:sz="0" w:space="0" w:color="auto"/>
              </w:divBdr>
            </w:div>
            <w:div w:id="2077504941">
              <w:marLeft w:val="0"/>
              <w:marRight w:val="0"/>
              <w:marTop w:val="0"/>
              <w:marBottom w:val="0"/>
              <w:divBdr>
                <w:top w:val="none" w:sz="0" w:space="0" w:color="auto"/>
                <w:left w:val="none" w:sz="0" w:space="0" w:color="auto"/>
                <w:bottom w:val="none" w:sz="0" w:space="0" w:color="auto"/>
                <w:right w:val="none" w:sz="0" w:space="0" w:color="auto"/>
              </w:divBdr>
            </w:div>
            <w:div w:id="2104033973">
              <w:marLeft w:val="0"/>
              <w:marRight w:val="0"/>
              <w:marTop w:val="0"/>
              <w:marBottom w:val="0"/>
              <w:divBdr>
                <w:top w:val="none" w:sz="0" w:space="0" w:color="auto"/>
                <w:left w:val="none" w:sz="0" w:space="0" w:color="auto"/>
                <w:bottom w:val="none" w:sz="0" w:space="0" w:color="auto"/>
                <w:right w:val="none" w:sz="0" w:space="0" w:color="auto"/>
              </w:divBdr>
            </w:div>
          </w:divsChild>
        </w:div>
        <w:div w:id="788282228">
          <w:marLeft w:val="0"/>
          <w:marRight w:val="0"/>
          <w:marTop w:val="0"/>
          <w:marBottom w:val="0"/>
          <w:divBdr>
            <w:top w:val="none" w:sz="0" w:space="0" w:color="auto"/>
            <w:left w:val="none" w:sz="0" w:space="0" w:color="auto"/>
            <w:bottom w:val="none" w:sz="0" w:space="0" w:color="auto"/>
            <w:right w:val="none" w:sz="0" w:space="0" w:color="auto"/>
          </w:divBdr>
        </w:div>
        <w:div w:id="830485834">
          <w:marLeft w:val="0"/>
          <w:marRight w:val="0"/>
          <w:marTop w:val="0"/>
          <w:marBottom w:val="0"/>
          <w:divBdr>
            <w:top w:val="none" w:sz="0" w:space="0" w:color="auto"/>
            <w:left w:val="none" w:sz="0" w:space="0" w:color="auto"/>
            <w:bottom w:val="none" w:sz="0" w:space="0" w:color="auto"/>
            <w:right w:val="none" w:sz="0" w:space="0" w:color="auto"/>
          </w:divBdr>
        </w:div>
        <w:div w:id="910846695">
          <w:marLeft w:val="0"/>
          <w:marRight w:val="0"/>
          <w:marTop w:val="0"/>
          <w:marBottom w:val="0"/>
          <w:divBdr>
            <w:top w:val="none" w:sz="0" w:space="0" w:color="auto"/>
            <w:left w:val="none" w:sz="0" w:space="0" w:color="auto"/>
            <w:bottom w:val="none" w:sz="0" w:space="0" w:color="auto"/>
            <w:right w:val="none" w:sz="0" w:space="0" w:color="auto"/>
          </w:divBdr>
        </w:div>
        <w:div w:id="965895317">
          <w:marLeft w:val="0"/>
          <w:marRight w:val="0"/>
          <w:marTop w:val="0"/>
          <w:marBottom w:val="0"/>
          <w:divBdr>
            <w:top w:val="none" w:sz="0" w:space="0" w:color="auto"/>
            <w:left w:val="none" w:sz="0" w:space="0" w:color="auto"/>
            <w:bottom w:val="none" w:sz="0" w:space="0" w:color="auto"/>
            <w:right w:val="none" w:sz="0" w:space="0" w:color="auto"/>
          </w:divBdr>
        </w:div>
        <w:div w:id="992830488">
          <w:marLeft w:val="0"/>
          <w:marRight w:val="0"/>
          <w:marTop w:val="0"/>
          <w:marBottom w:val="0"/>
          <w:divBdr>
            <w:top w:val="none" w:sz="0" w:space="0" w:color="auto"/>
            <w:left w:val="none" w:sz="0" w:space="0" w:color="auto"/>
            <w:bottom w:val="none" w:sz="0" w:space="0" w:color="auto"/>
            <w:right w:val="none" w:sz="0" w:space="0" w:color="auto"/>
          </w:divBdr>
        </w:div>
        <w:div w:id="1016418067">
          <w:marLeft w:val="0"/>
          <w:marRight w:val="0"/>
          <w:marTop w:val="0"/>
          <w:marBottom w:val="0"/>
          <w:divBdr>
            <w:top w:val="none" w:sz="0" w:space="0" w:color="auto"/>
            <w:left w:val="none" w:sz="0" w:space="0" w:color="auto"/>
            <w:bottom w:val="none" w:sz="0" w:space="0" w:color="auto"/>
            <w:right w:val="none" w:sz="0" w:space="0" w:color="auto"/>
          </w:divBdr>
        </w:div>
        <w:div w:id="1068915232">
          <w:marLeft w:val="0"/>
          <w:marRight w:val="0"/>
          <w:marTop w:val="0"/>
          <w:marBottom w:val="0"/>
          <w:divBdr>
            <w:top w:val="none" w:sz="0" w:space="0" w:color="auto"/>
            <w:left w:val="none" w:sz="0" w:space="0" w:color="auto"/>
            <w:bottom w:val="none" w:sz="0" w:space="0" w:color="auto"/>
            <w:right w:val="none" w:sz="0" w:space="0" w:color="auto"/>
          </w:divBdr>
        </w:div>
        <w:div w:id="1073964178">
          <w:marLeft w:val="0"/>
          <w:marRight w:val="0"/>
          <w:marTop w:val="0"/>
          <w:marBottom w:val="0"/>
          <w:divBdr>
            <w:top w:val="none" w:sz="0" w:space="0" w:color="auto"/>
            <w:left w:val="none" w:sz="0" w:space="0" w:color="auto"/>
            <w:bottom w:val="none" w:sz="0" w:space="0" w:color="auto"/>
            <w:right w:val="none" w:sz="0" w:space="0" w:color="auto"/>
          </w:divBdr>
        </w:div>
        <w:div w:id="1107656251">
          <w:marLeft w:val="0"/>
          <w:marRight w:val="0"/>
          <w:marTop w:val="0"/>
          <w:marBottom w:val="0"/>
          <w:divBdr>
            <w:top w:val="none" w:sz="0" w:space="0" w:color="auto"/>
            <w:left w:val="none" w:sz="0" w:space="0" w:color="auto"/>
            <w:bottom w:val="none" w:sz="0" w:space="0" w:color="auto"/>
            <w:right w:val="none" w:sz="0" w:space="0" w:color="auto"/>
          </w:divBdr>
        </w:div>
        <w:div w:id="1178731954">
          <w:marLeft w:val="0"/>
          <w:marRight w:val="0"/>
          <w:marTop w:val="0"/>
          <w:marBottom w:val="0"/>
          <w:divBdr>
            <w:top w:val="none" w:sz="0" w:space="0" w:color="auto"/>
            <w:left w:val="none" w:sz="0" w:space="0" w:color="auto"/>
            <w:bottom w:val="none" w:sz="0" w:space="0" w:color="auto"/>
            <w:right w:val="none" w:sz="0" w:space="0" w:color="auto"/>
          </w:divBdr>
        </w:div>
        <w:div w:id="1526598391">
          <w:marLeft w:val="0"/>
          <w:marRight w:val="0"/>
          <w:marTop w:val="0"/>
          <w:marBottom w:val="0"/>
          <w:divBdr>
            <w:top w:val="none" w:sz="0" w:space="0" w:color="auto"/>
            <w:left w:val="none" w:sz="0" w:space="0" w:color="auto"/>
            <w:bottom w:val="none" w:sz="0" w:space="0" w:color="auto"/>
            <w:right w:val="none" w:sz="0" w:space="0" w:color="auto"/>
          </w:divBdr>
        </w:div>
        <w:div w:id="1545405161">
          <w:marLeft w:val="0"/>
          <w:marRight w:val="0"/>
          <w:marTop w:val="0"/>
          <w:marBottom w:val="0"/>
          <w:divBdr>
            <w:top w:val="none" w:sz="0" w:space="0" w:color="auto"/>
            <w:left w:val="none" w:sz="0" w:space="0" w:color="auto"/>
            <w:bottom w:val="none" w:sz="0" w:space="0" w:color="auto"/>
            <w:right w:val="none" w:sz="0" w:space="0" w:color="auto"/>
          </w:divBdr>
        </w:div>
        <w:div w:id="1607081900">
          <w:marLeft w:val="0"/>
          <w:marRight w:val="0"/>
          <w:marTop w:val="0"/>
          <w:marBottom w:val="0"/>
          <w:divBdr>
            <w:top w:val="none" w:sz="0" w:space="0" w:color="auto"/>
            <w:left w:val="none" w:sz="0" w:space="0" w:color="auto"/>
            <w:bottom w:val="none" w:sz="0" w:space="0" w:color="auto"/>
            <w:right w:val="none" w:sz="0" w:space="0" w:color="auto"/>
          </w:divBdr>
        </w:div>
        <w:div w:id="1612198082">
          <w:marLeft w:val="0"/>
          <w:marRight w:val="0"/>
          <w:marTop w:val="0"/>
          <w:marBottom w:val="0"/>
          <w:divBdr>
            <w:top w:val="none" w:sz="0" w:space="0" w:color="auto"/>
            <w:left w:val="none" w:sz="0" w:space="0" w:color="auto"/>
            <w:bottom w:val="none" w:sz="0" w:space="0" w:color="auto"/>
            <w:right w:val="none" w:sz="0" w:space="0" w:color="auto"/>
          </w:divBdr>
        </w:div>
        <w:div w:id="1736855598">
          <w:marLeft w:val="0"/>
          <w:marRight w:val="0"/>
          <w:marTop w:val="0"/>
          <w:marBottom w:val="0"/>
          <w:divBdr>
            <w:top w:val="none" w:sz="0" w:space="0" w:color="auto"/>
            <w:left w:val="none" w:sz="0" w:space="0" w:color="auto"/>
            <w:bottom w:val="none" w:sz="0" w:space="0" w:color="auto"/>
            <w:right w:val="none" w:sz="0" w:space="0" w:color="auto"/>
          </w:divBdr>
        </w:div>
        <w:div w:id="1786458756">
          <w:marLeft w:val="0"/>
          <w:marRight w:val="0"/>
          <w:marTop w:val="0"/>
          <w:marBottom w:val="0"/>
          <w:divBdr>
            <w:top w:val="none" w:sz="0" w:space="0" w:color="auto"/>
            <w:left w:val="none" w:sz="0" w:space="0" w:color="auto"/>
            <w:bottom w:val="none" w:sz="0" w:space="0" w:color="auto"/>
            <w:right w:val="none" w:sz="0" w:space="0" w:color="auto"/>
          </w:divBdr>
        </w:div>
        <w:div w:id="1806848068">
          <w:marLeft w:val="0"/>
          <w:marRight w:val="0"/>
          <w:marTop w:val="0"/>
          <w:marBottom w:val="0"/>
          <w:divBdr>
            <w:top w:val="none" w:sz="0" w:space="0" w:color="auto"/>
            <w:left w:val="none" w:sz="0" w:space="0" w:color="auto"/>
            <w:bottom w:val="none" w:sz="0" w:space="0" w:color="auto"/>
            <w:right w:val="none" w:sz="0" w:space="0" w:color="auto"/>
          </w:divBdr>
        </w:div>
        <w:div w:id="1941375171">
          <w:marLeft w:val="0"/>
          <w:marRight w:val="0"/>
          <w:marTop w:val="0"/>
          <w:marBottom w:val="0"/>
          <w:divBdr>
            <w:top w:val="none" w:sz="0" w:space="0" w:color="auto"/>
            <w:left w:val="none" w:sz="0" w:space="0" w:color="auto"/>
            <w:bottom w:val="none" w:sz="0" w:space="0" w:color="auto"/>
            <w:right w:val="none" w:sz="0" w:space="0" w:color="auto"/>
          </w:divBdr>
        </w:div>
        <w:div w:id="1960645158">
          <w:marLeft w:val="0"/>
          <w:marRight w:val="0"/>
          <w:marTop w:val="0"/>
          <w:marBottom w:val="0"/>
          <w:divBdr>
            <w:top w:val="none" w:sz="0" w:space="0" w:color="auto"/>
            <w:left w:val="none" w:sz="0" w:space="0" w:color="auto"/>
            <w:bottom w:val="none" w:sz="0" w:space="0" w:color="auto"/>
            <w:right w:val="none" w:sz="0" w:space="0" w:color="auto"/>
          </w:divBdr>
        </w:div>
        <w:div w:id="2041586578">
          <w:marLeft w:val="0"/>
          <w:marRight w:val="0"/>
          <w:marTop w:val="0"/>
          <w:marBottom w:val="0"/>
          <w:divBdr>
            <w:top w:val="none" w:sz="0" w:space="0" w:color="auto"/>
            <w:left w:val="none" w:sz="0" w:space="0" w:color="auto"/>
            <w:bottom w:val="none" w:sz="0" w:space="0" w:color="auto"/>
            <w:right w:val="none" w:sz="0" w:space="0" w:color="auto"/>
          </w:divBdr>
        </w:div>
        <w:div w:id="2081054901">
          <w:marLeft w:val="0"/>
          <w:marRight w:val="0"/>
          <w:marTop w:val="0"/>
          <w:marBottom w:val="0"/>
          <w:divBdr>
            <w:top w:val="none" w:sz="0" w:space="0" w:color="auto"/>
            <w:left w:val="none" w:sz="0" w:space="0" w:color="auto"/>
            <w:bottom w:val="none" w:sz="0" w:space="0" w:color="auto"/>
            <w:right w:val="none" w:sz="0" w:space="0" w:color="auto"/>
          </w:divBdr>
        </w:div>
      </w:divsChild>
    </w:div>
    <w:div w:id="715858029">
      <w:bodyDiv w:val="1"/>
      <w:marLeft w:val="0"/>
      <w:marRight w:val="0"/>
      <w:marTop w:val="0"/>
      <w:marBottom w:val="0"/>
      <w:divBdr>
        <w:top w:val="none" w:sz="0" w:space="0" w:color="auto"/>
        <w:left w:val="none" w:sz="0" w:space="0" w:color="auto"/>
        <w:bottom w:val="none" w:sz="0" w:space="0" w:color="auto"/>
        <w:right w:val="none" w:sz="0" w:space="0" w:color="auto"/>
      </w:divBdr>
    </w:div>
    <w:div w:id="717318600">
      <w:bodyDiv w:val="1"/>
      <w:marLeft w:val="0"/>
      <w:marRight w:val="0"/>
      <w:marTop w:val="0"/>
      <w:marBottom w:val="0"/>
      <w:divBdr>
        <w:top w:val="none" w:sz="0" w:space="0" w:color="auto"/>
        <w:left w:val="none" w:sz="0" w:space="0" w:color="auto"/>
        <w:bottom w:val="none" w:sz="0" w:space="0" w:color="auto"/>
        <w:right w:val="none" w:sz="0" w:space="0" w:color="auto"/>
      </w:divBdr>
    </w:div>
    <w:div w:id="728265536">
      <w:bodyDiv w:val="1"/>
      <w:marLeft w:val="0"/>
      <w:marRight w:val="0"/>
      <w:marTop w:val="0"/>
      <w:marBottom w:val="0"/>
      <w:divBdr>
        <w:top w:val="none" w:sz="0" w:space="0" w:color="auto"/>
        <w:left w:val="none" w:sz="0" w:space="0" w:color="auto"/>
        <w:bottom w:val="none" w:sz="0" w:space="0" w:color="auto"/>
        <w:right w:val="none" w:sz="0" w:space="0" w:color="auto"/>
      </w:divBdr>
    </w:div>
    <w:div w:id="730890030">
      <w:bodyDiv w:val="1"/>
      <w:marLeft w:val="0"/>
      <w:marRight w:val="0"/>
      <w:marTop w:val="0"/>
      <w:marBottom w:val="0"/>
      <w:divBdr>
        <w:top w:val="none" w:sz="0" w:space="0" w:color="auto"/>
        <w:left w:val="none" w:sz="0" w:space="0" w:color="auto"/>
        <w:bottom w:val="none" w:sz="0" w:space="0" w:color="auto"/>
        <w:right w:val="none" w:sz="0" w:space="0" w:color="auto"/>
      </w:divBdr>
      <w:divsChild>
        <w:div w:id="6366401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9325615">
      <w:bodyDiv w:val="1"/>
      <w:marLeft w:val="0"/>
      <w:marRight w:val="0"/>
      <w:marTop w:val="0"/>
      <w:marBottom w:val="0"/>
      <w:divBdr>
        <w:top w:val="none" w:sz="0" w:space="0" w:color="auto"/>
        <w:left w:val="none" w:sz="0" w:space="0" w:color="auto"/>
        <w:bottom w:val="none" w:sz="0" w:space="0" w:color="auto"/>
        <w:right w:val="none" w:sz="0" w:space="0" w:color="auto"/>
      </w:divBdr>
    </w:div>
    <w:div w:id="740366639">
      <w:bodyDiv w:val="1"/>
      <w:marLeft w:val="0"/>
      <w:marRight w:val="0"/>
      <w:marTop w:val="0"/>
      <w:marBottom w:val="0"/>
      <w:divBdr>
        <w:top w:val="none" w:sz="0" w:space="0" w:color="auto"/>
        <w:left w:val="none" w:sz="0" w:space="0" w:color="auto"/>
        <w:bottom w:val="none" w:sz="0" w:space="0" w:color="auto"/>
        <w:right w:val="none" w:sz="0" w:space="0" w:color="auto"/>
      </w:divBdr>
    </w:div>
    <w:div w:id="748621584">
      <w:bodyDiv w:val="1"/>
      <w:marLeft w:val="0"/>
      <w:marRight w:val="0"/>
      <w:marTop w:val="0"/>
      <w:marBottom w:val="0"/>
      <w:divBdr>
        <w:top w:val="none" w:sz="0" w:space="0" w:color="auto"/>
        <w:left w:val="none" w:sz="0" w:space="0" w:color="auto"/>
        <w:bottom w:val="none" w:sz="0" w:space="0" w:color="auto"/>
        <w:right w:val="none" w:sz="0" w:space="0" w:color="auto"/>
      </w:divBdr>
    </w:div>
    <w:div w:id="748698419">
      <w:bodyDiv w:val="1"/>
      <w:marLeft w:val="0"/>
      <w:marRight w:val="0"/>
      <w:marTop w:val="0"/>
      <w:marBottom w:val="0"/>
      <w:divBdr>
        <w:top w:val="none" w:sz="0" w:space="0" w:color="auto"/>
        <w:left w:val="none" w:sz="0" w:space="0" w:color="auto"/>
        <w:bottom w:val="none" w:sz="0" w:space="0" w:color="auto"/>
        <w:right w:val="none" w:sz="0" w:space="0" w:color="auto"/>
      </w:divBdr>
      <w:divsChild>
        <w:div w:id="265815045">
          <w:marLeft w:val="0"/>
          <w:marRight w:val="0"/>
          <w:marTop w:val="0"/>
          <w:marBottom w:val="0"/>
          <w:divBdr>
            <w:top w:val="none" w:sz="0" w:space="0" w:color="auto"/>
            <w:left w:val="none" w:sz="0" w:space="0" w:color="auto"/>
            <w:bottom w:val="none" w:sz="0" w:space="0" w:color="auto"/>
            <w:right w:val="none" w:sz="0" w:space="0" w:color="auto"/>
          </w:divBdr>
        </w:div>
        <w:div w:id="841048065">
          <w:marLeft w:val="0"/>
          <w:marRight w:val="0"/>
          <w:marTop w:val="0"/>
          <w:marBottom w:val="0"/>
          <w:divBdr>
            <w:top w:val="none" w:sz="0" w:space="0" w:color="auto"/>
            <w:left w:val="none" w:sz="0" w:space="0" w:color="auto"/>
            <w:bottom w:val="none" w:sz="0" w:space="0" w:color="auto"/>
            <w:right w:val="none" w:sz="0" w:space="0" w:color="auto"/>
          </w:divBdr>
        </w:div>
      </w:divsChild>
    </w:div>
    <w:div w:id="776366439">
      <w:bodyDiv w:val="1"/>
      <w:marLeft w:val="0"/>
      <w:marRight w:val="0"/>
      <w:marTop w:val="0"/>
      <w:marBottom w:val="0"/>
      <w:divBdr>
        <w:top w:val="none" w:sz="0" w:space="0" w:color="auto"/>
        <w:left w:val="none" w:sz="0" w:space="0" w:color="auto"/>
        <w:bottom w:val="none" w:sz="0" w:space="0" w:color="auto"/>
        <w:right w:val="none" w:sz="0" w:space="0" w:color="auto"/>
      </w:divBdr>
      <w:divsChild>
        <w:div w:id="93599218">
          <w:marLeft w:val="0"/>
          <w:marRight w:val="0"/>
          <w:marTop w:val="0"/>
          <w:marBottom w:val="0"/>
          <w:divBdr>
            <w:top w:val="none" w:sz="0" w:space="0" w:color="auto"/>
            <w:left w:val="none" w:sz="0" w:space="0" w:color="auto"/>
            <w:bottom w:val="none" w:sz="0" w:space="0" w:color="auto"/>
            <w:right w:val="none" w:sz="0" w:space="0" w:color="auto"/>
          </w:divBdr>
        </w:div>
        <w:div w:id="118568450">
          <w:marLeft w:val="0"/>
          <w:marRight w:val="0"/>
          <w:marTop w:val="0"/>
          <w:marBottom w:val="0"/>
          <w:divBdr>
            <w:top w:val="none" w:sz="0" w:space="0" w:color="auto"/>
            <w:left w:val="none" w:sz="0" w:space="0" w:color="auto"/>
            <w:bottom w:val="none" w:sz="0" w:space="0" w:color="auto"/>
            <w:right w:val="none" w:sz="0" w:space="0" w:color="auto"/>
          </w:divBdr>
        </w:div>
      </w:divsChild>
    </w:div>
    <w:div w:id="780027659">
      <w:bodyDiv w:val="1"/>
      <w:marLeft w:val="0"/>
      <w:marRight w:val="0"/>
      <w:marTop w:val="0"/>
      <w:marBottom w:val="0"/>
      <w:divBdr>
        <w:top w:val="none" w:sz="0" w:space="0" w:color="auto"/>
        <w:left w:val="none" w:sz="0" w:space="0" w:color="auto"/>
        <w:bottom w:val="none" w:sz="0" w:space="0" w:color="auto"/>
        <w:right w:val="none" w:sz="0" w:space="0" w:color="auto"/>
      </w:divBdr>
    </w:div>
    <w:div w:id="784270890">
      <w:bodyDiv w:val="1"/>
      <w:marLeft w:val="0"/>
      <w:marRight w:val="0"/>
      <w:marTop w:val="0"/>
      <w:marBottom w:val="0"/>
      <w:divBdr>
        <w:top w:val="none" w:sz="0" w:space="0" w:color="auto"/>
        <w:left w:val="none" w:sz="0" w:space="0" w:color="auto"/>
        <w:bottom w:val="none" w:sz="0" w:space="0" w:color="auto"/>
        <w:right w:val="none" w:sz="0" w:space="0" w:color="auto"/>
      </w:divBdr>
    </w:div>
    <w:div w:id="794057276">
      <w:bodyDiv w:val="1"/>
      <w:marLeft w:val="0"/>
      <w:marRight w:val="0"/>
      <w:marTop w:val="0"/>
      <w:marBottom w:val="0"/>
      <w:divBdr>
        <w:top w:val="none" w:sz="0" w:space="0" w:color="auto"/>
        <w:left w:val="none" w:sz="0" w:space="0" w:color="auto"/>
        <w:bottom w:val="none" w:sz="0" w:space="0" w:color="auto"/>
        <w:right w:val="none" w:sz="0" w:space="0" w:color="auto"/>
      </w:divBdr>
      <w:divsChild>
        <w:div w:id="171072404">
          <w:marLeft w:val="0"/>
          <w:marRight w:val="0"/>
          <w:marTop w:val="0"/>
          <w:marBottom w:val="0"/>
          <w:divBdr>
            <w:top w:val="none" w:sz="0" w:space="0" w:color="auto"/>
            <w:left w:val="none" w:sz="0" w:space="0" w:color="auto"/>
            <w:bottom w:val="none" w:sz="0" w:space="0" w:color="auto"/>
            <w:right w:val="none" w:sz="0" w:space="0" w:color="auto"/>
          </w:divBdr>
        </w:div>
        <w:div w:id="246043295">
          <w:marLeft w:val="0"/>
          <w:marRight w:val="0"/>
          <w:marTop w:val="0"/>
          <w:marBottom w:val="0"/>
          <w:divBdr>
            <w:top w:val="none" w:sz="0" w:space="0" w:color="auto"/>
            <w:left w:val="none" w:sz="0" w:space="0" w:color="auto"/>
            <w:bottom w:val="none" w:sz="0" w:space="0" w:color="auto"/>
            <w:right w:val="none" w:sz="0" w:space="0" w:color="auto"/>
          </w:divBdr>
        </w:div>
        <w:div w:id="350106358">
          <w:marLeft w:val="0"/>
          <w:marRight w:val="0"/>
          <w:marTop w:val="0"/>
          <w:marBottom w:val="0"/>
          <w:divBdr>
            <w:top w:val="none" w:sz="0" w:space="0" w:color="auto"/>
            <w:left w:val="none" w:sz="0" w:space="0" w:color="auto"/>
            <w:bottom w:val="none" w:sz="0" w:space="0" w:color="auto"/>
            <w:right w:val="none" w:sz="0" w:space="0" w:color="auto"/>
          </w:divBdr>
        </w:div>
        <w:div w:id="363333654">
          <w:marLeft w:val="0"/>
          <w:marRight w:val="0"/>
          <w:marTop w:val="0"/>
          <w:marBottom w:val="0"/>
          <w:divBdr>
            <w:top w:val="none" w:sz="0" w:space="0" w:color="auto"/>
            <w:left w:val="none" w:sz="0" w:space="0" w:color="auto"/>
            <w:bottom w:val="none" w:sz="0" w:space="0" w:color="auto"/>
            <w:right w:val="none" w:sz="0" w:space="0" w:color="auto"/>
          </w:divBdr>
        </w:div>
        <w:div w:id="448285185">
          <w:marLeft w:val="0"/>
          <w:marRight w:val="0"/>
          <w:marTop w:val="0"/>
          <w:marBottom w:val="0"/>
          <w:divBdr>
            <w:top w:val="none" w:sz="0" w:space="0" w:color="auto"/>
            <w:left w:val="none" w:sz="0" w:space="0" w:color="auto"/>
            <w:bottom w:val="none" w:sz="0" w:space="0" w:color="auto"/>
            <w:right w:val="none" w:sz="0" w:space="0" w:color="auto"/>
          </w:divBdr>
        </w:div>
        <w:div w:id="469783727">
          <w:marLeft w:val="0"/>
          <w:marRight w:val="0"/>
          <w:marTop w:val="0"/>
          <w:marBottom w:val="0"/>
          <w:divBdr>
            <w:top w:val="none" w:sz="0" w:space="0" w:color="auto"/>
            <w:left w:val="none" w:sz="0" w:space="0" w:color="auto"/>
            <w:bottom w:val="none" w:sz="0" w:space="0" w:color="auto"/>
            <w:right w:val="none" w:sz="0" w:space="0" w:color="auto"/>
          </w:divBdr>
        </w:div>
        <w:div w:id="663240480">
          <w:marLeft w:val="0"/>
          <w:marRight w:val="0"/>
          <w:marTop w:val="0"/>
          <w:marBottom w:val="0"/>
          <w:divBdr>
            <w:top w:val="none" w:sz="0" w:space="0" w:color="auto"/>
            <w:left w:val="none" w:sz="0" w:space="0" w:color="auto"/>
            <w:bottom w:val="none" w:sz="0" w:space="0" w:color="auto"/>
            <w:right w:val="none" w:sz="0" w:space="0" w:color="auto"/>
          </w:divBdr>
        </w:div>
        <w:div w:id="668489288">
          <w:marLeft w:val="0"/>
          <w:marRight w:val="0"/>
          <w:marTop w:val="0"/>
          <w:marBottom w:val="0"/>
          <w:divBdr>
            <w:top w:val="none" w:sz="0" w:space="0" w:color="auto"/>
            <w:left w:val="none" w:sz="0" w:space="0" w:color="auto"/>
            <w:bottom w:val="none" w:sz="0" w:space="0" w:color="auto"/>
            <w:right w:val="none" w:sz="0" w:space="0" w:color="auto"/>
          </w:divBdr>
        </w:div>
        <w:div w:id="723989323">
          <w:marLeft w:val="0"/>
          <w:marRight w:val="0"/>
          <w:marTop w:val="0"/>
          <w:marBottom w:val="0"/>
          <w:divBdr>
            <w:top w:val="none" w:sz="0" w:space="0" w:color="auto"/>
            <w:left w:val="none" w:sz="0" w:space="0" w:color="auto"/>
            <w:bottom w:val="none" w:sz="0" w:space="0" w:color="auto"/>
            <w:right w:val="none" w:sz="0" w:space="0" w:color="auto"/>
          </w:divBdr>
        </w:div>
        <w:div w:id="747656437">
          <w:marLeft w:val="0"/>
          <w:marRight w:val="0"/>
          <w:marTop w:val="0"/>
          <w:marBottom w:val="0"/>
          <w:divBdr>
            <w:top w:val="none" w:sz="0" w:space="0" w:color="auto"/>
            <w:left w:val="none" w:sz="0" w:space="0" w:color="auto"/>
            <w:bottom w:val="none" w:sz="0" w:space="0" w:color="auto"/>
            <w:right w:val="none" w:sz="0" w:space="0" w:color="auto"/>
          </w:divBdr>
        </w:div>
        <w:div w:id="827601550">
          <w:marLeft w:val="0"/>
          <w:marRight w:val="0"/>
          <w:marTop w:val="0"/>
          <w:marBottom w:val="0"/>
          <w:divBdr>
            <w:top w:val="none" w:sz="0" w:space="0" w:color="auto"/>
            <w:left w:val="none" w:sz="0" w:space="0" w:color="auto"/>
            <w:bottom w:val="none" w:sz="0" w:space="0" w:color="auto"/>
            <w:right w:val="none" w:sz="0" w:space="0" w:color="auto"/>
          </w:divBdr>
        </w:div>
        <w:div w:id="836650146">
          <w:marLeft w:val="0"/>
          <w:marRight w:val="0"/>
          <w:marTop w:val="0"/>
          <w:marBottom w:val="0"/>
          <w:divBdr>
            <w:top w:val="none" w:sz="0" w:space="0" w:color="auto"/>
            <w:left w:val="none" w:sz="0" w:space="0" w:color="auto"/>
            <w:bottom w:val="none" w:sz="0" w:space="0" w:color="auto"/>
            <w:right w:val="none" w:sz="0" w:space="0" w:color="auto"/>
          </w:divBdr>
        </w:div>
        <w:div w:id="885457408">
          <w:marLeft w:val="0"/>
          <w:marRight w:val="0"/>
          <w:marTop w:val="0"/>
          <w:marBottom w:val="0"/>
          <w:divBdr>
            <w:top w:val="none" w:sz="0" w:space="0" w:color="auto"/>
            <w:left w:val="none" w:sz="0" w:space="0" w:color="auto"/>
            <w:bottom w:val="none" w:sz="0" w:space="0" w:color="auto"/>
            <w:right w:val="none" w:sz="0" w:space="0" w:color="auto"/>
          </w:divBdr>
        </w:div>
        <w:div w:id="911310135">
          <w:marLeft w:val="0"/>
          <w:marRight w:val="0"/>
          <w:marTop w:val="0"/>
          <w:marBottom w:val="0"/>
          <w:divBdr>
            <w:top w:val="none" w:sz="0" w:space="0" w:color="auto"/>
            <w:left w:val="none" w:sz="0" w:space="0" w:color="auto"/>
            <w:bottom w:val="none" w:sz="0" w:space="0" w:color="auto"/>
            <w:right w:val="none" w:sz="0" w:space="0" w:color="auto"/>
          </w:divBdr>
        </w:div>
        <w:div w:id="942348922">
          <w:marLeft w:val="0"/>
          <w:marRight w:val="0"/>
          <w:marTop w:val="0"/>
          <w:marBottom w:val="0"/>
          <w:divBdr>
            <w:top w:val="none" w:sz="0" w:space="0" w:color="auto"/>
            <w:left w:val="none" w:sz="0" w:space="0" w:color="auto"/>
            <w:bottom w:val="none" w:sz="0" w:space="0" w:color="auto"/>
            <w:right w:val="none" w:sz="0" w:space="0" w:color="auto"/>
          </w:divBdr>
        </w:div>
        <w:div w:id="958415678">
          <w:marLeft w:val="0"/>
          <w:marRight w:val="0"/>
          <w:marTop w:val="0"/>
          <w:marBottom w:val="0"/>
          <w:divBdr>
            <w:top w:val="none" w:sz="0" w:space="0" w:color="auto"/>
            <w:left w:val="none" w:sz="0" w:space="0" w:color="auto"/>
            <w:bottom w:val="none" w:sz="0" w:space="0" w:color="auto"/>
            <w:right w:val="none" w:sz="0" w:space="0" w:color="auto"/>
          </w:divBdr>
        </w:div>
        <w:div w:id="1055741338">
          <w:marLeft w:val="0"/>
          <w:marRight w:val="0"/>
          <w:marTop w:val="0"/>
          <w:marBottom w:val="0"/>
          <w:divBdr>
            <w:top w:val="none" w:sz="0" w:space="0" w:color="auto"/>
            <w:left w:val="none" w:sz="0" w:space="0" w:color="auto"/>
            <w:bottom w:val="none" w:sz="0" w:space="0" w:color="auto"/>
            <w:right w:val="none" w:sz="0" w:space="0" w:color="auto"/>
          </w:divBdr>
        </w:div>
        <w:div w:id="1101952376">
          <w:marLeft w:val="0"/>
          <w:marRight w:val="0"/>
          <w:marTop w:val="0"/>
          <w:marBottom w:val="0"/>
          <w:divBdr>
            <w:top w:val="none" w:sz="0" w:space="0" w:color="auto"/>
            <w:left w:val="none" w:sz="0" w:space="0" w:color="auto"/>
            <w:bottom w:val="none" w:sz="0" w:space="0" w:color="auto"/>
            <w:right w:val="none" w:sz="0" w:space="0" w:color="auto"/>
          </w:divBdr>
        </w:div>
        <w:div w:id="1123963540">
          <w:marLeft w:val="0"/>
          <w:marRight w:val="0"/>
          <w:marTop w:val="0"/>
          <w:marBottom w:val="0"/>
          <w:divBdr>
            <w:top w:val="none" w:sz="0" w:space="0" w:color="auto"/>
            <w:left w:val="none" w:sz="0" w:space="0" w:color="auto"/>
            <w:bottom w:val="none" w:sz="0" w:space="0" w:color="auto"/>
            <w:right w:val="none" w:sz="0" w:space="0" w:color="auto"/>
          </w:divBdr>
        </w:div>
        <w:div w:id="1137406833">
          <w:marLeft w:val="0"/>
          <w:marRight w:val="0"/>
          <w:marTop w:val="0"/>
          <w:marBottom w:val="0"/>
          <w:divBdr>
            <w:top w:val="none" w:sz="0" w:space="0" w:color="auto"/>
            <w:left w:val="none" w:sz="0" w:space="0" w:color="auto"/>
            <w:bottom w:val="none" w:sz="0" w:space="0" w:color="auto"/>
            <w:right w:val="none" w:sz="0" w:space="0" w:color="auto"/>
          </w:divBdr>
        </w:div>
        <w:div w:id="1142888614">
          <w:marLeft w:val="0"/>
          <w:marRight w:val="0"/>
          <w:marTop w:val="0"/>
          <w:marBottom w:val="0"/>
          <w:divBdr>
            <w:top w:val="none" w:sz="0" w:space="0" w:color="auto"/>
            <w:left w:val="none" w:sz="0" w:space="0" w:color="auto"/>
            <w:bottom w:val="none" w:sz="0" w:space="0" w:color="auto"/>
            <w:right w:val="none" w:sz="0" w:space="0" w:color="auto"/>
          </w:divBdr>
        </w:div>
        <w:div w:id="1168714959">
          <w:marLeft w:val="0"/>
          <w:marRight w:val="0"/>
          <w:marTop w:val="0"/>
          <w:marBottom w:val="0"/>
          <w:divBdr>
            <w:top w:val="none" w:sz="0" w:space="0" w:color="auto"/>
            <w:left w:val="none" w:sz="0" w:space="0" w:color="auto"/>
            <w:bottom w:val="none" w:sz="0" w:space="0" w:color="auto"/>
            <w:right w:val="none" w:sz="0" w:space="0" w:color="auto"/>
          </w:divBdr>
        </w:div>
        <w:div w:id="1268852040">
          <w:marLeft w:val="0"/>
          <w:marRight w:val="0"/>
          <w:marTop w:val="0"/>
          <w:marBottom w:val="0"/>
          <w:divBdr>
            <w:top w:val="none" w:sz="0" w:space="0" w:color="auto"/>
            <w:left w:val="none" w:sz="0" w:space="0" w:color="auto"/>
            <w:bottom w:val="none" w:sz="0" w:space="0" w:color="auto"/>
            <w:right w:val="none" w:sz="0" w:space="0" w:color="auto"/>
          </w:divBdr>
        </w:div>
        <w:div w:id="1277518333">
          <w:marLeft w:val="0"/>
          <w:marRight w:val="0"/>
          <w:marTop w:val="0"/>
          <w:marBottom w:val="0"/>
          <w:divBdr>
            <w:top w:val="none" w:sz="0" w:space="0" w:color="auto"/>
            <w:left w:val="none" w:sz="0" w:space="0" w:color="auto"/>
            <w:bottom w:val="none" w:sz="0" w:space="0" w:color="auto"/>
            <w:right w:val="none" w:sz="0" w:space="0" w:color="auto"/>
          </w:divBdr>
        </w:div>
        <w:div w:id="1338464907">
          <w:marLeft w:val="0"/>
          <w:marRight w:val="0"/>
          <w:marTop w:val="0"/>
          <w:marBottom w:val="0"/>
          <w:divBdr>
            <w:top w:val="none" w:sz="0" w:space="0" w:color="auto"/>
            <w:left w:val="none" w:sz="0" w:space="0" w:color="auto"/>
            <w:bottom w:val="none" w:sz="0" w:space="0" w:color="auto"/>
            <w:right w:val="none" w:sz="0" w:space="0" w:color="auto"/>
          </w:divBdr>
        </w:div>
        <w:div w:id="1349719212">
          <w:marLeft w:val="0"/>
          <w:marRight w:val="0"/>
          <w:marTop w:val="0"/>
          <w:marBottom w:val="0"/>
          <w:divBdr>
            <w:top w:val="none" w:sz="0" w:space="0" w:color="auto"/>
            <w:left w:val="none" w:sz="0" w:space="0" w:color="auto"/>
            <w:bottom w:val="none" w:sz="0" w:space="0" w:color="auto"/>
            <w:right w:val="none" w:sz="0" w:space="0" w:color="auto"/>
          </w:divBdr>
        </w:div>
        <w:div w:id="1355109260">
          <w:marLeft w:val="0"/>
          <w:marRight w:val="0"/>
          <w:marTop w:val="0"/>
          <w:marBottom w:val="0"/>
          <w:divBdr>
            <w:top w:val="none" w:sz="0" w:space="0" w:color="auto"/>
            <w:left w:val="none" w:sz="0" w:space="0" w:color="auto"/>
            <w:bottom w:val="none" w:sz="0" w:space="0" w:color="auto"/>
            <w:right w:val="none" w:sz="0" w:space="0" w:color="auto"/>
          </w:divBdr>
        </w:div>
        <w:div w:id="1382746001">
          <w:marLeft w:val="0"/>
          <w:marRight w:val="0"/>
          <w:marTop w:val="0"/>
          <w:marBottom w:val="0"/>
          <w:divBdr>
            <w:top w:val="none" w:sz="0" w:space="0" w:color="auto"/>
            <w:left w:val="none" w:sz="0" w:space="0" w:color="auto"/>
            <w:bottom w:val="none" w:sz="0" w:space="0" w:color="auto"/>
            <w:right w:val="none" w:sz="0" w:space="0" w:color="auto"/>
          </w:divBdr>
        </w:div>
        <w:div w:id="1414859524">
          <w:marLeft w:val="0"/>
          <w:marRight w:val="0"/>
          <w:marTop w:val="0"/>
          <w:marBottom w:val="0"/>
          <w:divBdr>
            <w:top w:val="none" w:sz="0" w:space="0" w:color="auto"/>
            <w:left w:val="none" w:sz="0" w:space="0" w:color="auto"/>
            <w:bottom w:val="none" w:sz="0" w:space="0" w:color="auto"/>
            <w:right w:val="none" w:sz="0" w:space="0" w:color="auto"/>
          </w:divBdr>
        </w:div>
        <w:div w:id="1419403495">
          <w:marLeft w:val="0"/>
          <w:marRight w:val="0"/>
          <w:marTop w:val="0"/>
          <w:marBottom w:val="0"/>
          <w:divBdr>
            <w:top w:val="none" w:sz="0" w:space="0" w:color="auto"/>
            <w:left w:val="none" w:sz="0" w:space="0" w:color="auto"/>
            <w:bottom w:val="none" w:sz="0" w:space="0" w:color="auto"/>
            <w:right w:val="none" w:sz="0" w:space="0" w:color="auto"/>
          </w:divBdr>
        </w:div>
        <w:div w:id="1457484740">
          <w:marLeft w:val="0"/>
          <w:marRight w:val="0"/>
          <w:marTop w:val="0"/>
          <w:marBottom w:val="0"/>
          <w:divBdr>
            <w:top w:val="none" w:sz="0" w:space="0" w:color="auto"/>
            <w:left w:val="none" w:sz="0" w:space="0" w:color="auto"/>
            <w:bottom w:val="none" w:sz="0" w:space="0" w:color="auto"/>
            <w:right w:val="none" w:sz="0" w:space="0" w:color="auto"/>
          </w:divBdr>
        </w:div>
        <w:div w:id="1459181188">
          <w:marLeft w:val="0"/>
          <w:marRight w:val="0"/>
          <w:marTop w:val="0"/>
          <w:marBottom w:val="0"/>
          <w:divBdr>
            <w:top w:val="none" w:sz="0" w:space="0" w:color="auto"/>
            <w:left w:val="none" w:sz="0" w:space="0" w:color="auto"/>
            <w:bottom w:val="none" w:sz="0" w:space="0" w:color="auto"/>
            <w:right w:val="none" w:sz="0" w:space="0" w:color="auto"/>
          </w:divBdr>
        </w:div>
        <w:div w:id="1469467566">
          <w:marLeft w:val="0"/>
          <w:marRight w:val="0"/>
          <w:marTop w:val="0"/>
          <w:marBottom w:val="0"/>
          <w:divBdr>
            <w:top w:val="none" w:sz="0" w:space="0" w:color="auto"/>
            <w:left w:val="none" w:sz="0" w:space="0" w:color="auto"/>
            <w:bottom w:val="none" w:sz="0" w:space="0" w:color="auto"/>
            <w:right w:val="none" w:sz="0" w:space="0" w:color="auto"/>
          </w:divBdr>
        </w:div>
        <w:div w:id="1475246887">
          <w:marLeft w:val="0"/>
          <w:marRight w:val="0"/>
          <w:marTop w:val="0"/>
          <w:marBottom w:val="0"/>
          <w:divBdr>
            <w:top w:val="none" w:sz="0" w:space="0" w:color="auto"/>
            <w:left w:val="none" w:sz="0" w:space="0" w:color="auto"/>
            <w:bottom w:val="none" w:sz="0" w:space="0" w:color="auto"/>
            <w:right w:val="none" w:sz="0" w:space="0" w:color="auto"/>
          </w:divBdr>
        </w:div>
        <w:div w:id="1503541554">
          <w:marLeft w:val="0"/>
          <w:marRight w:val="0"/>
          <w:marTop w:val="0"/>
          <w:marBottom w:val="0"/>
          <w:divBdr>
            <w:top w:val="none" w:sz="0" w:space="0" w:color="auto"/>
            <w:left w:val="none" w:sz="0" w:space="0" w:color="auto"/>
            <w:bottom w:val="none" w:sz="0" w:space="0" w:color="auto"/>
            <w:right w:val="none" w:sz="0" w:space="0" w:color="auto"/>
          </w:divBdr>
        </w:div>
        <w:div w:id="1635406465">
          <w:marLeft w:val="0"/>
          <w:marRight w:val="0"/>
          <w:marTop w:val="0"/>
          <w:marBottom w:val="0"/>
          <w:divBdr>
            <w:top w:val="none" w:sz="0" w:space="0" w:color="auto"/>
            <w:left w:val="none" w:sz="0" w:space="0" w:color="auto"/>
            <w:bottom w:val="none" w:sz="0" w:space="0" w:color="auto"/>
            <w:right w:val="none" w:sz="0" w:space="0" w:color="auto"/>
          </w:divBdr>
        </w:div>
        <w:div w:id="1756969985">
          <w:marLeft w:val="0"/>
          <w:marRight w:val="0"/>
          <w:marTop w:val="0"/>
          <w:marBottom w:val="0"/>
          <w:divBdr>
            <w:top w:val="none" w:sz="0" w:space="0" w:color="auto"/>
            <w:left w:val="none" w:sz="0" w:space="0" w:color="auto"/>
            <w:bottom w:val="none" w:sz="0" w:space="0" w:color="auto"/>
            <w:right w:val="none" w:sz="0" w:space="0" w:color="auto"/>
          </w:divBdr>
        </w:div>
        <w:div w:id="1810198565">
          <w:marLeft w:val="0"/>
          <w:marRight w:val="0"/>
          <w:marTop w:val="0"/>
          <w:marBottom w:val="0"/>
          <w:divBdr>
            <w:top w:val="none" w:sz="0" w:space="0" w:color="auto"/>
            <w:left w:val="none" w:sz="0" w:space="0" w:color="auto"/>
            <w:bottom w:val="none" w:sz="0" w:space="0" w:color="auto"/>
            <w:right w:val="none" w:sz="0" w:space="0" w:color="auto"/>
          </w:divBdr>
          <w:divsChild>
            <w:div w:id="109979393">
              <w:marLeft w:val="0"/>
              <w:marRight w:val="0"/>
              <w:marTop w:val="0"/>
              <w:marBottom w:val="0"/>
              <w:divBdr>
                <w:top w:val="none" w:sz="0" w:space="0" w:color="auto"/>
                <w:left w:val="none" w:sz="0" w:space="0" w:color="auto"/>
                <w:bottom w:val="none" w:sz="0" w:space="0" w:color="auto"/>
                <w:right w:val="none" w:sz="0" w:space="0" w:color="auto"/>
              </w:divBdr>
            </w:div>
            <w:div w:id="127553740">
              <w:marLeft w:val="0"/>
              <w:marRight w:val="0"/>
              <w:marTop w:val="0"/>
              <w:marBottom w:val="0"/>
              <w:divBdr>
                <w:top w:val="none" w:sz="0" w:space="0" w:color="auto"/>
                <w:left w:val="none" w:sz="0" w:space="0" w:color="auto"/>
                <w:bottom w:val="none" w:sz="0" w:space="0" w:color="auto"/>
                <w:right w:val="none" w:sz="0" w:space="0" w:color="auto"/>
              </w:divBdr>
            </w:div>
            <w:div w:id="370541054">
              <w:marLeft w:val="0"/>
              <w:marRight w:val="0"/>
              <w:marTop w:val="0"/>
              <w:marBottom w:val="0"/>
              <w:divBdr>
                <w:top w:val="none" w:sz="0" w:space="0" w:color="auto"/>
                <w:left w:val="none" w:sz="0" w:space="0" w:color="auto"/>
                <w:bottom w:val="none" w:sz="0" w:space="0" w:color="auto"/>
                <w:right w:val="none" w:sz="0" w:space="0" w:color="auto"/>
              </w:divBdr>
            </w:div>
            <w:div w:id="434981746">
              <w:marLeft w:val="0"/>
              <w:marRight w:val="0"/>
              <w:marTop w:val="0"/>
              <w:marBottom w:val="0"/>
              <w:divBdr>
                <w:top w:val="none" w:sz="0" w:space="0" w:color="auto"/>
                <w:left w:val="none" w:sz="0" w:space="0" w:color="auto"/>
                <w:bottom w:val="none" w:sz="0" w:space="0" w:color="auto"/>
                <w:right w:val="none" w:sz="0" w:space="0" w:color="auto"/>
              </w:divBdr>
            </w:div>
            <w:div w:id="596983463">
              <w:marLeft w:val="0"/>
              <w:marRight w:val="0"/>
              <w:marTop w:val="0"/>
              <w:marBottom w:val="0"/>
              <w:divBdr>
                <w:top w:val="none" w:sz="0" w:space="0" w:color="auto"/>
                <w:left w:val="none" w:sz="0" w:space="0" w:color="auto"/>
                <w:bottom w:val="none" w:sz="0" w:space="0" w:color="auto"/>
                <w:right w:val="none" w:sz="0" w:space="0" w:color="auto"/>
              </w:divBdr>
            </w:div>
            <w:div w:id="642075877">
              <w:marLeft w:val="0"/>
              <w:marRight w:val="0"/>
              <w:marTop w:val="0"/>
              <w:marBottom w:val="0"/>
              <w:divBdr>
                <w:top w:val="none" w:sz="0" w:space="0" w:color="auto"/>
                <w:left w:val="none" w:sz="0" w:space="0" w:color="auto"/>
                <w:bottom w:val="none" w:sz="0" w:space="0" w:color="auto"/>
                <w:right w:val="none" w:sz="0" w:space="0" w:color="auto"/>
              </w:divBdr>
            </w:div>
            <w:div w:id="888951694">
              <w:marLeft w:val="0"/>
              <w:marRight w:val="0"/>
              <w:marTop w:val="0"/>
              <w:marBottom w:val="0"/>
              <w:divBdr>
                <w:top w:val="none" w:sz="0" w:space="0" w:color="auto"/>
                <w:left w:val="none" w:sz="0" w:space="0" w:color="auto"/>
                <w:bottom w:val="none" w:sz="0" w:space="0" w:color="auto"/>
                <w:right w:val="none" w:sz="0" w:space="0" w:color="auto"/>
              </w:divBdr>
            </w:div>
            <w:div w:id="908465450">
              <w:marLeft w:val="0"/>
              <w:marRight w:val="0"/>
              <w:marTop w:val="0"/>
              <w:marBottom w:val="0"/>
              <w:divBdr>
                <w:top w:val="none" w:sz="0" w:space="0" w:color="auto"/>
                <w:left w:val="none" w:sz="0" w:space="0" w:color="auto"/>
                <w:bottom w:val="none" w:sz="0" w:space="0" w:color="auto"/>
                <w:right w:val="none" w:sz="0" w:space="0" w:color="auto"/>
              </w:divBdr>
            </w:div>
            <w:div w:id="1034039196">
              <w:marLeft w:val="0"/>
              <w:marRight w:val="0"/>
              <w:marTop w:val="0"/>
              <w:marBottom w:val="0"/>
              <w:divBdr>
                <w:top w:val="none" w:sz="0" w:space="0" w:color="auto"/>
                <w:left w:val="none" w:sz="0" w:space="0" w:color="auto"/>
                <w:bottom w:val="none" w:sz="0" w:space="0" w:color="auto"/>
                <w:right w:val="none" w:sz="0" w:space="0" w:color="auto"/>
              </w:divBdr>
            </w:div>
            <w:div w:id="1064525405">
              <w:marLeft w:val="0"/>
              <w:marRight w:val="0"/>
              <w:marTop w:val="0"/>
              <w:marBottom w:val="0"/>
              <w:divBdr>
                <w:top w:val="none" w:sz="0" w:space="0" w:color="auto"/>
                <w:left w:val="none" w:sz="0" w:space="0" w:color="auto"/>
                <w:bottom w:val="none" w:sz="0" w:space="0" w:color="auto"/>
                <w:right w:val="none" w:sz="0" w:space="0" w:color="auto"/>
              </w:divBdr>
            </w:div>
            <w:div w:id="1520659998">
              <w:marLeft w:val="0"/>
              <w:marRight w:val="0"/>
              <w:marTop w:val="0"/>
              <w:marBottom w:val="0"/>
              <w:divBdr>
                <w:top w:val="none" w:sz="0" w:space="0" w:color="auto"/>
                <w:left w:val="none" w:sz="0" w:space="0" w:color="auto"/>
                <w:bottom w:val="none" w:sz="0" w:space="0" w:color="auto"/>
                <w:right w:val="none" w:sz="0" w:space="0" w:color="auto"/>
              </w:divBdr>
            </w:div>
            <w:div w:id="1689091352">
              <w:marLeft w:val="0"/>
              <w:marRight w:val="0"/>
              <w:marTop w:val="0"/>
              <w:marBottom w:val="0"/>
              <w:divBdr>
                <w:top w:val="none" w:sz="0" w:space="0" w:color="auto"/>
                <w:left w:val="none" w:sz="0" w:space="0" w:color="auto"/>
                <w:bottom w:val="none" w:sz="0" w:space="0" w:color="auto"/>
                <w:right w:val="none" w:sz="0" w:space="0" w:color="auto"/>
              </w:divBdr>
            </w:div>
            <w:div w:id="1794404773">
              <w:marLeft w:val="0"/>
              <w:marRight w:val="0"/>
              <w:marTop w:val="0"/>
              <w:marBottom w:val="0"/>
              <w:divBdr>
                <w:top w:val="none" w:sz="0" w:space="0" w:color="auto"/>
                <w:left w:val="none" w:sz="0" w:space="0" w:color="auto"/>
                <w:bottom w:val="none" w:sz="0" w:space="0" w:color="auto"/>
                <w:right w:val="none" w:sz="0" w:space="0" w:color="auto"/>
              </w:divBdr>
            </w:div>
            <w:div w:id="1810319366">
              <w:marLeft w:val="0"/>
              <w:marRight w:val="0"/>
              <w:marTop w:val="0"/>
              <w:marBottom w:val="0"/>
              <w:divBdr>
                <w:top w:val="none" w:sz="0" w:space="0" w:color="auto"/>
                <w:left w:val="none" w:sz="0" w:space="0" w:color="auto"/>
                <w:bottom w:val="none" w:sz="0" w:space="0" w:color="auto"/>
                <w:right w:val="none" w:sz="0" w:space="0" w:color="auto"/>
              </w:divBdr>
            </w:div>
            <w:div w:id="1831022443">
              <w:marLeft w:val="0"/>
              <w:marRight w:val="0"/>
              <w:marTop w:val="0"/>
              <w:marBottom w:val="0"/>
              <w:divBdr>
                <w:top w:val="none" w:sz="0" w:space="0" w:color="auto"/>
                <w:left w:val="none" w:sz="0" w:space="0" w:color="auto"/>
                <w:bottom w:val="none" w:sz="0" w:space="0" w:color="auto"/>
                <w:right w:val="none" w:sz="0" w:space="0" w:color="auto"/>
              </w:divBdr>
            </w:div>
            <w:div w:id="1879274231">
              <w:marLeft w:val="0"/>
              <w:marRight w:val="0"/>
              <w:marTop w:val="0"/>
              <w:marBottom w:val="0"/>
              <w:divBdr>
                <w:top w:val="none" w:sz="0" w:space="0" w:color="auto"/>
                <w:left w:val="none" w:sz="0" w:space="0" w:color="auto"/>
                <w:bottom w:val="none" w:sz="0" w:space="0" w:color="auto"/>
                <w:right w:val="none" w:sz="0" w:space="0" w:color="auto"/>
              </w:divBdr>
            </w:div>
            <w:div w:id="2127579194">
              <w:marLeft w:val="0"/>
              <w:marRight w:val="0"/>
              <w:marTop w:val="0"/>
              <w:marBottom w:val="0"/>
              <w:divBdr>
                <w:top w:val="none" w:sz="0" w:space="0" w:color="auto"/>
                <w:left w:val="none" w:sz="0" w:space="0" w:color="auto"/>
                <w:bottom w:val="none" w:sz="0" w:space="0" w:color="auto"/>
                <w:right w:val="none" w:sz="0" w:space="0" w:color="auto"/>
              </w:divBdr>
            </w:div>
            <w:div w:id="2134012889">
              <w:marLeft w:val="0"/>
              <w:marRight w:val="0"/>
              <w:marTop w:val="0"/>
              <w:marBottom w:val="0"/>
              <w:divBdr>
                <w:top w:val="none" w:sz="0" w:space="0" w:color="auto"/>
                <w:left w:val="none" w:sz="0" w:space="0" w:color="auto"/>
                <w:bottom w:val="none" w:sz="0" w:space="0" w:color="auto"/>
                <w:right w:val="none" w:sz="0" w:space="0" w:color="auto"/>
              </w:divBdr>
            </w:div>
            <w:div w:id="2140107812">
              <w:marLeft w:val="0"/>
              <w:marRight w:val="0"/>
              <w:marTop w:val="0"/>
              <w:marBottom w:val="0"/>
              <w:divBdr>
                <w:top w:val="none" w:sz="0" w:space="0" w:color="auto"/>
                <w:left w:val="none" w:sz="0" w:space="0" w:color="auto"/>
                <w:bottom w:val="none" w:sz="0" w:space="0" w:color="auto"/>
                <w:right w:val="none" w:sz="0" w:space="0" w:color="auto"/>
              </w:divBdr>
            </w:div>
          </w:divsChild>
        </w:div>
        <w:div w:id="2137986925">
          <w:marLeft w:val="0"/>
          <w:marRight w:val="0"/>
          <w:marTop w:val="0"/>
          <w:marBottom w:val="0"/>
          <w:divBdr>
            <w:top w:val="none" w:sz="0" w:space="0" w:color="auto"/>
            <w:left w:val="none" w:sz="0" w:space="0" w:color="auto"/>
            <w:bottom w:val="none" w:sz="0" w:space="0" w:color="auto"/>
            <w:right w:val="none" w:sz="0" w:space="0" w:color="auto"/>
          </w:divBdr>
        </w:div>
      </w:divsChild>
    </w:div>
    <w:div w:id="798688610">
      <w:bodyDiv w:val="1"/>
      <w:marLeft w:val="0"/>
      <w:marRight w:val="0"/>
      <w:marTop w:val="0"/>
      <w:marBottom w:val="0"/>
      <w:divBdr>
        <w:top w:val="none" w:sz="0" w:space="0" w:color="auto"/>
        <w:left w:val="none" w:sz="0" w:space="0" w:color="auto"/>
        <w:bottom w:val="none" w:sz="0" w:space="0" w:color="auto"/>
        <w:right w:val="none" w:sz="0" w:space="0" w:color="auto"/>
      </w:divBdr>
    </w:div>
    <w:div w:id="808743169">
      <w:bodyDiv w:val="1"/>
      <w:marLeft w:val="0"/>
      <w:marRight w:val="0"/>
      <w:marTop w:val="0"/>
      <w:marBottom w:val="0"/>
      <w:divBdr>
        <w:top w:val="none" w:sz="0" w:space="0" w:color="auto"/>
        <w:left w:val="none" w:sz="0" w:space="0" w:color="auto"/>
        <w:bottom w:val="none" w:sz="0" w:space="0" w:color="auto"/>
        <w:right w:val="none" w:sz="0" w:space="0" w:color="auto"/>
      </w:divBdr>
    </w:div>
    <w:div w:id="816268581">
      <w:bodyDiv w:val="1"/>
      <w:marLeft w:val="0"/>
      <w:marRight w:val="0"/>
      <w:marTop w:val="0"/>
      <w:marBottom w:val="0"/>
      <w:divBdr>
        <w:top w:val="none" w:sz="0" w:space="0" w:color="auto"/>
        <w:left w:val="none" w:sz="0" w:space="0" w:color="auto"/>
        <w:bottom w:val="none" w:sz="0" w:space="0" w:color="auto"/>
        <w:right w:val="none" w:sz="0" w:space="0" w:color="auto"/>
      </w:divBdr>
    </w:div>
    <w:div w:id="821116005">
      <w:bodyDiv w:val="1"/>
      <w:marLeft w:val="0"/>
      <w:marRight w:val="0"/>
      <w:marTop w:val="0"/>
      <w:marBottom w:val="0"/>
      <w:divBdr>
        <w:top w:val="none" w:sz="0" w:space="0" w:color="auto"/>
        <w:left w:val="none" w:sz="0" w:space="0" w:color="auto"/>
        <w:bottom w:val="none" w:sz="0" w:space="0" w:color="auto"/>
        <w:right w:val="none" w:sz="0" w:space="0" w:color="auto"/>
      </w:divBdr>
    </w:div>
    <w:div w:id="824736453">
      <w:bodyDiv w:val="1"/>
      <w:marLeft w:val="0"/>
      <w:marRight w:val="0"/>
      <w:marTop w:val="0"/>
      <w:marBottom w:val="0"/>
      <w:divBdr>
        <w:top w:val="none" w:sz="0" w:space="0" w:color="auto"/>
        <w:left w:val="none" w:sz="0" w:space="0" w:color="auto"/>
        <w:bottom w:val="none" w:sz="0" w:space="0" w:color="auto"/>
        <w:right w:val="none" w:sz="0" w:space="0" w:color="auto"/>
      </w:divBdr>
    </w:div>
    <w:div w:id="830609315">
      <w:bodyDiv w:val="1"/>
      <w:marLeft w:val="0"/>
      <w:marRight w:val="0"/>
      <w:marTop w:val="0"/>
      <w:marBottom w:val="0"/>
      <w:divBdr>
        <w:top w:val="none" w:sz="0" w:space="0" w:color="auto"/>
        <w:left w:val="none" w:sz="0" w:space="0" w:color="auto"/>
        <w:bottom w:val="none" w:sz="0" w:space="0" w:color="auto"/>
        <w:right w:val="none" w:sz="0" w:space="0" w:color="auto"/>
      </w:divBdr>
      <w:divsChild>
        <w:div w:id="124155050">
          <w:marLeft w:val="0"/>
          <w:marRight w:val="0"/>
          <w:marTop w:val="0"/>
          <w:marBottom w:val="0"/>
          <w:divBdr>
            <w:top w:val="none" w:sz="0" w:space="0" w:color="auto"/>
            <w:left w:val="none" w:sz="0" w:space="0" w:color="auto"/>
            <w:bottom w:val="none" w:sz="0" w:space="0" w:color="auto"/>
            <w:right w:val="none" w:sz="0" w:space="0" w:color="auto"/>
          </w:divBdr>
        </w:div>
        <w:div w:id="679309657">
          <w:marLeft w:val="0"/>
          <w:marRight w:val="0"/>
          <w:marTop w:val="0"/>
          <w:marBottom w:val="0"/>
          <w:divBdr>
            <w:top w:val="none" w:sz="0" w:space="0" w:color="auto"/>
            <w:left w:val="none" w:sz="0" w:space="0" w:color="auto"/>
            <w:bottom w:val="none" w:sz="0" w:space="0" w:color="auto"/>
            <w:right w:val="none" w:sz="0" w:space="0" w:color="auto"/>
          </w:divBdr>
        </w:div>
        <w:div w:id="963273289">
          <w:marLeft w:val="0"/>
          <w:marRight w:val="0"/>
          <w:marTop w:val="0"/>
          <w:marBottom w:val="0"/>
          <w:divBdr>
            <w:top w:val="none" w:sz="0" w:space="0" w:color="auto"/>
            <w:left w:val="none" w:sz="0" w:space="0" w:color="auto"/>
            <w:bottom w:val="none" w:sz="0" w:space="0" w:color="auto"/>
            <w:right w:val="none" w:sz="0" w:space="0" w:color="auto"/>
          </w:divBdr>
        </w:div>
      </w:divsChild>
    </w:div>
    <w:div w:id="853418813">
      <w:bodyDiv w:val="1"/>
      <w:marLeft w:val="0"/>
      <w:marRight w:val="0"/>
      <w:marTop w:val="0"/>
      <w:marBottom w:val="0"/>
      <w:divBdr>
        <w:top w:val="none" w:sz="0" w:space="0" w:color="auto"/>
        <w:left w:val="none" w:sz="0" w:space="0" w:color="auto"/>
        <w:bottom w:val="none" w:sz="0" w:space="0" w:color="auto"/>
        <w:right w:val="none" w:sz="0" w:space="0" w:color="auto"/>
      </w:divBdr>
    </w:div>
    <w:div w:id="857281856">
      <w:bodyDiv w:val="1"/>
      <w:marLeft w:val="0"/>
      <w:marRight w:val="0"/>
      <w:marTop w:val="0"/>
      <w:marBottom w:val="0"/>
      <w:divBdr>
        <w:top w:val="none" w:sz="0" w:space="0" w:color="auto"/>
        <w:left w:val="none" w:sz="0" w:space="0" w:color="auto"/>
        <w:bottom w:val="none" w:sz="0" w:space="0" w:color="auto"/>
        <w:right w:val="none" w:sz="0" w:space="0" w:color="auto"/>
      </w:divBdr>
    </w:div>
    <w:div w:id="859204112">
      <w:bodyDiv w:val="1"/>
      <w:marLeft w:val="0"/>
      <w:marRight w:val="0"/>
      <w:marTop w:val="0"/>
      <w:marBottom w:val="0"/>
      <w:divBdr>
        <w:top w:val="none" w:sz="0" w:space="0" w:color="auto"/>
        <w:left w:val="none" w:sz="0" w:space="0" w:color="auto"/>
        <w:bottom w:val="none" w:sz="0" w:space="0" w:color="auto"/>
        <w:right w:val="none" w:sz="0" w:space="0" w:color="auto"/>
      </w:divBdr>
    </w:div>
    <w:div w:id="863518098">
      <w:bodyDiv w:val="1"/>
      <w:marLeft w:val="0"/>
      <w:marRight w:val="0"/>
      <w:marTop w:val="0"/>
      <w:marBottom w:val="0"/>
      <w:divBdr>
        <w:top w:val="none" w:sz="0" w:space="0" w:color="auto"/>
        <w:left w:val="none" w:sz="0" w:space="0" w:color="auto"/>
        <w:bottom w:val="none" w:sz="0" w:space="0" w:color="auto"/>
        <w:right w:val="none" w:sz="0" w:space="0" w:color="auto"/>
      </w:divBdr>
    </w:div>
    <w:div w:id="863902022">
      <w:bodyDiv w:val="1"/>
      <w:marLeft w:val="0"/>
      <w:marRight w:val="0"/>
      <w:marTop w:val="0"/>
      <w:marBottom w:val="0"/>
      <w:divBdr>
        <w:top w:val="none" w:sz="0" w:space="0" w:color="auto"/>
        <w:left w:val="none" w:sz="0" w:space="0" w:color="auto"/>
        <w:bottom w:val="none" w:sz="0" w:space="0" w:color="auto"/>
        <w:right w:val="none" w:sz="0" w:space="0" w:color="auto"/>
      </w:divBdr>
    </w:div>
    <w:div w:id="866257851">
      <w:bodyDiv w:val="1"/>
      <w:marLeft w:val="0"/>
      <w:marRight w:val="0"/>
      <w:marTop w:val="0"/>
      <w:marBottom w:val="0"/>
      <w:divBdr>
        <w:top w:val="none" w:sz="0" w:space="0" w:color="auto"/>
        <w:left w:val="none" w:sz="0" w:space="0" w:color="auto"/>
        <w:bottom w:val="none" w:sz="0" w:space="0" w:color="auto"/>
        <w:right w:val="none" w:sz="0" w:space="0" w:color="auto"/>
      </w:divBdr>
    </w:div>
    <w:div w:id="867061888">
      <w:bodyDiv w:val="1"/>
      <w:marLeft w:val="0"/>
      <w:marRight w:val="0"/>
      <w:marTop w:val="0"/>
      <w:marBottom w:val="0"/>
      <w:divBdr>
        <w:top w:val="none" w:sz="0" w:space="0" w:color="auto"/>
        <w:left w:val="none" w:sz="0" w:space="0" w:color="auto"/>
        <w:bottom w:val="none" w:sz="0" w:space="0" w:color="auto"/>
        <w:right w:val="none" w:sz="0" w:space="0" w:color="auto"/>
      </w:divBdr>
    </w:div>
    <w:div w:id="867643658">
      <w:bodyDiv w:val="1"/>
      <w:marLeft w:val="0"/>
      <w:marRight w:val="0"/>
      <w:marTop w:val="0"/>
      <w:marBottom w:val="0"/>
      <w:divBdr>
        <w:top w:val="none" w:sz="0" w:space="0" w:color="auto"/>
        <w:left w:val="none" w:sz="0" w:space="0" w:color="auto"/>
        <w:bottom w:val="none" w:sz="0" w:space="0" w:color="auto"/>
        <w:right w:val="none" w:sz="0" w:space="0" w:color="auto"/>
      </w:divBdr>
    </w:div>
    <w:div w:id="885987906">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892811295">
      <w:bodyDiv w:val="1"/>
      <w:marLeft w:val="0"/>
      <w:marRight w:val="0"/>
      <w:marTop w:val="0"/>
      <w:marBottom w:val="0"/>
      <w:divBdr>
        <w:top w:val="none" w:sz="0" w:space="0" w:color="auto"/>
        <w:left w:val="none" w:sz="0" w:space="0" w:color="auto"/>
        <w:bottom w:val="none" w:sz="0" w:space="0" w:color="auto"/>
        <w:right w:val="none" w:sz="0" w:space="0" w:color="auto"/>
      </w:divBdr>
      <w:divsChild>
        <w:div w:id="687294071">
          <w:marLeft w:val="0"/>
          <w:marRight w:val="0"/>
          <w:marTop w:val="0"/>
          <w:marBottom w:val="0"/>
          <w:divBdr>
            <w:top w:val="none" w:sz="0" w:space="0" w:color="auto"/>
            <w:left w:val="none" w:sz="0" w:space="0" w:color="auto"/>
            <w:bottom w:val="none" w:sz="0" w:space="0" w:color="auto"/>
            <w:right w:val="none" w:sz="0" w:space="0" w:color="auto"/>
          </w:divBdr>
        </w:div>
        <w:div w:id="1340622234">
          <w:marLeft w:val="0"/>
          <w:marRight w:val="0"/>
          <w:marTop w:val="0"/>
          <w:marBottom w:val="0"/>
          <w:divBdr>
            <w:top w:val="none" w:sz="0" w:space="0" w:color="auto"/>
            <w:left w:val="none" w:sz="0" w:space="0" w:color="auto"/>
            <w:bottom w:val="none" w:sz="0" w:space="0" w:color="auto"/>
            <w:right w:val="none" w:sz="0" w:space="0" w:color="auto"/>
          </w:divBdr>
        </w:div>
      </w:divsChild>
    </w:div>
    <w:div w:id="917977011">
      <w:bodyDiv w:val="1"/>
      <w:marLeft w:val="0"/>
      <w:marRight w:val="0"/>
      <w:marTop w:val="0"/>
      <w:marBottom w:val="0"/>
      <w:divBdr>
        <w:top w:val="none" w:sz="0" w:space="0" w:color="auto"/>
        <w:left w:val="none" w:sz="0" w:space="0" w:color="auto"/>
        <w:bottom w:val="none" w:sz="0" w:space="0" w:color="auto"/>
        <w:right w:val="none" w:sz="0" w:space="0" w:color="auto"/>
      </w:divBdr>
    </w:div>
    <w:div w:id="926959889">
      <w:bodyDiv w:val="1"/>
      <w:marLeft w:val="0"/>
      <w:marRight w:val="0"/>
      <w:marTop w:val="0"/>
      <w:marBottom w:val="0"/>
      <w:divBdr>
        <w:top w:val="none" w:sz="0" w:space="0" w:color="auto"/>
        <w:left w:val="none" w:sz="0" w:space="0" w:color="auto"/>
        <w:bottom w:val="none" w:sz="0" w:space="0" w:color="auto"/>
        <w:right w:val="none" w:sz="0" w:space="0" w:color="auto"/>
      </w:divBdr>
      <w:divsChild>
        <w:div w:id="335378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6979649">
      <w:bodyDiv w:val="1"/>
      <w:marLeft w:val="0"/>
      <w:marRight w:val="0"/>
      <w:marTop w:val="0"/>
      <w:marBottom w:val="0"/>
      <w:divBdr>
        <w:top w:val="none" w:sz="0" w:space="0" w:color="auto"/>
        <w:left w:val="none" w:sz="0" w:space="0" w:color="auto"/>
        <w:bottom w:val="none" w:sz="0" w:space="0" w:color="auto"/>
        <w:right w:val="none" w:sz="0" w:space="0" w:color="auto"/>
      </w:divBdr>
    </w:div>
    <w:div w:id="940722182">
      <w:bodyDiv w:val="1"/>
      <w:marLeft w:val="0"/>
      <w:marRight w:val="0"/>
      <w:marTop w:val="0"/>
      <w:marBottom w:val="0"/>
      <w:divBdr>
        <w:top w:val="none" w:sz="0" w:space="0" w:color="auto"/>
        <w:left w:val="none" w:sz="0" w:space="0" w:color="auto"/>
        <w:bottom w:val="none" w:sz="0" w:space="0" w:color="auto"/>
        <w:right w:val="none" w:sz="0" w:space="0" w:color="auto"/>
      </w:divBdr>
    </w:div>
    <w:div w:id="948197471">
      <w:bodyDiv w:val="1"/>
      <w:marLeft w:val="0"/>
      <w:marRight w:val="0"/>
      <w:marTop w:val="0"/>
      <w:marBottom w:val="0"/>
      <w:divBdr>
        <w:top w:val="none" w:sz="0" w:space="0" w:color="auto"/>
        <w:left w:val="none" w:sz="0" w:space="0" w:color="auto"/>
        <w:bottom w:val="none" w:sz="0" w:space="0" w:color="auto"/>
        <w:right w:val="none" w:sz="0" w:space="0" w:color="auto"/>
      </w:divBdr>
      <w:divsChild>
        <w:div w:id="808478533">
          <w:marLeft w:val="0"/>
          <w:marRight w:val="0"/>
          <w:marTop w:val="0"/>
          <w:marBottom w:val="0"/>
          <w:divBdr>
            <w:top w:val="none" w:sz="0" w:space="0" w:color="auto"/>
            <w:left w:val="none" w:sz="0" w:space="0" w:color="auto"/>
            <w:bottom w:val="none" w:sz="0" w:space="0" w:color="auto"/>
            <w:right w:val="none" w:sz="0" w:space="0" w:color="auto"/>
          </w:divBdr>
        </w:div>
        <w:div w:id="853883726">
          <w:marLeft w:val="0"/>
          <w:marRight w:val="0"/>
          <w:marTop w:val="0"/>
          <w:marBottom w:val="0"/>
          <w:divBdr>
            <w:top w:val="none" w:sz="0" w:space="0" w:color="auto"/>
            <w:left w:val="none" w:sz="0" w:space="0" w:color="auto"/>
            <w:bottom w:val="none" w:sz="0" w:space="0" w:color="auto"/>
            <w:right w:val="none" w:sz="0" w:space="0" w:color="auto"/>
          </w:divBdr>
        </w:div>
        <w:div w:id="946931557">
          <w:marLeft w:val="0"/>
          <w:marRight w:val="0"/>
          <w:marTop w:val="0"/>
          <w:marBottom w:val="0"/>
          <w:divBdr>
            <w:top w:val="none" w:sz="0" w:space="0" w:color="auto"/>
            <w:left w:val="none" w:sz="0" w:space="0" w:color="auto"/>
            <w:bottom w:val="none" w:sz="0" w:space="0" w:color="auto"/>
            <w:right w:val="none" w:sz="0" w:space="0" w:color="auto"/>
          </w:divBdr>
        </w:div>
        <w:div w:id="1155485902">
          <w:marLeft w:val="0"/>
          <w:marRight w:val="0"/>
          <w:marTop w:val="0"/>
          <w:marBottom w:val="0"/>
          <w:divBdr>
            <w:top w:val="none" w:sz="0" w:space="0" w:color="auto"/>
            <w:left w:val="none" w:sz="0" w:space="0" w:color="auto"/>
            <w:bottom w:val="none" w:sz="0" w:space="0" w:color="auto"/>
            <w:right w:val="none" w:sz="0" w:space="0" w:color="auto"/>
          </w:divBdr>
        </w:div>
      </w:divsChild>
    </w:div>
    <w:div w:id="950822476">
      <w:bodyDiv w:val="1"/>
      <w:marLeft w:val="0"/>
      <w:marRight w:val="0"/>
      <w:marTop w:val="0"/>
      <w:marBottom w:val="0"/>
      <w:divBdr>
        <w:top w:val="none" w:sz="0" w:space="0" w:color="auto"/>
        <w:left w:val="none" w:sz="0" w:space="0" w:color="auto"/>
        <w:bottom w:val="none" w:sz="0" w:space="0" w:color="auto"/>
        <w:right w:val="none" w:sz="0" w:space="0" w:color="auto"/>
      </w:divBdr>
    </w:div>
    <w:div w:id="962271900">
      <w:bodyDiv w:val="1"/>
      <w:marLeft w:val="0"/>
      <w:marRight w:val="0"/>
      <w:marTop w:val="0"/>
      <w:marBottom w:val="0"/>
      <w:divBdr>
        <w:top w:val="none" w:sz="0" w:space="0" w:color="auto"/>
        <w:left w:val="none" w:sz="0" w:space="0" w:color="auto"/>
        <w:bottom w:val="none" w:sz="0" w:space="0" w:color="auto"/>
        <w:right w:val="none" w:sz="0" w:space="0" w:color="auto"/>
      </w:divBdr>
    </w:div>
    <w:div w:id="970020006">
      <w:bodyDiv w:val="1"/>
      <w:marLeft w:val="0"/>
      <w:marRight w:val="0"/>
      <w:marTop w:val="0"/>
      <w:marBottom w:val="0"/>
      <w:divBdr>
        <w:top w:val="none" w:sz="0" w:space="0" w:color="auto"/>
        <w:left w:val="none" w:sz="0" w:space="0" w:color="auto"/>
        <w:bottom w:val="none" w:sz="0" w:space="0" w:color="auto"/>
        <w:right w:val="none" w:sz="0" w:space="0" w:color="auto"/>
      </w:divBdr>
    </w:div>
    <w:div w:id="971207887">
      <w:bodyDiv w:val="1"/>
      <w:marLeft w:val="0"/>
      <w:marRight w:val="0"/>
      <w:marTop w:val="0"/>
      <w:marBottom w:val="0"/>
      <w:divBdr>
        <w:top w:val="none" w:sz="0" w:space="0" w:color="auto"/>
        <w:left w:val="none" w:sz="0" w:space="0" w:color="auto"/>
        <w:bottom w:val="none" w:sz="0" w:space="0" w:color="auto"/>
        <w:right w:val="none" w:sz="0" w:space="0" w:color="auto"/>
      </w:divBdr>
    </w:div>
    <w:div w:id="974914245">
      <w:bodyDiv w:val="1"/>
      <w:marLeft w:val="0"/>
      <w:marRight w:val="0"/>
      <w:marTop w:val="0"/>
      <w:marBottom w:val="0"/>
      <w:divBdr>
        <w:top w:val="none" w:sz="0" w:space="0" w:color="auto"/>
        <w:left w:val="none" w:sz="0" w:space="0" w:color="auto"/>
        <w:bottom w:val="none" w:sz="0" w:space="0" w:color="auto"/>
        <w:right w:val="none" w:sz="0" w:space="0" w:color="auto"/>
      </w:divBdr>
      <w:divsChild>
        <w:div w:id="1179126277">
          <w:marLeft w:val="0"/>
          <w:marRight w:val="0"/>
          <w:marTop w:val="0"/>
          <w:marBottom w:val="0"/>
          <w:divBdr>
            <w:top w:val="none" w:sz="0" w:space="0" w:color="auto"/>
            <w:left w:val="none" w:sz="0" w:space="0" w:color="auto"/>
            <w:bottom w:val="none" w:sz="0" w:space="0" w:color="auto"/>
            <w:right w:val="none" w:sz="0" w:space="0" w:color="auto"/>
          </w:divBdr>
        </w:div>
        <w:div w:id="1378241302">
          <w:marLeft w:val="0"/>
          <w:marRight w:val="0"/>
          <w:marTop w:val="0"/>
          <w:marBottom w:val="0"/>
          <w:divBdr>
            <w:top w:val="none" w:sz="0" w:space="0" w:color="auto"/>
            <w:left w:val="none" w:sz="0" w:space="0" w:color="auto"/>
            <w:bottom w:val="none" w:sz="0" w:space="0" w:color="auto"/>
            <w:right w:val="none" w:sz="0" w:space="0" w:color="auto"/>
          </w:divBdr>
        </w:div>
        <w:div w:id="1981378653">
          <w:marLeft w:val="0"/>
          <w:marRight w:val="0"/>
          <w:marTop w:val="0"/>
          <w:marBottom w:val="0"/>
          <w:divBdr>
            <w:top w:val="none" w:sz="0" w:space="0" w:color="auto"/>
            <w:left w:val="none" w:sz="0" w:space="0" w:color="auto"/>
            <w:bottom w:val="none" w:sz="0" w:space="0" w:color="auto"/>
            <w:right w:val="none" w:sz="0" w:space="0" w:color="auto"/>
          </w:divBdr>
        </w:div>
      </w:divsChild>
    </w:div>
    <w:div w:id="978800614">
      <w:bodyDiv w:val="1"/>
      <w:marLeft w:val="0"/>
      <w:marRight w:val="0"/>
      <w:marTop w:val="0"/>
      <w:marBottom w:val="0"/>
      <w:divBdr>
        <w:top w:val="none" w:sz="0" w:space="0" w:color="auto"/>
        <w:left w:val="none" w:sz="0" w:space="0" w:color="auto"/>
        <w:bottom w:val="none" w:sz="0" w:space="0" w:color="auto"/>
        <w:right w:val="none" w:sz="0" w:space="0" w:color="auto"/>
      </w:divBdr>
    </w:div>
    <w:div w:id="980815799">
      <w:bodyDiv w:val="1"/>
      <w:marLeft w:val="0"/>
      <w:marRight w:val="0"/>
      <w:marTop w:val="0"/>
      <w:marBottom w:val="0"/>
      <w:divBdr>
        <w:top w:val="none" w:sz="0" w:space="0" w:color="auto"/>
        <w:left w:val="none" w:sz="0" w:space="0" w:color="auto"/>
        <w:bottom w:val="none" w:sz="0" w:space="0" w:color="auto"/>
        <w:right w:val="none" w:sz="0" w:space="0" w:color="auto"/>
      </w:divBdr>
    </w:div>
    <w:div w:id="987127457">
      <w:bodyDiv w:val="1"/>
      <w:marLeft w:val="0"/>
      <w:marRight w:val="0"/>
      <w:marTop w:val="0"/>
      <w:marBottom w:val="0"/>
      <w:divBdr>
        <w:top w:val="none" w:sz="0" w:space="0" w:color="auto"/>
        <w:left w:val="none" w:sz="0" w:space="0" w:color="auto"/>
        <w:bottom w:val="none" w:sz="0" w:space="0" w:color="auto"/>
        <w:right w:val="none" w:sz="0" w:space="0" w:color="auto"/>
      </w:divBdr>
    </w:div>
    <w:div w:id="988943447">
      <w:bodyDiv w:val="1"/>
      <w:marLeft w:val="0"/>
      <w:marRight w:val="0"/>
      <w:marTop w:val="0"/>
      <w:marBottom w:val="0"/>
      <w:divBdr>
        <w:top w:val="none" w:sz="0" w:space="0" w:color="auto"/>
        <w:left w:val="none" w:sz="0" w:space="0" w:color="auto"/>
        <w:bottom w:val="none" w:sz="0" w:space="0" w:color="auto"/>
        <w:right w:val="none" w:sz="0" w:space="0" w:color="auto"/>
      </w:divBdr>
    </w:div>
    <w:div w:id="1003826457">
      <w:bodyDiv w:val="1"/>
      <w:marLeft w:val="0"/>
      <w:marRight w:val="0"/>
      <w:marTop w:val="0"/>
      <w:marBottom w:val="0"/>
      <w:divBdr>
        <w:top w:val="none" w:sz="0" w:space="0" w:color="auto"/>
        <w:left w:val="none" w:sz="0" w:space="0" w:color="auto"/>
        <w:bottom w:val="none" w:sz="0" w:space="0" w:color="auto"/>
        <w:right w:val="none" w:sz="0" w:space="0" w:color="auto"/>
      </w:divBdr>
    </w:div>
    <w:div w:id="1012220650">
      <w:bodyDiv w:val="1"/>
      <w:marLeft w:val="0"/>
      <w:marRight w:val="0"/>
      <w:marTop w:val="0"/>
      <w:marBottom w:val="0"/>
      <w:divBdr>
        <w:top w:val="none" w:sz="0" w:space="0" w:color="auto"/>
        <w:left w:val="none" w:sz="0" w:space="0" w:color="auto"/>
        <w:bottom w:val="none" w:sz="0" w:space="0" w:color="auto"/>
        <w:right w:val="none" w:sz="0" w:space="0" w:color="auto"/>
      </w:divBdr>
    </w:div>
    <w:div w:id="1013410017">
      <w:bodyDiv w:val="1"/>
      <w:marLeft w:val="0"/>
      <w:marRight w:val="0"/>
      <w:marTop w:val="0"/>
      <w:marBottom w:val="0"/>
      <w:divBdr>
        <w:top w:val="none" w:sz="0" w:space="0" w:color="auto"/>
        <w:left w:val="none" w:sz="0" w:space="0" w:color="auto"/>
        <w:bottom w:val="none" w:sz="0" w:space="0" w:color="auto"/>
        <w:right w:val="none" w:sz="0" w:space="0" w:color="auto"/>
      </w:divBdr>
    </w:div>
    <w:div w:id="1014721694">
      <w:bodyDiv w:val="1"/>
      <w:marLeft w:val="0"/>
      <w:marRight w:val="0"/>
      <w:marTop w:val="0"/>
      <w:marBottom w:val="0"/>
      <w:divBdr>
        <w:top w:val="none" w:sz="0" w:space="0" w:color="auto"/>
        <w:left w:val="none" w:sz="0" w:space="0" w:color="auto"/>
        <w:bottom w:val="none" w:sz="0" w:space="0" w:color="auto"/>
        <w:right w:val="none" w:sz="0" w:space="0" w:color="auto"/>
      </w:divBdr>
    </w:div>
    <w:div w:id="1018506554">
      <w:bodyDiv w:val="1"/>
      <w:marLeft w:val="0"/>
      <w:marRight w:val="0"/>
      <w:marTop w:val="0"/>
      <w:marBottom w:val="0"/>
      <w:divBdr>
        <w:top w:val="none" w:sz="0" w:space="0" w:color="auto"/>
        <w:left w:val="none" w:sz="0" w:space="0" w:color="auto"/>
        <w:bottom w:val="none" w:sz="0" w:space="0" w:color="auto"/>
        <w:right w:val="none" w:sz="0" w:space="0" w:color="auto"/>
      </w:divBdr>
    </w:div>
    <w:div w:id="1022510184">
      <w:bodyDiv w:val="1"/>
      <w:marLeft w:val="0"/>
      <w:marRight w:val="0"/>
      <w:marTop w:val="0"/>
      <w:marBottom w:val="0"/>
      <w:divBdr>
        <w:top w:val="none" w:sz="0" w:space="0" w:color="auto"/>
        <w:left w:val="none" w:sz="0" w:space="0" w:color="auto"/>
        <w:bottom w:val="none" w:sz="0" w:space="0" w:color="auto"/>
        <w:right w:val="none" w:sz="0" w:space="0" w:color="auto"/>
      </w:divBdr>
    </w:div>
    <w:div w:id="1029405134">
      <w:bodyDiv w:val="1"/>
      <w:marLeft w:val="0"/>
      <w:marRight w:val="0"/>
      <w:marTop w:val="0"/>
      <w:marBottom w:val="0"/>
      <w:divBdr>
        <w:top w:val="none" w:sz="0" w:space="0" w:color="auto"/>
        <w:left w:val="none" w:sz="0" w:space="0" w:color="auto"/>
        <w:bottom w:val="none" w:sz="0" w:space="0" w:color="auto"/>
        <w:right w:val="none" w:sz="0" w:space="0" w:color="auto"/>
      </w:divBdr>
    </w:div>
    <w:div w:id="1032615525">
      <w:bodyDiv w:val="1"/>
      <w:marLeft w:val="0"/>
      <w:marRight w:val="0"/>
      <w:marTop w:val="0"/>
      <w:marBottom w:val="0"/>
      <w:divBdr>
        <w:top w:val="none" w:sz="0" w:space="0" w:color="auto"/>
        <w:left w:val="none" w:sz="0" w:space="0" w:color="auto"/>
        <w:bottom w:val="none" w:sz="0" w:space="0" w:color="auto"/>
        <w:right w:val="none" w:sz="0" w:space="0" w:color="auto"/>
      </w:divBdr>
    </w:div>
    <w:div w:id="1034883850">
      <w:bodyDiv w:val="1"/>
      <w:marLeft w:val="0"/>
      <w:marRight w:val="0"/>
      <w:marTop w:val="0"/>
      <w:marBottom w:val="0"/>
      <w:divBdr>
        <w:top w:val="none" w:sz="0" w:space="0" w:color="auto"/>
        <w:left w:val="none" w:sz="0" w:space="0" w:color="auto"/>
        <w:bottom w:val="none" w:sz="0" w:space="0" w:color="auto"/>
        <w:right w:val="none" w:sz="0" w:space="0" w:color="auto"/>
      </w:divBdr>
    </w:div>
    <w:div w:id="1036731852">
      <w:bodyDiv w:val="1"/>
      <w:marLeft w:val="0"/>
      <w:marRight w:val="0"/>
      <w:marTop w:val="0"/>
      <w:marBottom w:val="0"/>
      <w:divBdr>
        <w:top w:val="none" w:sz="0" w:space="0" w:color="auto"/>
        <w:left w:val="none" w:sz="0" w:space="0" w:color="auto"/>
        <w:bottom w:val="none" w:sz="0" w:space="0" w:color="auto"/>
        <w:right w:val="none" w:sz="0" w:space="0" w:color="auto"/>
      </w:divBdr>
    </w:div>
    <w:div w:id="1037003263">
      <w:bodyDiv w:val="1"/>
      <w:marLeft w:val="0"/>
      <w:marRight w:val="0"/>
      <w:marTop w:val="0"/>
      <w:marBottom w:val="0"/>
      <w:divBdr>
        <w:top w:val="none" w:sz="0" w:space="0" w:color="auto"/>
        <w:left w:val="none" w:sz="0" w:space="0" w:color="auto"/>
        <w:bottom w:val="none" w:sz="0" w:space="0" w:color="auto"/>
        <w:right w:val="none" w:sz="0" w:space="0" w:color="auto"/>
      </w:divBdr>
    </w:div>
    <w:div w:id="1039865263">
      <w:bodyDiv w:val="1"/>
      <w:marLeft w:val="0"/>
      <w:marRight w:val="0"/>
      <w:marTop w:val="0"/>
      <w:marBottom w:val="0"/>
      <w:divBdr>
        <w:top w:val="none" w:sz="0" w:space="0" w:color="auto"/>
        <w:left w:val="none" w:sz="0" w:space="0" w:color="auto"/>
        <w:bottom w:val="none" w:sz="0" w:space="0" w:color="auto"/>
        <w:right w:val="none" w:sz="0" w:space="0" w:color="auto"/>
      </w:divBdr>
    </w:div>
    <w:div w:id="1048653421">
      <w:bodyDiv w:val="1"/>
      <w:marLeft w:val="0"/>
      <w:marRight w:val="0"/>
      <w:marTop w:val="0"/>
      <w:marBottom w:val="0"/>
      <w:divBdr>
        <w:top w:val="none" w:sz="0" w:space="0" w:color="auto"/>
        <w:left w:val="none" w:sz="0" w:space="0" w:color="auto"/>
        <w:bottom w:val="none" w:sz="0" w:space="0" w:color="auto"/>
        <w:right w:val="none" w:sz="0" w:space="0" w:color="auto"/>
      </w:divBdr>
    </w:div>
    <w:div w:id="1053044091">
      <w:bodyDiv w:val="1"/>
      <w:marLeft w:val="0"/>
      <w:marRight w:val="0"/>
      <w:marTop w:val="0"/>
      <w:marBottom w:val="0"/>
      <w:divBdr>
        <w:top w:val="none" w:sz="0" w:space="0" w:color="auto"/>
        <w:left w:val="none" w:sz="0" w:space="0" w:color="auto"/>
        <w:bottom w:val="none" w:sz="0" w:space="0" w:color="auto"/>
        <w:right w:val="none" w:sz="0" w:space="0" w:color="auto"/>
      </w:divBdr>
      <w:divsChild>
        <w:div w:id="2074346624">
          <w:marLeft w:val="0"/>
          <w:marRight w:val="0"/>
          <w:marTop w:val="0"/>
          <w:marBottom w:val="0"/>
          <w:divBdr>
            <w:top w:val="none" w:sz="0" w:space="0" w:color="auto"/>
            <w:left w:val="none" w:sz="0" w:space="0" w:color="auto"/>
            <w:bottom w:val="none" w:sz="0" w:space="0" w:color="auto"/>
            <w:right w:val="none" w:sz="0" w:space="0" w:color="auto"/>
          </w:divBdr>
          <w:divsChild>
            <w:div w:id="5166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742427">
      <w:bodyDiv w:val="1"/>
      <w:marLeft w:val="0"/>
      <w:marRight w:val="0"/>
      <w:marTop w:val="0"/>
      <w:marBottom w:val="0"/>
      <w:divBdr>
        <w:top w:val="none" w:sz="0" w:space="0" w:color="auto"/>
        <w:left w:val="none" w:sz="0" w:space="0" w:color="auto"/>
        <w:bottom w:val="none" w:sz="0" w:space="0" w:color="auto"/>
        <w:right w:val="none" w:sz="0" w:space="0" w:color="auto"/>
      </w:divBdr>
    </w:div>
    <w:div w:id="1068310004">
      <w:bodyDiv w:val="1"/>
      <w:marLeft w:val="0"/>
      <w:marRight w:val="0"/>
      <w:marTop w:val="0"/>
      <w:marBottom w:val="0"/>
      <w:divBdr>
        <w:top w:val="none" w:sz="0" w:space="0" w:color="auto"/>
        <w:left w:val="none" w:sz="0" w:space="0" w:color="auto"/>
        <w:bottom w:val="none" w:sz="0" w:space="0" w:color="auto"/>
        <w:right w:val="none" w:sz="0" w:space="0" w:color="auto"/>
      </w:divBdr>
    </w:div>
    <w:div w:id="1070343830">
      <w:bodyDiv w:val="1"/>
      <w:marLeft w:val="0"/>
      <w:marRight w:val="0"/>
      <w:marTop w:val="0"/>
      <w:marBottom w:val="0"/>
      <w:divBdr>
        <w:top w:val="none" w:sz="0" w:space="0" w:color="auto"/>
        <w:left w:val="none" w:sz="0" w:space="0" w:color="auto"/>
        <w:bottom w:val="none" w:sz="0" w:space="0" w:color="auto"/>
        <w:right w:val="none" w:sz="0" w:space="0" w:color="auto"/>
      </w:divBdr>
      <w:divsChild>
        <w:div w:id="1357273017">
          <w:marLeft w:val="0"/>
          <w:marRight w:val="0"/>
          <w:marTop w:val="0"/>
          <w:marBottom w:val="0"/>
          <w:divBdr>
            <w:top w:val="none" w:sz="0" w:space="0" w:color="auto"/>
            <w:left w:val="none" w:sz="0" w:space="0" w:color="auto"/>
            <w:bottom w:val="none" w:sz="0" w:space="0" w:color="auto"/>
            <w:right w:val="none" w:sz="0" w:space="0" w:color="auto"/>
          </w:divBdr>
        </w:div>
        <w:div w:id="1643080373">
          <w:marLeft w:val="0"/>
          <w:marRight w:val="0"/>
          <w:marTop w:val="0"/>
          <w:marBottom w:val="0"/>
          <w:divBdr>
            <w:top w:val="none" w:sz="0" w:space="0" w:color="auto"/>
            <w:left w:val="none" w:sz="0" w:space="0" w:color="auto"/>
            <w:bottom w:val="none" w:sz="0" w:space="0" w:color="auto"/>
            <w:right w:val="none" w:sz="0" w:space="0" w:color="auto"/>
          </w:divBdr>
        </w:div>
        <w:div w:id="1675499163">
          <w:marLeft w:val="0"/>
          <w:marRight w:val="0"/>
          <w:marTop w:val="0"/>
          <w:marBottom w:val="0"/>
          <w:divBdr>
            <w:top w:val="none" w:sz="0" w:space="0" w:color="auto"/>
            <w:left w:val="none" w:sz="0" w:space="0" w:color="auto"/>
            <w:bottom w:val="none" w:sz="0" w:space="0" w:color="auto"/>
            <w:right w:val="none" w:sz="0" w:space="0" w:color="auto"/>
          </w:divBdr>
        </w:div>
      </w:divsChild>
    </w:div>
    <w:div w:id="1074401686">
      <w:bodyDiv w:val="1"/>
      <w:marLeft w:val="0"/>
      <w:marRight w:val="0"/>
      <w:marTop w:val="0"/>
      <w:marBottom w:val="0"/>
      <w:divBdr>
        <w:top w:val="none" w:sz="0" w:space="0" w:color="auto"/>
        <w:left w:val="none" w:sz="0" w:space="0" w:color="auto"/>
        <w:bottom w:val="none" w:sz="0" w:space="0" w:color="auto"/>
        <w:right w:val="none" w:sz="0" w:space="0" w:color="auto"/>
      </w:divBdr>
    </w:div>
    <w:div w:id="1074476314">
      <w:bodyDiv w:val="1"/>
      <w:marLeft w:val="0"/>
      <w:marRight w:val="0"/>
      <w:marTop w:val="0"/>
      <w:marBottom w:val="0"/>
      <w:divBdr>
        <w:top w:val="none" w:sz="0" w:space="0" w:color="auto"/>
        <w:left w:val="none" w:sz="0" w:space="0" w:color="auto"/>
        <w:bottom w:val="none" w:sz="0" w:space="0" w:color="auto"/>
        <w:right w:val="none" w:sz="0" w:space="0" w:color="auto"/>
      </w:divBdr>
    </w:div>
    <w:div w:id="1079910267">
      <w:bodyDiv w:val="1"/>
      <w:marLeft w:val="0"/>
      <w:marRight w:val="0"/>
      <w:marTop w:val="0"/>
      <w:marBottom w:val="0"/>
      <w:divBdr>
        <w:top w:val="none" w:sz="0" w:space="0" w:color="auto"/>
        <w:left w:val="none" w:sz="0" w:space="0" w:color="auto"/>
        <w:bottom w:val="none" w:sz="0" w:space="0" w:color="auto"/>
        <w:right w:val="none" w:sz="0" w:space="0" w:color="auto"/>
      </w:divBdr>
    </w:div>
    <w:div w:id="1083183248">
      <w:bodyDiv w:val="1"/>
      <w:marLeft w:val="0"/>
      <w:marRight w:val="0"/>
      <w:marTop w:val="0"/>
      <w:marBottom w:val="0"/>
      <w:divBdr>
        <w:top w:val="none" w:sz="0" w:space="0" w:color="auto"/>
        <w:left w:val="none" w:sz="0" w:space="0" w:color="auto"/>
        <w:bottom w:val="none" w:sz="0" w:space="0" w:color="auto"/>
        <w:right w:val="none" w:sz="0" w:space="0" w:color="auto"/>
      </w:divBdr>
    </w:div>
    <w:div w:id="1115103592">
      <w:bodyDiv w:val="1"/>
      <w:marLeft w:val="0"/>
      <w:marRight w:val="0"/>
      <w:marTop w:val="0"/>
      <w:marBottom w:val="0"/>
      <w:divBdr>
        <w:top w:val="none" w:sz="0" w:space="0" w:color="auto"/>
        <w:left w:val="none" w:sz="0" w:space="0" w:color="auto"/>
        <w:bottom w:val="none" w:sz="0" w:space="0" w:color="auto"/>
        <w:right w:val="none" w:sz="0" w:space="0" w:color="auto"/>
      </w:divBdr>
    </w:div>
    <w:div w:id="1127243012">
      <w:bodyDiv w:val="1"/>
      <w:marLeft w:val="0"/>
      <w:marRight w:val="0"/>
      <w:marTop w:val="0"/>
      <w:marBottom w:val="0"/>
      <w:divBdr>
        <w:top w:val="none" w:sz="0" w:space="0" w:color="auto"/>
        <w:left w:val="none" w:sz="0" w:space="0" w:color="auto"/>
        <w:bottom w:val="none" w:sz="0" w:space="0" w:color="auto"/>
        <w:right w:val="none" w:sz="0" w:space="0" w:color="auto"/>
      </w:divBdr>
    </w:div>
    <w:div w:id="1131555041">
      <w:bodyDiv w:val="1"/>
      <w:marLeft w:val="0"/>
      <w:marRight w:val="0"/>
      <w:marTop w:val="0"/>
      <w:marBottom w:val="0"/>
      <w:divBdr>
        <w:top w:val="none" w:sz="0" w:space="0" w:color="auto"/>
        <w:left w:val="none" w:sz="0" w:space="0" w:color="auto"/>
        <w:bottom w:val="none" w:sz="0" w:space="0" w:color="auto"/>
        <w:right w:val="none" w:sz="0" w:space="0" w:color="auto"/>
      </w:divBdr>
    </w:div>
    <w:div w:id="1135953180">
      <w:bodyDiv w:val="1"/>
      <w:marLeft w:val="0"/>
      <w:marRight w:val="0"/>
      <w:marTop w:val="0"/>
      <w:marBottom w:val="0"/>
      <w:divBdr>
        <w:top w:val="none" w:sz="0" w:space="0" w:color="auto"/>
        <w:left w:val="none" w:sz="0" w:space="0" w:color="auto"/>
        <w:bottom w:val="none" w:sz="0" w:space="0" w:color="auto"/>
        <w:right w:val="none" w:sz="0" w:space="0" w:color="auto"/>
      </w:divBdr>
      <w:divsChild>
        <w:div w:id="1276595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2328348">
      <w:bodyDiv w:val="1"/>
      <w:marLeft w:val="0"/>
      <w:marRight w:val="0"/>
      <w:marTop w:val="0"/>
      <w:marBottom w:val="0"/>
      <w:divBdr>
        <w:top w:val="none" w:sz="0" w:space="0" w:color="auto"/>
        <w:left w:val="none" w:sz="0" w:space="0" w:color="auto"/>
        <w:bottom w:val="none" w:sz="0" w:space="0" w:color="auto"/>
        <w:right w:val="none" w:sz="0" w:space="0" w:color="auto"/>
      </w:divBdr>
    </w:div>
    <w:div w:id="1153641323">
      <w:bodyDiv w:val="1"/>
      <w:marLeft w:val="0"/>
      <w:marRight w:val="0"/>
      <w:marTop w:val="0"/>
      <w:marBottom w:val="0"/>
      <w:divBdr>
        <w:top w:val="none" w:sz="0" w:space="0" w:color="auto"/>
        <w:left w:val="none" w:sz="0" w:space="0" w:color="auto"/>
        <w:bottom w:val="none" w:sz="0" w:space="0" w:color="auto"/>
        <w:right w:val="none" w:sz="0" w:space="0" w:color="auto"/>
      </w:divBdr>
    </w:div>
    <w:div w:id="1160922606">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82739351">
      <w:bodyDiv w:val="1"/>
      <w:marLeft w:val="0"/>
      <w:marRight w:val="0"/>
      <w:marTop w:val="0"/>
      <w:marBottom w:val="0"/>
      <w:divBdr>
        <w:top w:val="none" w:sz="0" w:space="0" w:color="auto"/>
        <w:left w:val="none" w:sz="0" w:space="0" w:color="auto"/>
        <w:bottom w:val="none" w:sz="0" w:space="0" w:color="auto"/>
        <w:right w:val="none" w:sz="0" w:space="0" w:color="auto"/>
      </w:divBdr>
    </w:div>
    <w:div w:id="1188368233">
      <w:bodyDiv w:val="1"/>
      <w:marLeft w:val="0"/>
      <w:marRight w:val="0"/>
      <w:marTop w:val="0"/>
      <w:marBottom w:val="0"/>
      <w:divBdr>
        <w:top w:val="none" w:sz="0" w:space="0" w:color="auto"/>
        <w:left w:val="none" w:sz="0" w:space="0" w:color="auto"/>
        <w:bottom w:val="none" w:sz="0" w:space="0" w:color="auto"/>
        <w:right w:val="none" w:sz="0" w:space="0" w:color="auto"/>
      </w:divBdr>
    </w:div>
    <w:div w:id="1192721130">
      <w:bodyDiv w:val="1"/>
      <w:marLeft w:val="0"/>
      <w:marRight w:val="0"/>
      <w:marTop w:val="0"/>
      <w:marBottom w:val="0"/>
      <w:divBdr>
        <w:top w:val="none" w:sz="0" w:space="0" w:color="auto"/>
        <w:left w:val="none" w:sz="0" w:space="0" w:color="auto"/>
        <w:bottom w:val="none" w:sz="0" w:space="0" w:color="auto"/>
        <w:right w:val="none" w:sz="0" w:space="0" w:color="auto"/>
      </w:divBdr>
    </w:div>
    <w:div w:id="1219126849">
      <w:bodyDiv w:val="1"/>
      <w:marLeft w:val="0"/>
      <w:marRight w:val="0"/>
      <w:marTop w:val="0"/>
      <w:marBottom w:val="0"/>
      <w:divBdr>
        <w:top w:val="none" w:sz="0" w:space="0" w:color="auto"/>
        <w:left w:val="none" w:sz="0" w:space="0" w:color="auto"/>
        <w:bottom w:val="none" w:sz="0" w:space="0" w:color="auto"/>
        <w:right w:val="none" w:sz="0" w:space="0" w:color="auto"/>
      </w:divBdr>
    </w:div>
    <w:div w:id="1219240755">
      <w:bodyDiv w:val="1"/>
      <w:marLeft w:val="0"/>
      <w:marRight w:val="0"/>
      <w:marTop w:val="0"/>
      <w:marBottom w:val="0"/>
      <w:divBdr>
        <w:top w:val="none" w:sz="0" w:space="0" w:color="auto"/>
        <w:left w:val="none" w:sz="0" w:space="0" w:color="auto"/>
        <w:bottom w:val="none" w:sz="0" w:space="0" w:color="auto"/>
        <w:right w:val="none" w:sz="0" w:space="0" w:color="auto"/>
      </w:divBdr>
    </w:div>
    <w:div w:id="1229267060">
      <w:bodyDiv w:val="1"/>
      <w:marLeft w:val="0"/>
      <w:marRight w:val="0"/>
      <w:marTop w:val="0"/>
      <w:marBottom w:val="0"/>
      <w:divBdr>
        <w:top w:val="none" w:sz="0" w:space="0" w:color="auto"/>
        <w:left w:val="none" w:sz="0" w:space="0" w:color="auto"/>
        <w:bottom w:val="none" w:sz="0" w:space="0" w:color="auto"/>
        <w:right w:val="none" w:sz="0" w:space="0" w:color="auto"/>
      </w:divBdr>
    </w:div>
    <w:div w:id="1241058188">
      <w:bodyDiv w:val="1"/>
      <w:marLeft w:val="0"/>
      <w:marRight w:val="0"/>
      <w:marTop w:val="0"/>
      <w:marBottom w:val="0"/>
      <w:divBdr>
        <w:top w:val="none" w:sz="0" w:space="0" w:color="auto"/>
        <w:left w:val="none" w:sz="0" w:space="0" w:color="auto"/>
        <w:bottom w:val="none" w:sz="0" w:space="0" w:color="auto"/>
        <w:right w:val="none" w:sz="0" w:space="0" w:color="auto"/>
      </w:divBdr>
    </w:div>
    <w:div w:id="1241452602">
      <w:bodyDiv w:val="1"/>
      <w:marLeft w:val="0"/>
      <w:marRight w:val="0"/>
      <w:marTop w:val="0"/>
      <w:marBottom w:val="0"/>
      <w:divBdr>
        <w:top w:val="none" w:sz="0" w:space="0" w:color="auto"/>
        <w:left w:val="none" w:sz="0" w:space="0" w:color="auto"/>
        <w:bottom w:val="none" w:sz="0" w:space="0" w:color="auto"/>
        <w:right w:val="none" w:sz="0" w:space="0" w:color="auto"/>
      </w:divBdr>
    </w:div>
    <w:div w:id="1253389799">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29684">
      <w:bodyDiv w:val="1"/>
      <w:marLeft w:val="0"/>
      <w:marRight w:val="0"/>
      <w:marTop w:val="0"/>
      <w:marBottom w:val="0"/>
      <w:divBdr>
        <w:top w:val="none" w:sz="0" w:space="0" w:color="auto"/>
        <w:left w:val="none" w:sz="0" w:space="0" w:color="auto"/>
        <w:bottom w:val="none" w:sz="0" w:space="0" w:color="auto"/>
        <w:right w:val="none" w:sz="0" w:space="0" w:color="auto"/>
      </w:divBdr>
    </w:div>
    <w:div w:id="1274559151">
      <w:bodyDiv w:val="1"/>
      <w:marLeft w:val="0"/>
      <w:marRight w:val="0"/>
      <w:marTop w:val="0"/>
      <w:marBottom w:val="0"/>
      <w:divBdr>
        <w:top w:val="none" w:sz="0" w:space="0" w:color="auto"/>
        <w:left w:val="none" w:sz="0" w:space="0" w:color="auto"/>
        <w:bottom w:val="none" w:sz="0" w:space="0" w:color="auto"/>
        <w:right w:val="none" w:sz="0" w:space="0" w:color="auto"/>
      </w:divBdr>
    </w:div>
    <w:div w:id="1282883251">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944339">
      <w:bodyDiv w:val="1"/>
      <w:marLeft w:val="0"/>
      <w:marRight w:val="0"/>
      <w:marTop w:val="0"/>
      <w:marBottom w:val="0"/>
      <w:divBdr>
        <w:top w:val="none" w:sz="0" w:space="0" w:color="auto"/>
        <w:left w:val="none" w:sz="0" w:space="0" w:color="auto"/>
        <w:bottom w:val="none" w:sz="0" w:space="0" w:color="auto"/>
        <w:right w:val="none" w:sz="0" w:space="0" w:color="auto"/>
      </w:divBdr>
    </w:div>
    <w:div w:id="1300067915">
      <w:bodyDiv w:val="1"/>
      <w:marLeft w:val="0"/>
      <w:marRight w:val="0"/>
      <w:marTop w:val="0"/>
      <w:marBottom w:val="0"/>
      <w:divBdr>
        <w:top w:val="none" w:sz="0" w:space="0" w:color="auto"/>
        <w:left w:val="none" w:sz="0" w:space="0" w:color="auto"/>
        <w:bottom w:val="none" w:sz="0" w:space="0" w:color="auto"/>
        <w:right w:val="none" w:sz="0" w:space="0" w:color="auto"/>
      </w:divBdr>
    </w:div>
    <w:div w:id="1322853635">
      <w:bodyDiv w:val="1"/>
      <w:marLeft w:val="0"/>
      <w:marRight w:val="0"/>
      <w:marTop w:val="0"/>
      <w:marBottom w:val="0"/>
      <w:divBdr>
        <w:top w:val="none" w:sz="0" w:space="0" w:color="auto"/>
        <w:left w:val="none" w:sz="0" w:space="0" w:color="auto"/>
        <w:bottom w:val="none" w:sz="0" w:space="0" w:color="auto"/>
        <w:right w:val="none" w:sz="0" w:space="0" w:color="auto"/>
      </w:divBdr>
      <w:divsChild>
        <w:div w:id="1876262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4890963">
      <w:bodyDiv w:val="1"/>
      <w:marLeft w:val="0"/>
      <w:marRight w:val="0"/>
      <w:marTop w:val="0"/>
      <w:marBottom w:val="0"/>
      <w:divBdr>
        <w:top w:val="none" w:sz="0" w:space="0" w:color="auto"/>
        <w:left w:val="none" w:sz="0" w:space="0" w:color="auto"/>
        <w:bottom w:val="none" w:sz="0" w:space="0" w:color="auto"/>
        <w:right w:val="none" w:sz="0" w:space="0" w:color="auto"/>
      </w:divBdr>
    </w:div>
    <w:div w:id="1341666858">
      <w:bodyDiv w:val="1"/>
      <w:marLeft w:val="0"/>
      <w:marRight w:val="0"/>
      <w:marTop w:val="0"/>
      <w:marBottom w:val="0"/>
      <w:divBdr>
        <w:top w:val="none" w:sz="0" w:space="0" w:color="auto"/>
        <w:left w:val="none" w:sz="0" w:space="0" w:color="auto"/>
        <w:bottom w:val="none" w:sz="0" w:space="0" w:color="auto"/>
        <w:right w:val="none" w:sz="0" w:space="0" w:color="auto"/>
      </w:divBdr>
    </w:div>
    <w:div w:id="1362895447">
      <w:bodyDiv w:val="1"/>
      <w:marLeft w:val="0"/>
      <w:marRight w:val="0"/>
      <w:marTop w:val="0"/>
      <w:marBottom w:val="0"/>
      <w:divBdr>
        <w:top w:val="none" w:sz="0" w:space="0" w:color="auto"/>
        <w:left w:val="none" w:sz="0" w:space="0" w:color="auto"/>
        <w:bottom w:val="none" w:sz="0" w:space="0" w:color="auto"/>
        <w:right w:val="none" w:sz="0" w:space="0" w:color="auto"/>
      </w:divBdr>
    </w:div>
    <w:div w:id="1369528309">
      <w:bodyDiv w:val="1"/>
      <w:marLeft w:val="0"/>
      <w:marRight w:val="0"/>
      <w:marTop w:val="0"/>
      <w:marBottom w:val="0"/>
      <w:divBdr>
        <w:top w:val="none" w:sz="0" w:space="0" w:color="auto"/>
        <w:left w:val="none" w:sz="0" w:space="0" w:color="auto"/>
        <w:bottom w:val="none" w:sz="0" w:space="0" w:color="auto"/>
        <w:right w:val="none" w:sz="0" w:space="0" w:color="auto"/>
      </w:divBdr>
    </w:div>
    <w:div w:id="1371227716">
      <w:bodyDiv w:val="1"/>
      <w:marLeft w:val="0"/>
      <w:marRight w:val="0"/>
      <w:marTop w:val="0"/>
      <w:marBottom w:val="0"/>
      <w:divBdr>
        <w:top w:val="none" w:sz="0" w:space="0" w:color="auto"/>
        <w:left w:val="none" w:sz="0" w:space="0" w:color="auto"/>
        <w:bottom w:val="none" w:sz="0" w:space="0" w:color="auto"/>
        <w:right w:val="none" w:sz="0" w:space="0" w:color="auto"/>
      </w:divBdr>
    </w:div>
    <w:div w:id="1416322941">
      <w:bodyDiv w:val="1"/>
      <w:marLeft w:val="0"/>
      <w:marRight w:val="0"/>
      <w:marTop w:val="0"/>
      <w:marBottom w:val="0"/>
      <w:divBdr>
        <w:top w:val="none" w:sz="0" w:space="0" w:color="auto"/>
        <w:left w:val="none" w:sz="0" w:space="0" w:color="auto"/>
        <w:bottom w:val="none" w:sz="0" w:space="0" w:color="auto"/>
        <w:right w:val="none" w:sz="0" w:space="0" w:color="auto"/>
      </w:divBdr>
    </w:div>
    <w:div w:id="1418406183">
      <w:bodyDiv w:val="1"/>
      <w:marLeft w:val="0"/>
      <w:marRight w:val="0"/>
      <w:marTop w:val="0"/>
      <w:marBottom w:val="0"/>
      <w:divBdr>
        <w:top w:val="none" w:sz="0" w:space="0" w:color="auto"/>
        <w:left w:val="none" w:sz="0" w:space="0" w:color="auto"/>
        <w:bottom w:val="none" w:sz="0" w:space="0" w:color="auto"/>
        <w:right w:val="none" w:sz="0" w:space="0" w:color="auto"/>
      </w:divBdr>
    </w:div>
    <w:div w:id="1422410363">
      <w:bodyDiv w:val="1"/>
      <w:marLeft w:val="0"/>
      <w:marRight w:val="0"/>
      <w:marTop w:val="0"/>
      <w:marBottom w:val="0"/>
      <w:divBdr>
        <w:top w:val="none" w:sz="0" w:space="0" w:color="auto"/>
        <w:left w:val="none" w:sz="0" w:space="0" w:color="auto"/>
        <w:bottom w:val="none" w:sz="0" w:space="0" w:color="auto"/>
        <w:right w:val="none" w:sz="0" w:space="0" w:color="auto"/>
      </w:divBdr>
    </w:div>
    <w:div w:id="1446071761">
      <w:bodyDiv w:val="1"/>
      <w:marLeft w:val="0"/>
      <w:marRight w:val="0"/>
      <w:marTop w:val="0"/>
      <w:marBottom w:val="0"/>
      <w:divBdr>
        <w:top w:val="none" w:sz="0" w:space="0" w:color="auto"/>
        <w:left w:val="none" w:sz="0" w:space="0" w:color="auto"/>
        <w:bottom w:val="none" w:sz="0" w:space="0" w:color="auto"/>
        <w:right w:val="none" w:sz="0" w:space="0" w:color="auto"/>
      </w:divBdr>
    </w:div>
    <w:div w:id="1451704710">
      <w:bodyDiv w:val="1"/>
      <w:marLeft w:val="0"/>
      <w:marRight w:val="0"/>
      <w:marTop w:val="0"/>
      <w:marBottom w:val="0"/>
      <w:divBdr>
        <w:top w:val="none" w:sz="0" w:space="0" w:color="auto"/>
        <w:left w:val="none" w:sz="0" w:space="0" w:color="auto"/>
        <w:bottom w:val="none" w:sz="0" w:space="0" w:color="auto"/>
        <w:right w:val="none" w:sz="0" w:space="0" w:color="auto"/>
      </w:divBdr>
    </w:div>
    <w:div w:id="1453019919">
      <w:bodyDiv w:val="1"/>
      <w:marLeft w:val="0"/>
      <w:marRight w:val="0"/>
      <w:marTop w:val="0"/>
      <w:marBottom w:val="0"/>
      <w:divBdr>
        <w:top w:val="none" w:sz="0" w:space="0" w:color="auto"/>
        <w:left w:val="none" w:sz="0" w:space="0" w:color="auto"/>
        <w:bottom w:val="none" w:sz="0" w:space="0" w:color="auto"/>
        <w:right w:val="none" w:sz="0" w:space="0" w:color="auto"/>
      </w:divBdr>
    </w:div>
    <w:div w:id="1459059757">
      <w:bodyDiv w:val="1"/>
      <w:marLeft w:val="0"/>
      <w:marRight w:val="0"/>
      <w:marTop w:val="0"/>
      <w:marBottom w:val="0"/>
      <w:divBdr>
        <w:top w:val="none" w:sz="0" w:space="0" w:color="auto"/>
        <w:left w:val="none" w:sz="0" w:space="0" w:color="auto"/>
        <w:bottom w:val="none" w:sz="0" w:space="0" w:color="auto"/>
        <w:right w:val="none" w:sz="0" w:space="0" w:color="auto"/>
      </w:divBdr>
    </w:div>
    <w:div w:id="1470434035">
      <w:bodyDiv w:val="1"/>
      <w:marLeft w:val="0"/>
      <w:marRight w:val="0"/>
      <w:marTop w:val="0"/>
      <w:marBottom w:val="0"/>
      <w:divBdr>
        <w:top w:val="none" w:sz="0" w:space="0" w:color="auto"/>
        <w:left w:val="none" w:sz="0" w:space="0" w:color="auto"/>
        <w:bottom w:val="none" w:sz="0" w:space="0" w:color="auto"/>
        <w:right w:val="none" w:sz="0" w:space="0" w:color="auto"/>
      </w:divBdr>
    </w:div>
    <w:div w:id="1471287905">
      <w:bodyDiv w:val="1"/>
      <w:marLeft w:val="0"/>
      <w:marRight w:val="0"/>
      <w:marTop w:val="0"/>
      <w:marBottom w:val="0"/>
      <w:divBdr>
        <w:top w:val="none" w:sz="0" w:space="0" w:color="auto"/>
        <w:left w:val="none" w:sz="0" w:space="0" w:color="auto"/>
        <w:bottom w:val="none" w:sz="0" w:space="0" w:color="auto"/>
        <w:right w:val="none" w:sz="0" w:space="0" w:color="auto"/>
      </w:divBdr>
    </w:div>
    <w:div w:id="1493255436">
      <w:bodyDiv w:val="1"/>
      <w:marLeft w:val="0"/>
      <w:marRight w:val="0"/>
      <w:marTop w:val="0"/>
      <w:marBottom w:val="0"/>
      <w:divBdr>
        <w:top w:val="none" w:sz="0" w:space="0" w:color="auto"/>
        <w:left w:val="none" w:sz="0" w:space="0" w:color="auto"/>
        <w:bottom w:val="none" w:sz="0" w:space="0" w:color="auto"/>
        <w:right w:val="none" w:sz="0" w:space="0" w:color="auto"/>
      </w:divBdr>
    </w:div>
    <w:div w:id="1525754613">
      <w:bodyDiv w:val="1"/>
      <w:marLeft w:val="0"/>
      <w:marRight w:val="0"/>
      <w:marTop w:val="0"/>
      <w:marBottom w:val="0"/>
      <w:divBdr>
        <w:top w:val="none" w:sz="0" w:space="0" w:color="auto"/>
        <w:left w:val="none" w:sz="0" w:space="0" w:color="auto"/>
        <w:bottom w:val="none" w:sz="0" w:space="0" w:color="auto"/>
        <w:right w:val="none" w:sz="0" w:space="0" w:color="auto"/>
      </w:divBdr>
    </w:div>
    <w:div w:id="1526014508">
      <w:bodyDiv w:val="1"/>
      <w:marLeft w:val="0"/>
      <w:marRight w:val="0"/>
      <w:marTop w:val="0"/>
      <w:marBottom w:val="0"/>
      <w:divBdr>
        <w:top w:val="none" w:sz="0" w:space="0" w:color="auto"/>
        <w:left w:val="none" w:sz="0" w:space="0" w:color="auto"/>
        <w:bottom w:val="none" w:sz="0" w:space="0" w:color="auto"/>
        <w:right w:val="none" w:sz="0" w:space="0" w:color="auto"/>
      </w:divBdr>
    </w:div>
    <w:div w:id="1545823805">
      <w:bodyDiv w:val="1"/>
      <w:marLeft w:val="0"/>
      <w:marRight w:val="0"/>
      <w:marTop w:val="0"/>
      <w:marBottom w:val="0"/>
      <w:divBdr>
        <w:top w:val="none" w:sz="0" w:space="0" w:color="auto"/>
        <w:left w:val="none" w:sz="0" w:space="0" w:color="auto"/>
        <w:bottom w:val="none" w:sz="0" w:space="0" w:color="auto"/>
        <w:right w:val="none" w:sz="0" w:space="0" w:color="auto"/>
      </w:divBdr>
    </w:div>
    <w:div w:id="1546529246">
      <w:bodyDiv w:val="1"/>
      <w:marLeft w:val="0"/>
      <w:marRight w:val="0"/>
      <w:marTop w:val="0"/>
      <w:marBottom w:val="0"/>
      <w:divBdr>
        <w:top w:val="none" w:sz="0" w:space="0" w:color="auto"/>
        <w:left w:val="none" w:sz="0" w:space="0" w:color="auto"/>
        <w:bottom w:val="none" w:sz="0" w:space="0" w:color="auto"/>
        <w:right w:val="none" w:sz="0" w:space="0" w:color="auto"/>
      </w:divBdr>
    </w:div>
    <w:div w:id="1553687081">
      <w:bodyDiv w:val="1"/>
      <w:marLeft w:val="0"/>
      <w:marRight w:val="0"/>
      <w:marTop w:val="0"/>
      <w:marBottom w:val="0"/>
      <w:divBdr>
        <w:top w:val="none" w:sz="0" w:space="0" w:color="auto"/>
        <w:left w:val="none" w:sz="0" w:space="0" w:color="auto"/>
        <w:bottom w:val="none" w:sz="0" w:space="0" w:color="auto"/>
        <w:right w:val="none" w:sz="0" w:space="0" w:color="auto"/>
      </w:divBdr>
    </w:div>
    <w:div w:id="1561214756">
      <w:bodyDiv w:val="1"/>
      <w:marLeft w:val="0"/>
      <w:marRight w:val="0"/>
      <w:marTop w:val="0"/>
      <w:marBottom w:val="0"/>
      <w:divBdr>
        <w:top w:val="none" w:sz="0" w:space="0" w:color="auto"/>
        <w:left w:val="none" w:sz="0" w:space="0" w:color="auto"/>
        <w:bottom w:val="none" w:sz="0" w:space="0" w:color="auto"/>
        <w:right w:val="none" w:sz="0" w:space="0" w:color="auto"/>
      </w:divBdr>
    </w:div>
    <w:div w:id="1572154017">
      <w:bodyDiv w:val="1"/>
      <w:marLeft w:val="0"/>
      <w:marRight w:val="0"/>
      <w:marTop w:val="0"/>
      <w:marBottom w:val="0"/>
      <w:divBdr>
        <w:top w:val="none" w:sz="0" w:space="0" w:color="auto"/>
        <w:left w:val="none" w:sz="0" w:space="0" w:color="auto"/>
        <w:bottom w:val="none" w:sz="0" w:space="0" w:color="auto"/>
        <w:right w:val="none" w:sz="0" w:space="0" w:color="auto"/>
      </w:divBdr>
    </w:div>
    <w:div w:id="1587228124">
      <w:bodyDiv w:val="1"/>
      <w:marLeft w:val="0"/>
      <w:marRight w:val="0"/>
      <w:marTop w:val="0"/>
      <w:marBottom w:val="0"/>
      <w:divBdr>
        <w:top w:val="none" w:sz="0" w:space="0" w:color="auto"/>
        <w:left w:val="none" w:sz="0" w:space="0" w:color="auto"/>
        <w:bottom w:val="none" w:sz="0" w:space="0" w:color="auto"/>
        <w:right w:val="none" w:sz="0" w:space="0" w:color="auto"/>
      </w:divBdr>
    </w:div>
    <w:div w:id="1594515334">
      <w:bodyDiv w:val="1"/>
      <w:marLeft w:val="0"/>
      <w:marRight w:val="0"/>
      <w:marTop w:val="0"/>
      <w:marBottom w:val="0"/>
      <w:divBdr>
        <w:top w:val="none" w:sz="0" w:space="0" w:color="auto"/>
        <w:left w:val="none" w:sz="0" w:space="0" w:color="auto"/>
        <w:bottom w:val="none" w:sz="0" w:space="0" w:color="auto"/>
        <w:right w:val="none" w:sz="0" w:space="0" w:color="auto"/>
      </w:divBdr>
    </w:div>
    <w:div w:id="1600218361">
      <w:bodyDiv w:val="1"/>
      <w:marLeft w:val="0"/>
      <w:marRight w:val="0"/>
      <w:marTop w:val="0"/>
      <w:marBottom w:val="0"/>
      <w:divBdr>
        <w:top w:val="none" w:sz="0" w:space="0" w:color="auto"/>
        <w:left w:val="none" w:sz="0" w:space="0" w:color="auto"/>
        <w:bottom w:val="none" w:sz="0" w:space="0" w:color="auto"/>
        <w:right w:val="none" w:sz="0" w:space="0" w:color="auto"/>
      </w:divBdr>
      <w:divsChild>
        <w:div w:id="1383409883">
          <w:marLeft w:val="0"/>
          <w:marRight w:val="0"/>
          <w:marTop w:val="0"/>
          <w:marBottom w:val="0"/>
          <w:divBdr>
            <w:top w:val="none" w:sz="0" w:space="0" w:color="auto"/>
            <w:left w:val="none" w:sz="0" w:space="0" w:color="auto"/>
            <w:bottom w:val="none" w:sz="0" w:space="0" w:color="auto"/>
            <w:right w:val="none" w:sz="0" w:space="0" w:color="auto"/>
          </w:divBdr>
        </w:div>
        <w:div w:id="1680228653">
          <w:marLeft w:val="0"/>
          <w:marRight w:val="0"/>
          <w:marTop w:val="0"/>
          <w:marBottom w:val="0"/>
          <w:divBdr>
            <w:top w:val="none" w:sz="0" w:space="0" w:color="auto"/>
            <w:left w:val="none" w:sz="0" w:space="0" w:color="auto"/>
            <w:bottom w:val="none" w:sz="0" w:space="0" w:color="auto"/>
            <w:right w:val="none" w:sz="0" w:space="0" w:color="auto"/>
          </w:divBdr>
        </w:div>
        <w:div w:id="1827940117">
          <w:marLeft w:val="0"/>
          <w:marRight w:val="0"/>
          <w:marTop w:val="0"/>
          <w:marBottom w:val="0"/>
          <w:divBdr>
            <w:top w:val="none" w:sz="0" w:space="0" w:color="auto"/>
            <w:left w:val="none" w:sz="0" w:space="0" w:color="auto"/>
            <w:bottom w:val="none" w:sz="0" w:space="0" w:color="auto"/>
            <w:right w:val="none" w:sz="0" w:space="0" w:color="auto"/>
          </w:divBdr>
        </w:div>
      </w:divsChild>
    </w:div>
    <w:div w:id="1615819402">
      <w:bodyDiv w:val="1"/>
      <w:marLeft w:val="0"/>
      <w:marRight w:val="0"/>
      <w:marTop w:val="0"/>
      <w:marBottom w:val="0"/>
      <w:divBdr>
        <w:top w:val="none" w:sz="0" w:space="0" w:color="auto"/>
        <w:left w:val="none" w:sz="0" w:space="0" w:color="auto"/>
        <w:bottom w:val="none" w:sz="0" w:space="0" w:color="auto"/>
        <w:right w:val="none" w:sz="0" w:space="0" w:color="auto"/>
      </w:divBdr>
      <w:divsChild>
        <w:div w:id="130249191">
          <w:marLeft w:val="0"/>
          <w:marRight w:val="0"/>
          <w:marTop w:val="0"/>
          <w:marBottom w:val="0"/>
          <w:divBdr>
            <w:top w:val="none" w:sz="0" w:space="0" w:color="auto"/>
            <w:left w:val="none" w:sz="0" w:space="0" w:color="auto"/>
            <w:bottom w:val="none" w:sz="0" w:space="0" w:color="auto"/>
            <w:right w:val="none" w:sz="0" w:space="0" w:color="auto"/>
          </w:divBdr>
        </w:div>
        <w:div w:id="1729718705">
          <w:marLeft w:val="0"/>
          <w:marRight w:val="0"/>
          <w:marTop w:val="0"/>
          <w:marBottom w:val="0"/>
          <w:divBdr>
            <w:top w:val="none" w:sz="0" w:space="0" w:color="auto"/>
            <w:left w:val="none" w:sz="0" w:space="0" w:color="auto"/>
            <w:bottom w:val="none" w:sz="0" w:space="0" w:color="auto"/>
            <w:right w:val="none" w:sz="0" w:space="0" w:color="auto"/>
          </w:divBdr>
        </w:div>
      </w:divsChild>
    </w:div>
    <w:div w:id="1626695583">
      <w:bodyDiv w:val="1"/>
      <w:marLeft w:val="0"/>
      <w:marRight w:val="0"/>
      <w:marTop w:val="0"/>
      <w:marBottom w:val="0"/>
      <w:divBdr>
        <w:top w:val="none" w:sz="0" w:space="0" w:color="auto"/>
        <w:left w:val="none" w:sz="0" w:space="0" w:color="auto"/>
        <w:bottom w:val="none" w:sz="0" w:space="0" w:color="auto"/>
        <w:right w:val="none" w:sz="0" w:space="0" w:color="auto"/>
      </w:divBdr>
    </w:div>
    <w:div w:id="1630043349">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022449">
      <w:bodyDiv w:val="1"/>
      <w:marLeft w:val="0"/>
      <w:marRight w:val="0"/>
      <w:marTop w:val="0"/>
      <w:marBottom w:val="0"/>
      <w:divBdr>
        <w:top w:val="none" w:sz="0" w:space="0" w:color="auto"/>
        <w:left w:val="none" w:sz="0" w:space="0" w:color="auto"/>
        <w:bottom w:val="none" w:sz="0" w:space="0" w:color="auto"/>
        <w:right w:val="none" w:sz="0" w:space="0" w:color="auto"/>
      </w:divBdr>
    </w:div>
    <w:div w:id="1643271397">
      <w:bodyDiv w:val="1"/>
      <w:marLeft w:val="0"/>
      <w:marRight w:val="0"/>
      <w:marTop w:val="0"/>
      <w:marBottom w:val="0"/>
      <w:divBdr>
        <w:top w:val="none" w:sz="0" w:space="0" w:color="auto"/>
        <w:left w:val="none" w:sz="0" w:space="0" w:color="auto"/>
        <w:bottom w:val="none" w:sz="0" w:space="0" w:color="auto"/>
        <w:right w:val="none" w:sz="0" w:space="0" w:color="auto"/>
      </w:divBdr>
    </w:div>
    <w:div w:id="1645692892">
      <w:bodyDiv w:val="1"/>
      <w:marLeft w:val="0"/>
      <w:marRight w:val="0"/>
      <w:marTop w:val="0"/>
      <w:marBottom w:val="0"/>
      <w:divBdr>
        <w:top w:val="none" w:sz="0" w:space="0" w:color="auto"/>
        <w:left w:val="none" w:sz="0" w:space="0" w:color="auto"/>
        <w:bottom w:val="none" w:sz="0" w:space="0" w:color="auto"/>
        <w:right w:val="none" w:sz="0" w:space="0" w:color="auto"/>
      </w:divBdr>
    </w:div>
    <w:div w:id="1657297370">
      <w:bodyDiv w:val="1"/>
      <w:marLeft w:val="0"/>
      <w:marRight w:val="0"/>
      <w:marTop w:val="0"/>
      <w:marBottom w:val="0"/>
      <w:divBdr>
        <w:top w:val="none" w:sz="0" w:space="0" w:color="auto"/>
        <w:left w:val="none" w:sz="0" w:space="0" w:color="auto"/>
        <w:bottom w:val="none" w:sz="0" w:space="0" w:color="auto"/>
        <w:right w:val="none" w:sz="0" w:space="0" w:color="auto"/>
      </w:divBdr>
    </w:div>
    <w:div w:id="1674335452">
      <w:bodyDiv w:val="1"/>
      <w:marLeft w:val="0"/>
      <w:marRight w:val="0"/>
      <w:marTop w:val="0"/>
      <w:marBottom w:val="0"/>
      <w:divBdr>
        <w:top w:val="none" w:sz="0" w:space="0" w:color="auto"/>
        <w:left w:val="none" w:sz="0" w:space="0" w:color="auto"/>
        <w:bottom w:val="none" w:sz="0" w:space="0" w:color="auto"/>
        <w:right w:val="none" w:sz="0" w:space="0" w:color="auto"/>
      </w:divBdr>
    </w:div>
    <w:div w:id="1688553658">
      <w:bodyDiv w:val="1"/>
      <w:marLeft w:val="0"/>
      <w:marRight w:val="0"/>
      <w:marTop w:val="0"/>
      <w:marBottom w:val="0"/>
      <w:divBdr>
        <w:top w:val="none" w:sz="0" w:space="0" w:color="auto"/>
        <w:left w:val="none" w:sz="0" w:space="0" w:color="auto"/>
        <w:bottom w:val="none" w:sz="0" w:space="0" w:color="auto"/>
        <w:right w:val="none" w:sz="0" w:space="0" w:color="auto"/>
      </w:divBdr>
    </w:div>
    <w:div w:id="1692412531">
      <w:bodyDiv w:val="1"/>
      <w:marLeft w:val="0"/>
      <w:marRight w:val="0"/>
      <w:marTop w:val="0"/>
      <w:marBottom w:val="0"/>
      <w:divBdr>
        <w:top w:val="none" w:sz="0" w:space="0" w:color="auto"/>
        <w:left w:val="none" w:sz="0" w:space="0" w:color="auto"/>
        <w:bottom w:val="none" w:sz="0" w:space="0" w:color="auto"/>
        <w:right w:val="none" w:sz="0" w:space="0" w:color="auto"/>
      </w:divBdr>
    </w:div>
    <w:div w:id="1709141008">
      <w:bodyDiv w:val="1"/>
      <w:marLeft w:val="0"/>
      <w:marRight w:val="0"/>
      <w:marTop w:val="0"/>
      <w:marBottom w:val="0"/>
      <w:divBdr>
        <w:top w:val="none" w:sz="0" w:space="0" w:color="auto"/>
        <w:left w:val="none" w:sz="0" w:space="0" w:color="auto"/>
        <w:bottom w:val="none" w:sz="0" w:space="0" w:color="auto"/>
        <w:right w:val="none" w:sz="0" w:space="0" w:color="auto"/>
      </w:divBdr>
    </w:div>
    <w:div w:id="1731493878">
      <w:bodyDiv w:val="1"/>
      <w:marLeft w:val="0"/>
      <w:marRight w:val="0"/>
      <w:marTop w:val="0"/>
      <w:marBottom w:val="0"/>
      <w:divBdr>
        <w:top w:val="none" w:sz="0" w:space="0" w:color="auto"/>
        <w:left w:val="none" w:sz="0" w:space="0" w:color="auto"/>
        <w:bottom w:val="none" w:sz="0" w:space="0" w:color="auto"/>
        <w:right w:val="none" w:sz="0" w:space="0" w:color="auto"/>
      </w:divBdr>
    </w:div>
    <w:div w:id="1734961894">
      <w:bodyDiv w:val="1"/>
      <w:marLeft w:val="0"/>
      <w:marRight w:val="0"/>
      <w:marTop w:val="0"/>
      <w:marBottom w:val="0"/>
      <w:divBdr>
        <w:top w:val="none" w:sz="0" w:space="0" w:color="auto"/>
        <w:left w:val="none" w:sz="0" w:space="0" w:color="auto"/>
        <w:bottom w:val="none" w:sz="0" w:space="0" w:color="auto"/>
        <w:right w:val="none" w:sz="0" w:space="0" w:color="auto"/>
      </w:divBdr>
    </w:div>
    <w:div w:id="1741904631">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46763218">
      <w:bodyDiv w:val="1"/>
      <w:marLeft w:val="0"/>
      <w:marRight w:val="0"/>
      <w:marTop w:val="0"/>
      <w:marBottom w:val="0"/>
      <w:divBdr>
        <w:top w:val="none" w:sz="0" w:space="0" w:color="auto"/>
        <w:left w:val="none" w:sz="0" w:space="0" w:color="auto"/>
        <w:bottom w:val="none" w:sz="0" w:space="0" w:color="auto"/>
        <w:right w:val="none" w:sz="0" w:space="0" w:color="auto"/>
      </w:divBdr>
    </w:div>
    <w:div w:id="1748922635">
      <w:bodyDiv w:val="1"/>
      <w:marLeft w:val="0"/>
      <w:marRight w:val="0"/>
      <w:marTop w:val="0"/>
      <w:marBottom w:val="0"/>
      <w:divBdr>
        <w:top w:val="none" w:sz="0" w:space="0" w:color="auto"/>
        <w:left w:val="none" w:sz="0" w:space="0" w:color="auto"/>
        <w:bottom w:val="none" w:sz="0" w:space="0" w:color="auto"/>
        <w:right w:val="none" w:sz="0" w:space="0" w:color="auto"/>
      </w:divBdr>
    </w:div>
    <w:div w:id="1751462482">
      <w:bodyDiv w:val="1"/>
      <w:marLeft w:val="0"/>
      <w:marRight w:val="0"/>
      <w:marTop w:val="0"/>
      <w:marBottom w:val="0"/>
      <w:divBdr>
        <w:top w:val="none" w:sz="0" w:space="0" w:color="auto"/>
        <w:left w:val="none" w:sz="0" w:space="0" w:color="auto"/>
        <w:bottom w:val="none" w:sz="0" w:space="0" w:color="auto"/>
        <w:right w:val="none" w:sz="0" w:space="0" w:color="auto"/>
      </w:divBdr>
    </w:div>
    <w:div w:id="1756170800">
      <w:bodyDiv w:val="1"/>
      <w:marLeft w:val="0"/>
      <w:marRight w:val="0"/>
      <w:marTop w:val="0"/>
      <w:marBottom w:val="0"/>
      <w:divBdr>
        <w:top w:val="none" w:sz="0" w:space="0" w:color="auto"/>
        <w:left w:val="none" w:sz="0" w:space="0" w:color="auto"/>
        <w:bottom w:val="none" w:sz="0" w:space="0" w:color="auto"/>
        <w:right w:val="none" w:sz="0" w:space="0" w:color="auto"/>
      </w:divBdr>
    </w:div>
    <w:div w:id="1781875905">
      <w:bodyDiv w:val="1"/>
      <w:marLeft w:val="0"/>
      <w:marRight w:val="0"/>
      <w:marTop w:val="0"/>
      <w:marBottom w:val="0"/>
      <w:divBdr>
        <w:top w:val="none" w:sz="0" w:space="0" w:color="auto"/>
        <w:left w:val="none" w:sz="0" w:space="0" w:color="auto"/>
        <w:bottom w:val="none" w:sz="0" w:space="0" w:color="auto"/>
        <w:right w:val="none" w:sz="0" w:space="0" w:color="auto"/>
      </w:divBdr>
    </w:div>
    <w:div w:id="1798832415">
      <w:bodyDiv w:val="1"/>
      <w:marLeft w:val="0"/>
      <w:marRight w:val="0"/>
      <w:marTop w:val="0"/>
      <w:marBottom w:val="0"/>
      <w:divBdr>
        <w:top w:val="none" w:sz="0" w:space="0" w:color="auto"/>
        <w:left w:val="none" w:sz="0" w:space="0" w:color="auto"/>
        <w:bottom w:val="none" w:sz="0" w:space="0" w:color="auto"/>
        <w:right w:val="none" w:sz="0" w:space="0" w:color="auto"/>
      </w:divBdr>
    </w:div>
    <w:div w:id="1802797055">
      <w:bodyDiv w:val="1"/>
      <w:marLeft w:val="0"/>
      <w:marRight w:val="0"/>
      <w:marTop w:val="0"/>
      <w:marBottom w:val="0"/>
      <w:divBdr>
        <w:top w:val="none" w:sz="0" w:space="0" w:color="auto"/>
        <w:left w:val="none" w:sz="0" w:space="0" w:color="auto"/>
        <w:bottom w:val="none" w:sz="0" w:space="0" w:color="auto"/>
        <w:right w:val="none" w:sz="0" w:space="0" w:color="auto"/>
      </w:divBdr>
    </w:div>
    <w:div w:id="1806041424">
      <w:bodyDiv w:val="1"/>
      <w:marLeft w:val="0"/>
      <w:marRight w:val="0"/>
      <w:marTop w:val="0"/>
      <w:marBottom w:val="0"/>
      <w:divBdr>
        <w:top w:val="none" w:sz="0" w:space="0" w:color="auto"/>
        <w:left w:val="none" w:sz="0" w:space="0" w:color="auto"/>
        <w:bottom w:val="none" w:sz="0" w:space="0" w:color="auto"/>
        <w:right w:val="none" w:sz="0" w:space="0" w:color="auto"/>
      </w:divBdr>
    </w:div>
    <w:div w:id="1809282434">
      <w:bodyDiv w:val="1"/>
      <w:marLeft w:val="0"/>
      <w:marRight w:val="0"/>
      <w:marTop w:val="0"/>
      <w:marBottom w:val="0"/>
      <w:divBdr>
        <w:top w:val="none" w:sz="0" w:space="0" w:color="auto"/>
        <w:left w:val="none" w:sz="0" w:space="0" w:color="auto"/>
        <w:bottom w:val="none" w:sz="0" w:space="0" w:color="auto"/>
        <w:right w:val="none" w:sz="0" w:space="0" w:color="auto"/>
      </w:divBdr>
    </w:div>
    <w:div w:id="1810437243">
      <w:bodyDiv w:val="1"/>
      <w:marLeft w:val="0"/>
      <w:marRight w:val="0"/>
      <w:marTop w:val="0"/>
      <w:marBottom w:val="0"/>
      <w:divBdr>
        <w:top w:val="none" w:sz="0" w:space="0" w:color="auto"/>
        <w:left w:val="none" w:sz="0" w:space="0" w:color="auto"/>
        <w:bottom w:val="none" w:sz="0" w:space="0" w:color="auto"/>
        <w:right w:val="none" w:sz="0" w:space="0" w:color="auto"/>
      </w:divBdr>
    </w:div>
    <w:div w:id="1814830611">
      <w:bodyDiv w:val="1"/>
      <w:marLeft w:val="0"/>
      <w:marRight w:val="0"/>
      <w:marTop w:val="0"/>
      <w:marBottom w:val="0"/>
      <w:divBdr>
        <w:top w:val="none" w:sz="0" w:space="0" w:color="auto"/>
        <w:left w:val="none" w:sz="0" w:space="0" w:color="auto"/>
        <w:bottom w:val="none" w:sz="0" w:space="0" w:color="auto"/>
        <w:right w:val="none" w:sz="0" w:space="0" w:color="auto"/>
      </w:divBdr>
    </w:div>
    <w:div w:id="1824274559">
      <w:bodyDiv w:val="1"/>
      <w:marLeft w:val="0"/>
      <w:marRight w:val="0"/>
      <w:marTop w:val="0"/>
      <w:marBottom w:val="0"/>
      <w:divBdr>
        <w:top w:val="none" w:sz="0" w:space="0" w:color="auto"/>
        <w:left w:val="none" w:sz="0" w:space="0" w:color="auto"/>
        <w:bottom w:val="none" w:sz="0" w:space="0" w:color="auto"/>
        <w:right w:val="none" w:sz="0" w:space="0" w:color="auto"/>
      </w:divBdr>
    </w:div>
    <w:div w:id="1827159667">
      <w:bodyDiv w:val="1"/>
      <w:marLeft w:val="0"/>
      <w:marRight w:val="0"/>
      <w:marTop w:val="0"/>
      <w:marBottom w:val="0"/>
      <w:divBdr>
        <w:top w:val="none" w:sz="0" w:space="0" w:color="auto"/>
        <w:left w:val="none" w:sz="0" w:space="0" w:color="auto"/>
        <w:bottom w:val="none" w:sz="0" w:space="0" w:color="auto"/>
        <w:right w:val="none" w:sz="0" w:space="0" w:color="auto"/>
      </w:divBdr>
    </w:div>
    <w:div w:id="1856845304">
      <w:bodyDiv w:val="1"/>
      <w:marLeft w:val="0"/>
      <w:marRight w:val="0"/>
      <w:marTop w:val="0"/>
      <w:marBottom w:val="0"/>
      <w:divBdr>
        <w:top w:val="none" w:sz="0" w:space="0" w:color="auto"/>
        <w:left w:val="none" w:sz="0" w:space="0" w:color="auto"/>
        <w:bottom w:val="none" w:sz="0" w:space="0" w:color="auto"/>
        <w:right w:val="none" w:sz="0" w:space="0" w:color="auto"/>
      </w:divBdr>
    </w:div>
    <w:div w:id="1869292026">
      <w:bodyDiv w:val="1"/>
      <w:marLeft w:val="0"/>
      <w:marRight w:val="0"/>
      <w:marTop w:val="0"/>
      <w:marBottom w:val="0"/>
      <w:divBdr>
        <w:top w:val="none" w:sz="0" w:space="0" w:color="auto"/>
        <w:left w:val="none" w:sz="0" w:space="0" w:color="auto"/>
        <w:bottom w:val="none" w:sz="0" w:space="0" w:color="auto"/>
        <w:right w:val="none" w:sz="0" w:space="0" w:color="auto"/>
      </w:divBdr>
    </w:div>
    <w:div w:id="1876232073">
      <w:bodyDiv w:val="1"/>
      <w:marLeft w:val="0"/>
      <w:marRight w:val="0"/>
      <w:marTop w:val="0"/>
      <w:marBottom w:val="0"/>
      <w:divBdr>
        <w:top w:val="none" w:sz="0" w:space="0" w:color="auto"/>
        <w:left w:val="none" w:sz="0" w:space="0" w:color="auto"/>
        <w:bottom w:val="none" w:sz="0" w:space="0" w:color="auto"/>
        <w:right w:val="none" w:sz="0" w:space="0" w:color="auto"/>
      </w:divBdr>
    </w:div>
    <w:div w:id="1884901114">
      <w:bodyDiv w:val="1"/>
      <w:marLeft w:val="0"/>
      <w:marRight w:val="0"/>
      <w:marTop w:val="0"/>
      <w:marBottom w:val="0"/>
      <w:divBdr>
        <w:top w:val="none" w:sz="0" w:space="0" w:color="auto"/>
        <w:left w:val="none" w:sz="0" w:space="0" w:color="auto"/>
        <w:bottom w:val="none" w:sz="0" w:space="0" w:color="auto"/>
        <w:right w:val="none" w:sz="0" w:space="0" w:color="auto"/>
      </w:divBdr>
    </w:div>
    <w:div w:id="1893809573">
      <w:bodyDiv w:val="1"/>
      <w:marLeft w:val="0"/>
      <w:marRight w:val="0"/>
      <w:marTop w:val="0"/>
      <w:marBottom w:val="0"/>
      <w:divBdr>
        <w:top w:val="none" w:sz="0" w:space="0" w:color="auto"/>
        <w:left w:val="none" w:sz="0" w:space="0" w:color="auto"/>
        <w:bottom w:val="none" w:sz="0" w:space="0" w:color="auto"/>
        <w:right w:val="none" w:sz="0" w:space="0" w:color="auto"/>
      </w:divBdr>
    </w:div>
    <w:div w:id="1896115111">
      <w:bodyDiv w:val="1"/>
      <w:marLeft w:val="0"/>
      <w:marRight w:val="0"/>
      <w:marTop w:val="0"/>
      <w:marBottom w:val="0"/>
      <w:divBdr>
        <w:top w:val="none" w:sz="0" w:space="0" w:color="auto"/>
        <w:left w:val="none" w:sz="0" w:space="0" w:color="auto"/>
        <w:bottom w:val="none" w:sz="0" w:space="0" w:color="auto"/>
        <w:right w:val="none" w:sz="0" w:space="0" w:color="auto"/>
      </w:divBdr>
    </w:div>
    <w:div w:id="1897861002">
      <w:bodyDiv w:val="1"/>
      <w:marLeft w:val="0"/>
      <w:marRight w:val="0"/>
      <w:marTop w:val="0"/>
      <w:marBottom w:val="0"/>
      <w:divBdr>
        <w:top w:val="none" w:sz="0" w:space="0" w:color="auto"/>
        <w:left w:val="none" w:sz="0" w:space="0" w:color="auto"/>
        <w:bottom w:val="none" w:sz="0" w:space="0" w:color="auto"/>
        <w:right w:val="none" w:sz="0" w:space="0" w:color="auto"/>
      </w:divBdr>
    </w:div>
    <w:div w:id="1900894945">
      <w:bodyDiv w:val="1"/>
      <w:marLeft w:val="0"/>
      <w:marRight w:val="0"/>
      <w:marTop w:val="0"/>
      <w:marBottom w:val="0"/>
      <w:divBdr>
        <w:top w:val="none" w:sz="0" w:space="0" w:color="auto"/>
        <w:left w:val="none" w:sz="0" w:space="0" w:color="auto"/>
        <w:bottom w:val="none" w:sz="0" w:space="0" w:color="auto"/>
        <w:right w:val="none" w:sz="0" w:space="0" w:color="auto"/>
      </w:divBdr>
    </w:div>
    <w:div w:id="1905332763">
      <w:bodyDiv w:val="1"/>
      <w:marLeft w:val="0"/>
      <w:marRight w:val="0"/>
      <w:marTop w:val="0"/>
      <w:marBottom w:val="0"/>
      <w:divBdr>
        <w:top w:val="none" w:sz="0" w:space="0" w:color="auto"/>
        <w:left w:val="none" w:sz="0" w:space="0" w:color="auto"/>
        <w:bottom w:val="none" w:sz="0" w:space="0" w:color="auto"/>
        <w:right w:val="none" w:sz="0" w:space="0" w:color="auto"/>
      </w:divBdr>
    </w:div>
    <w:div w:id="1932856711">
      <w:bodyDiv w:val="1"/>
      <w:marLeft w:val="0"/>
      <w:marRight w:val="0"/>
      <w:marTop w:val="0"/>
      <w:marBottom w:val="0"/>
      <w:divBdr>
        <w:top w:val="none" w:sz="0" w:space="0" w:color="auto"/>
        <w:left w:val="none" w:sz="0" w:space="0" w:color="auto"/>
        <w:bottom w:val="none" w:sz="0" w:space="0" w:color="auto"/>
        <w:right w:val="none" w:sz="0" w:space="0" w:color="auto"/>
      </w:divBdr>
    </w:div>
    <w:div w:id="1933197389">
      <w:bodyDiv w:val="1"/>
      <w:marLeft w:val="0"/>
      <w:marRight w:val="0"/>
      <w:marTop w:val="0"/>
      <w:marBottom w:val="0"/>
      <w:divBdr>
        <w:top w:val="none" w:sz="0" w:space="0" w:color="auto"/>
        <w:left w:val="none" w:sz="0" w:space="0" w:color="auto"/>
        <w:bottom w:val="none" w:sz="0" w:space="0" w:color="auto"/>
        <w:right w:val="none" w:sz="0" w:space="0" w:color="auto"/>
      </w:divBdr>
    </w:div>
    <w:div w:id="1945652426">
      <w:bodyDiv w:val="1"/>
      <w:marLeft w:val="0"/>
      <w:marRight w:val="0"/>
      <w:marTop w:val="0"/>
      <w:marBottom w:val="0"/>
      <w:divBdr>
        <w:top w:val="none" w:sz="0" w:space="0" w:color="auto"/>
        <w:left w:val="none" w:sz="0" w:space="0" w:color="auto"/>
        <w:bottom w:val="none" w:sz="0" w:space="0" w:color="auto"/>
        <w:right w:val="none" w:sz="0" w:space="0" w:color="auto"/>
      </w:divBdr>
    </w:div>
    <w:div w:id="1981567725">
      <w:bodyDiv w:val="1"/>
      <w:marLeft w:val="0"/>
      <w:marRight w:val="0"/>
      <w:marTop w:val="0"/>
      <w:marBottom w:val="0"/>
      <w:divBdr>
        <w:top w:val="none" w:sz="0" w:space="0" w:color="auto"/>
        <w:left w:val="none" w:sz="0" w:space="0" w:color="auto"/>
        <w:bottom w:val="none" w:sz="0" w:space="0" w:color="auto"/>
        <w:right w:val="none" w:sz="0" w:space="0" w:color="auto"/>
      </w:divBdr>
    </w:div>
    <w:div w:id="1993286661">
      <w:bodyDiv w:val="1"/>
      <w:marLeft w:val="0"/>
      <w:marRight w:val="0"/>
      <w:marTop w:val="0"/>
      <w:marBottom w:val="0"/>
      <w:divBdr>
        <w:top w:val="none" w:sz="0" w:space="0" w:color="auto"/>
        <w:left w:val="none" w:sz="0" w:space="0" w:color="auto"/>
        <w:bottom w:val="none" w:sz="0" w:space="0" w:color="auto"/>
        <w:right w:val="none" w:sz="0" w:space="0" w:color="auto"/>
      </w:divBdr>
    </w:div>
    <w:div w:id="1998873893">
      <w:bodyDiv w:val="1"/>
      <w:marLeft w:val="0"/>
      <w:marRight w:val="0"/>
      <w:marTop w:val="0"/>
      <w:marBottom w:val="0"/>
      <w:divBdr>
        <w:top w:val="none" w:sz="0" w:space="0" w:color="auto"/>
        <w:left w:val="none" w:sz="0" w:space="0" w:color="auto"/>
        <w:bottom w:val="none" w:sz="0" w:space="0" w:color="auto"/>
        <w:right w:val="none" w:sz="0" w:space="0" w:color="auto"/>
      </w:divBdr>
    </w:div>
    <w:div w:id="2005350598">
      <w:bodyDiv w:val="1"/>
      <w:marLeft w:val="0"/>
      <w:marRight w:val="0"/>
      <w:marTop w:val="0"/>
      <w:marBottom w:val="0"/>
      <w:divBdr>
        <w:top w:val="none" w:sz="0" w:space="0" w:color="auto"/>
        <w:left w:val="none" w:sz="0" w:space="0" w:color="auto"/>
        <w:bottom w:val="none" w:sz="0" w:space="0" w:color="auto"/>
        <w:right w:val="none" w:sz="0" w:space="0" w:color="auto"/>
      </w:divBdr>
    </w:div>
    <w:div w:id="2019693974">
      <w:bodyDiv w:val="1"/>
      <w:marLeft w:val="0"/>
      <w:marRight w:val="0"/>
      <w:marTop w:val="0"/>
      <w:marBottom w:val="0"/>
      <w:divBdr>
        <w:top w:val="none" w:sz="0" w:space="0" w:color="auto"/>
        <w:left w:val="none" w:sz="0" w:space="0" w:color="auto"/>
        <w:bottom w:val="none" w:sz="0" w:space="0" w:color="auto"/>
        <w:right w:val="none" w:sz="0" w:space="0" w:color="auto"/>
      </w:divBdr>
    </w:div>
    <w:div w:id="2025522038">
      <w:bodyDiv w:val="1"/>
      <w:marLeft w:val="0"/>
      <w:marRight w:val="0"/>
      <w:marTop w:val="0"/>
      <w:marBottom w:val="0"/>
      <w:divBdr>
        <w:top w:val="none" w:sz="0" w:space="0" w:color="auto"/>
        <w:left w:val="none" w:sz="0" w:space="0" w:color="auto"/>
        <w:bottom w:val="none" w:sz="0" w:space="0" w:color="auto"/>
        <w:right w:val="none" w:sz="0" w:space="0" w:color="auto"/>
      </w:divBdr>
    </w:div>
    <w:div w:id="2037005620">
      <w:bodyDiv w:val="1"/>
      <w:marLeft w:val="0"/>
      <w:marRight w:val="0"/>
      <w:marTop w:val="0"/>
      <w:marBottom w:val="0"/>
      <w:divBdr>
        <w:top w:val="none" w:sz="0" w:space="0" w:color="auto"/>
        <w:left w:val="none" w:sz="0" w:space="0" w:color="auto"/>
        <w:bottom w:val="none" w:sz="0" w:space="0" w:color="auto"/>
        <w:right w:val="none" w:sz="0" w:space="0" w:color="auto"/>
      </w:divBdr>
    </w:div>
    <w:div w:id="2059816942">
      <w:bodyDiv w:val="1"/>
      <w:marLeft w:val="0"/>
      <w:marRight w:val="0"/>
      <w:marTop w:val="0"/>
      <w:marBottom w:val="0"/>
      <w:divBdr>
        <w:top w:val="none" w:sz="0" w:space="0" w:color="auto"/>
        <w:left w:val="none" w:sz="0" w:space="0" w:color="auto"/>
        <w:bottom w:val="none" w:sz="0" w:space="0" w:color="auto"/>
        <w:right w:val="none" w:sz="0" w:space="0" w:color="auto"/>
      </w:divBdr>
    </w:div>
    <w:div w:id="2061512182">
      <w:bodyDiv w:val="1"/>
      <w:marLeft w:val="0"/>
      <w:marRight w:val="0"/>
      <w:marTop w:val="0"/>
      <w:marBottom w:val="0"/>
      <w:divBdr>
        <w:top w:val="none" w:sz="0" w:space="0" w:color="auto"/>
        <w:left w:val="none" w:sz="0" w:space="0" w:color="auto"/>
        <w:bottom w:val="none" w:sz="0" w:space="0" w:color="auto"/>
        <w:right w:val="none" w:sz="0" w:space="0" w:color="auto"/>
      </w:divBdr>
    </w:div>
    <w:div w:id="2075855580">
      <w:bodyDiv w:val="1"/>
      <w:marLeft w:val="0"/>
      <w:marRight w:val="0"/>
      <w:marTop w:val="0"/>
      <w:marBottom w:val="0"/>
      <w:divBdr>
        <w:top w:val="none" w:sz="0" w:space="0" w:color="auto"/>
        <w:left w:val="none" w:sz="0" w:space="0" w:color="auto"/>
        <w:bottom w:val="none" w:sz="0" w:space="0" w:color="auto"/>
        <w:right w:val="none" w:sz="0" w:space="0" w:color="auto"/>
      </w:divBdr>
    </w:div>
    <w:div w:id="2107070612">
      <w:bodyDiv w:val="1"/>
      <w:marLeft w:val="0"/>
      <w:marRight w:val="0"/>
      <w:marTop w:val="0"/>
      <w:marBottom w:val="0"/>
      <w:divBdr>
        <w:top w:val="none" w:sz="0" w:space="0" w:color="auto"/>
        <w:left w:val="none" w:sz="0" w:space="0" w:color="auto"/>
        <w:bottom w:val="none" w:sz="0" w:space="0" w:color="auto"/>
        <w:right w:val="none" w:sz="0" w:space="0" w:color="auto"/>
      </w:divBdr>
    </w:div>
    <w:div w:id="2132281310">
      <w:bodyDiv w:val="1"/>
      <w:marLeft w:val="0"/>
      <w:marRight w:val="0"/>
      <w:marTop w:val="0"/>
      <w:marBottom w:val="0"/>
      <w:divBdr>
        <w:top w:val="none" w:sz="0" w:space="0" w:color="auto"/>
        <w:left w:val="none" w:sz="0" w:space="0" w:color="auto"/>
        <w:bottom w:val="none" w:sz="0" w:space="0" w:color="auto"/>
        <w:right w:val="none" w:sz="0" w:space="0" w:color="auto"/>
      </w:divBdr>
    </w:div>
    <w:div w:id="2142645449">
      <w:bodyDiv w:val="1"/>
      <w:marLeft w:val="0"/>
      <w:marRight w:val="0"/>
      <w:marTop w:val="0"/>
      <w:marBottom w:val="0"/>
      <w:divBdr>
        <w:top w:val="none" w:sz="0" w:space="0" w:color="auto"/>
        <w:left w:val="none" w:sz="0" w:space="0" w:color="auto"/>
        <w:bottom w:val="none" w:sz="0" w:space="0" w:color="auto"/>
        <w:right w:val="none" w:sz="0" w:space="0" w:color="auto"/>
      </w:divBdr>
    </w:div>
    <w:div w:id="2145615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footer" Target="footer5.xml"/><Relationship Id="rId42" Type="http://schemas.openxmlformats.org/officeDocument/2006/relationships/header" Target="header15.xml"/><Relationship Id="rId47" Type="http://schemas.openxmlformats.org/officeDocument/2006/relationships/hyperlink" Target="https://docs.google.com/spreadsheets/d/1ay2cFWjGjjnPOTBXqD-X2Kh32R4hAW4GHMUSxZxG_8g/edit?gid=1660342520" TargetMode="External"/><Relationship Id="rId63" Type="http://schemas.openxmlformats.org/officeDocument/2006/relationships/footer" Target="footer19.xml"/><Relationship Id="rId68" Type="http://schemas.openxmlformats.org/officeDocument/2006/relationships/header" Target="header21.xml"/><Relationship Id="rId16" Type="http://schemas.openxmlformats.org/officeDocument/2006/relationships/header" Target="header3.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image" Target="media/image2.png"/><Relationship Id="rId37" Type="http://schemas.openxmlformats.org/officeDocument/2006/relationships/footer" Target="footer12.xml"/><Relationship Id="rId40" Type="http://schemas.openxmlformats.org/officeDocument/2006/relationships/header" Target="header14.xml"/><Relationship Id="rId45" Type="http://schemas.openxmlformats.org/officeDocument/2006/relationships/footer" Target="footer16.xml"/><Relationship Id="rId53" Type="http://schemas.openxmlformats.org/officeDocument/2006/relationships/image" Target="media/image9.png"/><Relationship Id="rId58" Type="http://schemas.openxmlformats.org/officeDocument/2006/relationships/header" Target="header17.xml"/><Relationship Id="rId66" Type="http://schemas.openxmlformats.org/officeDocument/2006/relationships/image" Target="media/image14.jpg"/><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footer" Target="footer18.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image" Target="media/image4.png"/><Relationship Id="rId56" Type="http://schemas.openxmlformats.org/officeDocument/2006/relationships/image" Target="media/image12.png"/><Relationship Id="rId64" Type="http://schemas.openxmlformats.org/officeDocument/2006/relationships/header" Target="header20.xml"/><Relationship Id="rId69" Type="http://schemas.openxmlformats.org/officeDocument/2006/relationships/header" Target="header22.xml"/><Relationship Id="rId77"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image" Target="media/image7.png"/><Relationship Id="rId72" Type="http://schemas.openxmlformats.org/officeDocument/2006/relationships/header" Target="header23.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image" Target="media/image3.png"/><Relationship Id="rId38" Type="http://schemas.openxmlformats.org/officeDocument/2006/relationships/header" Target="header13.xml"/><Relationship Id="rId46" Type="http://schemas.openxmlformats.org/officeDocument/2006/relationships/hyperlink" Target="https://securebio.org/blog/biothreat_radar/" TargetMode="External"/><Relationship Id="rId59" Type="http://schemas.openxmlformats.org/officeDocument/2006/relationships/footer" Target="footer17.xml"/><Relationship Id="rId67" Type="http://schemas.openxmlformats.org/officeDocument/2006/relationships/image" Target="media/image15.png"/><Relationship Id="rId20" Type="http://schemas.openxmlformats.org/officeDocument/2006/relationships/footer" Target="footer4.xml"/><Relationship Id="rId41" Type="http://schemas.openxmlformats.org/officeDocument/2006/relationships/footer" Target="footer14.xml"/><Relationship Id="rId54" Type="http://schemas.openxmlformats.org/officeDocument/2006/relationships/image" Target="media/image10.png"/><Relationship Id="rId62" Type="http://schemas.openxmlformats.org/officeDocument/2006/relationships/header" Target="header19.xml"/><Relationship Id="rId70" Type="http://schemas.openxmlformats.org/officeDocument/2006/relationships/footer" Target="footer2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2.xml"/><Relationship Id="rId49" Type="http://schemas.openxmlformats.org/officeDocument/2006/relationships/image" Target="media/image5.png"/><Relationship Id="rId57" Type="http://schemas.openxmlformats.org/officeDocument/2006/relationships/image" Target="media/image13.png"/><Relationship Id="rId10" Type="http://schemas.openxmlformats.org/officeDocument/2006/relationships/endnotes" Target="endnotes.xml"/><Relationship Id="rId31" Type="http://schemas.openxmlformats.org/officeDocument/2006/relationships/footer" Target="footer10.xml"/><Relationship Id="rId44" Type="http://schemas.openxmlformats.org/officeDocument/2006/relationships/header" Target="header16.xml"/><Relationship Id="rId52" Type="http://schemas.openxmlformats.org/officeDocument/2006/relationships/image" Target="media/image8.png"/><Relationship Id="rId60" Type="http://schemas.openxmlformats.org/officeDocument/2006/relationships/header" Target="header18.xml"/><Relationship Id="rId65" Type="http://schemas.openxmlformats.org/officeDocument/2006/relationships/footer" Target="footer20.xml"/><Relationship Id="rId73" Type="http://schemas.openxmlformats.org/officeDocument/2006/relationships/footer" Target="footer2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3.xml"/><Relationship Id="rId34" Type="http://schemas.openxmlformats.org/officeDocument/2006/relationships/header" Target="header11.xml"/><Relationship Id="rId50" Type="http://schemas.openxmlformats.org/officeDocument/2006/relationships/image" Target="media/image6.png"/><Relationship Id="rId55" Type="http://schemas.openxmlformats.org/officeDocument/2006/relationships/image" Target="media/image11.png"/><Relationship Id="rId76" Type="http://schemas.microsoft.com/office/2019/05/relationships/documenttasks" Target="documenttasks/documenttasks1.xml"/><Relationship Id="rId7" Type="http://schemas.openxmlformats.org/officeDocument/2006/relationships/settings" Target="settings.xml"/><Relationship Id="rId71" Type="http://schemas.openxmlformats.org/officeDocument/2006/relationships/footer" Target="footer22.xml"/><Relationship Id="rId2" Type="http://schemas.openxmlformats.org/officeDocument/2006/relationships/customXml" Target="../customXml/item2.xml"/><Relationship Id="rId29" Type="http://schemas.openxmlformats.org/officeDocument/2006/relationships/footer" Target="footer9.xml"/></Relationships>
</file>

<file path=word/_rels/footnotes.xml.rels><?xml version="1.0" encoding="UTF-8" standalone="yes"?>
<Relationships xmlns="http://schemas.openxmlformats.org/package/2006/relationships"><Relationship Id="rId117" Type="http://schemas.openxmlformats.org/officeDocument/2006/relationships/hyperlink" Target="https://ec.europa.eu/info/law/better-regulation/have-your-say/initiatives/14627-Biotech-Act/public-consultation_en" TargetMode="External"/><Relationship Id="rId21" Type="http://schemas.openxmlformats.org/officeDocument/2006/relationships/hyperlink" Target="https://doi.org/10.1007/s40259-023-00631-4" TargetMode="External"/><Relationship Id="rId42" Type="http://schemas.openxmlformats.org/officeDocument/2006/relationships/hyperlink" Target="https://cordis.europa.eu/search?q=contenttype%3D%27project%27%20AND%20frameworkProgramme%3D%27HORIZON%27%20AND%20language%3D%27en%27%2C%27de%27%2C%27es%27%2C%27fr%27%2C%27it%27%2C%27pl%27%20AND%20(%27ATMP%27)&amp;p=1&amp;num=10&amp;srt=Relevance:decreasing" TargetMode="External"/><Relationship Id="rId63" Type="http://schemas.openxmlformats.org/officeDocument/2006/relationships/hyperlink" Target="https://zenodo.org/records/15827398" TargetMode="External"/><Relationship Id="rId84" Type="http://schemas.openxmlformats.org/officeDocument/2006/relationships/hyperlink" Target="https://www.aphis.usda.gov/sites/default/files/25-007-02air-cbidel-a1.pdf" TargetMode="External"/><Relationship Id="rId138" Type="http://schemas.openxmlformats.org/officeDocument/2006/relationships/hyperlink" Target="https://www.bridgecross.bio/mapping-chinas-biotech-hubs-where-policy-capital-and-competition-collide/" TargetMode="External"/><Relationship Id="rId159" Type="http://schemas.openxmlformats.org/officeDocument/2006/relationships/hyperlink" Target="https://www.efpia.eu/media/uj0popel/the-pharmaceutical-industry-in-figures-2025.pdf" TargetMode="External"/><Relationship Id="rId170" Type="http://schemas.openxmlformats.org/officeDocument/2006/relationships/hyperlink" Target="https://doi.org/10.1787/420bb546-en" TargetMode="External"/><Relationship Id="rId191" Type="http://schemas.openxmlformats.org/officeDocument/2006/relationships/hyperlink" Target="https://doi.org/10.1016/j.technovation.2025.102902" TargetMode="External"/><Relationship Id="rId107" Type="http://schemas.openxmlformats.org/officeDocument/2006/relationships/hyperlink" Target="https://doi.org/10.2903/j.efsa.2024.8895" TargetMode="External"/><Relationship Id="rId11" Type="http://schemas.openxmlformats.org/officeDocument/2006/relationships/hyperlink" Target="https://www.clinicalstudies.in/start-up-timelines-across-global-regions-in-clinical-trials-2/" TargetMode="External"/><Relationship Id="rId32" Type="http://schemas.openxmlformats.org/officeDocument/2006/relationships/hyperlink" Target="https://food.ec.europa.eu/document/download/fcfe7958-72ab-47b6-8b38-0c5473bde0da_en?filename=gfl_fitc_comm_staff_work_doc_2018_part1_en.pdf" TargetMode="External"/><Relationship Id="rId53" Type="http://schemas.openxmlformats.org/officeDocument/2006/relationships/hyperlink" Target="https://food.ec.europa.eu/system/files/2021-04/gmo_mod-bio_ngt_eu-study.pdf" TargetMode="External"/><Relationship Id="rId74" Type="http://schemas.openxmlformats.org/officeDocument/2006/relationships/hyperlink" Target="https://doi.org/10.1016/j.scenv.2025.100244" TargetMode="External"/><Relationship Id="rId128" Type="http://schemas.openxmlformats.org/officeDocument/2006/relationships/hyperlink" Target="https://www.wallonia.be/en/news/advanced-therapy-wallonia-invests-eu81-million-atmp" TargetMode="External"/><Relationship Id="rId149" Type="http://schemas.openxmlformats.org/officeDocument/2006/relationships/hyperlink" Target="https://assets.publishing.service.gov.uk/media/5a81f4bced915d74e3400f57/Government_Response_to__Inquiry_into_Regenerative_MedicineCm_9491.pdf" TargetMode="External"/><Relationship Id="rId5" Type="http://schemas.openxmlformats.org/officeDocument/2006/relationships/hyperlink" Target="https://ec.europa.eu/info/law/better-regulation/have-your-say/initiatives/14627-Biotech-Act/public-consultation_en" TargetMode="External"/><Relationship Id="rId95" Type="http://schemas.openxmlformats.org/officeDocument/2006/relationships/hyperlink" Target="https://one.oecd.org/document/ENV/CBC/MONO(2024)22/en/pdf" TargetMode="External"/><Relationship Id="rId160" Type="http://schemas.openxmlformats.org/officeDocument/2006/relationships/hyperlink" Target="https://www.capgemini.com/wp-content/uploads/2026/01/120126CRI_Gen-AI-in-Lifesciences-_Final-interactive.pdf" TargetMode="External"/><Relationship Id="rId181" Type="http://schemas.openxmlformats.org/officeDocument/2006/relationships/hyperlink" Target="https://edoc.mdc-berlin.de/id/eprint/22134/1/22134oa.pdf" TargetMode="External"/><Relationship Id="rId22" Type="http://schemas.openxmlformats.org/officeDocument/2006/relationships/hyperlink" Target="https://www.ema.europa.eu/en/documents/other/reflection-paper-tailored-clinical-approach-biosimilar-development_en.pdf-0" TargetMode="External"/><Relationship Id="rId43" Type="http://schemas.openxmlformats.org/officeDocument/2006/relationships/hyperlink" Target="https://alliancerm.org/wp-content/uploads/2026/01/ARM-Q4-2025-CGT-Sector-Data.pdf" TargetMode="External"/><Relationship Id="rId64" Type="http://schemas.openxmlformats.org/officeDocument/2006/relationships/hyperlink" Target="https://zenodo.org/records/18335928" TargetMode="External"/><Relationship Id="rId118" Type="http://schemas.openxmlformats.org/officeDocument/2006/relationships/hyperlink" Target="https://ec.europa.eu/info/law/better-regulation/have-your-say/initiatives/14627-Biotech-Act/public-consultation_en" TargetMode="External"/><Relationship Id="rId139" Type="http://schemas.openxmlformats.org/officeDocument/2006/relationships/hyperlink" Target="https://merics.org/en/report/lab-leader-market-ascender-chinas-rise-biotechnology" TargetMode="External"/><Relationship Id="rId85" Type="http://schemas.openxmlformats.org/officeDocument/2006/relationships/hyperlink" Target="https://www.aphis.usda.gov/sites/default/files/25-007-01air-cbidel-a1.pdf" TargetMode="External"/><Relationship Id="rId150" Type="http://schemas.openxmlformats.org/officeDocument/2006/relationships/hyperlink" Target="https://www.clustercollaboration.eu/sites/default/files/document-store/ECCP_SummaryReport_2025.pdf" TargetMode="External"/><Relationship Id="rId171" Type="http://schemas.openxmlformats.org/officeDocument/2006/relationships/hyperlink" Target="https://intuitionlabs.ai/articles/build-vs-buy-ai-biotech" TargetMode="External"/><Relationship Id="rId192" Type="http://schemas.openxmlformats.org/officeDocument/2006/relationships/hyperlink" Target="https://www.technopolis-group.com/wp-content/uploads/2020/02/Hartree-Centre-Phase-12-Baseline-Evaluation.pdf" TargetMode="External"/><Relationship Id="rId12" Type="http://schemas.openxmlformats.org/officeDocument/2006/relationships/hyperlink" Target="https://www.nature.com/articles/s41392-025-02267-y" TargetMode="External"/><Relationship Id="rId33" Type="http://schemas.openxmlformats.org/officeDocument/2006/relationships/hyperlink" Target="https://www.gpp.pt/images/Agricultura/Organizacao_da_Producao_e_Cadeia_Alimentar/CompetpositEuropfooddrinkindustFR.pdf" TargetMode="External"/><Relationship Id="rId108" Type="http://schemas.openxmlformats.org/officeDocument/2006/relationships/hyperlink" Target="https://doi.org/10.1038/s41586-018-0047-9" TargetMode="External"/><Relationship Id="rId129" Type="http://schemas.openxmlformats.org/officeDocument/2006/relationships/hyperlink" Target="https://commission.europa.eu/document/download/30a28e5a-a052-4f49-9c79-f5ec35f10527_en?filename=case-study-on-cross-border-and-multi-country-projects.pdf" TargetMode="External"/><Relationship Id="rId54" Type="http://schemas.openxmlformats.org/officeDocument/2006/relationships/hyperlink" Target="https://doi.org/10.2903/j.efsa.2024.8895" TargetMode="External"/><Relationship Id="rId75" Type="http://schemas.openxmlformats.org/officeDocument/2006/relationships/hyperlink" Target="https://doi.org/10.3390/bioengineering12090909" TargetMode="External"/><Relationship Id="rId96" Type="http://schemas.openxmlformats.org/officeDocument/2006/relationships/hyperlink" Target="https://www3.epa.gov/pesticides/chem_search/reg_actions/registration/related_PC-006474_1-Sep-99.pdf" TargetMode="External"/><Relationship Id="rId140" Type="http://schemas.openxmlformats.org/officeDocument/2006/relationships/hyperlink" Target="https://www.ukri.org/publications/enterprise-europe-network-impact-evaluation/" TargetMode="External"/><Relationship Id="rId161" Type="http://schemas.openxmlformats.org/officeDocument/2006/relationships/hyperlink" Target="https://www.capgemini.com/wp-content/uploads/2026/01/120126CRI_Gen-AI-in-Lifesciences-_Final-interactive.pdf" TargetMode="External"/><Relationship Id="rId182" Type="http://schemas.openxmlformats.org/officeDocument/2006/relationships/hyperlink" Target="https://doi.org/10.2777/02999" TargetMode="External"/><Relationship Id="rId6" Type="http://schemas.openxmlformats.org/officeDocument/2006/relationships/hyperlink" Target="https://www.rand.org/pubs/research_reports/RRA4805-1.html" TargetMode="External"/><Relationship Id="rId23" Type="http://schemas.openxmlformats.org/officeDocument/2006/relationships/hyperlink" Target="https://urldefense.com/v3/__https:/database.ich.org/sites/default/files/ICH_M18_Final_Concept_Paper_MCEndorsed_2025_1119.pdf__;!!DOxrgLBm!F7tTiwsBXg-6bSCLS1xUI-0nUdR880MZnOr_1ANcEWL9sPbz09bBS8Ae3pno4zonJ7y_916KnBNDbRgpukAp_4CzEVH9HyhgVrqI$" TargetMode="External"/><Relationship Id="rId119" Type="http://schemas.openxmlformats.org/officeDocument/2006/relationships/hyperlink" Target="https://www.boyle-associates.com/the-hidden-costs-of-regulatory-delays/" TargetMode="External"/><Relationship Id="rId44" Type="http://schemas.openxmlformats.org/officeDocument/2006/relationships/hyperlink" Target="https://reedintelligence.com/insights/regenerative-medicine-market/europe" TargetMode="External"/><Relationship Id="rId65" Type="http://schemas.openxmlformats.org/officeDocument/2006/relationships/hyperlink" Target="https://zenodo.org/records/18336181" TargetMode="External"/><Relationship Id="rId86" Type="http://schemas.openxmlformats.org/officeDocument/2006/relationships/hyperlink" Target="https://www.aphis.usda.gov/sites/default/files/25-007-01air-response.pdf" TargetMode="External"/><Relationship Id="rId130" Type="http://schemas.openxmlformats.org/officeDocument/2006/relationships/hyperlink" Target="https://digital-strategy.ec.europa.eu/en/policies/european-chips-act" TargetMode="External"/><Relationship Id="rId151" Type="http://schemas.openxmlformats.org/officeDocument/2006/relationships/hyperlink" Target="https://data.europa.eu/doi/10.2873/977418" TargetMode="External"/><Relationship Id="rId172" Type="http://schemas.openxmlformats.org/officeDocument/2006/relationships/hyperlink" Target="http://publications.europa.eu/resource/celex/52025DC0835" TargetMode="External"/><Relationship Id="rId193" Type="http://schemas.openxmlformats.org/officeDocument/2006/relationships/hyperlink" Target="https://www.bbmri-eric.eu/wp-content/uploads/Work_programme_2025-2027_WEB.pdf" TargetMode="External"/><Relationship Id="rId13" Type="http://schemas.openxmlformats.org/officeDocument/2006/relationships/hyperlink" Target="https://www.nature.com/articles/s41392-025-02267-y" TargetMode="External"/><Relationship Id="rId109" Type="http://schemas.openxmlformats.org/officeDocument/2006/relationships/hyperlink" Target="https://doi.org/10.1016/j.jtcvs.2025.08.036" TargetMode="External"/><Relationship Id="rId34" Type="http://schemas.openxmlformats.org/officeDocument/2006/relationships/hyperlink" Target="https://food.ec.europa.eu/document/download/e2029994-aa27-49f0-9ab6-18cfa81e29fe_en?filename=animal-feed_additives_eval-legis_reg-2003-429_swd_2024-46.pdf" TargetMode="External"/><Relationship Id="rId55" Type="http://schemas.openxmlformats.org/officeDocument/2006/relationships/hyperlink" Target="https://doi.org/10.2903/j.efsa.2025.9705" TargetMode="External"/><Relationship Id="rId76" Type="http://schemas.openxmlformats.org/officeDocument/2006/relationships/hyperlink" Target="https://doi.org/10.3390/cosmetics12050205" TargetMode="External"/><Relationship Id="rId97" Type="http://schemas.openxmlformats.org/officeDocument/2006/relationships/hyperlink" Target="https://bio-caretechnology.com/" TargetMode="External"/><Relationship Id="rId120" Type="http://schemas.openxmlformats.org/officeDocument/2006/relationships/hyperlink" Target="https://cinea.ec.europa.eu/news-events/news/first-pcispmis-list-data-available-transparency-platform-managed-cinea-2024-05-14_en" TargetMode="External"/><Relationship Id="rId141" Type="http://schemas.openxmlformats.org/officeDocument/2006/relationships/hyperlink" Target="https://www.ema.europa.eu/en/about-us/support-smes/sme-regulation-reports" TargetMode="External"/><Relationship Id="rId7" Type="http://schemas.openxmlformats.org/officeDocument/2006/relationships/hyperlink" Target="https://www.rand.org/pubs/research_reports/RRA4805-1.html" TargetMode="External"/><Relationship Id="rId162" Type="http://schemas.openxmlformats.org/officeDocument/2006/relationships/hyperlink" Target="https://www.capgemini.com/wp-content/uploads/2026/01/120126CRI_Gen-AI-in-Lifesciences-_Final-interactive.pdf" TargetMode="External"/><Relationship Id="rId183" Type="http://schemas.openxmlformats.org/officeDocument/2006/relationships/hyperlink" Target="https://www.elucidata.io/blog/data-mine-to-data-minefield-the-hidden-costs-of-poor-data-quality-in-biopharma-r-d" TargetMode="External"/><Relationship Id="rId2" Type="http://schemas.openxmlformats.org/officeDocument/2006/relationships/hyperlink" Target="https://commission.europa.eu/document/download/97e481fd-2dc3-412d-be4c-f152a8232961_en" TargetMode="External"/><Relationship Id="rId29" Type="http://schemas.openxmlformats.org/officeDocument/2006/relationships/hyperlink" Target="https://food.ec.europa.eu/document/download/e2029994-aa27-49f0-9ab6-18cfa81e29fe_en?filename=animal-feed_additives_eval-legis_reg-2003-429_swd_2024-46.pdf" TargetMode="External"/><Relationship Id="rId24" Type="http://schemas.openxmlformats.org/officeDocument/2006/relationships/hyperlink" Target="https://urldefense.com/v3/__https:/admin.iprp.global/sites/default/files/2024-07/IPRP_BWG_Final*20IPRP*20Scientific*20Workshop*20Summary*20Report_2024_0506.pdf__;JSUlJSU!!DOxrgLBm!F7tTiwsBXg-6bSCLS1xUI-0nUdR880MZnOr_1ANcEWL9sPbz09bBS8Ae3pno4zonJ7y_916KnBNDbRgpukAp_4CzEVH9H4Mz0IOi$" TargetMode="External"/><Relationship Id="rId40" Type="http://schemas.openxmlformats.org/officeDocument/2006/relationships/hyperlink" Target="https://www.ema.europa.eu/en/documents/scientific-guideline/reflection-paper-classification-advanced-therapy-medicinal-products_en.pdf" TargetMode="External"/><Relationship Id="rId45" Type="http://schemas.openxmlformats.org/officeDocument/2006/relationships/hyperlink" Target="https://alliancerm.org/wp-content/uploads/2025/09/FINAL_ARM_Policy-Blueprint_Biotech-Act_CEO-Letter.pdf" TargetMode="External"/><Relationship Id="rId66" Type="http://schemas.openxmlformats.org/officeDocument/2006/relationships/hyperlink" Target="https://zenodo.org/records/18336241" TargetMode="External"/><Relationship Id="rId87" Type="http://schemas.openxmlformats.org/officeDocument/2006/relationships/hyperlink" Target="https://www.aphis.usda.gov/sites/default/files/25-182-02air-response.pdf" TargetMode="External"/><Relationship Id="rId110" Type="http://schemas.openxmlformats.org/officeDocument/2006/relationships/hyperlink" Target="https://doi.org/10.1016/j.jtcvs.2019.07.087" TargetMode="External"/><Relationship Id="rId115" Type="http://schemas.openxmlformats.org/officeDocument/2006/relationships/hyperlink" Target="https://www.era-online.org/publications/chronic-kidney-disease-in-europe-the-missing-link-in-cardiovascular-risk-assessment/" TargetMode="External"/><Relationship Id="rId131" Type="http://schemas.openxmlformats.org/officeDocument/2006/relationships/hyperlink" Target="https://www.chetec-infra.eu/ta/application/?utm_source=chatgpt.com" TargetMode="External"/><Relationship Id="rId136" Type="http://schemas.openxmlformats.org/officeDocument/2006/relationships/hyperlink" Target="https://www.europabio.org/joint-statement-on-the-ec-initiative-boosting-biotechnology-and-biomanufacturing-in-the-eu/" TargetMode="External"/><Relationship Id="rId157" Type="http://schemas.openxmlformats.org/officeDocument/2006/relationships/hyperlink" Target="https://www.precedenceresearch.com/biosimilars-market" TargetMode="External"/><Relationship Id="rId178" Type="http://schemas.openxmlformats.org/officeDocument/2006/relationships/hyperlink" Target="http://espanadigital.gob.es/sites/espanadigital/files/2025-12/Estudio%20de%20Indicadores%20de%20eHealth%20de%20la%20D%C3%A9cada%20Digital%202025.pdf" TargetMode="External"/><Relationship Id="rId61" Type="http://schemas.openxmlformats.org/officeDocument/2006/relationships/hyperlink" Target="https://doi.org/10.2903/j.efsa.2026.9823" TargetMode="External"/><Relationship Id="rId82" Type="http://schemas.openxmlformats.org/officeDocument/2006/relationships/hyperlink" Target="https://one.oecd.org/document/ENV/CBC/MONO(2024)22/en/pdf" TargetMode="External"/><Relationship Id="rId152" Type="http://schemas.openxmlformats.org/officeDocument/2006/relationships/hyperlink" Target="https://www.ukri.org/publications/enterprise-europe-network-impact-evaluation/" TargetMode="External"/><Relationship Id="rId173" Type="http://schemas.openxmlformats.org/officeDocument/2006/relationships/hyperlink" Target="https://health.ec.europa.eu/ehealth-digital-health-and-care/european-health-data-space-regulation-ehds_en" TargetMode="External"/><Relationship Id="rId194" Type="http://schemas.openxmlformats.org/officeDocument/2006/relationships/hyperlink" Target="https://doi.org/10.2777/02999" TargetMode="External"/><Relationship Id="rId199" Type="http://schemas.openxmlformats.org/officeDocument/2006/relationships/hyperlink" Target="https://tehdas.eu/tehdas1/results/tehdas-identifies-funding-options-for-secondary-use-of-health-data/" TargetMode="External"/><Relationship Id="rId203" Type="http://schemas.openxmlformats.org/officeDocument/2006/relationships/hyperlink" Target="https://www.jyi.org/s/202601-RA-Abu-Mahfouz-Bias-Medical-AI.pdf" TargetMode="External"/><Relationship Id="rId19" Type="http://schemas.openxmlformats.org/officeDocument/2006/relationships/hyperlink" Target="https://www.iqvia.com/-/media/iqvia/pdfs/library/white-papers/2026/iqvia-the-impact-of-biosimilar-competition-in-europe-2026-01-26-forweb.pdf" TargetMode="External"/><Relationship Id="rId14" Type="http://schemas.openxmlformats.org/officeDocument/2006/relationships/hyperlink" Target="http://data.europa.eu/eli/dir/2001/18/oj" TargetMode="External"/><Relationship Id="rId30" Type="http://schemas.openxmlformats.org/officeDocument/2006/relationships/hyperlink" Target="https://www.efsa.europa.eu/en/applications/about/services/sme" TargetMode="External"/><Relationship Id="rId35" Type="http://schemas.openxmlformats.org/officeDocument/2006/relationships/hyperlink" Target="https://food.ec.europa.eu/document/download/fcfe7958-72ab-47b6-8b38-0c5473bde0da_en?filename=gfl_fitc_comm_staff_work_doc_2018_part1_en.pdf" TargetMode="External"/><Relationship Id="rId56" Type="http://schemas.openxmlformats.org/officeDocument/2006/relationships/hyperlink" Target="https://food.ec.europa.eu/system/files/2020-12/sci-com_scf_out178_en.pdf" TargetMode="External"/><Relationship Id="rId77" Type="http://schemas.openxmlformats.org/officeDocument/2006/relationships/hyperlink" Target="https://doi.org/10.1016/j.btre.2025.e00911" TargetMode="External"/><Relationship Id="rId100" Type="http://schemas.openxmlformats.org/officeDocument/2006/relationships/hyperlink" Target="https://www.nature.com/articles/s44221-024-00289-4" TargetMode="External"/><Relationship Id="rId105" Type="http://schemas.openxmlformats.org/officeDocument/2006/relationships/hyperlink" Target="https://www.scientificamerican.com/article/this-start-up-wants-you-to-put-custom-bacteria-on-your-teeth/" TargetMode="External"/><Relationship Id="rId126" Type="http://schemas.openxmlformats.org/officeDocument/2006/relationships/hyperlink" Target="https://www.ucb.com/newsroom/press-releases/article/ucb-expands-innovation-footprint-with-new-state-of-the-art-gene-therapy-facility" TargetMode="External"/><Relationship Id="rId147" Type="http://schemas.openxmlformats.org/officeDocument/2006/relationships/hyperlink" Target="https://somerville-partners.com/how-successful-are-the-emas-sme-initiatives/" TargetMode="External"/><Relationship Id="rId168" Type="http://schemas.openxmlformats.org/officeDocument/2006/relationships/hyperlink" Target="https://downloads.ctfassets.net/kzeezny59h5p/YpQPwDughrM22nvqp8pxl/ac49d590d9c9c74400dde6e6bf0657ea/2026-Biotech-AI-Report.pdf" TargetMode="External"/><Relationship Id="rId8" Type="http://schemas.openxmlformats.org/officeDocument/2006/relationships/hyperlink" Target="https://globalsynthesismap.bio/" TargetMode="External"/><Relationship Id="rId51" Type="http://schemas.openxmlformats.org/officeDocument/2006/relationships/hyperlink" Target="https://www.bechbruun.com/en/news/news/the-eu-biotech-act-a-targeted-solution-to-europe-s-biotech-challenges" TargetMode="External"/><Relationship Id="rId72" Type="http://schemas.openxmlformats.org/officeDocument/2006/relationships/hyperlink" Target="https://doi.org/10.1021/acssynbio.8b00423" TargetMode="External"/><Relationship Id="rId93" Type="http://schemas.openxmlformats.org/officeDocument/2006/relationships/hyperlink" Target="https://www.certisbio.com/products/bt-biolarvicides/crymax" TargetMode="External"/><Relationship Id="rId98" Type="http://schemas.openxmlformats.org/officeDocument/2006/relationships/hyperlink" Target="https://www.mdpi.com/2073-4395/10/8/1126" TargetMode="External"/><Relationship Id="rId121" Type="http://schemas.openxmlformats.org/officeDocument/2006/relationships/hyperlink" Target="https://competition-policy.ec.europa.eu/state-aid/ipcei/approved-ipceis/microelectronics-value-chain_en" TargetMode="External"/><Relationship Id="rId142" Type="http://schemas.openxmlformats.org/officeDocument/2006/relationships/hyperlink" Target="https://www.ukri.org/publications/enterprise-europe-network-impact-evaluation/" TargetMode="External"/><Relationship Id="rId163" Type="http://schemas.openxmlformats.org/officeDocument/2006/relationships/hyperlink" Target="https://www.capgemini.com/wp-content/uploads/2026/01/120126CRI_Gen-AI-in-Lifesciences-_Final-interactive.pdf" TargetMode="External"/><Relationship Id="rId184" Type="http://schemas.openxmlformats.org/officeDocument/2006/relationships/hyperlink" Target="https://www.eca.europa.eu/lists/ecadocuments/sr16_04/sr_eit_en.pdf" TargetMode="External"/><Relationship Id="rId189" Type="http://schemas.openxmlformats.org/officeDocument/2006/relationships/hyperlink" Target="https://www.oecd.org/content/dam/oecd/en/publications/reports/2018/11/oecd-science-technology-and-innovation-outlook-2018_g1g98de3/sti_in_outlook-2018-en.pdf" TargetMode="External"/><Relationship Id="rId3" Type="http://schemas.openxmlformats.org/officeDocument/2006/relationships/hyperlink" Target="https://www.consilium.europa.eu/media/ny3j24sm/much-more-than-a-market-report-by-enrico-letta.pdf" TargetMode="External"/><Relationship Id="rId25" Type="http://schemas.openxmlformats.org/officeDocument/2006/relationships/hyperlink" Target="https://www.precedenceresearch.com/biosimilars-market" TargetMode="External"/><Relationship Id="rId46" Type="http://schemas.openxmlformats.org/officeDocument/2006/relationships/hyperlink" Target="https://alliancerm.org/wp-content/uploads/2025/09/FINAL_ARM_Policy-Blueprint_Biotech-Act_CEO-Letter.pdf" TargetMode="External"/><Relationship Id="rId67" Type="http://schemas.openxmlformats.org/officeDocument/2006/relationships/hyperlink" Target="https://doi.org/10.2903/j.efsa.2026.9823" TargetMode="External"/><Relationship Id="rId116" Type="http://schemas.openxmlformats.org/officeDocument/2006/relationships/hyperlink" Target="https://eur-lex.europa.eu/legal-content/EN/TXT/?uri=celex:52024DC0063" TargetMode="External"/><Relationship Id="rId137" Type="http://schemas.openxmlformats.org/officeDocument/2006/relationships/hyperlink" Target="https://www.oecd.org/en/publications/a-comparison-of-the-innovation-and-regulatory-environments-for-biotechnology-and-biosolutions-across-the-european-union-and-the-united-states_1ec20342-en.html" TargetMode="External"/><Relationship Id="rId158" Type="http://schemas.openxmlformats.org/officeDocument/2006/relationships/hyperlink" Target="https://www.mabion.eu/science-hub/articles/why-europe-is-becoming-a-global-hub-for-biologics-manufacturing/" TargetMode="External"/><Relationship Id="rId20" Type="http://schemas.openxmlformats.org/officeDocument/2006/relationships/hyperlink" Target="https://www.medicinesforeurope.com/wp-content/uploads/2026/03/FOOTPRINT-Biotech-Act-factsheet.pdf" TargetMode="External"/><Relationship Id="rId41" Type="http://schemas.openxmlformats.org/officeDocument/2006/relationships/hyperlink" Target="https://www.ema.europa.eu/en/documents/scientific-guideline/reflection-paper-classification-advanced-therapy-medicinal-products_en.pdf" TargetMode="External"/><Relationship Id="rId62" Type="http://schemas.openxmlformats.org/officeDocument/2006/relationships/hyperlink" Target="https://doi.org/10.2903/j.efsa.2026.9824" TargetMode="External"/><Relationship Id="rId83" Type="http://schemas.openxmlformats.org/officeDocument/2006/relationships/hyperlink" Target="https://www.aphis.usda.gov/sites/default/files/25-007-02air-response.pdf" TargetMode="External"/><Relationship Id="rId88" Type="http://schemas.openxmlformats.org/officeDocument/2006/relationships/hyperlink" Target="https://www.aphis.usda.gov/sites/default/files/25-182-02air-cbidel-a2.pdf" TargetMode="External"/><Relationship Id="rId111" Type="http://schemas.openxmlformats.org/officeDocument/2006/relationships/hyperlink" Target="https://doi.org/10.21037/acs.2020.01.02" TargetMode="External"/><Relationship Id="rId132" Type="http://schemas.openxmlformats.org/officeDocument/2006/relationships/hyperlink" Target="https://www.jerico-ri.eu/ta/access-rules/?utm_source=chatgpt.com" TargetMode="External"/><Relationship Id="rId153" Type="http://schemas.openxmlformats.org/officeDocument/2006/relationships/hyperlink" Target="https://www.europarl.europa.eu/RegData/docs_autres_institutions/commission_europeenne/swd/2023/0219/COM_SWD(2023)0219_EN.pdf" TargetMode="External"/><Relationship Id="rId174" Type="http://schemas.openxmlformats.org/officeDocument/2006/relationships/hyperlink" Target="https://doi.org/10.1787/fa11a0e0-en" TargetMode="External"/><Relationship Id="rId179" Type="http://schemas.openxmlformats.org/officeDocument/2006/relationships/hyperlink" Target="https://www.oecd.org/content/dam/oecd/en/publications/reports/2025/12/country-health-profile-2025-country-notes_7e72146d/romania_ca47b392/1269b371-en.pdf" TargetMode="External"/><Relationship Id="rId195" Type="http://schemas.openxmlformats.org/officeDocument/2006/relationships/hyperlink" Target="https://doi.org/10.1787/a8d820bd-en" TargetMode="External"/><Relationship Id="rId190" Type="http://schemas.openxmlformats.org/officeDocument/2006/relationships/hyperlink" Target="https://www.eca.europa.eu/en/publications/OP-2026-10" TargetMode="External"/><Relationship Id="rId15" Type="http://schemas.openxmlformats.org/officeDocument/2006/relationships/hyperlink" Target="https://eur-lex.europa.eu/legal-content/EN/AUTO/?uri=OJ:L:2009:125:TOC" TargetMode="External"/><Relationship Id="rId36" Type="http://schemas.openxmlformats.org/officeDocument/2006/relationships/hyperlink" Target="https://food.ec.europa.eu/horizontal-topics/general-food-law/fitness-check-general-food-law_en" TargetMode="External"/><Relationship Id="rId57" Type="http://schemas.openxmlformats.org/officeDocument/2006/relationships/hyperlink" Target="https://www.fda.gov/food/food-ingredients-packaging/generally-recognized-safe-gras" TargetMode="External"/><Relationship Id="rId106" Type="http://schemas.openxmlformats.org/officeDocument/2006/relationships/hyperlink" Target="https://sfstandard.com/2025/02/22/lumina-probiotic-cavity-bioengineered-toothpaste/" TargetMode="External"/><Relationship Id="rId127" Type="http://schemas.openxmlformats.org/officeDocument/2006/relationships/hyperlink" Target="https://www.uzleuven.be/en/news/uz-leuven-and-ku-leuven-invest-14-million-euros-new-cell-and-gene-therapy-facility" TargetMode="External"/><Relationship Id="rId10" Type="http://schemas.openxmlformats.org/officeDocument/2006/relationships/hyperlink" Target="https://www.efpia.eu/media/3edpooqp/assessing-the-clinical-trial-ecosystem-in-europe.pdf" TargetMode="External"/><Relationship Id="rId31" Type="http://schemas.openxmlformats.org/officeDocument/2006/relationships/hyperlink" Target="https://food.ec.europa.eu/document/download/fcfe7958-72ab-47b6-8b38-0c5473bde0da_en?filename=gfl_fitc_comm_staff_work_doc_2018_part1_en.pdf" TargetMode="External"/><Relationship Id="rId52" Type="http://schemas.openxmlformats.org/officeDocument/2006/relationships/hyperlink" Target="https://www.eurofound.europa.eu/en/publications/all/balancing-the-clock-how-europe-works-and-rests" TargetMode="External"/><Relationship Id="rId73" Type="http://schemas.openxmlformats.org/officeDocument/2006/relationships/hyperlink" Target="https://doi.org/10.1007/s13762-022-04303-8" TargetMode="External"/><Relationship Id="rId78" Type="http://schemas.openxmlformats.org/officeDocument/2006/relationships/hyperlink" Target="https://luminaprobiotic.com/" TargetMode="External"/><Relationship Id="rId94" Type="http://schemas.openxmlformats.org/officeDocument/2006/relationships/hyperlink" Target="https://pmc.ncbi.nlm.nih.gov/articles/PMC12665435/" TargetMode="External"/><Relationship Id="rId99" Type="http://schemas.openxmlformats.org/officeDocument/2006/relationships/hyperlink" Target="https://www.paliwoda.com/lysosomeresources.php?j=home" TargetMode="External"/><Relationship Id="rId101" Type="http://schemas.openxmlformats.org/officeDocument/2006/relationships/hyperlink" Target="https://solve.mit.edu/solutions/102928" TargetMode="External"/><Relationship Id="rId122" Type="http://schemas.openxmlformats.org/officeDocument/2006/relationships/hyperlink" Target="https://ct.catapult.org.uk/about/annual-review/annual-review-2025" TargetMode="External"/><Relationship Id="rId143" Type="http://schemas.openxmlformats.org/officeDocument/2006/relationships/hyperlink" Target="https://data.europa.eu/doi/10.2873/1307895" TargetMode="External"/><Relationship Id="rId148" Type="http://schemas.openxmlformats.org/officeDocument/2006/relationships/hyperlink" Target="https://www.hta.gov.uk/guidance-professionals/guidance-sector/human-application/regulatory-advice-service-regenerative" TargetMode="External"/><Relationship Id="rId164" Type="http://schemas.openxmlformats.org/officeDocument/2006/relationships/hyperlink" Target="https://www.ema.europa.eu/en/documents/regulatory-procedural-guideline/qualification-novel-methodologies-drug-development-guidance-applicants_en.pdf" TargetMode="External"/><Relationship Id="rId169" Type="http://schemas.openxmlformats.org/officeDocument/2006/relationships/hyperlink" Target="https://downloads.ctfassets.net/kzeezny59h5p/YpQPwDughrM22nvqp8pxl/ac49d590d9c9c74400dde6e6bf0657ea/2026-Biotech-AI-Report.pdf" TargetMode="External"/><Relationship Id="rId185" Type="http://schemas.openxmlformats.org/officeDocument/2006/relationships/hyperlink" Target="https://www.eca.europa.eu/en/publications/OP-2026-10" TargetMode="External"/><Relationship Id="rId4" Type="http://schemas.openxmlformats.org/officeDocument/2006/relationships/hyperlink" Target="https://ec.europa.eu/info/law/better-regulation/have-your-say/initiatives/14627-Biotech-Act_en" TargetMode="External"/><Relationship Id="rId9" Type="http://schemas.openxmlformats.org/officeDocument/2006/relationships/hyperlink" Target="https://docs.google.com/spreadsheets/d/1oBzXTGxIRHLTF9CSiLRV6kk7EyetcX-xF1Y4ekWn5Z0/edit?gid=428955976" TargetMode="External"/><Relationship Id="rId180" Type="http://schemas.openxmlformats.org/officeDocument/2006/relationships/hyperlink" Target="https://tehdas.eu/app/uploads/2022/08/tehdas-report-on-secondary-use-of-health-data-through-european-case-studies-.pdf" TargetMode="External"/><Relationship Id="rId26" Type="http://schemas.openxmlformats.org/officeDocument/2006/relationships/hyperlink" Target="http://data.europa.eu/eli/reg/2002/178/oj" TargetMode="External"/><Relationship Id="rId47" Type="http://schemas.openxmlformats.org/officeDocument/2006/relationships/hyperlink" Target="https://alliancerm.org/wp-content/uploads/2026/01/ARM-Q4-2025-CGT-Sector-Data.pdf" TargetMode="External"/><Relationship Id="rId68" Type="http://schemas.openxmlformats.org/officeDocument/2006/relationships/hyperlink" Target="https://zenodo.org/records/18329226" TargetMode="External"/><Relationship Id="rId89" Type="http://schemas.openxmlformats.org/officeDocument/2006/relationships/hyperlink" Target="https://microbiologyjournal.org/role-of-pseudomonas-putida-ckvf1-in-alleviating-arsenic-induced-stress-in-vicia-faba-l/" TargetMode="External"/><Relationship Id="rId112" Type="http://schemas.openxmlformats.org/officeDocument/2006/relationships/hyperlink" Target="https://doi.org/10.1016/j.ajt.2026.02.025" TargetMode="External"/><Relationship Id="rId133" Type="http://schemas.openxmlformats.org/officeDocument/2006/relationships/hyperlink" Target="https://sera-ta.eucentre.it/transnational-access/?utm_source=chatgpt.com" TargetMode="External"/><Relationship Id="rId154" Type="http://schemas.openxmlformats.org/officeDocument/2006/relationships/hyperlink" Target="https://eur-lex.europa.eu/legal-content/EN/TXT/PDF/?uri=CELEX:52023SC0161" TargetMode="External"/><Relationship Id="rId175" Type="http://schemas.openxmlformats.org/officeDocument/2006/relationships/hyperlink" Target="https://www.eca.europa.eu/ECAPublications/SR-2024-25/SR-2024-25_EN.pdf" TargetMode="External"/><Relationship Id="rId196" Type="http://schemas.openxmlformats.org/officeDocument/2006/relationships/hyperlink" Target="https://biobankshealthdata.eithealth.eu/guide/costs-and-agreements/" TargetMode="External"/><Relationship Id="rId200" Type="http://schemas.openxmlformats.org/officeDocument/2006/relationships/hyperlink" Target="https://www.linkedin.com/posts/ethan-goh_new-stanfordharvard-study-widely-used-activity-7402030275485962240-ywkw" TargetMode="External"/><Relationship Id="rId16" Type="http://schemas.openxmlformats.org/officeDocument/2006/relationships/hyperlink" Target="http://data.europa.eu/eli/dir/2009/41/oj" TargetMode="External"/><Relationship Id="rId37" Type="http://schemas.openxmlformats.org/officeDocument/2006/relationships/hyperlink" Target="https://food.ec.europa.eu/horizontal-topics/general-food-law/fitness-check-general-food-law_en" TargetMode="External"/><Relationship Id="rId58" Type="http://schemas.openxmlformats.org/officeDocument/2006/relationships/hyperlink" Target="https://efsa.onlinelibrary.wiley.com/doi/10.2903/j.efsa.2007.587" TargetMode="External"/><Relationship Id="rId79" Type="http://schemas.openxmlformats.org/officeDocument/2006/relationships/hyperlink" Target="https://www.pivotbio.com/press-releases/peer-reviewed-study-validates-pivot-bios-gene-edited-microbes-as-a-third-source-of-nitrogen-delivery" TargetMode="External"/><Relationship Id="rId102" Type="http://schemas.openxmlformats.org/officeDocument/2006/relationships/hyperlink" Target="https://www.innovationnewsnetwork.com/remedy-redefining-architecture-through-engineered-living-materials/62541/" TargetMode="External"/><Relationship Id="rId123" Type="http://schemas.openxmlformats.org/officeDocument/2006/relationships/hyperlink" Target="https://www.canada.ca/en/atlantic-canada-opportunities/news/2022/06/verschuren-centre-expansion-will-help-cleantech-entrepreneurs-find-solutions-to-environmental-challenges.html" TargetMode="External"/><Relationship Id="rId144" Type="http://schemas.openxmlformats.org/officeDocument/2006/relationships/hyperlink" Target="https://eic.ec.europa.eu/eic-funding-opportunities/bas_en" TargetMode="External"/><Relationship Id="rId90" Type="http://schemas.openxmlformats.org/officeDocument/2006/relationships/hyperlink" Target="https://pubmed.ncbi.nlm.nih.gov/39999859/" TargetMode="External"/><Relationship Id="rId165" Type="http://schemas.openxmlformats.org/officeDocument/2006/relationships/hyperlink" Target="https://ec.europa.eu/regional_policy/sources/studies/assess_admin_costs.pdf" TargetMode="External"/><Relationship Id="rId186" Type="http://schemas.openxmlformats.org/officeDocument/2006/relationships/hyperlink" Target="https://www.capgemini.com/wp-content/uploads/2026/01/120126CRI_Gen-AI-in-Lifesciences-_Final-interactive.pdf" TargetMode="External"/><Relationship Id="rId27" Type="http://schemas.openxmlformats.org/officeDocument/2006/relationships/hyperlink" Target="https://eur-lex.europa.eu/legal-content/EN/TXT/PDF/?uri=CELEX:32012L0025&amp;from=EN" TargetMode="External"/><Relationship Id="rId48" Type="http://schemas.openxmlformats.org/officeDocument/2006/relationships/hyperlink" Target="https://alliancerm.org/wp-content/uploads/2026/01/ARM-Q4-2025-CGT-Sector-Data.pdf" TargetMode="External"/><Relationship Id="rId69" Type="http://schemas.openxmlformats.org/officeDocument/2006/relationships/hyperlink" Target="https://eur-lex.europa.eu/eli/dec/2017/1217/oj" TargetMode="External"/><Relationship Id="rId113" Type="http://schemas.openxmlformats.org/officeDocument/2006/relationships/hyperlink" Target="https://doi.org/10.1002/14651858.CD011671.pub2" TargetMode="External"/><Relationship Id="rId134" Type="http://schemas.openxmlformats.org/officeDocument/2006/relationships/hyperlink" Target="https://competition-policy.ec.europa.eu/system/files/2023-05/IPCEIs_DG_COMP_code_of_good_practices.pdf" TargetMode="External"/><Relationship Id="rId80" Type="http://schemas.openxmlformats.org/officeDocument/2006/relationships/hyperlink" Target="https://www.pivotbio.com/product-proven40-corn" TargetMode="External"/><Relationship Id="rId155" Type="http://schemas.openxmlformats.org/officeDocument/2006/relationships/hyperlink" Target="https://www.iqvia.com/-/media/iqvia/pdfs/library/white-papers/2026/iqvia-the-impact-of-biosimilar-competition-in-europe-2026-01-26-forweb.pdf" TargetMode="External"/><Relationship Id="rId176" Type="http://schemas.openxmlformats.org/officeDocument/2006/relationships/hyperlink" Target="http://espanadigital.gob.es/sites/espanadigital/files/2025-12/Estudio%20de%20Indicadores%20de%20eHealth%20de%20la%20D%C3%A9cada%20Digital%202025.pdf" TargetMode="External"/><Relationship Id="rId197" Type="http://schemas.openxmlformats.org/officeDocument/2006/relationships/hyperlink" Target="https://doi.org/10.2196/49445" TargetMode="External"/><Relationship Id="rId201" Type="http://schemas.openxmlformats.org/officeDocument/2006/relationships/hyperlink" Target="https://www.linkedin.com/posts/ethan-goh_new-stanfordharvard-study-widely-used-activity-7402030275485962240-ywkw" TargetMode="External"/><Relationship Id="rId17" Type="http://schemas.openxmlformats.org/officeDocument/2006/relationships/hyperlink" Target="https://eur-lex.europa.eu/legal-content/EN/TXT/?uri=COM%3A2020%3A261%3AFIN" TargetMode="External"/><Relationship Id="rId38" Type="http://schemas.openxmlformats.org/officeDocument/2006/relationships/hyperlink" Target="https://food.ec.europa.eu/document/download/fcfe7958-72ab-47b6-8b38-0c5473bde0da_en?filename=gfl_fitc_comm_staff_work_doc_2018_part1_en.pdf" TargetMode="External"/><Relationship Id="rId59" Type="http://schemas.openxmlformats.org/officeDocument/2006/relationships/hyperlink" Target="https://food.ec.europa.eu/system/files/2020-12/sci-com_scf_out178_en.pdf" TargetMode="External"/><Relationship Id="rId103" Type="http://schemas.openxmlformats.org/officeDocument/2006/relationships/hyperlink" Target="https://eic-remedy.eu/research-results/?lang=en" TargetMode="External"/><Relationship Id="rId124" Type="http://schemas.openxmlformats.org/officeDocument/2006/relationships/hyperlink" Target="https://www.rte.ie/news/business/2011/0609/302171-research-business/" TargetMode="External"/><Relationship Id="rId70" Type="http://schemas.openxmlformats.org/officeDocument/2006/relationships/hyperlink" Target="https://doi.org/10.1016/j.jhazmat.2020.124631" TargetMode="External"/><Relationship Id="rId91" Type="http://schemas.openxmlformats.org/officeDocument/2006/relationships/hyperlink" Target="https://www.crobio.com/technology" TargetMode="External"/><Relationship Id="rId145" Type="http://schemas.openxmlformats.org/officeDocument/2006/relationships/hyperlink" Target="https://www.ema.europa.eu/en/news/improving-efficiency-approval-process-new-medicines-eu" TargetMode="External"/><Relationship Id="rId166" Type="http://schemas.openxmlformats.org/officeDocument/2006/relationships/hyperlink" Target="https://doi.org/10.1787/420bb546-en" TargetMode="External"/><Relationship Id="rId187" Type="http://schemas.openxmlformats.org/officeDocument/2006/relationships/hyperlink" Target="https://www.ema.europa.eu/en/documents/report/real-world-evidence-framework-support-eu-regulatory-decision-making-3rd-report-experience-gained-regulator-led-studies-february-2024-february-2025_en.pdf" TargetMode="External"/><Relationship Id="rId1" Type="http://schemas.openxmlformats.org/officeDocument/2006/relationships/hyperlink" Target="https://eur-lex.europa.eu/legal-content/EN/TXT/?uri=CELEX:52024DC0137R(01)" TargetMode="External"/><Relationship Id="rId28" Type="http://schemas.openxmlformats.org/officeDocument/2006/relationships/hyperlink" Target="http://data.europa.eu/eli/reg/2024/1938/2024-07-17" TargetMode="External"/><Relationship Id="rId49" Type="http://schemas.openxmlformats.org/officeDocument/2006/relationships/hyperlink" Target="https://alliancerm.org/wp-content/uploads/2026/01/ARM-Q4-2025-CGT-Sector-Data.pdf" TargetMode="External"/><Relationship Id="rId114" Type="http://schemas.openxmlformats.org/officeDocument/2006/relationships/hyperlink" Target="https://doi.org/10.3389/frtra.2025.1642724" TargetMode="External"/><Relationship Id="rId60" Type="http://schemas.openxmlformats.org/officeDocument/2006/relationships/hyperlink" Target="https://efsa.onlinelibrary.wiley.com/doi/10.2903/j.efsa.2007.587" TargetMode="External"/><Relationship Id="rId81" Type="http://schemas.openxmlformats.org/officeDocument/2006/relationships/hyperlink" Target="https://www.prnewswire.com/news-releases/pivot-bio-readies-brazilian-operation-with-expanded-team-302265792.html" TargetMode="External"/><Relationship Id="rId135" Type="http://schemas.openxmlformats.org/officeDocument/2006/relationships/hyperlink" Target="https://competition-policy.ec.europa.eu/state-aid/ipcei_en" TargetMode="External"/><Relationship Id="rId156" Type="http://schemas.openxmlformats.org/officeDocument/2006/relationships/hyperlink" Target="https://doi.org/10.1007/s40259-023-00631-4" TargetMode="External"/><Relationship Id="rId177" Type="http://schemas.openxmlformats.org/officeDocument/2006/relationships/hyperlink" Target="https://doi.org/10.1787/1f6a8e9a-en" TargetMode="External"/><Relationship Id="rId198" Type="http://schemas.openxmlformats.org/officeDocument/2006/relationships/hyperlink" Target="https://www.bbmri-eric.eu/wp-content/uploads/Work_programme_2025-2027_WEB.pdf" TargetMode="External"/><Relationship Id="rId202" Type="http://schemas.openxmlformats.org/officeDocument/2006/relationships/hyperlink" Target="https://www.jyi.org/2026-january-1/2026/1/8/bias-in-medical-ai-algorithmic-fairness-and-ethics-challenges" TargetMode="External"/><Relationship Id="rId18" Type="http://schemas.openxmlformats.org/officeDocument/2006/relationships/hyperlink" Target="https://eur-lex.europa.eu/legal-content/EN/TXT/PDF/?uri=CELEX:52020DC0761" TargetMode="External"/><Relationship Id="rId39" Type="http://schemas.openxmlformats.org/officeDocument/2006/relationships/hyperlink" Target="https://foodhealthlegal.eu/?p=1380" TargetMode="External"/><Relationship Id="rId50" Type="http://schemas.openxmlformats.org/officeDocument/2006/relationships/hyperlink" Target="https://cordis.europa.eu/search?q=contenttype%3D%27project%27%20AND%20frameworkProgramme%3D%27HORIZON%27%20AND%20language%3D%27en%27%2C%27de%27%2C%27es%27%2C%27fr%27%2C%27it%27%2C%27pl%27%20AND%20(%27ATMP%27)&amp;p=1&amp;num=10&amp;srt=Relevance:decreasing" TargetMode="External"/><Relationship Id="rId104" Type="http://schemas.openxmlformats.org/officeDocument/2006/relationships/hyperlink" Target="https://luminaprobiotic.com/" TargetMode="External"/><Relationship Id="rId125" Type="http://schemas.openxmlformats.org/officeDocument/2006/relationships/hyperlink" Target="https://www.nibrt.ie/wp-content/uploads/2023/01/NIBRT-Annual-Report-2022.pdf" TargetMode="External"/><Relationship Id="rId146" Type="http://schemas.openxmlformats.org/officeDocument/2006/relationships/hyperlink" Target="https://www.ema.europa.eu/en/about-us/support-smes/sme-regulation-reports" TargetMode="External"/><Relationship Id="rId167" Type="http://schemas.openxmlformats.org/officeDocument/2006/relationships/hyperlink" Target="https://doi.org/10.1787/9848e952-en" TargetMode="External"/><Relationship Id="rId188" Type="http://schemas.openxmlformats.org/officeDocument/2006/relationships/hyperlink" Target="https://www.ema.europa.eu/en/documents/other/infosheet-ema-review-real-world-data-studies-september-2021-february-2025_en.pdf" TargetMode="External"/><Relationship Id="rId71" Type="http://schemas.openxmlformats.org/officeDocument/2006/relationships/hyperlink" Target="https://doi.org/10.3390/genes9020116" TargetMode="External"/><Relationship Id="rId92" Type="http://schemas.openxmlformats.org/officeDocument/2006/relationships/hyperlink" Target="https://patents.justia.com/patent/20230034438" TargetMode="External"/></Relationships>
</file>

<file path=word/documenttasks/documenttasks1.xml><?xml version="1.0" encoding="utf-8"?>
<t:Tasks xmlns:t="http://schemas.microsoft.com/office/tasks/2019/documenttasks" xmlns:oel="http://schemas.microsoft.com/office/2019/extlst">
  <t:Task id="{361F6C8B-5C93-4AF7-9428-9DBB72171DD8}">
    <t:Anchor>
      <t:Comment id="521792381"/>
    </t:Anchor>
    <t:History>
      <t:Event id="{1856F262-2BB4-4E8B-9C67-EC2B4F234852}" time="2026-03-16T13:43:02.548Z">
        <t:Attribution userId="S::Fabio.DATRI@ec.europa.eu::d3239632-a47b-4a00-a386-392523857abe" userProvider="AD" userName="DATRI Fabio (SANTE)"/>
        <t:Anchor>
          <t:Comment id="521792381"/>
        </t:Anchor>
        <t:Create/>
      </t:Event>
      <t:Event id="{82F86609-ACCB-4DE7-AE5D-773910803A8D}" time="2026-03-16T13:43:02.548Z">
        <t:Attribution userId="S::Fabio.DATRI@ec.europa.eu::d3239632-a47b-4a00-a386-392523857abe" userProvider="AD" userName="DATRI Fabio (SANTE)"/>
        <t:Anchor>
          <t:Comment id="521792381"/>
        </t:Anchor>
        <t:Assign userId="S::Caterina.GIOVAGNONI@ec.europa.eu::6c5fba39-f4bb-4f77-973e-f23c86d670df" userProvider="AD" userName="GIOVAGNONI Caterina (SANTE)"/>
      </t:Event>
      <t:Event id="{B6FD024F-21DB-4CA2-AE90-34CE0F1A018C}" time="2026-03-16T13:43:02.548Z">
        <t:Attribution userId="S::Fabio.DATRI@ec.europa.eu::d3239632-a47b-4a00-a386-392523857abe" userProvider="AD" userName="DATRI Fabio (SANTE)"/>
        <t:Anchor>
          <t:Comment id="521792381"/>
        </t:Anchor>
        <t:SetTitle title="@GIOVAGNONI Caterina (SANTE) , what do you mean here? Do you mean that anyway the final product would have to have an ERA and the exemption is only for the CT phase?"/>
      </t:Event>
      <t:Event id="{755E0528-6410-4223-829E-B0CCAF67E07B}" time="2026-03-17T13:57:49.016Z">
        <t:Attribution userId="S::caterina.giovagnoni@ec.europa.eu::6c5fba39-f4bb-4f77-973e-f23c86d670df" userProvider="AD" userName="GIOVAGNONI Caterina (SANTE)"/>
        <t:Progress percentComplete="100"/>
      </t:Event>
      <t:Event id="{8A58202F-6591-4122-B60B-A6DCB1A95070}" time="2026-03-17T14:54:52.497Z">
        <t:Attribution userId="S::caterina.giovagnoni@ec.europa.eu::6c5fba39-f4bb-4f77-973e-f23c86d670df" userProvider="AD" userName="GIOVAGNONI Caterina (SANTE)"/>
        <t:Progress percentComplete="100"/>
      </t:Event>
    </t:History>
  </t:Task>
  <t:Task id="{0AB13E83-3BF0-4B35-B820-6F22229F036A}">
    <t:Anchor>
      <t:Comment id="159154757"/>
    </t:Anchor>
    <t:History>
      <t:Event id="{E5906B3E-668C-4941-9658-7BD2AB5DDF49}" time="2026-03-16T13:44:27.577Z">
        <t:Attribution userId="S::Fabio.DATRI@ec.europa.eu::d3239632-a47b-4a00-a386-392523857abe" userProvider="AD" userName="DATRI Fabio (SANTE)"/>
        <t:Anchor>
          <t:Comment id="159154757"/>
        </t:Anchor>
        <t:Create/>
      </t:Event>
      <t:Event id="{496F6EAD-DA6F-40B2-A5DA-B0190BD060C4}" time="2026-03-16T13:44:27.577Z">
        <t:Attribution userId="S::Fabio.DATRI@ec.europa.eu::d3239632-a47b-4a00-a386-392523857abe" userProvider="AD" userName="DATRI Fabio (SANTE)"/>
        <t:Anchor>
          <t:Comment id="159154757"/>
        </t:Anchor>
        <t:Assign userId="S::Caterina.GIOVAGNONI@ec.europa.eu::6c5fba39-f4bb-4f77-973e-f23c86d670df" userProvider="AD" userName="GIOVAGNONI Caterina (SANTE)"/>
      </t:Event>
      <t:Event id="{D608997C-8E59-4417-8484-46D6D02F997C}" time="2026-03-16T13:44:27.577Z">
        <t:Attribution userId="S::Fabio.DATRI@ec.europa.eu::d3239632-a47b-4a00-a386-392523857abe" userProvider="AD" userName="DATRI Fabio (SANTE)"/>
        <t:Anchor>
          <t:Comment id="159154757"/>
        </t:Anchor>
        <t:SetTitle title="@GIOVAGNONI Caterina (SANTE) I would avoid linking one to one TMP with high unmet need. Maybe better to refer to breakthrough/ curative therapies"/>
      </t:Event>
    </t:History>
  </t:Task>
  <t:Task id="{372B42F8-BDC7-4990-B38B-2481104BC420}">
    <t:Anchor>
      <t:Comment id="1398116303"/>
    </t:Anchor>
    <t:History>
      <t:Event id="{35C7D46E-55F5-4780-8206-FFDA70A24649}" time="2026-03-24T09:59:39.644Z">
        <t:Attribution userId="S::Edit.SZEPESSY@ec.europa.eu::1e1bf488-308c-4620-973d-7396d95dbaf7" userProvider="AD" userName="SZEPESSY Edit (SANTE)"/>
        <t:Anchor>
          <t:Comment id="300938860"/>
        </t:Anchor>
        <t:Create/>
      </t:Event>
      <t:Event id="{3C396227-65B2-4903-9E30-42C318DCA8DF}" time="2026-03-24T09:59:39.644Z">
        <t:Attribution userId="S::Edit.SZEPESSY@ec.europa.eu::1e1bf488-308c-4620-973d-7396d95dbaf7" userProvider="AD" userName="SZEPESSY Edit (SANTE)"/>
        <t:Anchor>
          <t:Comment id="300938860"/>
        </t:Anchor>
        <t:Assign userId="S::Laura.SUAREZ-ESCOBEDO@ec.europa.eu::7580dec1-007e-4eb6-a9c2-68717f1a0518" userProvider="AD" userName="SUAREZ ESCOBEDO Laura (SANTE)"/>
      </t:Event>
      <t:Event id="{81C7033E-68AD-44AE-A023-5AC84FDC6314}" time="2026-03-24T09:59:39.644Z">
        <t:Attribution userId="S::Edit.SZEPESSY@ec.europa.eu::1e1bf488-308c-4620-973d-7396d95dbaf7" userProvider="AD" userName="SZEPESSY Edit (SANTE)"/>
        <t:Anchor>
          <t:Comment id="300938860"/>
        </t:Anchor>
        <t:SetTitle title="@SUAREZ ESCOBEDO Laura (SANTE) perfect thank you"/>
      </t:Event>
    </t:History>
  </t:Task>
  <t:Task id="{E7D5F49D-AFBC-4951-97FE-87F6AFFDA60C}">
    <t:Anchor>
      <t:Comment id="392493010"/>
    </t:Anchor>
    <t:History>
      <t:Event id="{EBA99FD3-6647-426F-A3E8-BD68FBDFDBD0}" time="2026-03-23T06:27:27.559Z">
        <t:Attribution userId="S::Edit.SZEPESSY@ec.europa.eu::1e1bf488-308c-4620-973d-7396d95dbaf7" userProvider="AD" userName="SZEPESSY Edit (SANTE)"/>
        <t:Anchor>
          <t:Comment id="392493010"/>
        </t:Anchor>
        <t:Create/>
      </t:Event>
      <t:Event id="{819BE379-BB4D-4A25-A585-5E9B6802C3E8}" time="2026-03-23T06:27:27.559Z">
        <t:Attribution userId="S::Edit.SZEPESSY@ec.europa.eu::1e1bf488-308c-4620-973d-7396d95dbaf7" userProvider="AD" userName="SZEPESSY Edit (SANTE)"/>
        <t:Anchor>
          <t:Comment id="392493010"/>
        </t:Anchor>
        <t:Assign userId="S::France.WEBER@ec.europa.eu::3b484278-e074-457d-9ce5-cebbb6f20108" userProvider="AD" userName="WEBER France (SANTE)"/>
      </t:Event>
      <t:Event id="{956CB6C9-E1C5-431C-A435-D73CF6DFA88C}" time="2026-03-23T06:27:27.559Z">
        <t:Attribution userId="S::Edit.SZEPESSY@ec.europa.eu::1e1bf488-308c-4620-973d-7396d95dbaf7" userProvider="AD" userName="SZEPESSY Edit (SANTE)"/>
        <t:Anchor>
          <t:Comment id="392493010"/>
        </t:Anchor>
        <t:SetTitle title="@WEBER France (SANTE) is this belong to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bstract xmlns="b028dedc-88e8-4c93-a042-66a8d9c7aacf" xsi:nil="true"/>
    <Pillar xmlns="b028dedc-88e8-4c93-a042-66a8d9c7aac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BE8789F8B926479CD54A9F58D67CFC" ma:contentTypeVersion="6" ma:contentTypeDescription="Create a new document." ma:contentTypeScope="" ma:versionID="267bf9432bc7d77be4b99d487a6a5303">
  <xsd:schema xmlns:xsd="http://www.w3.org/2001/XMLSchema" xmlns:xs="http://www.w3.org/2001/XMLSchema" xmlns:p="http://schemas.microsoft.com/office/2006/metadata/properties" xmlns:ns2="b028dedc-88e8-4c93-a042-66a8d9c7aacf" targetNamespace="http://schemas.microsoft.com/office/2006/metadata/properties" ma:root="true" ma:fieldsID="16e679fb1e658fa14e85fda0770e8870" ns2:_="">
    <xsd:import namespace="b028dedc-88e8-4c93-a042-66a8d9c7aa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bstract" minOccurs="0"/>
                <xsd:element ref="ns2:Pill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8dedc-88e8-4c93-a042-66a8d9c7aa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bstract" ma:index="12" nillable="true" ma:displayName="Abstract" ma:description="short summary / highlights" ma:format="Dropdown" ma:internalName="Abstract">
      <xsd:simpleType>
        <xsd:restriction base="dms:Note">
          <xsd:maxLength value="255"/>
        </xsd:restriction>
      </xsd:simpleType>
    </xsd:element>
    <xsd:element name="Pillar" ma:index="13" nillable="true" ma:displayName="Pillar" ma:format="Dropdown" ma:internalName="Pillar">
      <xsd:complexType>
        <xsd:complexContent>
          <xsd:extension base="dms:MultiChoice">
            <xsd:sequence>
              <xsd:element name="Value" maxOccurs="unbounded" minOccurs="0" nillable="true">
                <xsd:simpleType>
                  <xsd:restriction base="dms:Choice">
                    <xsd:enumeration value="Time to market"/>
                    <xsd:enumeration value="Funding"/>
                    <xsd:enumeration value="Clusters"/>
                    <xsd:enumeration value="Skills"/>
                    <xsd:enumeration value="AI &amp; Data"/>
                    <xsd:enumeration value="Defense/security"/>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33AB5D-634E-404D-A512-ED3D425893BE}">
  <ds:schemaRefs>
    <ds:schemaRef ds:uri="http://purl.org/dc/elements/1.1/"/>
    <ds:schemaRef ds:uri="http://schemas.openxmlformats.org/package/2006/metadata/core-properties"/>
    <ds:schemaRef ds:uri="http://purl.org/dc/dcmitype/"/>
    <ds:schemaRef ds:uri="http://schemas.microsoft.com/office/2006/documentManagement/types"/>
    <ds:schemaRef ds:uri="http://purl.org/dc/terms/"/>
    <ds:schemaRef ds:uri="http://schemas.microsoft.com/office/2006/metadata/properties"/>
    <ds:schemaRef ds:uri="http://www.w3.org/XML/1998/namespace"/>
    <ds:schemaRef ds:uri="http://schemas.microsoft.com/office/infopath/2007/PartnerControls"/>
    <ds:schemaRef ds:uri="b028dedc-88e8-4c93-a042-66a8d9c7aacf"/>
  </ds:schemaRefs>
</ds:datastoreItem>
</file>

<file path=customXml/itemProps2.xml><?xml version="1.0" encoding="utf-8"?>
<ds:datastoreItem xmlns:ds="http://schemas.openxmlformats.org/officeDocument/2006/customXml" ds:itemID="{BA32712E-5BC9-4787-84B2-49449C281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8dedc-88e8-4c93-a042-66a8d9c7a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F17FCC-8275-416E-8FBE-2E3A4C605DA6}">
  <ds:schemaRefs>
    <ds:schemaRef ds:uri="http://schemas.openxmlformats.org/officeDocument/2006/bibliography"/>
  </ds:schemaRefs>
</ds:datastoreItem>
</file>

<file path=customXml/itemProps4.xml><?xml version="1.0" encoding="utf-8"?>
<ds:datastoreItem xmlns:ds="http://schemas.openxmlformats.org/officeDocument/2006/customXml" ds:itemID="{4DB19F37-FEC9-41A8-A047-3078B9EF94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242</Pages>
  <Words>92142</Words>
  <Characters>551016</Characters>
  <Application>Microsoft Office Word</Application>
  <DocSecurity>0</DocSecurity>
  <Lines>20408</Lines>
  <Paragraphs>8691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634467</CharactersWithSpaces>
  <SharedDoc>false</SharedDoc>
  <HLinks>
    <vt:vector size="1284" baseType="variant">
      <vt:variant>
        <vt:i4>524407</vt:i4>
      </vt:variant>
      <vt:variant>
        <vt:i4>72</vt:i4>
      </vt:variant>
      <vt:variant>
        <vt:i4>0</vt:i4>
      </vt:variant>
      <vt:variant>
        <vt:i4>5</vt:i4>
      </vt:variant>
      <vt:variant>
        <vt:lpwstr>https://euc-word-edit.officeapps.live.com/we/wordeditorframe.aspx?ui=en-US&amp;rs=en-IE&amp;wopisrc=https%3A%2F%2Feceuropaeu.sharepoint.com%2Fteams%2FGRP-Biotech811-BiotechAct%2F_vti_bin%2Fwopi.ashx%2Ffiles%2F9d3d882d701a429a881814b2c07c3be5&amp;wdlor=c92103E67-FCEB-456D-A216-3FE1FD711385&amp;wdenableroaming=1&amp;mscc=1&amp;hid=9F6FBAD9-0649-494C-906F-EA8C3D83E7FF.0&amp;uih=sharepointcom&amp;wdlcid=en-US&amp;jsapi=1&amp;jsapiver=v2&amp;corrid=56f1a3b1-e12d-b5ca-4ede-0cefc56c1aeb&amp;usid=56f1a3b1-e12d-b5ca-4ede-0cefc56c1aeb&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1774880929500&amp;afdflight=85&amp;csiro=1&amp;instantedit=1&amp;wopicomplete=1&amp;wdredirectionreason=Unified_SingleFlush</vt:lpwstr>
      </vt:variant>
      <vt:variant>
        <vt:lpwstr>_ftn34</vt:lpwstr>
      </vt:variant>
      <vt:variant>
        <vt:i4>6226041</vt:i4>
      </vt:variant>
      <vt:variant>
        <vt:i4>63</vt:i4>
      </vt:variant>
      <vt:variant>
        <vt:i4>0</vt:i4>
      </vt:variant>
      <vt:variant>
        <vt:i4>5</vt:i4>
      </vt:variant>
      <vt:variant>
        <vt:lpwstr>https://docs.google.com/spreadsheets/d/1ay2cFWjGjjnPOTBXqD-X2Kh32R4hAW4GHMUSxZxG_8g/edit?gid=1660342520</vt:lpwstr>
      </vt:variant>
      <vt:variant>
        <vt:lpwstr>gid=1660342520</vt:lpwstr>
      </vt:variant>
      <vt:variant>
        <vt:i4>6619220</vt:i4>
      </vt:variant>
      <vt:variant>
        <vt:i4>60</vt:i4>
      </vt:variant>
      <vt:variant>
        <vt:i4>0</vt:i4>
      </vt:variant>
      <vt:variant>
        <vt:i4>5</vt:i4>
      </vt:variant>
      <vt:variant>
        <vt:lpwstr>https://securebio.org/blog/biothreat_radar/</vt:lpwstr>
      </vt:variant>
      <vt:variant>
        <vt:lpwstr/>
      </vt:variant>
      <vt:variant>
        <vt:i4>1179697</vt:i4>
      </vt:variant>
      <vt:variant>
        <vt:i4>50</vt:i4>
      </vt:variant>
      <vt:variant>
        <vt:i4>0</vt:i4>
      </vt:variant>
      <vt:variant>
        <vt:i4>5</vt:i4>
      </vt:variant>
      <vt:variant>
        <vt:lpwstr/>
      </vt:variant>
      <vt:variant>
        <vt:lpwstr>_Toc225979176</vt:lpwstr>
      </vt:variant>
      <vt:variant>
        <vt:i4>1179697</vt:i4>
      </vt:variant>
      <vt:variant>
        <vt:i4>44</vt:i4>
      </vt:variant>
      <vt:variant>
        <vt:i4>0</vt:i4>
      </vt:variant>
      <vt:variant>
        <vt:i4>5</vt:i4>
      </vt:variant>
      <vt:variant>
        <vt:lpwstr/>
      </vt:variant>
      <vt:variant>
        <vt:lpwstr>_Toc225979172</vt:lpwstr>
      </vt:variant>
      <vt:variant>
        <vt:i4>1507377</vt:i4>
      </vt:variant>
      <vt:variant>
        <vt:i4>38</vt:i4>
      </vt:variant>
      <vt:variant>
        <vt:i4>0</vt:i4>
      </vt:variant>
      <vt:variant>
        <vt:i4>5</vt:i4>
      </vt:variant>
      <vt:variant>
        <vt:lpwstr/>
      </vt:variant>
      <vt:variant>
        <vt:lpwstr>_Toc225979123</vt:lpwstr>
      </vt:variant>
      <vt:variant>
        <vt:i4>1507377</vt:i4>
      </vt:variant>
      <vt:variant>
        <vt:i4>32</vt:i4>
      </vt:variant>
      <vt:variant>
        <vt:i4>0</vt:i4>
      </vt:variant>
      <vt:variant>
        <vt:i4>5</vt:i4>
      </vt:variant>
      <vt:variant>
        <vt:lpwstr/>
      </vt:variant>
      <vt:variant>
        <vt:lpwstr>_Toc225979122</vt:lpwstr>
      </vt:variant>
      <vt:variant>
        <vt:i4>1376305</vt:i4>
      </vt:variant>
      <vt:variant>
        <vt:i4>26</vt:i4>
      </vt:variant>
      <vt:variant>
        <vt:i4>0</vt:i4>
      </vt:variant>
      <vt:variant>
        <vt:i4>5</vt:i4>
      </vt:variant>
      <vt:variant>
        <vt:lpwstr/>
      </vt:variant>
      <vt:variant>
        <vt:lpwstr>_Toc225979109</vt:lpwstr>
      </vt:variant>
      <vt:variant>
        <vt:i4>1900592</vt:i4>
      </vt:variant>
      <vt:variant>
        <vt:i4>20</vt:i4>
      </vt:variant>
      <vt:variant>
        <vt:i4>0</vt:i4>
      </vt:variant>
      <vt:variant>
        <vt:i4>5</vt:i4>
      </vt:variant>
      <vt:variant>
        <vt:lpwstr/>
      </vt:variant>
      <vt:variant>
        <vt:lpwstr>_Toc225979083</vt:lpwstr>
      </vt:variant>
      <vt:variant>
        <vt:i4>1179696</vt:i4>
      </vt:variant>
      <vt:variant>
        <vt:i4>14</vt:i4>
      </vt:variant>
      <vt:variant>
        <vt:i4>0</vt:i4>
      </vt:variant>
      <vt:variant>
        <vt:i4>5</vt:i4>
      </vt:variant>
      <vt:variant>
        <vt:lpwstr/>
      </vt:variant>
      <vt:variant>
        <vt:lpwstr>_Toc225979079</vt:lpwstr>
      </vt:variant>
      <vt:variant>
        <vt:i4>1245232</vt:i4>
      </vt:variant>
      <vt:variant>
        <vt:i4>8</vt:i4>
      </vt:variant>
      <vt:variant>
        <vt:i4>0</vt:i4>
      </vt:variant>
      <vt:variant>
        <vt:i4>5</vt:i4>
      </vt:variant>
      <vt:variant>
        <vt:lpwstr/>
      </vt:variant>
      <vt:variant>
        <vt:lpwstr>_Toc225979065</vt:lpwstr>
      </vt:variant>
      <vt:variant>
        <vt:i4>1245232</vt:i4>
      </vt:variant>
      <vt:variant>
        <vt:i4>2</vt:i4>
      </vt:variant>
      <vt:variant>
        <vt:i4>0</vt:i4>
      </vt:variant>
      <vt:variant>
        <vt:i4>5</vt:i4>
      </vt:variant>
      <vt:variant>
        <vt:lpwstr/>
      </vt:variant>
      <vt:variant>
        <vt:lpwstr>_Toc225979060</vt:lpwstr>
      </vt:variant>
      <vt:variant>
        <vt:i4>2228279</vt:i4>
      </vt:variant>
      <vt:variant>
        <vt:i4>622</vt:i4>
      </vt:variant>
      <vt:variant>
        <vt:i4>0</vt:i4>
      </vt:variant>
      <vt:variant>
        <vt:i4>5</vt:i4>
      </vt:variant>
      <vt:variant>
        <vt:lpwstr>https://www.jyi.org/s/202601-RA-Abu-Mahfouz-Bias-Medical-AI.pdf</vt:lpwstr>
      </vt:variant>
      <vt:variant>
        <vt:lpwstr/>
      </vt:variant>
      <vt:variant>
        <vt:i4>4718596</vt:i4>
      </vt:variant>
      <vt:variant>
        <vt:i4>619</vt:i4>
      </vt:variant>
      <vt:variant>
        <vt:i4>0</vt:i4>
      </vt:variant>
      <vt:variant>
        <vt:i4>5</vt:i4>
      </vt:variant>
      <vt:variant>
        <vt:lpwstr>https://www.jyi.org/2026-january-1/2026/1/8/bias-in-medical-ai-algorithmic-fairness-and-ethics-challenges</vt:lpwstr>
      </vt:variant>
      <vt:variant>
        <vt:lpwstr/>
      </vt:variant>
      <vt:variant>
        <vt:i4>4849781</vt:i4>
      </vt:variant>
      <vt:variant>
        <vt:i4>616</vt:i4>
      </vt:variant>
      <vt:variant>
        <vt:i4>0</vt:i4>
      </vt:variant>
      <vt:variant>
        <vt:i4>5</vt:i4>
      </vt:variant>
      <vt:variant>
        <vt:lpwstr>https://www.linkedin.com/posts/ethan-goh_new-stanfordharvard-study-widely-used-activity-7402030275485962240-ywkw</vt:lpwstr>
      </vt:variant>
      <vt:variant>
        <vt:lpwstr/>
      </vt:variant>
      <vt:variant>
        <vt:i4>4849781</vt:i4>
      </vt:variant>
      <vt:variant>
        <vt:i4>613</vt:i4>
      </vt:variant>
      <vt:variant>
        <vt:i4>0</vt:i4>
      </vt:variant>
      <vt:variant>
        <vt:i4>5</vt:i4>
      </vt:variant>
      <vt:variant>
        <vt:lpwstr>https://www.linkedin.com/posts/ethan-goh_new-stanfordharvard-study-widely-used-activity-7402030275485962240-ywkw</vt:lpwstr>
      </vt:variant>
      <vt:variant>
        <vt:lpwstr/>
      </vt:variant>
      <vt:variant>
        <vt:i4>524365</vt:i4>
      </vt:variant>
      <vt:variant>
        <vt:i4>610</vt:i4>
      </vt:variant>
      <vt:variant>
        <vt:i4>0</vt:i4>
      </vt:variant>
      <vt:variant>
        <vt:i4>5</vt:i4>
      </vt:variant>
      <vt:variant>
        <vt:lpwstr>https://tehdas.eu/tehdas1/results/tehdas-identifies-funding-options-for-secondary-use-of-health-data/</vt:lpwstr>
      </vt:variant>
      <vt:variant>
        <vt:lpwstr/>
      </vt:variant>
      <vt:variant>
        <vt:i4>2097163</vt:i4>
      </vt:variant>
      <vt:variant>
        <vt:i4>607</vt:i4>
      </vt:variant>
      <vt:variant>
        <vt:i4>0</vt:i4>
      </vt:variant>
      <vt:variant>
        <vt:i4>5</vt:i4>
      </vt:variant>
      <vt:variant>
        <vt:lpwstr>https://www.bbmri-eric.eu/wp-content/uploads/Work_programme_2025-2027_WEB.pdf</vt:lpwstr>
      </vt:variant>
      <vt:variant>
        <vt:lpwstr/>
      </vt:variant>
      <vt:variant>
        <vt:i4>1310813</vt:i4>
      </vt:variant>
      <vt:variant>
        <vt:i4>604</vt:i4>
      </vt:variant>
      <vt:variant>
        <vt:i4>0</vt:i4>
      </vt:variant>
      <vt:variant>
        <vt:i4>5</vt:i4>
      </vt:variant>
      <vt:variant>
        <vt:lpwstr>https://doi.org/10.2196/49445</vt:lpwstr>
      </vt:variant>
      <vt:variant>
        <vt:lpwstr/>
      </vt:variant>
      <vt:variant>
        <vt:i4>6619169</vt:i4>
      </vt:variant>
      <vt:variant>
        <vt:i4>601</vt:i4>
      </vt:variant>
      <vt:variant>
        <vt:i4>0</vt:i4>
      </vt:variant>
      <vt:variant>
        <vt:i4>5</vt:i4>
      </vt:variant>
      <vt:variant>
        <vt:lpwstr>https://biobankshealthdata.eithealth.eu/guide/costs-and-agreements/</vt:lpwstr>
      </vt:variant>
      <vt:variant>
        <vt:lpwstr/>
      </vt:variant>
      <vt:variant>
        <vt:i4>2752546</vt:i4>
      </vt:variant>
      <vt:variant>
        <vt:i4>598</vt:i4>
      </vt:variant>
      <vt:variant>
        <vt:i4>0</vt:i4>
      </vt:variant>
      <vt:variant>
        <vt:i4>5</vt:i4>
      </vt:variant>
      <vt:variant>
        <vt:lpwstr>https://doi.org/10.1787/a8d820bd-en</vt:lpwstr>
      </vt:variant>
      <vt:variant>
        <vt:lpwstr/>
      </vt:variant>
      <vt:variant>
        <vt:i4>1835091</vt:i4>
      </vt:variant>
      <vt:variant>
        <vt:i4>595</vt:i4>
      </vt:variant>
      <vt:variant>
        <vt:i4>0</vt:i4>
      </vt:variant>
      <vt:variant>
        <vt:i4>5</vt:i4>
      </vt:variant>
      <vt:variant>
        <vt:lpwstr>https://doi.org/10.2777/02999</vt:lpwstr>
      </vt:variant>
      <vt:variant>
        <vt:lpwstr/>
      </vt:variant>
      <vt:variant>
        <vt:i4>2097163</vt:i4>
      </vt:variant>
      <vt:variant>
        <vt:i4>592</vt:i4>
      </vt:variant>
      <vt:variant>
        <vt:i4>0</vt:i4>
      </vt:variant>
      <vt:variant>
        <vt:i4>5</vt:i4>
      </vt:variant>
      <vt:variant>
        <vt:lpwstr>https://www.bbmri-eric.eu/wp-content/uploads/Work_programme_2025-2027_WEB.pdf</vt:lpwstr>
      </vt:variant>
      <vt:variant>
        <vt:lpwstr/>
      </vt:variant>
      <vt:variant>
        <vt:i4>1900546</vt:i4>
      </vt:variant>
      <vt:variant>
        <vt:i4>589</vt:i4>
      </vt:variant>
      <vt:variant>
        <vt:i4>0</vt:i4>
      </vt:variant>
      <vt:variant>
        <vt:i4>5</vt:i4>
      </vt:variant>
      <vt:variant>
        <vt:lpwstr>https://www.technopolis-group.com/wp-content/uploads/2020/02/Hartree-Centre-Phase-12-Baseline-Evaluation.pdf</vt:lpwstr>
      </vt:variant>
      <vt:variant>
        <vt:lpwstr/>
      </vt:variant>
      <vt:variant>
        <vt:i4>2949178</vt:i4>
      </vt:variant>
      <vt:variant>
        <vt:i4>586</vt:i4>
      </vt:variant>
      <vt:variant>
        <vt:i4>0</vt:i4>
      </vt:variant>
      <vt:variant>
        <vt:i4>5</vt:i4>
      </vt:variant>
      <vt:variant>
        <vt:lpwstr>https://doi.org/10.1016/j.technovation.2025.102902</vt:lpwstr>
      </vt:variant>
      <vt:variant>
        <vt:lpwstr/>
      </vt:variant>
      <vt:variant>
        <vt:i4>327765</vt:i4>
      </vt:variant>
      <vt:variant>
        <vt:i4>583</vt:i4>
      </vt:variant>
      <vt:variant>
        <vt:i4>0</vt:i4>
      </vt:variant>
      <vt:variant>
        <vt:i4>5</vt:i4>
      </vt:variant>
      <vt:variant>
        <vt:lpwstr>https://www.eca.europa.eu/en/publications/OP-2026-10</vt:lpwstr>
      </vt:variant>
      <vt:variant>
        <vt:lpwstr/>
      </vt:variant>
      <vt:variant>
        <vt:i4>4915320</vt:i4>
      </vt:variant>
      <vt:variant>
        <vt:i4>580</vt:i4>
      </vt:variant>
      <vt:variant>
        <vt:i4>0</vt:i4>
      </vt:variant>
      <vt:variant>
        <vt:i4>5</vt:i4>
      </vt:variant>
      <vt:variant>
        <vt:lpwstr>https://www.oecd.org/content/dam/oecd/en/publications/reports/2018/11/oecd-science-technology-and-innovation-outlook-2018_g1g98de3/sti_in_outlook-2018-en.pdf</vt:lpwstr>
      </vt:variant>
      <vt:variant>
        <vt:lpwstr/>
      </vt:variant>
      <vt:variant>
        <vt:i4>5177387</vt:i4>
      </vt:variant>
      <vt:variant>
        <vt:i4>577</vt:i4>
      </vt:variant>
      <vt:variant>
        <vt:i4>0</vt:i4>
      </vt:variant>
      <vt:variant>
        <vt:i4>5</vt:i4>
      </vt:variant>
      <vt:variant>
        <vt:lpwstr>https://www.ema.europa.eu/en/documents/other/infosheet-ema-review-real-world-data-studies-september-2021-february-2025_en.pdf</vt:lpwstr>
      </vt:variant>
      <vt:variant>
        <vt:lpwstr/>
      </vt:variant>
      <vt:variant>
        <vt:i4>7602197</vt:i4>
      </vt:variant>
      <vt:variant>
        <vt:i4>574</vt:i4>
      </vt:variant>
      <vt:variant>
        <vt:i4>0</vt:i4>
      </vt:variant>
      <vt:variant>
        <vt:i4>5</vt:i4>
      </vt:variant>
      <vt:variant>
        <vt:lpwstr>https://www.ema.europa.eu/en/documents/report/real-world-evidence-framework-support-eu-regulatory-decision-making-3rd-report-experience-gained-regulator-led-studies-february-2024-february-2025_en.pdf</vt:lpwstr>
      </vt:variant>
      <vt:variant>
        <vt:lpwstr/>
      </vt:variant>
      <vt:variant>
        <vt:i4>786506</vt:i4>
      </vt:variant>
      <vt:variant>
        <vt:i4>571</vt:i4>
      </vt:variant>
      <vt:variant>
        <vt:i4>0</vt:i4>
      </vt:variant>
      <vt:variant>
        <vt:i4>5</vt:i4>
      </vt:variant>
      <vt:variant>
        <vt:lpwstr>https://www.capgemini.com/wp-content/uploads/2026/01/120126CRI_Gen-AI-in-Lifesciences-_Final-interactive.pdf</vt:lpwstr>
      </vt:variant>
      <vt:variant>
        <vt:lpwstr/>
      </vt:variant>
      <vt:variant>
        <vt:i4>327765</vt:i4>
      </vt:variant>
      <vt:variant>
        <vt:i4>568</vt:i4>
      </vt:variant>
      <vt:variant>
        <vt:i4>0</vt:i4>
      </vt:variant>
      <vt:variant>
        <vt:i4>5</vt:i4>
      </vt:variant>
      <vt:variant>
        <vt:lpwstr>https://www.eca.europa.eu/en/publications/OP-2026-10</vt:lpwstr>
      </vt:variant>
      <vt:variant>
        <vt:lpwstr/>
      </vt:variant>
      <vt:variant>
        <vt:i4>5832739</vt:i4>
      </vt:variant>
      <vt:variant>
        <vt:i4>565</vt:i4>
      </vt:variant>
      <vt:variant>
        <vt:i4>0</vt:i4>
      </vt:variant>
      <vt:variant>
        <vt:i4>5</vt:i4>
      </vt:variant>
      <vt:variant>
        <vt:lpwstr>https://www.eca.europa.eu/lists/ecadocuments/sr16_04/sr_eit_en.pdf</vt:lpwstr>
      </vt:variant>
      <vt:variant>
        <vt:lpwstr/>
      </vt:variant>
      <vt:variant>
        <vt:i4>327710</vt:i4>
      </vt:variant>
      <vt:variant>
        <vt:i4>562</vt:i4>
      </vt:variant>
      <vt:variant>
        <vt:i4>0</vt:i4>
      </vt:variant>
      <vt:variant>
        <vt:i4>5</vt:i4>
      </vt:variant>
      <vt:variant>
        <vt:lpwstr>https://www.elucidata.io/blog/data-mine-to-data-minefield-the-hidden-costs-of-poor-data-quality-in-biopharma-r-d</vt:lpwstr>
      </vt:variant>
      <vt:variant>
        <vt:lpwstr/>
      </vt:variant>
      <vt:variant>
        <vt:i4>1835091</vt:i4>
      </vt:variant>
      <vt:variant>
        <vt:i4>559</vt:i4>
      </vt:variant>
      <vt:variant>
        <vt:i4>0</vt:i4>
      </vt:variant>
      <vt:variant>
        <vt:i4>5</vt:i4>
      </vt:variant>
      <vt:variant>
        <vt:lpwstr>https://doi.org/10.2777/02999</vt:lpwstr>
      </vt:variant>
      <vt:variant>
        <vt:lpwstr/>
      </vt:variant>
      <vt:variant>
        <vt:i4>4653078</vt:i4>
      </vt:variant>
      <vt:variant>
        <vt:i4>556</vt:i4>
      </vt:variant>
      <vt:variant>
        <vt:i4>0</vt:i4>
      </vt:variant>
      <vt:variant>
        <vt:i4>5</vt:i4>
      </vt:variant>
      <vt:variant>
        <vt:lpwstr>https://edoc.mdc-berlin.de/id/eprint/22134/1/22134oa.pdf</vt:lpwstr>
      </vt:variant>
      <vt:variant>
        <vt:lpwstr/>
      </vt:variant>
      <vt:variant>
        <vt:i4>3735612</vt:i4>
      </vt:variant>
      <vt:variant>
        <vt:i4>553</vt:i4>
      </vt:variant>
      <vt:variant>
        <vt:i4>0</vt:i4>
      </vt:variant>
      <vt:variant>
        <vt:i4>5</vt:i4>
      </vt:variant>
      <vt:variant>
        <vt:lpwstr>https://tehdas.eu/app/uploads/2022/08/tehdas-report-on-secondary-use-of-health-data-through-european-case-studies-.pdf</vt:lpwstr>
      </vt:variant>
      <vt:variant>
        <vt:lpwstr/>
      </vt:variant>
      <vt:variant>
        <vt:i4>7929891</vt:i4>
      </vt:variant>
      <vt:variant>
        <vt:i4>550</vt:i4>
      </vt:variant>
      <vt:variant>
        <vt:i4>0</vt:i4>
      </vt:variant>
      <vt:variant>
        <vt:i4>5</vt:i4>
      </vt:variant>
      <vt:variant>
        <vt:lpwstr>https://www.oecd.org/content/dam/oecd/en/publications/reports/2025/12/country-health-profile-2025-country-notes_7e72146d/romania_ca47b392/1269b371-en.pdf</vt:lpwstr>
      </vt:variant>
      <vt:variant>
        <vt:lpwstr/>
      </vt:variant>
      <vt:variant>
        <vt:i4>3211369</vt:i4>
      </vt:variant>
      <vt:variant>
        <vt:i4>547</vt:i4>
      </vt:variant>
      <vt:variant>
        <vt:i4>0</vt:i4>
      </vt:variant>
      <vt:variant>
        <vt:i4>5</vt:i4>
      </vt:variant>
      <vt:variant>
        <vt:lpwstr>http://espanadigital.gob.es/sites/espanadigital/files/2025-12/Estudio de Indicadores de eHealth de la D%C3%A9cada Digital 2025.pdf</vt:lpwstr>
      </vt:variant>
      <vt:variant>
        <vt:lpwstr/>
      </vt:variant>
      <vt:variant>
        <vt:i4>8192113</vt:i4>
      </vt:variant>
      <vt:variant>
        <vt:i4>544</vt:i4>
      </vt:variant>
      <vt:variant>
        <vt:i4>0</vt:i4>
      </vt:variant>
      <vt:variant>
        <vt:i4>5</vt:i4>
      </vt:variant>
      <vt:variant>
        <vt:lpwstr>https://doi.org/10.1787/1f6a8e9a-en</vt:lpwstr>
      </vt:variant>
      <vt:variant>
        <vt:lpwstr/>
      </vt:variant>
      <vt:variant>
        <vt:i4>3211369</vt:i4>
      </vt:variant>
      <vt:variant>
        <vt:i4>541</vt:i4>
      </vt:variant>
      <vt:variant>
        <vt:i4>0</vt:i4>
      </vt:variant>
      <vt:variant>
        <vt:i4>5</vt:i4>
      </vt:variant>
      <vt:variant>
        <vt:lpwstr>http://espanadigital.gob.es/sites/espanadigital/files/2025-12/Estudio de Indicadores de eHealth de la D%C3%A9cada Digital 2025.pdf</vt:lpwstr>
      </vt:variant>
      <vt:variant>
        <vt:lpwstr/>
      </vt:variant>
      <vt:variant>
        <vt:i4>4194412</vt:i4>
      </vt:variant>
      <vt:variant>
        <vt:i4>538</vt:i4>
      </vt:variant>
      <vt:variant>
        <vt:i4>0</vt:i4>
      </vt:variant>
      <vt:variant>
        <vt:i4>5</vt:i4>
      </vt:variant>
      <vt:variant>
        <vt:lpwstr>https://www.eca.europa.eu/ECAPublications/SR-2024-25/SR-2024-25_EN.pdf</vt:lpwstr>
      </vt:variant>
      <vt:variant>
        <vt:lpwstr/>
      </vt:variant>
      <vt:variant>
        <vt:i4>3014692</vt:i4>
      </vt:variant>
      <vt:variant>
        <vt:i4>535</vt:i4>
      </vt:variant>
      <vt:variant>
        <vt:i4>0</vt:i4>
      </vt:variant>
      <vt:variant>
        <vt:i4>5</vt:i4>
      </vt:variant>
      <vt:variant>
        <vt:lpwstr>https://doi.org/10.1787/fa11a0e0-en</vt:lpwstr>
      </vt:variant>
      <vt:variant>
        <vt:lpwstr/>
      </vt:variant>
      <vt:variant>
        <vt:i4>4915237</vt:i4>
      </vt:variant>
      <vt:variant>
        <vt:i4>532</vt:i4>
      </vt:variant>
      <vt:variant>
        <vt:i4>0</vt:i4>
      </vt:variant>
      <vt:variant>
        <vt:i4>5</vt:i4>
      </vt:variant>
      <vt:variant>
        <vt:lpwstr>https://health.ec.europa.eu/ehealth-digital-health-and-care/european-health-data-space-regulation-ehds_en</vt:lpwstr>
      </vt:variant>
      <vt:variant>
        <vt:lpwstr/>
      </vt:variant>
      <vt:variant>
        <vt:i4>1900631</vt:i4>
      </vt:variant>
      <vt:variant>
        <vt:i4>529</vt:i4>
      </vt:variant>
      <vt:variant>
        <vt:i4>0</vt:i4>
      </vt:variant>
      <vt:variant>
        <vt:i4>5</vt:i4>
      </vt:variant>
      <vt:variant>
        <vt:lpwstr>http://publications.europa.eu/resource/celex/52025DC0835</vt:lpwstr>
      </vt:variant>
      <vt:variant>
        <vt:lpwstr/>
      </vt:variant>
      <vt:variant>
        <vt:i4>655366</vt:i4>
      </vt:variant>
      <vt:variant>
        <vt:i4>526</vt:i4>
      </vt:variant>
      <vt:variant>
        <vt:i4>0</vt:i4>
      </vt:variant>
      <vt:variant>
        <vt:i4>5</vt:i4>
      </vt:variant>
      <vt:variant>
        <vt:lpwstr>https://intuitionlabs.ai/articles/build-vs-buy-ai-biotech</vt:lpwstr>
      </vt:variant>
      <vt:variant>
        <vt:lpwstr/>
      </vt:variant>
      <vt:variant>
        <vt:i4>2949157</vt:i4>
      </vt:variant>
      <vt:variant>
        <vt:i4>523</vt:i4>
      </vt:variant>
      <vt:variant>
        <vt:i4>0</vt:i4>
      </vt:variant>
      <vt:variant>
        <vt:i4>5</vt:i4>
      </vt:variant>
      <vt:variant>
        <vt:lpwstr>https://doi.org/10.1787/420bb546-en</vt:lpwstr>
      </vt:variant>
      <vt:variant>
        <vt:lpwstr/>
      </vt:variant>
      <vt:variant>
        <vt:i4>3866729</vt:i4>
      </vt:variant>
      <vt:variant>
        <vt:i4>520</vt:i4>
      </vt:variant>
      <vt:variant>
        <vt:i4>0</vt:i4>
      </vt:variant>
      <vt:variant>
        <vt:i4>5</vt:i4>
      </vt:variant>
      <vt:variant>
        <vt:lpwstr>https://downloads.ctfassets.net/kzeezny59h5p/YpQPwDughrM22nvqp8pxl/ac49d590d9c9c74400dde6e6bf0657ea/2026-Biotech-AI-Report.pdf</vt:lpwstr>
      </vt:variant>
      <vt:variant>
        <vt:lpwstr/>
      </vt:variant>
      <vt:variant>
        <vt:i4>3866729</vt:i4>
      </vt:variant>
      <vt:variant>
        <vt:i4>517</vt:i4>
      </vt:variant>
      <vt:variant>
        <vt:i4>0</vt:i4>
      </vt:variant>
      <vt:variant>
        <vt:i4>5</vt:i4>
      </vt:variant>
      <vt:variant>
        <vt:lpwstr>https://downloads.ctfassets.net/kzeezny59h5p/YpQPwDughrM22nvqp8pxl/ac49d590d9c9c74400dde6e6bf0657ea/2026-Biotech-AI-Report.pdf</vt:lpwstr>
      </vt:variant>
      <vt:variant>
        <vt:lpwstr/>
      </vt:variant>
      <vt:variant>
        <vt:i4>7667754</vt:i4>
      </vt:variant>
      <vt:variant>
        <vt:i4>514</vt:i4>
      </vt:variant>
      <vt:variant>
        <vt:i4>0</vt:i4>
      </vt:variant>
      <vt:variant>
        <vt:i4>5</vt:i4>
      </vt:variant>
      <vt:variant>
        <vt:lpwstr>https://doi.org/10.1787/9848e952-en</vt:lpwstr>
      </vt:variant>
      <vt:variant>
        <vt:lpwstr/>
      </vt:variant>
      <vt:variant>
        <vt:i4>2949157</vt:i4>
      </vt:variant>
      <vt:variant>
        <vt:i4>511</vt:i4>
      </vt:variant>
      <vt:variant>
        <vt:i4>0</vt:i4>
      </vt:variant>
      <vt:variant>
        <vt:i4>5</vt:i4>
      </vt:variant>
      <vt:variant>
        <vt:lpwstr>https://doi.org/10.1787/420bb546-en</vt:lpwstr>
      </vt:variant>
      <vt:variant>
        <vt:lpwstr/>
      </vt:variant>
      <vt:variant>
        <vt:i4>4325501</vt:i4>
      </vt:variant>
      <vt:variant>
        <vt:i4>508</vt:i4>
      </vt:variant>
      <vt:variant>
        <vt:i4>0</vt:i4>
      </vt:variant>
      <vt:variant>
        <vt:i4>5</vt:i4>
      </vt:variant>
      <vt:variant>
        <vt:lpwstr>https://ec.europa.eu/regional_policy/sources/studies/assess_admin_costs.pdf</vt:lpwstr>
      </vt:variant>
      <vt:variant>
        <vt:lpwstr/>
      </vt:variant>
      <vt:variant>
        <vt:i4>4063311</vt:i4>
      </vt:variant>
      <vt:variant>
        <vt:i4>505</vt:i4>
      </vt:variant>
      <vt:variant>
        <vt:i4>0</vt:i4>
      </vt:variant>
      <vt:variant>
        <vt:i4>5</vt:i4>
      </vt:variant>
      <vt:variant>
        <vt:lpwstr>https://www.ema.europa.eu/en/documents/regulatory-procedural-guideline/qualification-novel-methodologies-drug-development-guidance-applicants_en.pdf</vt:lpwstr>
      </vt:variant>
      <vt:variant>
        <vt:lpwstr/>
      </vt:variant>
      <vt:variant>
        <vt:i4>786506</vt:i4>
      </vt:variant>
      <vt:variant>
        <vt:i4>502</vt:i4>
      </vt:variant>
      <vt:variant>
        <vt:i4>0</vt:i4>
      </vt:variant>
      <vt:variant>
        <vt:i4>5</vt:i4>
      </vt:variant>
      <vt:variant>
        <vt:lpwstr>https://www.capgemini.com/wp-content/uploads/2026/01/120126CRI_Gen-AI-in-Lifesciences-_Final-interactive.pdf</vt:lpwstr>
      </vt:variant>
      <vt:variant>
        <vt:lpwstr/>
      </vt:variant>
      <vt:variant>
        <vt:i4>786506</vt:i4>
      </vt:variant>
      <vt:variant>
        <vt:i4>499</vt:i4>
      </vt:variant>
      <vt:variant>
        <vt:i4>0</vt:i4>
      </vt:variant>
      <vt:variant>
        <vt:i4>5</vt:i4>
      </vt:variant>
      <vt:variant>
        <vt:lpwstr>https://www.capgemini.com/wp-content/uploads/2026/01/120126CRI_Gen-AI-in-Lifesciences-_Final-interactive.pdf</vt:lpwstr>
      </vt:variant>
      <vt:variant>
        <vt:lpwstr/>
      </vt:variant>
      <vt:variant>
        <vt:i4>786506</vt:i4>
      </vt:variant>
      <vt:variant>
        <vt:i4>496</vt:i4>
      </vt:variant>
      <vt:variant>
        <vt:i4>0</vt:i4>
      </vt:variant>
      <vt:variant>
        <vt:i4>5</vt:i4>
      </vt:variant>
      <vt:variant>
        <vt:lpwstr>https://www.capgemini.com/wp-content/uploads/2026/01/120126CRI_Gen-AI-in-Lifesciences-_Final-interactive.pdf</vt:lpwstr>
      </vt:variant>
      <vt:variant>
        <vt:lpwstr/>
      </vt:variant>
      <vt:variant>
        <vt:i4>786506</vt:i4>
      </vt:variant>
      <vt:variant>
        <vt:i4>484</vt:i4>
      </vt:variant>
      <vt:variant>
        <vt:i4>0</vt:i4>
      </vt:variant>
      <vt:variant>
        <vt:i4>5</vt:i4>
      </vt:variant>
      <vt:variant>
        <vt:lpwstr>https://www.capgemini.com/wp-content/uploads/2026/01/120126CRI_Gen-AI-in-Lifesciences-_Final-interactive.pdf</vt:lpwstr>
      </vt:variant>
      <vt:variant>
        <vt:lpwstr/>
      </vt:variant>
      <vt:variant>
        <vt:i4>3211382</vt:i4>
      </vt:variant>
      <vt:variant>
        <vt:i4>481</vt:i4>
      </vt:variant>
      <vt:variant>
        <vt:i4>0</vt:i4>
      </vt:variant>
      <vt:variant>
        <vt:i4>5</vt:i4>
      </vt:variant>
      <vt:variant>
        <vt:lpwstr>https://www.efpia.eu/media/uj0popel/the-pharmaceutical-industry-in-figures-2025.pdf</vt:lpwstr>
      </vt:variant>
      <vt:variant>
        <vt:lpwstr/>
      </vt:variant>
      <vt:variant>
        <vt:i4>4653077</vt:i4>
      </vt:variant>
      <vt:variant>
        <vt:i4>478</vt:i4>
      </vt:variant>
      <vt:variant>
        <vt:i4>0</vt:i4>
      </vt:variant>
      <vt:variant>
        <vt:i4>5</vt:i4>
      </vt:variant>
      <vt:variant>
        <vt:lpwstr>https://www.precedenceresearch.com/biosimilars-market</vt:lpwstr>
      </vt:variant>
      <vt:variant>
        <vt:lpwstr/>
      </vt:variant>
      <vt:variant>
        <vt:i4>2883639</vt:i4>
      </vt:variant>
      <vt:variant>
        <vt:i4>475</vt:i4>
      </vt:variant>
      <vt:variant>
        <vt:i4>0</vt:i4>
      </vt:variant>
      <vt:variant>
        <vt:i4>5</vt:i4>
      </vt:variant>
      <vt:variant>
        <vt:lpwstr>https://doi.org/10.1007/s40259-023-00631-4</vt:lpwstr>
      </vt:variant>
      <vt:variant>
        <vt:lpwstr/>
      </vt:variant>
      <vt:variant>
        <vt:i4>5505033</vt:i4>
      </vt:variant>
      <vt:variant>
        <vt:i4>472</vt:i4>
      </vt:variant>
      <vt:variant>
        <vt:i4>0</vt:i4>
      </vt:variant>
      <vt:variant>
        <vt:i4>5</vt:i4>
      </vt:variant>
      <vt:variant>
        <vt:lpwstr>https://www.iqvia.com/-/media/iqvia/pdfs/library/white-papers/2026/iqvia-the-impact-of-biosimilar-competition-in-europe-2026-01-26-forweb.pdf</vt:lpwstr>
      </vt:variant>
      <vt:variant>
        <vt:lpwstr/>
      </vt:variant>
      <vt:variant>
        <vt:i4>458845</vt:i4>
      </vt:variant>
      <vt:variant>
        <vt:i4>469</vt:i4>
      </vt:variant>
      <vt:variant>
        <vt:i4>0</vt:i4>
      </vt:variant>
      <vt:variant>
        <vt:i4>5</vt:i4>
      </vt:variant>
      <vt:variant>
        <vt:lpwstr>https://eur-lex.europa.eu/legal-content/EN/TXT/PDF/?uri=CELEX:52023SC0161</vt:lpwstr>
      </vt:variant>
      <vt:variant>
        <vt:lpwstr/>
      </vt:variant>
      <vt:variant>
        <vt:i4>8257618</vt:i4>
      </vt:variant>
      <vt:variant>
        <vt:i4>466</vt:i4>
      </vt:variant>
      <vt:variant>
        <vt:i4>0</vt:i4>
      </vt:variant>
      <vt:variant>
        <vt:i4>5</vt:i4>
      </vt:variant>
      <vt:variant>
        <vt:lpwstr>https://www.europarl.europa.eu/RegData/docs_autres_institutions/commission_europeenne/swd/2023/0219/COM_SWD(2023)0219_EN.pdf</vt:lpwstr>
      </vt:variant>
      <vt:variant>
        <vt:lpwstr/>
      </vt:variant>
      <vt:variant>
        <vt:i4>3997731</vt:i4>
      </vt:variant>
      <vt:variant>
        <vt:i4>463</vt:i4>
      </vt:variant>
      <vt:variant>
        <vt:i4>0</vt:i4>
      </vt:variant>
      <vt:variant>
        <vt:i4>5</vt:i4>
      </vt:variant>
      <vt:variant>
        <vt:lpwstr>https://www.ukri.org/publications/enterprise-europe-network-impact-evaluation/</vt:lpwstr>
      </vt:variant>
      <vt:variant>
        <vt:lpwstr/>
      </vt:variant>
      <vt:variant>
        <vt:i4>720918</vt:i4>
      </vt:variant>
      <vt:variant>
        <vt:i4>460</vt:i4>
      </vt:variant>
      <vt:variant>
        <vt:i4>0</vt:i4>
      </vt:variant>
      <vt:variant>
        <vt:i4>5</vt:i4>
      </vt:variant>
      <vt:variant>
        <vt:lpwstr>https://data.europa.eu/doi/10.2873/977418</vt:lpwstr>
      </vt:variant>
      <vt:variant>
        <vt:lpwstr/>
      </vt:variant>
      <vt:variant>
        <vt:i4>2424876</vt:i4>
      </vt:variant>
      <vt:variant>
        <vt:i4>457</vt:i4>
      </vt:variant>
      <vt:variant>
        <vt:i4>0</vt:i4>
      </vt:variant>
      <vt:variant>
        <vt:i4>5</vt:i4>
      </vt:variant>
      <vt:variant>
        <vt:lpwstr>https://www.clustercollaboration.eu/sites/default/files/document-store/ECCP_SummaryReport_2025.pdf</vt:lpwstr>
      </vt:variant>
      <vt:variant>
        <vt:lpwstr/>
      </vt:variant>
      <vt:variant>
        <vt:i4>5505116</vt:i4>
      </vt:variant>
      <vt:variant>
        <vt:i4>454</vt:i4>
      </vt:variant>
      <vt:variant>
        <vt:i4>0</vt:i4>
      </vt:variant>
      <vt:variant>
        <vt:i4>5</vt:i4>
      </vt:variant>
      <vt:variant>
        <vt:lpwstr>https://assets.publishing.service.gov.uk/media/5a81f4bced915d74e3400f57/Government_Response_to__Inquiry_into_Regenerative_MedicineCm_9491.pdf</vt:lpwstr>
      </vt:variant>
      <vt:variant>
        <vt:lpwstr/>
      </vt:variant>
      <vt:variant>
        <vt:i4>6881383</vt:i4>
      </vt:variant>
      <vt:variant>
        <vt:i4>451</vt:i4>
      </vt:variant>
      <vt:variant>
        <vt:i4>0</vt:i4>
      </vt:variant>
      <vt:variant>
        <vt:i4>5</vt:i4>
      </vt:variant>
      <vt:variant>
        <vt:lpwstr>https://www.hta.gov.uk/guidance-professionals/guidance-sector/human-application/regulatory-advice-service-regenerative</vt:lpwstr>
      </vt:variant>
      <vt:variant>
        <vt:lpwstr/>
      </vt:variant>
      <vt:variant>
        <vt:i4>1900610</vt:i4>
      </vt:variant>
      <vt:variant>
        <vt:i4>448</vt:i4>
      </vt:variant>
      <vt:variant>
        <vt:i4>0</vt:i4>
      </vt:variant>
      <vt:variant>
        <vt:i4>5</vt:i4>
      </vt:variant>
      <vt:variant>
        <vt:lpwstr>https://somerville-partners.com/how-successful-are-the-emas-sme-initiatives/</vt:lpwstr>
      </vt:variant>
      <vt:variant>
        <vt:lpwstr/>
      </vt:variant>
      <vt:variant>
        <vt:i4>1507356</vt:i4>
      </vt:variant>
      <vt:variant>
        <vt:i4>445</vt:i4>
      </vt:variant>
      <vt:variant>
        <vt:i4>0</vt:i4>
      </vt:variant>
      <vt:variant>
        <vt:i4>5</vt:i4>
      </vt:variant>
      <vt:variant>
        <vt:lpwstr>https://www.ema.europa.eu/en/about-us/support-smes/sme-regulation-reports</vt:lpwstr>
      </vt:variant>
      <vt:variant>
        <vt:lpwstr/>
      </vt:variant>
      <vt:variant>
        <vt:i4>5505037</vt:i4>
      </vt:variant>
      <vt:variant>
        <vt:i4>442</vt:i4>
      </vt:variant>
      <vt:variant>
        <vt:i4>0</vt:i4>
      </vt:variant>
      <vt:variant>
        <vt:i4>5</vt:i4>
      </vt:variant>
      <vt:variant>
        <vt:lpwstr>https://www.ema.europa.eu/en/news/improving-efficiency-approval-process-new-medicines-eu</vt:lpwstr>
      </vt:variant>
      <vt:variant>
        <vt:lpwstr/>
      </vt:variant>
      <vt:variant>
        <vt:i4>1441839</vt:i4>
      </vt:variant>
      <vt:variant>
        <vt:i4>439</vt:i4>
      </vt:variant>
      <vt:variant>
        <vt:i4>0</vt:i4>
      </vt:variant>
      <vt:variant>
        <vt:i4>5</vt:i4>
      </vt:variant>
      <vt:variant>
        <vt:lpwstr>https://eic.ec.europa.eu/eic-funding-opportunities/bas_en</vt:lpwstr>
      </vt:variant>
      <vt:variant>
        <vt:lpwstr/>
      </vt:variant>
      <vt:variant>
        <vt:i4>3670056</vt:i4>
      </vt:variant>
      <vt:variant>
        <vt:i4>436</vt:i4>
      </vt:variant>
      <vt:variant>
        <vt:i4>0</vt:i4>
      </vt:variant>
      <vt:variant>
        <vt:i4>5</vt:i4>
      </vt:variant>
      <vt:variant>
        <vt:lpwstr>https://data.europa.eu/doi/10.2873/1307895</vt:lpwstr>
      </vt:variant>
      <vt:variant>
        <vt:lpwstr/>
      </vt:variant>
      <vt:variant>
        <vt:i4>3997731</vt:i4>
      </vt:variant>
      <vt:variant>
        <vt:i4>433</vt:i4>
      </vt:variant>
      <vt:variant>
        <vt:i4>0</vt:i4>
      </vt:variant>
      <vt:variant>
        <vt:i4>5</vt:i4>
      </vt:variant>
      <vt:variant>
        <vt:lpwstr>https://www.ukri.org/publications/enterprise-europe-network-impact-evaluation/</vt:lpwstr>
      </vt:variant>
      <vt:variant>
        <vt:lpwstr/>
      </vt:variant>
      <vt:variant>
        <vt:i4>1507356</vt:i4>
      </vt:variant>
      <vt:variant>
        <vt:i4>430</vt:i4>
      </vt:variant>
      <vt:variant>
        <vt:i4>0</vt:i4>
      </vt:variant>
      <vt:variant>
        <vt:i4>5</vt:i4>
      </vt:variant>
      <vt:variant>
        <vt:lpwstr>https://www.ema.europa.eu/en/about-us/support-smes/sme-regulation-reports</vt:lpwstr>
      </vt:variant>
      <vt:variant>
        <vt:lpwstr/>
      </vt:variant>
      <vt:variant>
        <vt:i4>3997731</vt:i4>
      </vt:variant>
      <vt:variant>
        <vt:i4>427</vt:i4>
      </vt:variant>
      <vt:variant>
        <vt:i4>0</vt:i4>
      </vt:variant>
      <vt:variant>
        <vt:i4>5</vt:i4>
      </vt:variant>
      <vt:variant>
        <vt:lpwstr>https://www.ukri.org/publications/enterprise-europe-network-impact-evaluation/</vt:lpwstr>
      </vt:variant>
      <vt:variant>
        <vt:lpwstr/>
      </vt:variant>
      <vt:variant>
        <vt:i4>65628</vt:i4>
      </vt:variant>
      <vt:variant>
        <vt:i4>424</vt:i4>
      </vt:variant>
      <vt:variant>
        <vt:i4>0</vt:i4>
      </vt:variant>
      <vt:variant>
        <vt:i4>5</vt:i4>
      </vt:variant>
      <vt:variant>
        <vt:lpwstr>https://merics.org/en/report/lab-leader-market-ascender-chinas-rise-biotechnology</vt:lpwstr>
      </vt:variant>
      <vt:variant>
        <vt:lpwstr/>
      </vt:variant>
      <vt:variant>
        <vt:i4>1179718</vt:i4>
      </vt:variant>
      <vt:variant>
        <vt:i4>421</vt:i4>
      </vt:variant>
      <vt:variant>
        <vt:i4>0</vt:i4>
      </vt:variant>
      <vt:variant>
        <vt:i4>5</vt:i4>
      </vt:variant>
      <vt:variant>
        <vt:lpwstr>https://www.bridgecross.bio/mapping-chinas-biotech-hubs-where-policy-capital-and-competition-collide/</vt:lpwstr>
      </vt:variant>
      <vt:variant>
        <vt:lpwstr/>
      </vt:variant>
      <vt:variant>
        <vt:i4>7995412</vt:i4>
      </vt:variant>
      <vt:variant>
        <vt:i4>418</vt:i4>
      </vt:variant>
      <vt:variant>
        <vt:i4>0</vt:i4>
      </vt:variant>
      <vt:variant>
        <vt:i4>5</vt:i4>
      </vt:variant>
      <vt:variant>
        <vt:lpwstr>https://www.oecd.org/en/publications/a-comparison-of-the-innovation-and-regulatory-environments-for-biotechnology-and-biosolutions-across-the-european-union-and-the-united-states_1ec20342-en.html</vt:lpwstr>
      </vt:variant>
      <vt:variant>
        <vt:lpwstr/>
      </vt:variant>
      <vt:variant>
        <vt:i4>4456536</vt:i4>
      </vt:variant>
      <vt:variant>
        <vt:i4>415</vt:i4>
      </vt:variant>
      <vt:variant>
        <vt:i4>0</vt:i4>
      </vt:variant>
      <vt:variant>
        <vt:i4>5</vt:i4>
      </vt:variant>
      <vt:variant>
        <vt:lpwstr>https://www.europabio.org/joint-statement-on-the-ec-initiative-boosting-biotechnology-and-biomanufacturing-in-the-eu/</vt:lpwstr>
      </vt:variant>
      <vt:variant>
        <vt:lpwstr/>
      </vt:variant>
      <vt:variant>
        <vt:i4>393279</vt:i4>
      </vt:variant>
      <vt:variant>
        <vt:i4>412</vt:i4>
      </vt:variant>
      <vt:variant>
        <vt:i4>0</vt:i4>
      </vt:variant>
      <vt:variant>
        <vt:i4>5</vt:i4>
      </vt:variant>
      <vt:variant>
        <vt:lpwstr>https://competition-policy.ec.europa.eu/state-aid/ipcei_en</vt:lpwstr>
      </vt:variant>
      <vt:variant>
        <vt:lpwstr/>
      </vt:variant>
      <vt:variant>
        <vt:i4>1048642</vt:i4>
      </vt:variant>
      <vt:variant>
        <vt:i4>409</vt:i4>
      </vt:variant>
      <vt:variant>
        <vt:i4>0</vt:i4>
      </vt:variant>
      <vt:variant>
        <vt:i4>5</vt:i4>
      </vt:variant>
      <vt:variant>
        <vt:lpwstr>https://competition-policy.ec.europa.eu/system/files/2023-05/IPCEIs_DG_COMP_code_of_good_practices.pdf</vt:lpwstr>
      </vt:variant>
      <vt:variant>
        <vt:lpwstr/>
      </vt:variant>
      <vt:variant>
        <vt:i4>2818066</vt:i4>
      </vt:variant>
      <vt:variant>
        <vt:i4>406</vt:i4>
      </vt:variant>
      <vt:variant>
        <vt:i4>0</vt:i4>
      </vt:variant>
      <vt:variant>
        <vt:i4>5</vt:i4>
      </vt:variant>
      <vt:variant>
        <vt:lpwstr>https://sera-ta.eucentre.it/transnational-access/?utm_source=chatgpt.com</vt:lpwstr>
      </vt:variant>
      <vt:variant>
        <vt:lpwstr/>
      </vt:variant>
      <vt:variant>
        <vt:i4>3276890</vt:i4>
      </vt:variant>
      <vt:variant>
        <vt:i4>403</vt:i4>
      </vt:variant>
      <vt:variant>
        <vt:i4>0</vt:i4>
      </vt:variant>
      <vt:variant>
        <vt:i4>5</vt:i4>
      </vt:variant>
      <vt:variant>
        <vt:lpwstr>https://www.jerico-ri.eu/ta/access-rules/?utm_source=chatgpt.com</vt:lpwstr>
      </vt:variant>
      <vt:variant>
        <vt:lpwstr/>
      </vt:variant>
      <vt:variant>
        <vt:i4>2031668</vt:i4>
      </vt:variant>
      <vt:variant>
        <vt:i4>400</vt:i4>
      </vt:variant>
      <vt:variant>
        <vt:i4>0</vt:i4>
      </vt:variant>
      <vt:variant>
        <vt:i4>5</vt:i4>
      </vt:variant>
      <vt:variant>
        <vt:lpwstr>https://www.chetec-infra.eu/ta/application/?utm_source=chatgpt.com</vt:lpwstr>
      </vt:variant>
      <vt:variant>
        <vt:lpwstr/>
      </vt:variant>
      <vt:variant>
        <vt:i4>524307</vt:i4>
      </vt:variant>
      <vt:variant>
        <vt:i4>397</vt:i4>
      </vt:variant>
      <vt:variant>
        <vt:i4>0</vt:i4>
      </vt:variant>
      <vt:variant>
        <vt:i4>5</vt:i4>
      </vt:variant>
      <vt:variant>
        <vt:lpwstr>https://digital-strategy.ec.europa.eu/en/policies/european-chips-act</vt:lpwstr>
      </vt:variant>
      <vt:variant>
        <vt:lpwstr/>
      </vt:variant>
      <vt:variant>
        <vt:i4>7471135</vt:i4>
      </vt:variant>
      <vt:variant>
        <vt:i4>394</vt:i4>
      </vt:variant>
      <vt:variant>
        <vt:i4>0</vt:i4>
      </vt:variant>
      <vt:variant>
        <vt:i4>5</vt:i4>
      </vt:variant>
      <vt:variant>
        <vt:lpwstr>https://commission.europa.eu/document/download/30a28e5a-a052-4f49-9c79-f5ec35f10527_en?filename=case-study-on-cross-border-and-multi-country-projects.pdf</vt:lpwstr>
      </vt:variant>
      <vt:variant>
        <vt:lpwstr/>
      </vt:variant>
      <vt:variant>
        <vt:i4>7864418</vt:i4>
      </vt:variant>
      <vt:variant>
        <vt:i4>391</vt:i4>
      </vt:variant>
      <vt:variant>
        <vt:i4>0</vt:i4>
      </vt:variant>
      <vt:variant>
        <vt:i4>5</vt:i4>
      </vt:variant>
      <vt:variant>
        <vt:lpwstr>https://www.wallonia.be/en/news/advanced-therapy-wallonia-invests-eu81-million-atmp</vt:lpwstr>
      </vt:variant>
      <vt:variant>
        <vt:lpwstr/>
      </vt:variant>
      <vt:variant>
        <vt:i4>3801150</vt:i4>
      </vt:variant>
      <vt:variant>
        <vt:i4>388</vt:i4>
      </vt:variant>
      <vt:variant>
        <vt:i4>0</vt:i4>
      </vt:variant>
      <vt:variant>
        <vt:i4>5</vt:i4>
      </vt:variant>
      <vt:variant>
        <vt:lpwstr>https://www.uzleuven.be/en/news/uz-leuven-and-ku-leuven-invest-14-million-euros-new-cell-and-gene-therapy-facility</vt:lpwstr>
      </vt:variant>
      <vt:variant>
        <vt:lpwstr/>
      </vt:variant>
      <vt:variant>
        <vt:i4>1376284</vt:i4>
      </vt:variant>
      <vt:variant>
        <vt:i4>385</vt:i4>
      </vt:variant>
      <vt:variant>
        <vt:i4>0</vt:i4>
      </vt:variant>
      <vt:variant>
        <vt:i4>5</vt:i4>
      </vt:variant>
      <vt:variant>
        <vt:lpwstr>https://www.ucb.com/newsroom/press-releases/article/ucb-expands-innovation-footprint-with-new-state-of-the-art-gene-therapy-facility</vt:lpwstr>
      </vt:variant>
      <vt:variant>
        <vt:lpwstr/>
      </vt:variant>
      <vt:variant>
        <vt:i4>5767176</vt:i4>
      </vt:variant>
      <vt:variant>
        <vt:i4>382</vt:i4>
      </vt:variant>
      <vt:variant>
        <vt:i4>0</vt:i4>
      </vt:variant>
      <vt:variant>
        <vt:i4>5</vt:i4>
      </vt:variant>
      <vt:variant>
        <vt:lpwstr>https://www.nibrt.ie/wp-content/uploads/2023/01/NIBRT-Annual-Report-2022.pdf</vt:lpwstr>
      </vt:variant>
      <vt:variant>
        <vt:lpwstr/>
      </vt:variant>
      <vt:variant>
        <vt:i4>4849694</vt:i4>
      </vt:variant>
      <vt:variant>
        <vt:i4>379</vt:i4>
      </vt:variant>
      <vt:variant>
        <vt:i4>0</vt:i4>
      </vt:variant>
      <vt:variant>
        <vt:i4>5</vt:i4>
      </vt:variant>
      <vt:variant>
        <vt:lpwstr>https://www.rte.ie/news/business/2011/0609/302171-research-business/</vt:lpwstr>
      </vt:variant>
      <vt:variant>
        <vt:lpwstr/>
      </vt:variant>
      <vt:variant>
        <vt:i4>4784147</vt:i4>
      </vt:variant>
      <vt:variant>
        <vt:i4>376</vt:i4>
      </vt:variant>
      <vt:variant>
        <vt:i4>0</vt:i4>
      </vt:variant>
      <vt:variant>
        <vt:i4>5</vt:i4>
      </vt:variant>
      <vt:variant>
        <vt:lpwstr>https://www.canada.ca/en/atlantic-canada-opportunities/news/2022/06/verschuren-centre-expansion-will-help-cleantech-entrepreneurs-find-solutions-to-environmental-challenges.html</vt:lpwstr>
      </vt:variant>
      <vt:variant>
        <vt:lpwstr/>
      </vt:variant>
      <vt:variant>
        <vt:i4>852052</vt:i4>
      </vt:variant>
      <vt:variant>
        <vt:i4>373</vt:i4>
      </vt:variant>
      <vt:variant>
        <vt:i4>0</vt:i4>
      </vt:variant>
      <vt:variant>
        <vt:i4>5</vt:i4>
      </vt:variant>
      <vt:variant>
        <vt:lpwstr>https://ct.catapult.org.uk/about/annual-review/annual-review-2025</vt:lpwstr>
      </vt:variant>
      <vt:variant>
        <vt:lpwstr/>
      </vt:variant>
      <vt:variant>
        <vt:i4>2621521</vt:i4>
      </vt:variant>
      <vt:variant>
        <vt:i4>370</vt:i4>
      </vt:variant>
      <vt:variant>
        <vt:i4>0</vt:i4>
      </vt:variant>
      <vt:variant>
        <vt:i4>5</vt:i4>
      </vt:variant>
      <vt:variant>
        <vt:lpwstr>https://competition-policy.ec.europa.eu/state-aid/ipcei/approved-ipceis/microelectronics-value-chain_en</vt:lpwstr>
      </vt:variant>
      <vt:variant>
        <vt:lpwstr/>
      </vt:variant>
      <vt:variant>
        <vt:i4>2555999</vt:i4>
      </vt:variant>
      <vt:variant>
        <vt:i4>367</vt:i4>
      </vt:variant>
      <vt:variant>
        <vt:i4>0</vt:i4>
      </vt:variant>
      <vt:variant>
        <vt:i4>5</vt:i4>
      </vt:variant>
      <vt:variant>
        <vt:lpwstr>https://cinea.ec.europa.eu/news-events/news/first-pcispmis-list-data-available-transparency-platform-managed-cinea-2024-05-14_en</vt:lpwstr>
      </vt:variant>
      <vt:variant>
        <vt:lpwstr/>
      </vt:variant>
      <vt:variant>
        <vt:i4>3801140</vt:i4>
      </vt:variant>
      <vt:variant>
        <vt:i4>364</vt:i4>
      </vt:variant>
      <vt:variant>
        <vt:i4>0</vt:i4>
      </vt:variant>
      <vt:variant>
        <vt:i4>5</vt:i4>
      </vt:variant>
      <vt:variant>
        <vt:lpwstr>https://www.boyle-associates.com/the-hidden-costs-of-regulatory-delays/</vt:lpwstr>
      </vt:variant>
      <vt:variant>
        <vt:lpwstr/>
      </vt:variant>
      <vt:variant>
        <vt:i4>5570612</vt:i4>
      </vt:variant>
      <vt:variant>
        <vt:i4>361</vt:i4>
      </vt:variant>
      <vt:variant>
        <vt:i4>0</vt:i4>
      </vt:variant>
      <vt:variant>
        <vt:i4>5</vt:i4>
      </vt:variant>
      <vt:variant>
        <vt:lpwstr>https://ec.europa.eu/info/law/better-regulation/have-your-say/initiatives/14627-Biotech-Act/public-consultation_en</vt:lpwstr>
      </vt:variant>
      <vt:variant>
        <vt:lpwstr/>
      </vt:variant>
      <vt:variant>
        <vt:i4>5570612</vt:i4>
      </vt:variant>
      <vt:variant>
        <vt:i4>358</vt:i4>
      </vt:variant>
      <vt:variant>
        <vt:i4>0</vt:i4>
      </vt:variant>
      <vt:variant>
        <vt:i4>5</vt:i4>
      </vt:variant>
      <vt:variant>
        <vt:lpwstr>https://ec.europa.eu/info/law/better-regulation/have-your-say/initiatives/14627-Biotech-Act/public-consultation_en</vt:lpwstr>
      </vt:variant>
      <vt:variant>
        <vt:lpwstr/>
      </vt:variant>
      <vt:variant>
        <vt:i4>393232</vt:i4>
      </vt:variant>
      <vt:variant>
        <vt:i4>355</vt:i4>
      </vt:variant>
      <vt:variant>
        <vt:i4>0</vt:i4>
      </vt:variant>
      <vt:variant>
        <vt:i4>5</vt:i4>
      </vt:variant>
      <vt:variant>
        <vt:lpwstr>https://eur-lex.europa.eu/legal-content/EN/TXT/?uri=celex:52024DC0063</vt:lpwstr>
      </vt:variant>
      <vt:variant>
        <vt:lpwstr/>
      </vt:variant>
      <vt:variant>
        <vt:i4>1114129</vt:i4>
      </vt:variant>
      <vt:variant>
        <vt:i4>352</vt:i4>
      </vt:variant>
      <vt:variant>
        <vt:i4>0</vt:i4>
      </vt:variant>
      <vt:variant>
        <vt:i4>5</vt:i4>
      </vt:variant>
      <vt:variant>
        <vt:lpwstr>https://www.era-online.org/publications/chronic-kidney-disease-in-europe-the-missing-link-in-cardiovascular-risk-assessment/</vt:lpwstr>
      </vt:variant>
      <vt:variant>
        <vt:lpwstr/>
      </vt:variant>
      <vt:variant>
        <vt:i4>3407931</vt:i4>
      </vt:variant>
      <vt:variant>
        <vt:i4>349</vt:i4>
      </vt:variant>
      <vt:variant>
        <vt:i4>0</vt:i4>
      </vt:variant>
      <vt:variant>
        <vt:i4>5</vt:i4>
      </vt:variant>
      <vt:variant>
        <vt:lpwstr>https://doi.org/10.3389/frtra.2025.1642724</vt:lpwstr>
      </vt:variant>
      <vt:variant>
        <vt:lpwstr/>
      </vt:variant>
      <vt:variant>
        <vt:i4>3014709</vt:i4>
      </vt:variant>
      <vt:variant>
        <vt:i4>346</vt:i4>
      </vt:variant>
      <vt:variant>
        <vt:i4>0</vt:i4>
      </vt:variant>
      <vt:variant>
        <vt:i4>5</vt:i4>
      </vt:variant>
      <vt:variant>
        <vt:lpwstr>https://doi.org/10.1002/14651858.CD011671.pub2</vt:lpwstr>
      </vt:variant>
      <vt:variant>
        <vt:lpwstr/>
      </vt:variant>
      <vt:variant>
        <vt:i4>5373967</vt:i4>
      </vt:variant>
      <vt:variant>
        <vt:i4>343</vt:i4>
      </vt:variant>
      <vt:variant>
        <vt:i4>0</vt:i4>
      </vt:variant>
      <vt:variant>
        <vt:i4>5</vt:i4>
      </vt:variant>
      <vt:variant>
        <vt:lpwstr>https://doi.org/10.1016/j.ajt.2026.02.025</vt:lpwstr>
      </vt:variant>
      <vt:variant>
        <vt:lpwstr/>
      </vt:variant>
      <vt:variant>
        <vt:i4>3473444</vt:i4>
      </vt:variant>
      <vt:variant>
        <vt:i4>340</vt:i4>
      </vt:variant>
      <vt:variant>
        <vt:i4>0</vt:i4>
      </vt:variant>
      <vt:variant>
        <vt:i4>5</vt:i4>
      </vt:variant>
      <vt:variant>
        <vt:lpwstr>https://doi.org/10.21037/acs.2020.01.02</vt:lpwstr>
      </vt:variant>
      <vt:variant>
        <vt:lpwstr/>
      </vt:variant>
      <vt:variant>
        <vt:i4>4128870</vt:i4>
      </vt:variant>
      <vt:variant>
        <vt:i4>337</vt:i4>
      </vt:variant>
      <vt:variant>
        <vt:i4>0</vt:i4>
      </vt:variant>
      <vt:variant>
        <vt:i4>5</vt:i4>
      </vt:variant>
      <vt:variant>
        <vt:lpwstr>https://doi.org/10.1016/j.jtcvs.2019.07.087</vt:lpwstr>
      </vt:variant>
      <vt:variant>
        <vt:lpwstr/>
      </vt:variant>
      <vt:variant>
        <vt:i4>3670122</vt:i4>
      </vt:variant>
      <vt:variant>
        <vt:i4>334</vt:i4>
      </vt:variant>
      <vt:variant>
        <vt:i4>0</vt:i4>
      </vt:variant>
      <vt:variant>
        <vt:i4>5</vt:i4>
      </vt:variant>
      <vt:variant>
        <vt:lpwstr>https://doi.org/10.1016/j.jtcvs.2025.08.036</vt:lpwstr>
      </vt:variant>
      <vt:variant>
        <vt:lpwstr/>
      </vt:variant>
      <vt:variant>
        <vt:i4>393246</vt:i4>
      </vt:variant>
      <vt:variant>
        <vt:i4>331</vt:i4>
      </vt:variant>
      <vt:variant>
        <vt:i4>0</vt:i4>
      </vt:variant>
      <vt:variant>
        <vt:i4>5</vt:i4>
      </vt:variant>
      <vt:variant>
        <vt:lpwstr>https://doi.org/10.1038/s41586-018-0047-9</vt:lpwstr>
      </vt:variant>
      <vt:variant>
        <vt:lpwstr/>
      </vt:variant>
      <vt:variant>
        <vt:i4>1703943</vt:i4>
      </vt:variant>
      <vt:variant>
        <vt:i4>328</vt:i4>
      </vt:variant>
      <vt:variant>
        <vt:i4>0</vt:i4>
      </vt:variant>
      <vt:variant>
        <vt:i4>5</vt:i4>
      </vt:variant>
      <vt:variant>
        <vt:lpwstr>https://doi.org/10.2903/j.efsa.2024.8895</vt:lpwstr>
      </vt:variant>
      <vt:variant>
        <vt:lpwstr/>
      </vt:variant>
      <vt:variant>
        <vt:i4>6488166</vt:i4>
      </vt:variant>
      <vt:variant>
        <vt:i4>325</vt:i4>
      </vt:variant>
      <vt:variant>
        <vt:i4>0</vt:i4>
      </vt:variant>
      <vt:variant>
        <vt:i4>5</vt:i4>
      </vt:variant>
      <vt:variant>
        <vt:lpwstr>https://sfstandard.com/2025/02/22/lumina-probiotic-cavity-bioengineered-toothpaste/</vt:lpwstr>
      </vt:variant>
      <vt:variant>
        <vt:lpwstr/>
      </vt:variant>
      <vt:variant>
        <vt:i4>65608</vt:i4>
      </vt:variant>
      <vt:variant>
        <vt:i4>322</vt:i4>
      </vt:variant>
      <vt:variant>
        <vt:i4>0</vt:i4>
      </vt:variant>
      <vt:variant>
        <vt:i4>5</vt:i4>
      </vt:variant>
      <vt:variant>
        <vt:lpwstr>https://www.scientificamerican.com/article/this-start-up-wants-you-to-put-custom-bacteria-on-your-teeth/</vt:lpwstr>
      </vt:variant>
      <vt:variant>
        <vt:lpwstr/>
      </vt:variant>
      <vt:variant>
        <vt:i4>1310784</vt:i4>
      </vt:variant>
      <vt:variant>
        <vt:i4>319</vt:i4>
      </vt:variant>
      <vt:variant>
        <vt:i4>0</vt:i4>
      </vt:variant>
      <vt:variant>
        <vt:i4>5</vt:i4>
      </vt:variant>
      <vt:variant>
        <vt:lpwstr>https://luminaprobiotic.com/</vt:lpwstr>
      </vt:variant>
      <vt:variant>
        <vt:lpwstr/>
      </vt:variant>
      <vt:variant>
        <vt:i4>4063292</vt:i4>
      </vt:variant>
      <vt:variant>
        <vt:i4>316</vt:i4>
      </vt:variant>
      <vt:variant>
        <vt:i4>0</vt:i4>
      </vt:variant>
      <vt:variant>
        <vt:i4>5</vt:i4>
      </vt:variant>
      <vt:variant>
        <vt:lpwstr>https://eic-remedy.eu/research-results/?lang=en</vt:lpwstr>
      </vt:variant>
      <vt:variant>
        <vt:lpwstr/>
      </vt:variant>
      <vt:variant>
        <vt:i4>7864447</vt:i4>
      </vt:variant>
      <vt:variant>
        <vt:i4>313</vt:i4>
      </vt:variant>
      <vt:variant>
        <vt:i4>0</vt:i4>
      </vt:variant>
      <vt:variant>
        <vt:i4>5</vt:i4>
      </vt:variant>
      <vt:variant>
        <vt:lpwstr>https://www.innovationnewsnetwork.com/remedy-redefining-architecture-through-engineered-living-materials/62541/</vt:lpwstr>
      </vt:variant>
      <vt:variant>
        <vt:lpwstr/>
      </vt:variant>
      <vt:variant>
        <vt:i4>2687093</vt:i4>
      </vt:variant>
      <vt:variant>
        <vt:i4>308</vt:i4>
      </vt:variant>
      <vt:variant>
        <vt:i4>0</vt:i4>
      </vt:variant>
      <vt:variant>
        <vt:i4>5</vt:i4>
      </vt:variant>
      <vt:variant>
        <vt:lpwstr>https://solve.mit.edu/solutions/102928</vt:lpwstr>
      </vt:variant>
      <vt:variant>
        <vt:lpwstr/>
      </vt:variant>
      <vt:variant>
        <vt:i4>3604512</vt:i4>
      </vt:variant>
      <vt:variant>
        <vt:i4>305</vt:i4>
      </vt:variant>
      <vt:variant>
        <vt:i4>0</vt:i4>
      </vt:variant>
      <vt:variant>
        <vt:i4>5</vt:i4>
      </vt:variant>
      <vt:variant>
        <vt:lpwstr>https://www.nature.com/articles/s44221-024-00289-4</vt:lpwstr>
      </vt:variant>
      <vt:variant>
        <vt:lpwstr/>
      </vt:variant>
      <vt:variant>
        <vt:i4>4849675</vt:i4>
      </vt:variant>
      <vt:variant>
        <vt:i4>302</vt:i4>
      </vt:variant>
      <vt:variant>
        <vt:i4>0</vt:i4>
      </vt:variant>
      <vt:variant>
        <vt:i4>5</vt:i4>
      </vt:variant>
      <vt:variant>
        <vt:lpwstr>https://www.paliwoda.com/lysosomeresources.php?j=home</vt:lpwstr>
      </vt:variant>
      <vt:variant>
        <vt:lpwstr/>
      </vt:variant>
      <vt:variant>
        <vt:i4>5439513</vt:i4>
      </vt:variant>
      <vt:variant>
        <vt:i4>299</vt:i4>
      </vt:variant>
      <vt:variant>
        <vt:i4>0</vt:i4>
      </vt:variant>
      <vt:variant>
        <vt:i4>5</vt:i4>
      </vt:variant>
      <vt:variant>
        <vt:lpwstr>https://www.mdpi.com/2073-4395/10/8/1126</vt:lpwstr>
      </vt:variant>
      <vt:variant>
        <vt:lpwstr/>
      </vt:variant>
      <vt:variant>
        <vt:i4>2818159</vt:i4>
      </vt:variant>
      <vt:variant>
        <vt:i4>296</vt:i4>
      </vt:variant>
      <vt:variant>
        <vt:i4>0</vt:i4>
      </vt:variant>
      <vt:variant>
        <vt:i4>5</vt:i4>
      </vt:variant>
      <vt:variant>
        <vt:lpwstr>https://bio-caretechnology.com/</vt:lpwstr>
      </vt:variant>
      <vt:variant>
        <vt:lpwstr/>
      </vt:variant>
      <vt:variant>
        <vt:i4>2031632</vt:i4>
      </vt:variant>
      <vt:variant>
        <vt:i4>293</vt:i4>
      </vt:variant>
      <vt:variant>
        <vt:i4>0</vt:i4>
      </vt:variant>
      <vt:variant>
        <vt:i4>5</vt:i4>
      </vt:variant>
      <vt:variant>
        <vt:lpwstr>https://www3.epa.gov/pesticides/chem_search/reg_actions/registration/related_PC-006474_1-Sep-99.pdf</vt:lpwstr>
      </vt:variant>
      <vt:variant>
        <vt:lpwstr/>
      </vt:variant>
      <vt:variant>
        <vt:i4>4849665</vt:i4>
      </vt:variant>
      <vt:variant>
        <vt:i4>290</vt:i4>
      </vt:variant>
      <vt:variant>
        <vt:i4>0</vt:i4>
      </vt:variant>
      <vt:variant>
        <vt:i4>5</vt:i4>
      </vt:variant>
      <vt:variant>
        <vt:lpwstr>https://one.oecd.org/document/ENV/CBC/MONO(2024)22/en/pdf</vt:lpwstr>
      </vt:variant>
      <vt:variant>
        <vt:lpwstr/>
      </vt:variant>
      <vt:variant>
        <vt:i4>3342374</vt:i4>
      </vt:variant>
      <vt:variant>
        <vt:i4>287</vt:i4>
      </vt:variant>
      <vt:variant>
        <vt:i4>0</vt:i4>
      </vt:variant>
      <vt:variant>
        <vt:i4>5</vt:i4>
      </vt:variant>
      <vt:variant>
        <vt:lpwstr>https://pmc.ncbi.nlm.nih.gov/articles/PMC12665435/</vt:lpwstr>
      </vt:variant>
      <vt:variant>
        <vt:lpwstr/>
      </vt:variant>
      <vt:variant>
        <vt:i4>4063339</vt:i4>
      </vt:variant>
      <vt:variant>
        <vt:i4>284</vt:i4>
      </vt:variant>
      <vt:variant>
        <vt:i4>0</vt:i4>
      </vt:variant>
      <vt:variant>
        <vt:i4>5</vt:i4>
      </vt:variant>
      <vt:variant>
        <vt:lpwstr>https://www.certisbio.com/products/bt-biolarvicides/crymax</vt:lpwstr>
      </vt:variant>
      <vt:variant>
        <vt:lpwstr/>
      </vt:variant>
      <vt:variant>
        <vt:i4>5242880</vt:i4>
      </vt:variant>
      <vt:variant>
        <vt:i4>281</vt:i4>
      </vt:variant>
      <vt:variant>
        <vt:i4>0</vt:i4>
      </vt:variant>
      <vt:variant>
        <vt:i4>5</vt:i4>
      </vt:variant>
      <vt:variant>
        <vt:lpwstr>https://patents.justia.com/patent/20230034438</vt:lpwstr>
      </vt:variant>
      <vt:variant>
        <vt:lpwstr/>
      </vt:variant>
      <vt:variant>
        <vt:i4>4915270</vt:i4>
      </vt:variant>
      <vt:variant>
        <vt:i4>276</vt:i4>
      </vt:variant>
      <vt:variant>
        <vt:i4>0</vt:i4>
      </vt:variant>
      <vt:variant>
        <vt:i4>5</vt:i4>
      </vt:variant>
      <vt:variant>
        <vt:lpwstr>https://www.crobio.com/technology</vt:lpwstr>
      </vt:variant>
      <vt:variant>
        <vt:lpwstr/>
      </vt:variant>
      <vt:variant>
        <vt:i4>720897</vt:i4>
      </vt:variant>
      <vt:variant>
        <vt:i4>273</vt:i4>
      </vt:variant>
      <vt:variant>
        <vt:i4>0</vt:i4>
      </vt:variant>
      <vt:variant>
        <vt:i4>5</vt:i4>
      </vt:variant>
      <vt:variant>
        <vt:lpwstr>https://pubmed.ncbi.nlm.nih.gov/39999859/</vt:lpwstr>
      </vt:variant>
      <vt:variant>
        <vt:lpwstr/>
      </vt:variant>
      <vt:variant>
        <vt:i4>3211372</vt:i4>
      </vt:variant>
      <vt:variant>
        <vt:i4>270</vt:i4>
      </vt:variant>
      <vt:variant>
        <vt:i4>0</vt:i4>
      </vt:variant>
      <vt:variant>
        <vt:i4>5</vt:i4>
      </vt:variant>
      <vt:variant>
        <vt:lpwstr>https://microbiologyjournal.org/role-of-pseudomonas-putida-ckvf1-in-alleviating-arsenic-induced-stress-in-vicia-faba-l/</vt:lpwstr>
      </vt:variant>
      <vt:variant>
        <vt:lpwstr/>
      </vt:variant>
      <vt:variant>
        <vt:i4>5177367</vt:i4>
      </vt:variant>
      <vt:variant>
        <vt:i4>265</vt:i4>
      </vt:variant>
      <vt:variant>
        <vt:i4>0</vt:i4>
      </vt:variant>
      <vt:variant>
        <vt:i4>5</vt:i4>
      </vt:variant>
      <vt:variant>
        <vt:lpwstr>https://www.aphis.usda.gov/sites/default/files/25-182-02air-cbidel-a2.pdf</vt:lpwstr>
      </vt:variant>
      <vt:variant>
        <vt:lpwstr/>
      </vt:variant>
      <vt:variant>
        <vt:i4>393280</vt:i4>
      </vt:variant>
      <vt:variant>
        <vt:i4>262</vt:i4>
      </vt:variant>
      <vt:variant>
        <vt:i4>0</vt:i4>
      </vt:variant>
      <vt:variant>
        <vt:i4>5</vt:i4>
      </vt:variant>
      <vt:variant>
        <vt:lpwstr>https://www.aphis.usda.gov/sites/default/files/25-182-02air-response.pdf</vt:lpwstr>
      </vt:variant>
      <vt:variant>
        <vt:lpwstr/>
      </vt:variant>
      <vt:variant>
        <vt:i4>852036</vt:i4>
      </vt:variant>
      <vt:variant>
        <vt:i4>259</vt:i4>
      </vt:variant>
      <vt:variant>
        <vt:i4>0</vt:i4>
      </vt:variant>
      <vt:variant>
        <vt:i4>5</vt:i4>
      </vt:variant>
      <vt:variant>
        <vt:lpwstr>https://www.aphis.usda.gov/sites/default/files/25-007-01air-response.pdf</vt:lpwstr>
      </vt:variant>
      <vt:variant>
        <vt:lpwstr/>
      </vt:variant>
      <vt:variant>
        <vt:i4>4456464</vt:i4>
      </vt:variant>
      <vt:variant>
        <vt:i4>254</vt:i4>
      </vt:variant>
      <vt:variant>
        <vt:i4>0</vt:i4>
      </vt:variant>
      <vt:variant>
        <vt:i4>5</vt:i4>
      </vt:variant>
      <vt:variant>
        <vt:lpwstr>https://www.aphis.usda.gov/sites/default/files/25-007-01air-cbidel-a1.pdf</vt:lpwstr>
      </vt:variant>
      <vt:variant>
        <vt:lpwstr/>
      </vt:variant>
      <vt:variant>
        <vt:i4>4653072</vt:i4>
      </vt:variant>
      <vt:variant>
        <vt:i4>251</vt:i4>
      </vt:variant>
      <vt:variant>
        <vt:i4>0</vt:i4>
      </vt:variant>
      <vt:variant>
        <vt:i4>5</vt:i4>
      </vt:variant>
      <vt:variant>
        <vt:lpwstr>https://www.aphis.usda.gov/sites/default/files/25-007-02air-cbidel-a1.pdf</vt:lpwstr>
      </vt:variant>
      <vt:variant>
        <vt:lpwstr/>
      </vt:variant>
      <vt:variant>
        <vt:i4>917572</vt:i4>
      </vt:variant>
      <vt:variant>
        <vt:i4>248</vt:i4>
      </vt:variant>
      <vt:variant>
        <vt:i4>0</vt:i4>
      </vt:variant>
      <vt:variant>
        <vt:i4>5</vt:i4>
      </vt:variant>
      <vt:variant>
        <vt:lpwstr>https://www.aphis.usda.gov/sites/default/files/25-007-02air-response.pdf</vt:lpwstr>
      </vt:variant>
      <vt:variant>
        <vt:lpwstr/>
      </vt:variant>
      <vt:variant>
        <vt:i4>4849665</vt:i4>
      </vt:variant>
      <vt:variant>
        <vt:i4>245</vt:i4>
      </vt:variant>
      <vt:variant>
        <vt:i4>0</vt:i4>
      </vt:variant>
      <vt:variant>
        <vt:i4>5</vt:i4>
      </vt:variant>
      <vt:variant>
        <vt:lpwstr>https://one.oecd.org/document/ENV/CBC/MONO(2024)22/en/pdf</vt:lpwstr>
      </vt:variant>
      <vt:variant>
        <vt:lpwstr/>
      </vt:variant>
      <vt:variant>
        <vt:i4>5898326</vt:i4>
      </vt:variant>
      <vt:variant>
        <vt:i4>242</vt:i4>
      </vt:variant>
      <vt:variant>
        <vt:i4>0</vt:i4>
      </vt:variant>
      <vt:variant>
        <vt:i4>5</vt:i4>
      </vt:variant>
      <vt:variant>
        <vt:lpwstr>https://www.prnewswire.com/news-releases/pivot-bio-readies-brazilian-operation-with-expanded-team-302265792.html</vt:lpwstr>
      </vt:variant>
      <vt:variant>
        <vt:lpwstr/>
      </vt:variant>
      <vt:variant>
        <vt:i4>3211302</vt:i4>
      </vt:variant>
      <vt:variant>
        <vt:i4>237</vt:i4>
      </vt:variant>
      <vt:variant>
        <vt:i4>0</vt:i4>
      </vt:variant>
      <vt:variant>
        <vt:i4>5</vt:i4>
      </vt:variant>
      <vt:variant>
        <vt:lpwstr>https://www.pivotbio.com/product-proven40-corn</vt:lpwstr>
      </vt:variant>
      <vt:variant>
        <vt:lpwstr/>
      </vt:variant>
      <vt:variant>
        <vt:i4>1835094</vt:i4>
      </vt:variant>
      <vt:variant>
        <vt:i4>234</vt:i4>
      </vt:variant>
      <vt:variant>
        <vt:i4>0</vt:i4>
      </vt:variant>
      <vt:variant>
        <vt:i4>5</vt:i4>
      </vt:variant>
      <vt:variant>
        <vt:lpwstr>https://www.pivotbio.com/press-releases/peer-reviewed-study-validates-pivot-bios-gene-edited-microbes-as-a-third-source-of-nitrogen-delivery</vt:lpwstr>
      </vt:variant>
      <vt:variant>
        <vt:lpwstr/>
      </vt:variant>
      <vt:variant>
        <vt:i4>1310784</vt:i4>
      </vt:variant>
      <vt:variant>
        <vt:i4>231</vt:i4>
      </vt:variant>
      <vt:variant>
        <vt:i4>0</vt:i4>
      </vt:variant>
      <vt:variant>
        <vt:i4>5</vt:i4>
      </vt:variant>
      <vt:variant>
        <vt:lpwstr>https://luminaprobiotic.com/</vt:lpwstr>
      </vt:variant>
      <vt:variant>
        <vt:lpwstr/>
      </vt:variant>
      <vt:variant>
        <vt:i4>3866729</vt:i4>
      </vt:variant>
      <vt:variant>
        <vt:i4>228</vt:i4>
      </vt:variant>
      <vt:variant>
        <vt:i4>0</vt:i4>
      </vt:variant>
      <vt:variant>
        <vt:i4>5</vt:i4>
      </vt:variant>
      <vt:variant>
        <vt:lpwstr>https://doi.org/10.1016/j.btre.2025.e00911</vt:lpwstr>
      </vt:variant>
      <vt:variant>
        <vt:lpwstr/>
      </vt:variant>
      <vt:variant>
        <vt:i4>786435</vt:i4>
      </vt:variant>
      <vt:variant>
        <vt:i4>225</vt:i4>
      </vt:variant>
      <vt:variant>
        <vt:i4>0</vt:i4>
      </vt:variant>
      <vt:variant>
        <vt:i4>5</vt:i4>
      </vt:variant>
      <vt:variant>
        <vt:lpwstr>https://doi.org/10.3390/cosmetics12050205</vt:lpwstr>
      </vt:variant>
      <vt:variant>
        <vt:lpwstr/>
      </vt:variant>
      <vt:variant>
        <vt:i4>8192043</vt:i4>
      </vt:variant>
      <vt:variant>
        <vt:i4>222</vt:i4>
      </vt:variant>
      <vt:variant>
        <vt:i4>0</vt:i4>
      </vt:variant>
      <vt:variant>
        <vt:i4>5</vt:i4>
      </vt:variant>
      <vt:variant>
        <vt:lpwstr>https://doi.org/10.3390/bioengineering12090909</vt:lpwstr>
      </vt:variant>
      <vt:variant>
        <vt:lpwstr/>
      </vt:variant>
      <vt:variant>
        <vt:i4>3080314</vt:i4>
      </vt:variant>
      <vt:variant>
        <vt:i4>219</vt:i4>
      </vt:variant>
      <vt:variant>
        <vt:i4>0</vt:i4>
      </vt:variant>
      <vt:variant>
        <vt:i4>5</vt:i4>
      </vt:variant>
      <vt:variant>
        <vt:lpwstr>https://doi.org/10.1016/j.scenv.2025.100244</vt:lpwstr>
      </vt:variant>
      <vt:variant>
        <vt:lpwstr/>
      </vt:variant>
      <vt:variant>
        <vt:i4>2949168</vt:i4>
      </vt:variant>
      <vt:variant>
        <vt:i4>216</vt:i4>
      </vt:variant>
      <vt:variant>
        <vt:i4>0</vt:i4>
      </vt:variant>
      <vt:variant>
        <vt:i4>5</vt:i4>
      </vt:variant>
      <vt:variant>
        <vt:lpwstr>https://doi.org/10.1007/s13762-022-04303-8</vt:lpwstr>
      </vt:variant>
      <vt:variant>
        <vt:lpwstr/>
      </vt:variant>
      <vt:variant>
        <vt:i4>4718593</vt:i4>
      </vt:variant>
      <vt:variant>
        <vt:i4>213</vt:i4>
      </vt:variant>
      <vt:variant>
        <vt:i4>0</vt:i4>
      </vt:variant>
      <vt:variant>
        <vt:i4>5</vt:i4>
      </vt:variant>
      <vt:variant>
        <vt:lpwstr>https://doi.org/10.1021/acssynbio.8b00423</vt:lpwstr>
      </vt:variant>
      <vt:variant>
        <vt:lpwstr/>
      </vt:variant>
      <vt:variant>
        <vt:i4>1310738</vt:i4>
      </vt:variant>
      <vt:variant>
        <vt:i4>210</vt:i4>
      </vt:variant>
      <vt:variant>
        <vt:i4>0</vt:i4>
      </vt:variant>
      <vt:variant>
        <vt:i4>5</vt:i4>
      </vt:variant>
      <vt:variant>
        <vt:lpwstr>https://doi.org/10.3390/genes9020116</vt:lpwstr>
      </vt:variant>
      <vt:variant>
        <vt:lpwstr/>
      </vt:variant>
      <vt:variant>
        <vt:i4>5701646</vt:i4>
      </vt:variant>
      <vt:variant>
        <vt:i4>207</vt:i4>
      </vt:variant>
      <vt:variant>
        <vt:i4>0</vt:i4>
      </vt:variant>
      <vt:variant>
        <vt:i4>5</vt:i4>
      </vt:variant>
      <vt:variant>
        <vt:lpwstr>https://doi.org/10.1016/j.jhazmat.2020.124631</vt:lpwstr>
      </vt:variant>
      <vt:variant>
        <vt:lpwstr/>
      </vt:variant>
      <vt:variant>
        <vt:i4>7864370</vt:i4>
      </vt:variant>
      <vt:variant>
        <vt:i4>204</vt:i4>
      </vt:variant>
      <vt:variant>
        <vt:i4>0</vt:i4>
      </vt:variant>
      <vt:variant>
        <vt:i4>5</vt:i4>
      </vt:variant>
      <vt:variant>
        <vt:lpwstr>https://eur-lex.europa.eu/eli/dec/2017/1217/oj</vt:lpwstr>
      </vt:variant>
      <vt:variant>
        <vt:lpwstr/>
      </vt:variant>
      <vt:variant>
        <vt:i4>6619194</vt:i4>
      </vt:variant>
      <vt:variant>
        <vt:i4>201</vt:i4>
      </vt:variant>
      <vt:variant>
        <vt:i4>0</vt:i4>
      </vt:variant>
      <vt:variant>
        <vt:i4>5</vt:i4>
      </vt:variant>
      <vt:variant>
        <vt:lpwstr>https://zenodo.org/records/18329226</vt:lpwstr>
      </vt:variant>
      <vt:variant>
        <vt:lpwstr/>
      </vt:variant>
      <vt:variant>
        <vt:i4>1835023</vt:i4>
      </vt:variant>
      <vt:variant>
        <vt:i4>198</vt:i4>
      </vt:variant>
      <vt:variant>
        <vt:i4>0</vt:i4>
      </vt:variant>
      <vt:variant>
        <vt:i4>5</vt:i4>
      </vt:variant>
      <vt:variant>
        <vt:lpwstr>https://doi.org/10.2903/j.efsa.2026.9823</vt:lpwstr>
      </vt:variant>
      <vt:variant>
        <vt:lpwstr/>
      </vt:variant>
      <vt:variant>
        <vt:i4>7077947</vt:i4>
      </vt:variant>
      <vt:variant>
        <vt:i4>195</vt:i4>
      </vt:variant>
      <vt:variant>
        <vt:i4>0</vt:i4>
      </vt:variant>
      <vt:variant>
        <vt:i4>5</vt:i4>
      </vt:variant>
      <vt:variant>
        <vt:lpwstr>https://zenodo.org/records/18336241</vt:lpwstr>
      </vt:variant>
      <vt:variant>
        <vt:lpwstr/>
      </vt:variant>
      <vt:variant>
        <vt:i4>6291512</vt:i4>
      </vt:variant>
      <vt:variant>
        <vt:i4>192</vt:i4>
      </vt:variant>
      <vt:variant>
        <vt:i4>0</vt:i4>
      </vt:variant>
      <vt:variant>
        <vt:i4>5</vt:i4>
      </vt:variant>
      <vt:variant>
        <vt:lpwstr>https://zenodo.org/records/18336181</vt:lpwstr>
      </vt:variant>
      <vt:variant>
        <vt:lpwstr/>
      </vt:variant>
      <vt:variant>
        <vt:i4>6881328</vt:i4>
      </vt:variant>
      <vt:variant>
        <vt:i4>189</vt:i4>
      </vt:variant>
      <vt:variant>
        <vt:i4>0</vt:i4>
      </vt:variant>
      <vt:variant>
        <vt:i4>5</vt:i4>
      </vt:variant>
      <vt:variant>
        <vt:lpwstr>https://zenodo.org/records/18335928</vt:lpwstr>
      </vt:variant>
      <vt:variant>
        <vt:lpwstr/>
      </vt:variant>
      <vt:variant>
        <vt:i4>7012406</vt:i4>
      </vt:variant>
      <vt:variant>
        <vt:i4>186</vt:i4>
      </vt:variant>
      <vt:variant>
        <vt:i4>0</vt:i4>
      </vt:variant>
      <vt:variant>
        <vt:i4>5</vt:i4>
      </vt:variant>
      <vt:variant>
        <vt:lpwstr>https://zenodo.org/records/15827398</vt:lpwstr>
      </vt:variant>
      <vt:variant>
        <vt:lpwstr/>
      </vt:variant>
      <vt:variant>
        <vt:i4>1769487</vt:i4>
      </vt:variant>
      <vt:variant>
        <vt:i4>183</vt:i4>
      </vt:variant>
      <vt:variant>
        <vt:i4>0</vt:i4>
      </vt:variant>
      <vt:variant>
        <vt:i4>5</vt:i4>
      </vt:variant>
      <vt:variant>
        <vt:lpwstr>https://doi.org/10.2903/j.efsa.2026.9824</vt:lpwstr>
      </vt:variant>
      <vt:variant>
        <vt:lpwstr/>
      </vt:variant>
      <vt:variant>
        <vt:i4>1835023</vt:i4>
      </vt:variant>
      <vt:variant>
        <vt:i4>180</vt:i4>
      </vt:variant>
      <vt:variant>
        <vt:i4>0</vt:i4>
      </vt:variant>
      <vt:variant>
        <vt:i4>5</vt:i4>
      </vt:variant>
      <vt:variant>
        <vt:lpwstr>https://doi.org/10.2903/j.efsa.2026.9823</vt:lpwstr>
      </vt:variant>
      <vt:variant>
        <vt:lpwstr/>
      </vt:variant>
      <vt:variant>
        <vt:i4>5111903</vt:i4>
      </vt:variant>
      <vt:variant>
        <vt:i4>177</vt:i4>
      </vt:variant>
      <vt:variant>
        <vt:i4>0</vt:i4>
      </vt:variant>
      <vt:variant>
        <vt:i4>5</vt:i4>
      </vt:variant>
      <vt:variant>
        <vt:lpwstr>https://efsa.onlinelibrary.wiley.com/doi/10.2903/j.efsa.2007.587</vt:lpwstr>
      </vt:variant>
      <vt:variant>
        <vt:lpwstr/>
      </vt:variant>
      <vt:variant>
        <vt:i4>7077982</vt:i4>
      </vt:variant>
      <vt:variant>
        <vt:i4>174</vt:i4>
      </vt:variant>
      <vt:variant>
        <vt:i4>0</vt:i4>
      </vt:variant>
      <vt:variant>
        <vt:i4>5</vt:i4>
      </vt:variant>
      <vt:variant>
        <vt:lpwstr>https://food.ec.europa.eu/system/files/2020-12/sci-com_scf_out178_en.pdf</vt:lpwstr>
      </vt:variant>
      <vt:variant>
        <vt:lpwstr/>
      </vt:variant>
      <vt:variant>
        <vt:i4>5111903</vt:i4>
      </vt:variant>
      <vt:variant>
        <vt:i4>171</vt:i4>
      </vt:variant>
      <vt:variant>
        <vt:i4>0</vt:i4>
      </vt:variant>
      <vt:variant>
        <vt:i4>5</vt:i4>
      </vt:variant>
      <vt:variant>
        <vt:lpwstr>https://efsa.onlinelibrary.wiley.com/doi/10.2903/j.efsa.2007.587</vt:lpwstr>
      </vt:variant>
      <vt:variant>
        <vt:lpwstr/>
      </vt:variant>
      <vt:variant>
        <vt:i4>6684707</vt:i4>
      </vt:variant>
      <vt:variant>
        <vt:i4>168</vt:i4>
      </vt:variant>
      <vt:variant>
        <vt:i4>0</vt:i4>
      </vt:variant>
      <vt:variant>
        <vt:i4>5</vt:i4>
      </vt:variant>
      <vt:variant>
        <vt:lpwstr>https://www.fda.gov/food/food-ingredients-packaging/generally-recognized-safe-gras</vt:lpwstr>
      </vt:variant>
      <vt:variant>
        <vt:lpwstr/>
      </vt:variant>
      <vt:variant>
        <vt:i4>7077982</vt:i4>
      </vt:variant>
      <vt:variant>
        <vt:i4>165</vt:i4>
      </vt:variant>
      <vt:variant>
        <vt:i4>0</vt:i4>
      </vt:variant>
      <vt:variant>
        <vt:i4>5</vt:i4>
      </vt:variant>
      <vt:variant>
        <vt:lpwstr>https://food.ec.europa.eu/system/files/2020-12/sci-com_scf_out178_en.pdf</vt:lpwstr>
      </vt:variant>
      <vt:variant>
        <vt:lpwstr/>
      </vt:variant>
      <vt:variant>
        <vt:i4>1376270</vt:i4>
      </vt:variant>
      <vt:variant>
        <vt:i4>162</vt:i4>
      </vt:variant>
      <vt:variant>
        <vt:i4>0</vt:i4>
      </vt:variant>
      <vt:variant>
        <vt:i4>5</vt:i4>
      </vt:variant>
      <vt:variant>
        <vt:lpwstr>https://doi.org/10.2903/j.efsa.2025.9705</vt:lpwstr>
      </vt:variant>
      <vt:variant>
        <vt:lpwstr/>
      </vt:variant>
      <vt:variant>
        <vt:i4>1703943</vt:i4>
      </vt:variant>
      <vt:variant>
        <vt:i4>159</vt:i4>
      </vt:variant>
      <vt:variant>
        <vt:i4>0</vt:i4>
      </vt:variant>
      <vt:variant>
        <vt:i4>5</vt:i4>
      </vt:variant>
      <vt:variant>
        <vt:lpwstr>https://doi.org/10.2903/j.efsa.2024.8895</vt:lpwstr>
      </vt:variant>
      <vt:variant>
        <vt:lpwstr/>
      </vt:variant>
      <vt:variant>
        <vt:i4>6553675</vt:i4>
      </vt:variant>
      <vt:variant>
        <vt:i4>156</vt:i4>
      </vt:variant>
      <vt:variant>
        <vt:i4>0</vt:i4>
      </vt:variant>
      <vt:variant>
        <vt:i4>5</vt:i4>
      </vt:variant>
      <vt:variant>
        <vt:lpwstr>https://food.ec.europa.eu/system/files/2021-04/gmo_mod-bio_ngt_eu-study.pdf</vt:lpwstr>
      </vt:variant>
      <vt:variant>
        <vt:lpwstr/>
      </vt:variant>
      <vt:variant>
        <vt:i4>2621567</vt:i4>
      </vt:variant>
      <vt:variant>
        <vt:i4>153</vt:i4>
      </vt:variant>
      <vt:variant>
        <vt:i4>0</vt:i4>
      </vt:variant>
      <vt:variant>
        <vt:i4>5</vt:i4>
      </vt:variant>
      <vt:variant>
        <vt:lpwstr>https://www.eurofound.europa.eu/en/publications/all/balancing-the-clock-how-europe-works-and-rests</vt:lpwstr>
      </vt:variant>
      <vt:variant>
        <vt:lpwstr/>
      </vt:variant>
      <vt:variant>
        <vt:i4>1703966</vt:i4>
      </vt:variant>
      <vt:variant>
        <vt:i4>150</vt:i4>
      </vt:variant>
      <vt:variant>
        <vt:i4>0</vt:i4>
      </vt:variant>
      <vt:variant>
        <vt:i4>5</vt:i4>
      </vt:variant>
      <vt:variant>
        <vt:lpwstr>https://www.bechbruun.com/en/news/news/the-eu-biotech-act-a-targeted-solution-to-europe-s-biotech-challenges</vt:lpwstr>
      </vt:variant>
      <vt:variant>
        <vt:lpwstr/>
      </vt:variant>
      <vt:variant>
        <vt:i4>1966089</vt:i4>
      </vt:variant>
      <vt:variant>
        <vt:i4>147</vt:i4>
      </vt:variant>
      <vt:variant>
        <vt:i4>0</vt:i4>
      </vt:variant>
      <vt:variant>
        <vt:i4>5</vt:i4>
      </vt:variant>
      <vt:variant>
        <vt:lpwstr>https://cordis.europa.eu/search?q=contenttype%3D%27project%27%20AND%20frameworkProgramme%3D%27HORIZON%27%20AND%20language%3D%27en%27%2C%27de%27%2C%27es%27%2C%27fr%27%2C%27it%27%2C%27pl%27%20AND%20(%27ATMP%27)&amp;p=1&amp;num=10&amp;srt=Relevance:decreasing</vt:lpwstr>
      </vt:variant>
      <vt:variant>
        <vt:lpwstr/>
      </vt:variant>
      <vt:variant>
        <vt:i4>131159</vt:i4>
      </vt:variant>
      <vt:variant>
        <vt:i4>144</vt:i4>
      </vt:variant>
      <vt:variant>
        <vt:i4>0</vt:i4>
      </vt:variant>
      <vt:variant>
        <vt:i4>5</vt:i4>
      </vt:variant>
      <vt:variant>
        <vt:lpwstr>https://alliancerm.org/wp-content/uploads/2026/01/ARM-Q4-2025-CGT-Sector-Data.pdf</vt:lpwstr>
      </vt:variant>
      <vt:variant>
        <vt:lpwstr/>
      </vt:variant>
      <vt:variant>
        <vt:i4>131159</vt:i4>
      </vt:variant>
      <vt:variant>
        <vt:i4>141</vt:i4>
      </vt:variant>
      <vt:variant>
        <vt:i4>0</vt:i4>
      </vt:variant>
      <vt:variant>
        <vt:i4>5</vt:i4>
      </vt:variant>
      <vt:variant>
        <vt:lpwstr>https://alliancerm.org/wp-content/uploads/2026/01/ARM-Q4-2025-CGT-Sector-Data.pdf</vt:lpwstr>
      </vt:variant>
      <vt:variant>
        <vt:lpwstr/>
      </vt:variant>
      <vt:variant>
        <vt:i4>131159</vt:i4>
      </vt:variant>
      <vt:variant>
        <vt:i4>138</vt:i4>
      </vt:variant>
      <vt:variant>
        <vt:i4>0</vt:i4>
      </vt:variant>
      <vt:variant>
        <vt:i4>5</vt:i4>
      </vt:variant>
      <vt:variant>
        <vt:lpwstr>https://alliancerm.org/wp-content/uploads/2026/01/ARM-Q4-2025-CGT-Sector-Data.pdf</vt:lpwstr>
      </vt:variant>
      <vt:variant>
        <vt:lpwstr/>
      </vt:variant>
      <vt:variant>
        <vt:i4>6619259</vt:i4>
      </vt:variant>
      <vt:variant>
        <vt:i4>135</vt:i4>
      </vt:variant>
      <vt:variant>
        <vt:i4>0</vt:i4>
      </vt:variant>
      <vt:variant>
        <vt:i4>5</vt:i4>
      </vt:variant>
      <vt:variant>
        <vt:lpwstr>https://alliancerm.org/wp-content/uploads/2025/09/FINAL_ARM_Policy-Blueprint_Biotech-Act_CEO-Letter.pdf</vt:lpwstr>
      </vt:variant>
      <vt:variant>
        <vt:lpwstr/>
      </vt:variant>
      <vt:variant>
        <vt:i4>6619259</vt:i4>
      </vt:variant>
      <vt:variant>
        <vt:i4>132</vt:i4>
      </vt:variant>
      <vt:variant>
        <vt:i4>0</vt:i4>
      </vt:variant>
      <vt:variant>
        <vt:i4>5</vt:i4>
      </vt:variant>
      <vt:variant>
        <vt:lpwstr>https://alliancerm.org/wp-content/uploads/2025/09/FINAL_ARM_Policy-Blueprint_Biotech-Act_CEO-Letter.pdf</vt:lpwstr>
      </vt:variant>
      <vt:variant>
        <vt:lpwstr/>
      </vt:variant>
      <vt:variant>
        <vt:i4>720978</vt:i4>
      </vt:variant>
      <vt:variant>
        <vt:i4>129</vt:i4>
      </vt:variant>
      <vt:variant>
        <vt:i4>0</vt:i4>
      </vt:variant>
      <vt:variant>
        <vt:i4>5</vt:i4>
      </vt:variant>
      <vt:variant>
        <vt:lpwstr>https://reedintelligence.com/insights/regenerative-medicine-market/europe</vt:lpwstr>
      </vt:variant>
      <vt:variant>
        <vt:lpwstr/>
      </vt:variant>
      <vt:variant>
        <vt:i4>131159</vt:i4>
      </vt:variant>
      <vt:variant>
        <vt:i4>126</vt:i4>
      </vt:variant>
      <vt:variant>
        <vt:i4>0</vt:i4>
      </vt:variant>
      <vt:variant>
        <vt:i4>5</vt:i4>
      </vt:variant>
      <vt:variant>
        <vt:lpwstr>https://alliancerm.org/wp-content/uploads/2026/01/ARM-Q4-2025-CGT-Sector-Data.pdf</vt:lpwstr>
      </vt:variant>
      <vt:variant>
        <vt:lpwstr/>
      </vt:variant>
      <vt:variant>
        <vt:i4>1966089</vt:i4>
      </vt:variant>
      <vt:variant>
        <vt:i4>123</vt:i4>
      </vt:variant>
      <vt:variant>
        <vt:i4>0</vt:i4>
      </vt:variant>
      <vt:variant>
        <vt:i4>5</vt:i4>
      </vt:variant>
      <vt:variant>
        <vt:lpwstr>https://cordis.europa.eu/search?q=contenttype%3D%27project%27%20AND%20frameworkProgramme%3D%27HORIZON%27%20AND%20language%3D%27en%27%2C%27de%27%2C%27es%27%2C%27fr%27%2C%27it%27%2C%27pl%27%20AND%20(%27ATMP%27)&amp;p=1&amp;num=10&amp;srt=Relevance:decreasing</vt:lpwstr>
      </vt:variant>
      <vt:variant>
        <vt:lpwstr/>
      </vt:variant>
      <vt:variant>
        <vt:i4>4259943</vt:i4>
      </vt:variant>
      <vt:variant>
        <vt:i4>120</vt:i4>
      </vt:variant>
      <vt:variant>
        <vt:i4>0</vt:i4>
      </vt:variant>
      <vt:variant>
        <vt:i4>5</vt:i4>
      </vt:variant>
      <vt:variant>
        <vt:lpwstr>https://www.ema.europa.eu/en/documents/scientific-guideline/reflection-paper-classification-advanced-therapy-medicinal-products_en.pdf</vt:lpwstr>
      </vt:variant>
      <vt:variant>
        <vt:lpwstr/>
      </vt:variant>
      <vt:variant>
        <vt:i4>4259943</vt:i4>
      </vt:variant>
      <vt:variant>
        <vt:i4>117</vt:i4>
      </vt:variant>
      <vt:variant>
        <vt:i4>0</vt:i4>
      </vt:variant>
      <vt:variant>
        <vt:i4>5</vt:i4>
      </vt:variant>
      <vt:variant>
        <vt:lpwstr>https://www.ema.europa.eu/en/documents/scientific-guideline/reflection-paper-classification-advanced-therapy-medicinal-products_en.pdf</vt:lpwstr>
      </vt:variant>
      <vt:variant>
        <vt:lpwstr/>
      </vt:variant>
      <vt:variant>
        <vt:i4>2424928</vt:i4>
      </vt:variant>
      <vt:variant>
        <vt:i4>114</vt:i4>
      </vt:variant>
      <vt:variant>
        <vt:i4>0</vt:i4>
      </vt:variant>
      <vt:variant>
        <vt:i4>5</vt:i4>
      </vt:variant>
      <vt:variant>
        <vt:lpwstr>https://foodhealthlegal.eu/?p=1380</vt:lpwstr>
      </vt:variant>
      <vt:variant>
        <vt:lpwstr/>
      </vt:variant>
      <vt:variant>
        <vt:i4>4980791</vt:i4>
      </vt:variant>
      <vt:variant>
        <vt:i4>111</vt:i4>
      </vt:variant>
      <vt:variant>
        <vt:i4>0</vt:i4>
      </vt:variant>
      <vt:variant>
        <vt:i4>5</vt:i4>
      </vt:variant>
      <vt:variant>
        <vt:lpwstr>https://food.ec.europa.eu/document/download/fcfe7958-72ab-47b6-8b38-0c5473bde0da_en?filename=gfl_fitc_comm_staff_work_doc_2018_part1_en.pdf</vt:lpwstr>
      </vt:variant>
      <vt:variant>
        <vt:lpwstr/>
      </vt:variant>
      <vt:variant>
        <vt:i4>983092</vt:i4>
      </vt:variant>
      <vt:variant>
        <vt:i4>108</vt:i4>
      </vt:variant>
      <vt:variant>
        <vt:i4>0</vt:i4>
      </vt:variant>
      <vt:variant>
        <vt:i4>5</vt:i4>
      </vt:variant>
      <vt:variant>
        <vt:lpwstr>https://food.ec.europa.eu/horizontal-topics/general-food-law/fitness-check-general-food-law_en</vt:lpwstr>
      </vt:variant>
      <vt:variant>
        <vt:lpwstr/>
      </vt:variant>
      <vt:variant>
        <vt:i4>983092</vt:i4>
      </vt:variant>
      <vt:variant>
        <vt:i4>105</vt:i4>
      </vt:variant>
      <vt:variant>
        <vt:i4>0</vt:i4>
      </vt:variant>
      <vt:variant>
        <vt:i4>5</vt:i4>
      </vt:variant>
      <vt:variant>
        <vt:lpwstr>https://food.ec.europa.eu/horizontal-topics/general-food-law/fitness-check-general-food-law_en</vt:lpwstr>
      </vt:variant>
      <vt:variant>
        <vt:lpwstr/>
      </vt:variant>
      <vt:variant>
        <vt:i4>4980791</vt:i4>
      </vt:variant>
      <vt:variant>
        <vt:i4>102</vt:i4>
      </vt:variant>
      <vt:variant>
        <vt:i4>0</vt:i4>
      </vt:variant>
      <vt:variant>
        <vt:i4>5</vt:i4>
      </vt:variant>
      <vt:variant>
        <vt:lpwstr>https://food.ec.europa.eu/document/download/fcfe7958-72ab-47b6-8b38-0c5473bde0da_en?filename=gfl_fitc_comm_staff_work_doc_2018_part1_en.pdf</vt:lpwstr>
      </vt:variant>
      <vt:variant>
        <vt:lpwstr/>
      </vt:variant>
      <vt:variant>
        <vt:i4>4980806</vt:i4>
      </vt:variant>
      <vt:variant>
        <vt:i4>99</vt:i4>
      </vt:variant>
      <vt:variant>
        <vt:i4>0</vt:i4>
      </vt:variant>
      <vt:variant>
        <vt:i4>5</vt:i4>
      </vt:variant>
      <vt:variant>
        <vt:lpwstr>https://food.ec.europa.eu/document/download/e2029994-aa27-49f0-9ab6-18cfa81e29fe_en?filename=animal-feed_additives_eval-legis_reg-2003-429_swd_2024-46.pdf</vt:lpwstr>
      </vt:variant>
      <vt:variant>
        <vt:lpwstr/>
      </vt:variant>
      <vt:variant>
        <vt:i4>5308530</vt:i4>
      </vt:variant>
      <vt:variant>
        <vt:i4>96</vt:i4>
      </vt:variant>
      <vt:variant>
        <vt:i4>0</vt:i4>
      </vt:variant>
      <vt:variant>
        <vt:i4>5</vt:i4>
      </vt:variant>
      <vt:variant>
        <vt:lpwstr>https://www.gpp.pt/images/Agricultura/Organizacao_da_Producao_e_Cadeia_Alimentar/CompetpositEuropfooddrinkindustFR.pdf</vt:lpwstr>
      </vt:variant>
      <vt:variant>
        <vt:lpwstr/>
      </vt:variant>
      <vt:variant>
        <vt:i4>4980791</vt:i4>
      </vt:variant>
      <vt:variant>
        <vt:i4>93</vt:i4>
      </vt:variant>
      <vt:variant>
        <vt:i4>0</vt:i4>
      </vt:variant>
      <vt:variant>
        <vt:i4>5</vt:i4>
      </vt:variant>
      <vt:variant>
        <vt:lpwstr>https://food.ec.europa.eu/document/download/fcfe7958-72ab-47b6-8b38-0c5473bde0da_en?filename=gfl_fitc_comm_staff_work_doc_2018_part1_en.pdf</vt:lpwstr>
      </vt:variant>
      <vt:variant>
        <vt:lpwstr/>
      </vt:variant>
      <vt:variant>
        <vt:i4>4980791</vt:i4>
      </vt:variant>
      <vt:variant>
        <vt:i4>90</vt:i4>
      </vt:variant>
      <vt:variant>
        <vt:i4>0</vt:i4>
      </vt:variant>
      <vt:variant>
        <vt:i4>5</vt:i4>
      </vt:variant>
      <vt:variant>
        <vt:lpwstr>https://food.ec.europa.eu/document/download/fcfe7958-72ab-47b6-8b38-0c5473bde0da_en?filename=gfl_fitc_comm_staff_work_doc_2018_part1_en.pdf</vt:lpwstr>
      </vt:variant>
      <vt:variant>
        <vt:lpwstr/>
      </vt:variant>
      <vt:variant>
        <vt:i4>1769566</vt:i4>
      </vt:variant>
      <vt:variant>
        <vt:i4>87</vt:i4>
      </vt:variant>
      <vt:variant>
        <vt:i4>0</vt:i4>
      </vt:variant>
      <vt:variant>
        <vt:i4>5</vt:i4>
      </vt:variant>
      <vt:variant>
        <vt:lpwstr>https://www.efsa.europa.eu/en/applications/about/services/sme</vt:lpwstr>
      </vt:variant>
      <vt:variant>
        <vt:lpwstr/>
      </vt:variant>
      <vt:variant>
        <vt:i4>4980806</vt:i4>
      </vt:variant>
      <vt:variant>
        <vt:i4>84</vt:i4>
      </vt:variant>
      <vt:variant>
        <vt:i4>0</vt:i4>
      </vt:variant>
      <vt:variant>
        <vt:i4>5</vt:i4>
      </vt:variant>
      <vt:variant>
        <vt:lpwstr>https://food.ec.europa.eu/document/download/e2029994-aa27-49f0-9ab6-18cfa81e29fe_en?filename=animal-feed_additives_eval-legis_reg-2003-429_swd_2024-46.pdf</vt:lpwstr>
      </vt:variant>
      <vt:variant>
        <vt:lpwstr/>
      </vt:variant>
      <vt:variant>
        <vt:i4>2752553</vt:i4>
      </vt:variant>
      <vt:variant>
        <vt:i4>81</vt:i4>
      </vt:variant>
      <vt:variant>
        <vt:i4>0</vt:i4>
      </vt:variant>
      <vt:variant>
        <vt:i4>5</vt:i4>
      </vt:variant>
      <vt:variant>
        <vt:lpwstr>http://data.europa.eu/eli/reg/2024/1938/2024-07-17</vt:lpwstr>
      </vt:variant>
      <vt:variant>
        <vt:lpwstr/>
      </vt:variant>
      <vt:variant>
        <vt:i4>4325462</vt:i4>
      </vt:variant>
      <vt:variant>
        <vt:i4>78</vt:i4>
      </vt:variant>
      <vt:variant>
        <vt:i4>0</vt:i4>
      </vt:variant>
      <vt:variant>
        <vt:i4>5</vt:i4>
      </vt:variant>
      <vt:variant>
        <vt:lpwstr>https://eur-lex.europa.eu/legal-content/EN/TXT/PDF/?uri=CELEX:32012L0025&amp;from=EN</vt:lpwstr>
      </vt:variant>
      <vt:variant>
        <vt:lpwstr/>
      </vt:variant>
      <vt:variant>
        <vt:i4>4784153</vt:i4>
      </vt:variant>
      <vt:variant>
        <vt:i4>75</vt:i4>
      </vt:variant>
      <vt:variant>
        <vt:i4>0</vt:i4>
      </vt:variant>
      <vt:variant>
        <vt:i4>5</vt:i4>
      </vt:variant>
      <vt:variant>
        <vt:lpwstr>http://data.europa.eu/eli/reg/2002/178/oj</vt:lpwstr>
      </vt:variant>
      <vt:variant>
        <vt:lpwstr/>
      </vt:variant>
      <vt:variant>
        <vt:i4>4653077</vt:i4>
      </vt:variant>
      <vt:variant>
        <vt:i4>72</vt:i4>
      </vt:variant>
      <vt:variant>
        <vt:i4>0</vt:i4>
      </vt:variant>
      <vt:variant>
        <vt:i4>5</vt:i4>
      </vt:variant>
      <vt:variant>
        <vt:lpwstr>https://www.precedenceresearch.com/biosimilars-market</vt:lpwstr>
      </vt:variant>
      <vt:variant>
        <vt:lpwstr/>
      </vt:variant>
      <vt:variant>
        <vt:i4>1507408</vt:i4>
      </vt:variant>
      <vt:variant>
        <vt:i4>69</vt:i4>
      </vt:variant>
      <vt:variant>
        <vt:i4>0</vt:i4>
      </vt:variant>
      <vt:variant>
        <vt:i4>5</vt:i4>
      </vt:variant>
      <vt:variant>
        <vt:lpwstr>https://urldefense.com/v3/__https:/admin.iprp.global/sites/default/files/2024-07/IPRP_BWG_Final*20IPRP*20Scientific*20Workshop*20Summary*20Report_2024_0506.pdf__;JSUlJSU!!DOxrgLBm!F7tTiwsBXg-6bSCLS1xUI-0nUdR880MZnOr_1ANcEWL9sPbz09bBS8Ae3pno4zonJ7y_916KnBNDbRgpukAp_4CzEVH9H4Mz0IOi$</vt:lpwstr>
      </vt:variant>
      <vt:variant>
        <vt:lpwstr/>
      </vt:variant>
      <vt:variant>
        <vt:i4>7340157</vt:i4>
      </vt:variant>
      <vt:variant>
        <vt:i4>66</vt:i4>
      </vt:variant>
      <vt:variant>
        <vt:i4>0</vt:i4>
      </vt:variant>
      <vt:variant>
        <vt:i4>5</vt:i4>
      </vt:variant>
      <vt:variant>
        <vt:lpwstr>https://urldefense.com/v3/__https:/database.ich.org/sites/default/files/ICH_M18_Final_Concept_Paper_MCEndorsed_2025_1119.pdf__;!!DOxrgLBm!F7tTiwsBXg-6bSCLS1xUI-0nUdR880MZnOr_1ANcEWL9sPbz09bBS8Ae3pno4zonJ7y_916KnBNDbRgpukAp_4CzEVH9HyhgVrqI$</vt:lpwstr>
      </vt:variant>
      <vt:variant>
        <vt:lpwstr/>
      </vt:variant>
      <vt:variant>
        <vt:i4>3997764</vt:i4>
      </vt:variant>
      <vt:variant>
        <vt:i4>63</vt:i4>
      </vt:variant>
      <vt:variant>
        <vt:i4>0</vt:i4>
      </vt:variant>
      <vt:variant>
        <vt:i4>5</vt:i4>
      </vt:variant>
      <vt:variant>
        <vt:lpwstr>https://www.ema.europa.eu/en/documents/other/reflection-paper-tailored-clinical-approach-biosimilar-development_en.pdf-0</vt:lpwstr>
      </vt:variant>
      <vt:variant>
        <vt:lpwstr/>
      </vt:variant>
      <vt:variant>
        <vt:i4>2883639</vt:i4>
      </vt:variant>
      <vt:variant>
        <vt:i4>60</vt:i4>
      </vt:variant>
      <vt:variant>
        <vt:i4>0</vt:i4>
      </vt:variant>
      <vt:variant>
        <vt:i4>5</vt:i4>
      </vt:variant>
      <vt:variant>
        <vt:lpwstr>https://doi.org/10.1007/s40259-023-00631-4</vt:lpwstr>
      </vt:variant>
      <vt:variant>
        <vt:lpwstr/>
      </vt:variant>
      <vt:variant>
        <vt:i4>327756</vt:i4>
      </vt:variant>
      <vt:variant>
        <vt:i4>57</vt:i4>
      </vt:variant>
      <vt:variant>
        <vt:i4>0</vt:i4>
      </vt:variant>
      <vt:variant>
        <vt:i4>5</vt:i4>
      </vt:variant>
      <vt:variant>
        <vt:lpwstr>https://www.medicinesforeurope.com/wp-content/uploads/2026/03/FOOTPRINT-Biotech-Act-factsheet.pdf</vt:lpwstr>
      </vt:variant>
      <vt:variant>
        <vt:lpwstr/>
      </vt:variant>
      <vt:variant>
        <vt:i4>5505033</vt:i4>
      </vt:variant>
      <vt:variant>
        <vt:i4>54</vt:i4>
      </vt:variant>
      <vt:variant>
        <vt:i4>0</vt:i4>
      </vt:variant>
      <vt:variant>
        <vt:i4>5</vt:i4>
      </vt:variant>
      <vt:variant>
        <vt:lpwstr>https://www.iqvia.com/-/media/iqvia/pdfs/library/white-papers/2026/iqvia-the-impact-of-biosimilar-competition-in-europe-2026-01-26-forweb.pdf</vt:lpwstr>
      </vt:variant>
      <vt:variant>
        <vt:lpwstr/>
      </vt:variant>
      <vt:variant>
        <vt:i4>1048664</vt:i4>
      </vt:variant>
      <vt:variant>
        <vt:i4>51</vt:i4>
      </vt:variant>
      <vt:variant>
        <vt:i4>0</vt:i4>
      </vt:variant>
      <vt:variant>
        <vt:i4>5</vt:i4>
      </vt:variant>
      <vt:variant>
        <vt:lpwstr>https://eur-lex.europa.eu/legal-content/EN/TXT/PDF/?uri=CELEX:52020DC0761</vt:lpwstr>
      </vt:variant>
      <vt:variant>
        <vt:lpwstr/>
      </vt:variant>
      <vt:variant>
        <vt:i4>8257639</vt:i4>
      </vt:variant>
      <vt:variant>
        <vt:i4>48</vt:i4>
      </vt:variant>
      <vt:variant>
        <vt:i4>0</vt:i4>
      </vt:variant>
      <vt:variant>
        <vt:i4>5</vt:i4>
      </vt:variant>
      <vt:variant>
        <vt:lpwstr>https://eur-lex.europa.eu/legal-content/EN/TXT/?uri=COM%3A2020%3A261%3AFIN</vt:lpwstr>
      </vt:variant>
      <vt:variant>
        <vt:lpwstr/>
      </vt:variant>
      <vt:variant>
        <vt:i4>5832796</vt:i4>
      </vt:variant>
      <vt:variant>
        <vt:i4>45</vt:i4>
      </vt:variant>
      <vt:variant>
        <vt:i4>0</vt:i4>
      </vt:variant>
      <vt:variant>
        <vt:i4>5</vt:i4>
      </vt:variant>
      <vt:variant>
        <vt:lpwstr>http://data.europa.eu/eli/dir/2009/41/oj</vt:lpwstr>
      </vt:variant>
      <vt:variant>
        <vt:lpwstr/>
      </vt:variant>
      <vt:variant>
        <vt:i4>8192125</vt:i4>
      </vt:variant>
      <vt:variant>
        <vt:i4>42</vt:i4>
      </vt:variant>
      <vt:variant>
        <vt:i4>0</vt:i4>
      </vt:variant>
      <vt:variant>
        <vt:i4>5</vt:i4>
      </vt:variant>
      <vt:variant>
        <vt:lpwstr>https://eur-lex.europa.eu/legal-content/EN/AUTO/?uri=OJ:L:2009:125:TOC</vt:lpwstr>
      </vt:variant>
      <vt:variant>
        <vt:lpwstr/>
      </vt:variant>
      <vt:variant>
        <vt:i4>5505109</vt:i4>
      </vt:variant>
      <vt:variant>
        <vt:i4>39</vt:i4>
      </vt:variant>
      <vt:variant>
        <vt:i4>0</vt:i4>
      </vt:variant>
      <vt:variant>
        <vt:i4>5</vt:i4>
      </vt:variant>
      <vt:variant>
        <vt:lpwstr>http://data.europa.eu/eli/dir/2001/18/oj</vt:lpwstr>
      </vt:variant>
      <vt:variant>
        <vt:lpwstr/>
      </vt:variant>
      <vt:variant>
        <vt:i4>7798818</vt:i4>
      </vt:variant>
      <vt:variant>
        <vt:i4>36</vt:i4>
      </vt:variant>
      <vt:variant>
        <vt:i4>0</vt:i4>
      </vt:variant>
      <vt:variant>
        <vt:i4>5</vt:i4>
      </vt:variant>
      <vt:variant>
        <vt:lpwstr>https://www.nature.com/articles/s41392-025-02267-y</vt:lpwstr>
      </vt:variant>
      <vt:variant>
        <vt:lpwstr/>
      </vt:variant>
      <vt:variant>
        <vt:i4>7798818</vt:i4>
      </vt:variant>
      <vt:variant>
        <vt:i4>33</vt:i4>
      </vt:variant>
      <vt:variant>
        <vt:i4>0</vt:i4>
      </vt:variant>
      <vt:variant>
        <vt:i4>5</vt:i4>
      </vt:variant>
      <vt:variant>
        <vt:lpwstr>https://www.nature.com/articles/s41392-025-02267-y</vt:lpwstr>
      </vt:variant>
      <vt:variant>
        <vt:lpwstr/>
      </vt:variant>
      <vt:variant>
        <vt:i4>262168</vt:i4>
      </vt:variant>
      <vt:variant>
        <vt:i4>30</vt:i4>
      </vt:variant>
      <vt:variant>
        <vt:i4>0</vt:i4>
      </vt:variant>
      <vt:variant>
        <vt:i4>5</vt:i4>
      </vt:variant>
      <vt:variant>
        <vt:lpwstr>https://www.clinicalstudies.in/start-up-timelines-across-global-regions-in-clinical-trials-2/</vt:lpwstr>
      </vt:variant>
      <vt:variant>
        <vt:lpwstr/>
      </vt:variant>
      <vt:variant>
        <vt:i4>4849744</vt:i4>
      </vt:variant>
      <vt:variant>
        <vt:i4>27</vt:i4>
      </vt:variant>
      <vt:variant>
        <vt:i4>0</vt:i4>
      </vt:variant>
      <vt:variant>
        <vt:i4>5</vt:i4>
      </vt:variant>
      <vt:variant>
        <vt:lpwstr>https://www.efpia.eu/media/3edpooqp/assessing-the-clinical-trial-ecosystem-in-europe.pdf</vt:lpwstr>
      </vt:variant>
      <vt:variant>
        <vt:lpwstr/>
      </vt:variant>
      <vt:variant>
        <vt:i4>7929959</vt:i4>
      </vt:variant>
      <vt:variant>
        <vt:i4>24</vt:i4>
      </vt:variant>
      <vt:variant>
        <vt:i4>0</vt:i4>
      </vt:variant>
      <vt:variant>
        <vt:i4>5</vt:i4>
      </vt:variant>
      <vt:variant>
        <vt:lpwstr>https://docs.google.com/spreadsheets/d/1oBzXTGxIRHLTF9CSiLRV6kk7EyetcX-xF1Y4ekWn5Z0/edit?gid=428955976</vt:lpwstr>
      </vt:variant>
      <vt:variant>
        <vt:lpwstr>gid=428955976</vt:lpwstr>
      </vt:variant>
      <vt:variant>
        <vt:i4>6422650</vt:i4>
      </vt:variant>
      <vt:variant>
        <vt:i4>21</vt:i4>
      </vt:variant>
      <vt:variant>
        <vt:i4>0</vt:i4>
      </vt:variant>
      <vt:variant>
        <vt:i4>5</vt:i4>
      </vt:variant>
      <vt:variant>
        <vt:lpwstr>https://globalsynthesismap.bio/</vt:lpwstr>
      </vt:variant>
      <vt:variant>
        <vt:lpwstr/>
      </vt:variant>
      <vt:variant>
        <vt:i4>4915237</vt:i4>
      </vt:variant>
      <vt:variant>
        <vt:i4>18</vt:i4>
      </vt:variant>
      <vt:variant>
        <vt:i4>0</vt:i4>
      </vt:variant>
      <vt:variant>
        <vt:i4>5</vt:i4>
      </vt:variant>
      <vt:variant>
        <vt:lpwstr>https://www.rand.org/pubs/research_reports/RRA4805-1.html</vt:lpwstr>
      </vt:variant>
      <vt:variant>
        <vt:lpwstr/>
      </vt:variant>
      <vt:variant>
        <vt:i4>4915237</vt:i4>
      </vt:variant>
      <vt:variant>
        <vt:i4>15</vt:i4>
      </vt:variant>
      <vt:variant>
        <vt:i4>0</vt:i4>
      </vt:variant>
      <vt:variant>
        <vt:i4>5</vt:i4>
      </vt:variant>
      <vt:variant>
        <vt:lpwstr>https://www.rand.org/pubs/research_reports/RRA4805-1.html</vt:lpwstr>
      </vt:variant>
      <vt:variant>
        <vt:lpwstr/>
      </vt:variant>
      <vt:variant>
        <vt:i4>5570612</vt:i4>
      </vt:variant>
      <vt:variant>
        <vt:i4>12</vt:i4>
      </vt:variant>
      <vt:variant>
        <vt:i4>0</vt:i4>
      </vt:variant>
      <vt:variant>
        <vt:i4>5</vt:i4>
      </vt:variant>
      <vt:variant>
        <vt:lpwstr>https://ec.europa.eu/info/law/better-regulation/have-your-say/initiatives/14627-Biotech-Act/public-consultation_en</vt:lpwstr>
      </vt:variant>
      <vt:variant>
        <vt:lpwstr/>
      </vt:variant>
      <vt:variant>
        <vt:i4>1507444</vt:i4>
      </vt:variant>
      <vt:variant>
        <vt:i4>9</vt:i4>
      </vt:variant>
      <vt:variant>
        <vt:i4>0</vt:i4>
      </vt:variant>
      <vt:variant>
        <vt:i4>5</vt:i4>
      </vt:variant>
      <vt:variant>
        <vt:lpwstr>https://ec.europa.eu/info/law/better-regulation/have-your-say/initiatives/14627-Biotech-Act_en</vt:lpwstr>
      </vt:variant>
      <vt:variant>
        <vt:lpwstr/>
      </vt:variant>
      <vt:variant>
        <vt:i4>6225928</vt:i4>
      </vt:variant>
      <vt:variant>
        <vt:i4>6</vt:i4>
      </vt:variant>
      <vt:variant>
        <vt:i4>0</vt:i4>
      </vt:variant>
      <vt:variant>
        <vt:i4>5</vt:i4>
      </vt:variant>
      <vt:variant>
        <vt:lpwstr>https://www.consilium.europa.eu/media/ny3j24sm/much-more-than-a-market-report-by-enrico-letta.pdf</vt:lpwstr>
      </vt:variant>
      <vt:variant>
        <vt:lpwstr/>
      </vt:variant>
      <vt:variant>
        <vt:i4>1704063</vt:i4>
      </vt:variant>
      <vt:variant>
        <vt:i4>3</vt:i4>
      </vt:variant>
      <vt:variant>
        <vt:i4>0</vt:i4>
      </vt:variant>
      <vt:variant>
        <vt:i4>5</vt:i4>
      </vt:variant>
      <vt:variant>
        <vt:lpwstr>https://commission.europa.eu/document/download/97e481fd-2dc3-412d-be4c-f152a8232961_en</vt:lpwstr>
      </vt:variant>
      <vt:variant>
        <vt:lpwstr/>
      </vt:variant>
      <vt:variant>
        <vt:i4>6815807</vt:i4>
      </vt:variant>
      <vt:variant>
        <vt:i4>0</vt:i4>
      </vt:variant>
      <vt:variant>
        <vt:i4>0</vt:i4>
      </vt:variant>
      <vt:variant>
        <vt:i4>5</vt:i4>
      </vt:variant>
      <vt:variant>
        <vt:lpwstr>https://eur-lex.europa.eu/legal-content/EN/TXT/?uri=CELEX:52024DC0137R(01)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Narozny Michal (SG)</dc:creator>
  <cp:keywords/>
  <dc:description/>
  <cp:lastModifiedBy>PAREDES ECHAURI Cristina (SG)</cp:lastModifiedBy>
  <cp:revision>3</cp:revision>
  <cp:lastPrinted>2023-07-13T22:29:00Z</cp:lastPrinted>
  <dcterms:created xsi:type="dcterms:W3CDTF">2026-05-28T15:31:00Z</dcterms:created>
  <dcterms:modified xsi:type="dcterms:W3CDTF">2026-05-28T15:37:00Z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2</vt:lpwstr>
  </property>
  <property fmtid="{D5CDD505-2E9C-101B-9397-08002B2CF9AE}" pid="4" name="Total parts">
    <vt:lpwstr>2</vt:lpwstr>
  </property>
  <property fmtid="{D5CDD505-2E9C-101B-9397-08002B2CF9AE}" pid="5" name="CPTemplateID">
    <vt:lpwstr>CP-025</vt:lpwstr>
  </property>
  <property fmtid="{D5CDD505-2E9C-101B-9397-08002B2CF9AE}" pid="6" name="Created using">
    <vt:lpwstr>LW 7.0.1, Build 20190916</vt:lpwstr>
  </property>
  <property fmtid="{D5CDD505-2E9C-101B-9397-08002B2CF9AE}" pid="7" name="MSIP_Label_6bd9ddd1-4d20-43f6-abfa-fc3c07406f94_Enabled">
    <vt:lpwstr>true</vt:lpwstr>
  </property>
  <property fmtid="{D5CDD505-2E9C-101B-9397-08002B2CF9AE}" pid="8" name="MSIP_Label_6bd9ddd1-4d20-43f6-abfa-fc3c07406f94_SetDate">
    <vt:lpwstr>2023-01-13T16:09:08Z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7e673b8e-6dd8-49f6-a98b-2979beb59a23</vt:lpwstr>
  </property>
  <property fmtid="{D5CDD505-2E9C-101B-9397-08002B2CF9AE}" pid="13" name="MSIP_Label_6bd9ddd1-4d20-43f6-abfa-fc3c07406f94_ContentBits">
    <vt:lpwstr>0</vt:lpwstr>
  </property>
  <property fmtid="{D5CDD505-2E9C-101B-9397-08002B2CF9AE}" pid="14" name="ContentTypeId">
    <vt:lpwstr>0x010100F3BE8789F8B926479CD54A9F58D67CFC</vt:lpwstr>
  </property>
  <property fmtid="{D5CDD505-2E9C-101B-9397-08002B2CF9AE}" pid="15" name="TaxKeyword">
    <vt:lpwstr/>
  </property>
  <property fmtid="{D5CDD505-2E9C-101B-9397-08002B2CF9AE}" pid="16" name="MediaServiceImageTags">
    <vt:lpwstr/>
  </property>
  <property fmtid="{D5CDD505-2E9C-101B-9397-08002B2CF9AE}" pid="17" name="Responsible_x0020_unit_x0020_">
    <vt:lpwstr>151;#SG.C.2|c917e1f5-7912-4eb9-962c-e792a6657685</vt:lpwstr>
  </property>
  <property fmtid="{D5CDD505-2E9C-101B-9397-08002B2CF9AE}" pid="18" name="Responsible unit ">
    <vt:lpwstr>151;#SG.C.2|c917e1f5-7912-4eb9-962c-e792a6657685</vt:lpwstr>
  </property>
  <property fmtid="{D5CDD505-2E9C-101B-9397-08002B2CF9AE}" pid="19" name="Responsible unit">
    <vt:lpwstr/>
  </property>
  <property fmtid="{D5CDD505-2E9C-101B-9397-08002B2CF9AE}" pid="20" name="Last edited using">
    <vt:lpwstr>LW 9.2, Build 20250828</vt:lpwstr>
  </property>
  <property fmtid="{D5CDD505-2E9C-101B-9397-08002B2CF9AE}" pid="21" name="DocStatus">
    <vt:lpwstr>Green</vt:lpwstr>
  </property>
  <property fmtid="{D5CDD505-2E9C-101B-9397-08002B2CF9AE}" pid="22" name="MSIP_Label_6bd9ddd1-4d20-43f6-abfa-fc3c07406f94_Tag">
    <vt:lpwstr>10, 3, 0, 1</vt:lpwstr>
  </property>
</Properties>
</file>